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14310">
      <w:pPr>
        <w:pStyle w:val="2"/>
        <w:spacing w:line="243" w:lineRule="auto"/>
      </w:pPr>
    </w:p>
    <w:p w14:paraId="134BDFBA">
      <w:pPr>
        <w:pStyle w:val="2"/>
        <w:spacing w:line="243" w:lineRule="auto"/>
      </w:pPr>
    </w:p>
    <w:p w14:paraId="25DDDCDD">
      <w:pPr>
        <w:pStyle w:val="2"/>
        <w:spacing w:line="243" w:lineRule="auto"/>
      </w:pPr>
    </w:p>
    <w:p w14:paraId="7905BB8B">
      <w:pPr>
        <w:pStyle w:val="2"/>
        <w:spacing w:line="243" w:lineRule="auto"/>
      </w:pPr>
    </w:p>
    <w:p w14:paraId="348A7964">
      <w:pPr>
        <w:pStyle w:val="2"/>
        <w:spacing w:line="243" w:lineRule="auto"/>
      </w:pPr>
    </w:p>
    <w:p w14:paraId="5D465942">
      <w:pPr>
        <w:adjustRightInd w:val="0"/>
        <w:snapToGrid w:val="0"/>
        <w:ind w:firstLine="0" w:firstLineChars="0"/>
        <w:jc w:val="center"/>
        <w:outlineLvl w:val="0"/>
        <w:rPr>
          <w:rFonts w:eastAsia="方正小标宋_GBK"/>
          <w:bCs/>
          <w:sz w:val="52"/>
          <w:szCs w:val="52"/>
        </w:rPr>
      </w:pPr>
      <w:bookmarkStart w:id="0" w:name="_Toc9226"/>
      <w:bookmarkStart w:id="1" w:name="_Toc32343"/>
      <w:bookmarkStart w:id="2" w:name="_Toc69399385"/>
      <w:r>
        <w:rPr>
          <w:rFonts w:hint="eastAsia" w:eastAsia="方正小标宋_GBK"/>
          <w:b/>
          <w:sz w:val="52"/>
          <w:szCs w:val="52"/>
        </w:rPr>
        <w:t>建设项目</w:t>
      </w:r>
      <w:r>
        <w:rPr>
          <w:rFonts w:hint="eastAsia" w:eastAsia="方正小标宋_GBK"/>
          <w:b/>
          <w:sz w:val="52"/>
          <w:szCs w:val="52"/>
          <w:lang w:eastAsia="zh-CN"/>
        </w:rPr>
        <w:t>生态</w:t>
      </w:r>
      <w:r>
        <w:rPr>
          <w:rFonts w:hint="eastAsia" w:eastAsia="方正小标宋_GBK"/>
          <w:b/>
          <w:sz w:val="52"/>
          <w:szCs w:val="52"/>
        </w:rPr>
        <w:t>环境影响报告表</w:t>
      </w:r>
      <w:bookmarkEnd w:id="0"/>
      <w:bookmarkEnd w:id="1"/>
      <w:bookmarkEnd w:id="2"/>
    </w:p>
    <w:p w14:paraId="73F182F3">
      <w:pPr>
        <w:adjustRightInd w:val="0"/>
        <w:snapToGrid w:val="0"/>
        <w:spacing w:beforeLines="80" w:line="240" w:lineRule="auto"/>
        <w:ind w:firstLine="0" w:firstLineChars="0"/>
        <w:jc w:val="center"/>
        <w:rPr>
          <w:rFonts w:eastAsia="楷体_GB2312"/>
          <w:bCs/>
          <w:sz w:val="48"/>
          <w:szCs w:val="48"/>
        </w:rPr>
      </w:pPr>
      <w:r>
        <w:rPr>
          <w:rFonts w:hint="eastAsia" w:eastAsia="楷体_GB2312"/>
          <w:bCs/>
          <w:sz w:val="48"/>
          <w:szCs w:val="48"/>
        </w:rPr>
        <w:t>（污染影响类）</w:t>
      </w:r>
    </w:p>
    <w:p w14:paraId="049A744A">
      <w:pPr>
        <w:spacing w:line="240" w:lineRule="auto"/>
        <w:ind w:firstLine="1040" w:firstLineChars="0"/>
        <w:rPr>
          <w:rFonts w:eastAsia="仿宋"/>
          <w:sz w:val="44"/>
          <w:szCs w:val="44"/>
        </w:rPr>
      </w:pPr>
    </w:p>
    <w:p w14:paraId="0AAE90B0">
      <w:pPr>
        <w:pStyle w:val="2"/>
        <w:rPr>
          <w:rFonts w:hint="default" w:ascii="Arial" w:hAnsi="Arial" w:eastAsia="楷体_GB2312" w:cs="Arial"/>
          <w:bCs/>
          <w:snapToGrid w:val="0"/>
          <w:color w:val="000000"/>
          <w:kern w:val="0"/>
          <w:sz w:val="48"/>
          <w:szCs w:val="48"/>
          <w:lang w:val="en-US" w:eastAsia="zh-CN" w:bidi="ar-SA"/>
        </w:rPr>
      </w:pPr>
      <w:r>
        <w:rPr>
          <w:rFonts w:hint="eastAsia" w:eastAsia="宋体"/>
          <w:lang w:val="en-US" w:eastAsia="zh-CN"/>
        </w:rPr>
        <w:t xml:space="preserve">                                                 </w:t>
      </w:r>
      <w:r>
        <w:rPr>
          <w:rFonts w:hint="eastAsia" w:ascii="Arial" w:hAnsi="Arial" w:eastAsia="楷体_GB2312" w:cs="Arial"/>
          <w:bCs/>
          <w:snapToGrid w:val="0"/>
          <w:color w:val="000000"/>
          <w:kern w:val="0"/>
          <w:sz w:val="48"/>
          <w:szCs w:val="48"/>
          <w:lang w:val="en-US" w:eastAsia="zh-CN" w:bidi="ar-SA"/>
        </w:rPr>
        <w:t xml:space="preserve">     （送审稿）</w:t>
      </w:r>
    </w:p>
    <w:p w14:paraId="2BE77968">
      <w:pPr>
        <w:spacing w:line="240" w:lineRule="auto"/>
        <w:ind w:firstLine="1040" w:firstLineChars="0"/>
        <w:rPr>
          <w:rFonts w:eastAsia="仿宋"/>
          <w:sz w:val="44"/>
          <w:szCs w:val="44"/>
        </w:rPr>
      </w:pPr>
    </w:p>
    <w:p w14:paraId="46920C5D">
      <w:pPr>
        <w:spacing w:line="240" w:lineRule="auto"/>
        <w:ind w:firstLine="1040" w:firstLineChars="0"/>
        <w:rPr>
          <w:rFonts w:eastAsia="仿宋"/>
          <w:sz w:val="44"/>
          <w:szCs w:val="44"/>
        </w:rPr>
      </w:pPr>
    </w:p>
    <w:p w14:paraId="0487F47C">
      <w:pPr>
        <w:spacing w:line="240" w:lineRule="auto"/>
        <w:ind w:firstLine="1040" w:firstLineChars="0"/>
        <w:rPr>
          <w:rFonts w:eastAsia="仿宋"/>
          <w:sz w:val="44"/>
          <w:szCs w:val="44"/>
        </w:rPr>
      </w:pPr>
    </w:p>
    <w:p w14:paraId="0D11A748">
      <w:pPr>
        <w:spacing w:line="240" w:lineRule="auto"/>
        <w:ind w:firstLine="1040" w:firstLineChars="0"/>
        <w:rPr>
          <w:rFonts w:eastAsia="仿宋"/>
          <w:sz w:val="44"/>
          <w:szCs w:val="44"/>
        </w:rPr>
      </w:pPr>
    </w:p>
    <w:p w14:paraId="27B20895">
      <w:pPr>
        <w:spacing w:line="240" w:lineRule="auto"/>
        <w:ind w:firstLine="1040" w:firstLineChars="0"/>
        <w:rPr>
          <w:rFonts w:eastAsia="仿宋"/>
          <w:sz w:val="44"/>
          <w:szCs w:val="44"/>
        </w:rPr>
      </w:pPr>
    </w:p>
    <w:p w14:paraId="6351FCF3">
      <w:pPr>
        <w:spacing w:line="240" w:lineRule="auto"/>
        <w:ind w:firstLine="1040" w:firstLineChars="0"/>
        <w:rPr>
          <w:rFonts w:eastAsia="仿宋"/>
          <w:sz w:val="44"/>
          <w:szCs w:val="44"/>
        </w:rPr>
      </w:pPr>
    </w:p>
    <w:p w14:paraId="168499A1">
      <w:pPr>
        <w:adjustRightInd w:val="0"/>
        <w:snapToGrid w:val="0"/>
        <w:spacing w:line="288" w:lineRule="auto"/>
        <w:ind w:left="2160" w:hanging="2160" w:hangingChars="600"/>
        <w:rPr>
          <w:rFonts w:eastAsia="仿宋_GB2312"/>
          <w:sz w:val="36"/>
          <w:szCs w:val="36"/>
          <w:u w:val="single"/>
        </w:rPr>
      </w:pPr>
      <w:r>
        <w:rPr>
          <w:rFonts w:hint="eastAsia" w:eastAsia="仿宋_GB2312"/>
          <w:sz w:val="36"/>
          <w:szCs w:val="36"/>
        </w:rPr>
        <w:t>项目名称：</w:t>
      </w:r>
      <w:r>
        <w:rPr>
          <w:rFonts w:hint="eastAsia" w:eastAsia="仿宋_GB2312"/>
          <w:sz w:val="36"/>
          <w:szCs w:val="36"/>
          <w:u w:val="single"/>
        </w:rPr>
        <w:t xml:space="preserve">   </w:t>
      </w:r>
      <w:r>
        <w:rPr>
          <w:rFonts w:hint="eastAsia" w:eastAsia="仿宋_GB2312"/>
          <w:sz w:val="36"/>
          <w:szCs w:val="36"/>
          <w:u w:val="single"/>
          <w:lang w:eastAsia="zh-CN"/>
        </w:rPr>
        <w:t>昆明欧铂瑞木制品有限公司年产</w:t>
      </w:r>
      <w:r>
        <w:rPr>
          <w:rFonts w:hint="eastAsia" w:eastAsia="仿宋_GB2312"/>
          <w:sz w:val="36"/>
          <w:szCs w:val="36"/>
          <w:u w:val="single"/>
          <w:lang w:val="en-US" w:eastAsia="zh-CN"/>
        </w:rPr>
        <w:t>100万个颜料筐</w:t>
      </w:r>
      <w:r>
        <w:rPr>
          <w:rFonts w:hint="eastAsia" w:eastAsia="仿宋_GB2312"/>
          <w:sz w:val="36"/>
          <w:szCs w:val="36"/>
          <w:u w:val="single"/>
        </w:rPr>
        <w:t xml:space="preserve">项目   </w:t>
      </w:r>
    </w:p>
    <w:p w14:paraId="712DEE2D">
      <w:pPr>
        <w:adjustRightInd w:val="0"/>
        <w:snapToGrid w:val="0"/>
        <w:spacing w:line="288" w:lineRule="auto"/>
        <w:ind w:firstLine="0" w:firstLineChars="0"/>
        <w:rPr>
          <w:rFonts w:eastAsia="仿宋_GB2312"/>
          <w:sz w:val="36"/>
          <w:szCs w:val="36"/>
          <w:u w:val="single"/>
        </w:rPr>
      </w:pPr>
      <w:r>
        <w:rPr>
          <w:rFonts w:hint="eastAsia" w:eastAsia="仿宋_GB2312"/>
          <w:sz w:val="36"/>
          <w:szCs w:val="36"/>
        </w:rPr>
        <w:t>建设单位（盖章）：</w:t>
      </w:r>
      <w:r>
        <w:rPr>
          <w:rFonts w:hint="eastAsia" w:eastAsia="仿宋_GB2312"/>
          <w:sz w:val="36"/>
          <w:szCs w:val="36"/>
          <w:u w:val="single"/>
        </w:rPr>
        <w:t xml:space="preserve">    </w:t>
      </w:r>
      <w:r>
        <w:rPr>
          <w:rFonts w:hint="eastAsia" w:eastAsia="仿宋_GB2312"/>
          <w:sz w:val="36"/>
          <w:szCs w:val="36"/>
          <w:u w:val="single"/>
          <w:lang w:eastAsia="zh-CN"/>
        </w:rPr>
        <w:t>昆明欧铂瑞木制品有限公司</w:t>
      </w:r>
      <w:r>
        <w:rPr>
          <w:rFonts w:hint="eastAsia" w:eastAsia="仿宋_GB2312"/>
          <w:sz w:val="36"/>
          <w:szCs w:val="36"/>
          <w:u w:val="single"/>
        </w:rPr>
        <w:t xml:space="preserve">    </w:t>
      </w:r>
    </w:p>
    <w:p w14:paraId="6BEE561C">
      <w:pPr>
        <w:adjustRightInd w:val="0"/>
        <w:snapToGrid w:val="0"/>
        <w:spacing w:line="288" w:lineRule="auto"/>
        <w:ind w:firstLine="0" w:firstLineChars="0"/>
        <w:rPr>
          <w:rFonts w:eastAsia="仿宋_GB2312"/>
          <w:sz w:val="36"/>
          <w:szCs w:val="36"/>
          <w:u w:val="single"/>
        </w:rPr>
      </w:pPr>
      <w:r>
        <w:rPr>
          <w:rFonts w:hint="eastAsia" w:eastAsia="仿宋_GB2312"/>
          <w:sz w:val="36"/>
          <w:szCs w:val="36"/>
        </w:rPr>
        <w:t>编制日期：</w:t>
      </w:r>
      <w:r>
        <w:rPr>
          <w:rFonts w:hint="eastAsia" w:eastAsia="仿宋_GB2312"/>
          <w:sz w:val="36"/>
          <w:szCs w:val="36"/>
          <w:u w:val="single"/>
        </w:rPr>
        <w:t xml:space="preserve"> </w:t>
      </w:r>
      <w:r>
        <w:rPr>
          <w:rFonts w:eastAsia="仿宋_GB2312"/>
          <w:sz w:val="36"/>
          <w:szCs w:val="36"/>
          <w:u w:val="single"/>
        </w:rPr>
        <w:t xml:space="preserve">         </w:t>
      </w:r>
      <w:r>
        <w:rPr>
          <w:rFonts w:hint="eastAsia" w:eastAsia="仿宋_GB2312"/>
          <w:sz w:val="36"/>
          <w:szCs w:val="36"/>
          <w:u w:val="single"/>
        </w:rPr>
        <w:t xml:space="preserve"> </w:t>
      </w:r>
      <w:r>
        <w:rPr>
          <w:rFonts w:hint="eastAsia" w:eastAsia="仿宋_GB2312"/>
          <w:sz w:val="36"/>
          <w:szCs w:val="36"/>
          <w:u w:val="single"/>
          <w:lang w:val="en-US" w:eastAsia="zh-CN"/>
        </w:rPr>
        <w:t xml:space="preserve">    </w:t>
      </w:r>
      <w:r>
        <w:rPr>
          <w:rFonts w:hint="eastAsia" w:eastAsia="仿宋_GB2312"/>
          <w:sz w:val="36"/>
          <w:szCs w:val="36"/>
          <w:u w:val="single"/>
        </w:rPr>
        <w:t xml:space="preserve"> </w:t>
      </w:r>
      <w:r>
        <w:rPr>
          <w:rFonts w:hint="eastAsia" w:eastAsia="仿宋_GB2312"/>
          <w:sz w:val="36"/>
          <w:szCs w:val="36"/>
          <w:u w:val="single"/>
          <w:lang w:val="en-US" w:eastAsia="zh-CN"/>
        </w:rPr>
        <w:t>2026</w:t>
      </w:r>
      <w:r>
        <w:rPr>
          <w:rFonts w:hint="eastAsia" w:eastAsia="仿宋_GB2312"/>
          <w:sz w:val="36"/>
          <w:szCs w:val="36"/>
          <w:u w:val="single"/>
        </w:rPr>
        <w:t>年</w:t>
      </w:r>
      <w:r>
        <w:rPr>
          <w:rFonts w:hint="eastAsia" w:eastAsia="仿宋_GB2312"/>
          <w:sz w:val="36"/>
          <w:szCs w:val="36"/>
          <w:u w:val="single"/>
          <w:lang w:val="en-US" w:eastAsia="zh-CN"/>
        </w:rPr>
        <w:t>8</w:t>
      </w:r>
      <w:r>
        <w:rPr>
          <w:rFonts w:hint="eastAsia" w:eastAsia="仿宋_GB2312"/>
          <w:sz w:val="36"/>
          <w:szCs w:val="36"/>
          <w:u w:val="single"/>
        </w:rPr>
        <w:t xml:space="preserve">月 </w:t>
      </w:r>
      <w:r>
        <w:rPr>
          <w:rFonts w:eastAsia="仿宋_GB2312"/>
          <w:sz w:val="36"/>
          <w:szCs w:val="36"/>
          <w:u w:val="single"/>
        </w:rPr>
        <w:t xml:space="preserve">    </w:t>
      </w:r>
      <w:r>
        <w:rPr>
          <w:rFonts w:hint="eastAsia" w:eastAsia="仿宋_GB2312"/>
          <w:sz w:val="36"/>
          <w:szCs w:val="36"/>
          <w:u w:val="single"/>
        </w:rPr>
        <w:t xml:space="preserve">        </w:t>
      </w:r>
    </w:p>
    <w:p w14:paraId="7A9A3276">
      <w:pPr>
        <w:spacing w:line="240" w:lineRule="auto"/>
        <w:ind w:firstLine="1040" w:firstLineChars="0"/>
        <w:rPr>
          <w:rFonts w:eastAsia="仿宋"/>
          <w:sz w:val="44"/>
          <w:szCs w:val="44"/>
        </w:rPr>
      </w:pPr>
    </w:p>
    <w:p w14:paraId="27762ACB">
      <w:pPr>
        <w:spacing w:line="240" w:lineRule="auto"/>
        <w:ind w:firstLine="1040" w:firstLineChars="0"/>
        <w:rPr>
          <w:rFonts w:eastAsia="仿宋"/>
          <w:sz w:val="44"/>
          <w:szCs w:val="44"/>
        </w:rPr>
      </w:pPr>
      <w:bookmarkStart w:id="3" w:name="_Hlk57884087"/>
    </w:p>
    <w:p w14:paraId="3C980E45">
      <w:pPr>
        <w:spacing w:line="240" w:lineRule="auto"/>
        <w:ind w:firstLine="1040" w:firstLineChars="0"/>
        <w:rPr>
          <w:rFonts w:eastAsia="仿宋"/>
          <w:sz w:val="44"/>
          <w:szCs w:val="44"/>
        </w:rPr>
      </w:pPr>
    </w:p>
    <w:p w14:paraId="2FE259AB">
      <w:pPr>
        <w:spacing w:line="240" w:lineRule="auto"/>
        <w:ind w:firstLine="1040" w:firstLineChars="0"/>
        <w:rPr>
          <w:rFonts w:eastAsia="仿宋"/>
          <w:sz w:val="44"/>
          <w:szCs w:val="44"/>
        </w:rPr>
      </w:pPr>
    </w:p>
    <w:p w14:paraId="53D640F1">
      <w:pPr>
        <w:spacing w:line="240" w:lineRule="auto"/>
        <w:ind w:firstLine="1040" w:firstLineChars="0"/>
        <w:rPr>
          <w:rFonts w:eastAsia="仿宋"/>
          <w:sz w:val="44"/>
          <w:szCs w:val="44"/>
        </w:rPr>
      </w:pPr>
    </w:p>
    <w:p w14:paraId="13C200CB">
      <w:pPr>
        <w:spacing w:line="240" w:lineRule="auto"/>
        <w:rPr>
          <w:rFonts w:eastAsia="仿宋"/>
          <w:sz w:val="44"/>
          <w:szCs w:val="44"/>
        </w:rPr>
      </w:pPr>
    </w:p>
    <w:bookmarkEnd w:id="3"/>
    <w:p w14:paraId="79FE9F1E">
      <w:pPr>
        <w:adjustRightInd w:val="0"/>
        <w:snapToGrid w:val="0"/>
        <w:spacing w:line="288" w:lineRule="auto"/>
        <w:ind w:firstLine="0" w:firstLineChars="0"/>
        <w:jc w:val="center"/>
        <w:sectPr>
          <w:headerReference r:id="rId5" w:type="default"/>
          <w:footerReference r:id="rId6" w:type="default"/>
          <w:pgSz w:w="11906" w:h="16838"/>
          <w:pgMar w:top="1701" w:right="1531" w:bottom="1701" w:left="1531" w:header="851" w:footer="1077" w:gutter="0"/>
          <w:pgNumType w:start="3"/>
          <w:cols w:space="720" w:num="1"/>
          <w:docGrid w:linePitch="312" w:charSpace="0"/>
        </w:sectPr>
      </w:pPr>
      <w:r>
        <w:rPr>
          <w:rFonts w:hint="eastAsia" w:eastAsia="楷体_GB2312"/>
          <w:sz w:val="36"/>
          <w:szCs w:val="36"/>
        </w:rPr>
        <w:t>中华人民共和国生态环境部制</w:t>
      </w:r>
    </w:p>
    <w:p w14:paraId="392A045E">
      <w:pPr>
        <w:pStyle w:val="2"/>
      </w:pPr>
    </w:p>
    <w:p w14:paraId="6DF5CB94">
      <w:pPr>
        <w:pStyle w:val="2"/>
        <w:spacing w:line="248" w:lineRule="auto"/>
      </w:pPr>
    </w:p>
    <w:p w14:paraId="5FB75122">
      <w:pPr>
        <w:pStyle w:val="2"/>
        <w:spacing w:line="248" w:lineRule="auto"/>
      </w:pPr>
    </w:p>
    <w:p w14:paraId="6830455C">
      <w:pPr>
        <w:pStyle w:val="2"/>
        <w:spacing w:line="248" w:lineRule="auto"/>
      </w:pPr>
    </w:p>
    <w:p w14:paraId="6EBFAADC">
      <w:pPr>
        <w:pStyle w:val="2"/>
        <w:spacing w:line="249" w:lineRule="auto"/>
      </w:pPr>
    </w:p>
    <w:sdt>
      <w:sdtPr>
        <w:rPr>
          <w:rFonts w:ascii="宋体" w:hAnsi="宋体" w:eastAsia="宋体" w:cs="宋体"/>
          <w:sz w:val="31"/>
          <w:szCs w:val="31"/>
        </w:rPr>
        <w:id w:val="147479512"/>
        <w:docPartObj>
          <w:docPartGallery w:val="Table of Contents"/>
          <w:docPartUnique/>
        </w:docPartObj>
      </w:sdtPr>
      <w:sdtEndPr>
        <w:rPr>
          <w:rFonts w:ascii="宋体" w:hAnsi="宋体" w:eastAsia="宋体" w:cs="宋体"/>
          <w:sz w:val="24"/>
          <w:szCs w:val="24"/>
        </w:rPr>
      </w:sdtEndPr>
      <w:sdtContent>
        <w:p w14:paraId="078AF73C">
          <w:pPr>
            <w:spacing w:before="101" w:line="227" w:lineRule="auto"/>
            <w:ind w:left="4163"/>
            <w:rPr>
              <w:rFonts w:ascii="宋体" w:hAnsi="宋体" w:eastAsia="宋体" w:cs="宋体"/>
              <w:sz w:val="31"/>
              <w:szCs w:val="31"/>
            </w:rPr>
          </w:pPr>
          <w:r>
            <w:rPr>
              <w:rFonts w:ascii="宋体" w:hAnsi="宋体" w:eastAsia="宋体" w:cs="宋体"/>
              <w:b/>
              <w:bCs/>
              <w:spacing w:val="-30"/>
              <w:sz w:val="31"/>
              <w:szCs w:val="31"/>
            </w:rPr>
            <w:t>目录</w:t>
          </w:r>
        </w:p>
        <w:p w14:paraId="3DCC5C62">
          <w:pPr>
            <w:tabs>
              <w:tab w:val="right" w:leader="dot" w:pos="8834"/>
            </w:tabs>
            <w:spacing w:before="124" w:line="185" w:lineRule="auto"/>
            <w:ind w:left="483"/>
            <w:rPr>
              <w:rFonts w:ascii="Times New Roman" w:hAnsi="Times New Roman" w:eastAsia="Times New Roman" w:cs="Times New Roman"/>
              <w:sz w:val="24"/>
              <w:szCs w:val="24"/>
            </w:rPr>
          </w:pPr>
          <w:r>
            <w:fldChar w:fldCharType="begin"/>
          </w:r>
          <w:r>
            <w:instrText xml:space="preserve"> HYPERLINK \l "bookmark1" </w:instrText>
          </w:r>
          <w:r>
            <w:fldChar w:fldCharType="separate"/>
          </w:r>
          <w:r>
            <w:rPr>
              <w:rFonts w:ascii="宋体" w:hAnsi="宋体" w:eastAsia="宋体" w:cs="宋体"/>
              <w:spacing w:val="-2"/>
              <w:sz w:val="24"/>
              <w:szCs w:val="24"/>
            </w:rPr>
            <w:t>一、 建设项目基本情况</w:t>
          </w:r>
          <w:r>
            <w:rPr>
              <w:rFonts w:ascii="宋体" w:hAnsi="宋体" w:eastAsia="宋体" w:cs="宋体"/>
              <w:spacing w:val="-67"/>
              <w:sz w:val="24"/>
              <w:szCs w:val="24"/>
            </w:rPr>
            <w:t xml:space="preserve"> </w:t>
          </w:r>
          <w:r>
            <w:rPr>
              <w:rFonts w:ascii="宋体" w:hAnsi="宋体" w:eastAsia="宋体" w:cs="宋体"/>
              <w:sz w:val="24"/>
              <w:szCs w:val="24"/>
            </w:rPr>
            <w:tab/>
          </w:r>
          <w:r>
            <w:rPr>
              <w:rFonts w:ascii="宋体" w:hAnsi="宋体" w:eastAsia="宋体" w:cs="宋体"/>
              <w:spacing w:val="-37"/>
              <w:sz w:val="24"/>
              <w:szCs w:val="24"/>
            </w:rPr>
            <w:t xml:space="preserve"> </w:t>
          </w:r>
          <w:r>
            <w:rPr>
              <w:rFonts w:ascii="Times New Roman" w:hAnsi="Times New Roman" w:eastAsia="Times New Roman" w:cs="Times New Roman"/>
              <w:spacing w:val="-29"/>
              <w:sz w:val="24"/>
              <w:szCs w:val="24"/>
            </w:rPr>
            <w:t>1</w:t>
          </w:r>
          <w:r>
            <w:rPr>
              <w:rFonts w:ascii="Times New Roman" w:hAnsi="Times New Roman" w:eastAsia="Times New Roman" w:cs="Times New Roman"/>
              <w:spacing w:val="-29"/>
              <w:sz w:val="24"/>
              <w:szCs w:val="24"/>
            </w:rPr>
            <w:fldChar w:fldCharType="end"/>
          </w:r>
        </w:p>
        <w:p w14:paraId="1490B0A0">
          <w:pPr>
            <w:tabs>
              <w:tab w:val="right" w:leader="dot" w:pos="8834"/>
            </w:tabs>
            <w:spacing w:before="227" w:line="185" w:lineRule="auto"/>
            <w:ind w:left="483"/>
            <w:rPr>
              <w:rFonts w:ascii="Times New Roman" w:hAnsi="Times New Roman" w:eastAsia="Times New Roman" w:cs="Times New Roman"/>
              <w:sz w:val="24"/>
              <w:szCs w:val="24"/>
            </w:rPr>
          </w:pPr>
          <w:r>
            <w:fldChar w:fldCharType="begin"/>
          </w:r>
          <w:r>
            <w:instrText xml:space="preserve"> HYPERLINK \l "bookmark2" </w:instrText>
          </w:r>
          <w:r>
            <w:fldChar w:fldCharType="separate"/>
          </w:r>
          <w:r>
            <w:rPr>
              <w:rFonts w:ascii="宋体" w:hAnsi="宋体" w:eastAsia="宋体" w:cs="宋体"/>
              <w:spacing w:val="-2"/>
              <w:sz w:val="24"/>
              <w:szCs w:val="24"/>
            </w:rPr>
            <w:t>二、 建设项目工程分析</w:t>
          </w:r>
          <w:r>
            <w:rPr>
              <w:rFonts w:ascii="宋体" w:hAnsi="宋体" w:eastAsia="宋体" w:cs="宋体"/>
              <w:spacing w:val="-67"/>
              <w:sz w:val="24"/>
              <w:szCs w:val="24"/>
            </w:rPr>
            <w:t xml:space="preserve"> </w:t>
          </w:r>
          <w:r>
            <w:rPr>
              <w:rFonts w:ascii="宋体" w:hAnsi="宋体" w:eastAsia="宋体" w:cs="宋体"/>
              <w:sz w:val="24"/>
              <w:szCs w:val="24"/>
            </w:rPr>
            <w:tab/>
          </w:r>
          <w:r>
            <w:rPr>
              <w:rFonts w:ascii="宋体" w:hAnsi="宋体" w:eastAsia="宋体" w:cs="宋体"/>
              <w:spacing w:val="-61"/>
              <w:sz w:val="24"/>
              <w:szCs w:val="24"/>
            </w:rPr>
            <w:t xml:space="preserve"> </w:t>
          </w:r>
          <w:r>
            <w:rPr>
              <w:rFonts w:ascii="Times New Roman" w:hAnsi="Times New Roman" w:eastAsia="Times New Roman" w:cs="Times New Roman"/>
              <w:spacing w:val="-2"/>
              <w:sz w:val="24"/>
              <w:szCs w:val="24"/>
            </w:rPr>
            <w:t>41</w:t>
          </w:r>
          <w:r>
            <w:rPr>
              <w:rFonts w:ascii="Times New Roman" w:hAnsi="Times New Roman" w:eastAsia="Times New Roman" w:cs="Times New Roman"/>
              <w:spacing w:val="-2"/>
              <w:sz w:val="24"/>
              <w:szCs w:val="24"/>
            </w:rPr>
            <w:fldChar w:fldCharType="end"/>
          </w:r>
        </w:p>
        <w:p w14:paraId="150969B3">
          <w:pPr>
            <w:tabs>
              <w:tab w:val="right" w:leader="dot" w:pos="8834"/>
            </w:tabs>
            <w:spacing w:before="225" w:line="185" w:lineRule="auto"/>
            <w:ind w:left="480"/>
            <w:rPr>
              <w:rFonts w:ascii="Times New Roman" w:hAnsi="Times New Roman" w:eastAsia="Times New Roman" w:cs="Times New Roman"/>
              <w:sz w:val="24"/>
              <w:szCs w:val="24"/>
            </w:rPr>
          </w:pPr>
          <w:r>
            <w:fldChar w:fldCharType="begin"/>
          </w:r>
          <w:r>
            <w:instrText xml:space="preserve"> HYPERLINK \l "bookmark3" </w:instrText>
          </w:r>
          <w:r>
            <w:fldChar w:fldCharType="separate"/>
          </w:r>
          <w:r>
            <w:rPr>
              <w:rFonts w:ascii="宋体" w:hAnsi="宋体" w:eastAsia="宋体" w:cs="宋体"/>
              <w:spacing w:val="-1"/>
              <w:sz w:val="24"/>
              <w:szCs w:val="24"/>
            </w:rPr>
            <w:t>三、区域环境质量现状、环境保护目标及评价标准</w:t>
          </w:r>
          <w:r>
            <w:rPr>
              <w:rFonts w:ascii="宋体" w:hAnsi="宋体" w:eastAsia="宋体" w:cs="宋体"/>
              <w:spacing w:val="-63"/>
              <w:sz w:val="24"/>
              <w:szCs w:val="24"/>
            </w:rPr>
            <w:t xml:space="preserve"> </w:t>
          </w:r>
          <w:r>
            <w:rPr>
              <w:rFonts w:ascii="宋体" w:hAnsi="宋体" w:eastAsia="宋体" w:cs="宋体"/>
              <w:sz w:val="24"/>
              <w:szCs w:val="24"/>
            </w:rPr>
            <w:tab/>
          </w:r>
          <w:r>
            <w:rPr>
              <w:rFonts w:ascii="宋体" w:hAnsi="宋体" w:eastAsia="宋体" w:cs="宋体"/>
              <w:spacing w:val="-56"/>
              <w:sz w:val="24"/>
              <w:szCs w:val="24"/>
            </w:rPr>
            <w:t xml:space="preserve"> </w:t>
          </w:r>
          <w:r>
            <w:rPr>
              <w:rFonts w:ascii="Times New Roman" w:hAnsi="Times New Roman" w:eastAsia="Times New Roman" w:cs="Times New Roman"/>
              <w:spacing w:val="-5"/>
              <w:sz w:val="24"/>
              <w:szCs w:val="24"/>
            </w:rPr>
            <w:t>71</w:t>
          </w:r>
          <w:r>
            <w:rPr>
              <w:rFonts w:ascii="Times New Roman" w:hAnsi="Times New Roman" w:eastAsia="Times New Roman" w:cs="Times New Roman"/>
              <w:spacing w:val="-5"/>
              <w:sz w:val="24"/>
              <w:szCs w:val="24"/>
            </w:rPr>
            <w:fldChar w:fldCharType="end"/>
          </w:r>
        </w:p>
        <w:p w14:paraId="12D7C7E4">
          <w:pPr>
            <w:tabs>
              <w:tab w:val="right" w:leader="dot" w:pos="8834"/>
            </w:tabs>
            <w:spacing w:before="227" w:line="185" w:lineRule="auto"/>
            <w:ind w:left="502"/>
            <w:rPr>
              <w:rFonts w:ascii="Times New Roman" w:hAnsi="Times New Roman" w:eastAsia="Times New Roman" w:cs="Times New Roman"/>
              <w:sz w:val="24"/>
              <w:szCs w:val="24"/>
            </w:rPr>
          </w:pPr>
          <w:r>
            <w:fldChar w:fldCharType="begin"/>
          </w:r>
          <w:r>
            <w:instrText xml:space="preserve"> HYPERLINK \l "bookmark4" </w:instrText>
          </w:r>
          <w:r>
            <w:fldChar w:fldCharType="separate"/>
          </w:r>
          <w:r>
            <w:rPr>
              <w:rFonts w:ascii="宋体" w:hAnsi="宋体" w:eastAsia="宋体" w:cs="宋体"/>
              <w:spacing w:val="-3"/>
              <w:sz w:val="24"/>
              <w:szCs w:val="24"/>
            </w:rPr>
            <w:t>四、主要环境影响和保护措施</w:t>
          </w:r>
          <w:r>
            <w:rPr>
              <w:rFonts w:ascii="宋体" w:hAnsi="宋体" w:eastAsia="宋体" w:cs="宋体"/>
              <w:spacing w:val="-69"/>
              <w:sz w:val="24"/>
              <w:szCs w:val="24"/>
            </w:rPr>
            <w:t xml:space="preserve"> </w:t>
          </w:r>
          <w:r>
            <w:rPr>
              <w:rFonts w:ascii="宋体" w:hAnsi="宋体" w:eastAsia="宋体" w:cs="宋体"/>
              <w:sz w:val="24"/>
              <w:szCs w:val="24"/>
            </w:rPr>
            <w:tab/>
          </w:r>
          <w:r>
            <w:rPr>
              <w:rFonts w:ascii="宋体" w:hAnsi="宋体" w:eastAsia="宋体" w:cs="宋体"/>
              <w:spacing w:val="-50"/>
              <w:sz w:val="24"/>
              <w:szCs w:val="24"/>
            </w:rPr>
            <w:t xml:space="preserve"> </w:t>
          </w:r>
          <w:r>
            <w:rPr>
              <w:rFonts w:ascii="Times New Roman" w:hAnsi="Times New Roman" w:eastAsia="Times New Roman" w:cs="Times New Roman"/>
              <w:spacing w:val="-8"/>
              <w:sz w:val="24"/>
              <w:szCs w:val="24"/>
            </w:rPr>
            <w:t>80</w:t>
          </w:r>
          <w:r>
            <w:rPr>
              <w:rFonts w:ascii="Times New Roman" w:hAnsi="Times New Roman" w:eastAsia="Times New Roman" w:cs="Times New Roman"/>
              <w:spacing w:val="-8"/>
              <w:sz w:val="24"/>
              <w:szCs w:val="24"/>
            </w:rPr>
            <w:fldChar w:fldCharType="end"/>
          </w:r>
        </w:p>
        <w:p w14:paraId="558E2601">
          <w:pPr>
            <w:tabs>
              <w:tab w:val="right" w:leader="dot" w:pos="8834"/>
            </w:tabs>
            <w:spacing w:before="225" w:line="185" w:lineRule="auto"/>
            <w:ind w:left="483"/>
            <w:rPr>
              <w:rFonts w:ascii="Times New Roman" w:hAnsi="Times New Roman" w:eastAsia="Times New Roman" w:cs="Times New Roman"/>
              <w:sz w:val="24"/>
              <w:szCs w:val="24"/>
            </w:rPr>
          </w:pPr>
          <w:r>
            <w:fldChar w:fldCharType="begin"/>
          </w:r>
          <w:r>
            <w:instrText xml:space="preserve"> HYPERLINK \l "bookmark5" </w:instrText>
          </w:r>
          <w:r>
            <w:fldChar w:fldCharType="separate"/>
          </w:r>
          <w:r>
            <w:rPr>
              <w:rFonts w:ascii="宋体" w:hAnsi="宋体" w:eastAsia="宋体" w:cs="宋体"/>
              <w:spacing w:val="-1"/>
              <w:sz w:val="24"/>
              <w:szCs w:val="24"/>
            </w:rPr>
            <w:t>五、环境保护措施监督检查清单</w:t>
          </w:r>
          <w:r>
            <w:rPr>
              <w:rFonts w:ascii="宋体" w:hAnsi="宋体" w:eastAsia="宋体" w:cs="宋体"/>
              <w:spacing w:val="-75"/>
              <w:sz w:val="24"/>
              <w:szCs w:val="24"/>
            </w:rPr>
            <w:t xml:space="preserve"> </w:t>
          </w:r>
          <w:r>
            <w:rPr>
              <w:rFonts w:ascii="宋体" w:hAnsi="宋体" w:eastAsia="宋体" w:cs="宋体"/>
              <w:sz w:val="24"/>
              <w:szCs w:val="24"/>
            </w:rPr>
            <w:tab/>
          </w:r>
          <w:r>
            <w:rPr>
              <w:rFonts w:ascii="宋体" w:hAnsi="宋体" w:eastAsia="宋体" w:cs="宋体"/>
              <w:spacing w:val="-36"/>
              <w:sz w:val="24"/>
              <w:szCs w:val="24"/>
            </w:rPr>
            <w:t xml:space="preserve"> </w:t>
          </w:r>
          <w:r>
            <w:rPr>
              <w:rFonts w:ascii="Times New Roman" w:hAnsi="Times New Roman" w:eastAsia="Times New Roman" w:cs="Times New Roman"/>
              <w:spacing w:val="-10"/>
              <w:sz w:val="24"/>
              <w:szCs w:val="24"/>
            </w:rPr>
            <w:t>108</w:t>
          </w:r>
          <w:r>
            <w:rPr>
              <w:rFonts w:ascii="Times New Roman" w:hAnsi="Times New Roman" w:eastAsia="Times New Roman" w:cs="Times New Roman"/>
              <w:spacing w:val="-10"/>
              <w:sz w:val="24"/>
              <w:szCs w:val="24"/>
            </w:rPr>
            <w:fldChar w:fldCharType="end"/>
          </w:r>
        </w:p>
        <w:p w14:paraId="3406B71F">
          <w:pPr>
            <w:tabs>
              <w:tab w:val="right" w:leader="dot" w:pos="8834"/>
            </w:tabs>
            <w:spacing w:before="227" w:line="185" w:lineRule="auto"/>
            <w:ind w:left="481"/>
            <w:rPr>
              <w:rFonts w:ascii="Times New Roman" w:hAnsi="Times New Roman" w:eastAsia="Times New Roman" w:cs="Times New Roman"/>
              <w:sz w:val="24"/>
              <w:szCs w:val="24"/>
            </w:rPr>
          </w:pPr>
          <w:r>
            <w:fldChar w:fldCharType="begin"/>
          </w:r>
          <w:r>
            <w:instrText xml:space="preserve"> HYPERLINK \l "bookmark6" </w:instrText>
          </w:r>
          <w:r>
            <w:fldChar w:fldCharType="separate"/>
          </w:r>
          <w:r>
            <w:rPr>
              <w:rFonts w:ascii="宋体" w:hAnsi="宋体" w:eastAsia="宋体" w:cs="宋体"/>
              <w:spacing w:val="-3"/>
              <w:sz w:val="24"/>
              <w:szCs w:val="24"/>
            </w:rPr>
            <w:t>六、结论</w:t>
          </w:r>
          <w:r>
            <w:rPr>
              <w:rFonts w:ascii="宋体" w:hAnsi="宋体" w:eastAsia="宋体" w:cs="宋体"/>
              <w:spacing w:val="-75"/>
              <w:sz w:val="24"/>
              <w:szCs w:val="24"/>
            </w:rPr>
            <w:t xml:space="preserve"> </w:t>
          </w:r>
          <w:r>
            <w:rPr>
              <w:rFonts w:ascii="宋体" w:hAnsi="宋体" w:eastAsia="宋体" w:cs="宋体"/>
              <w:sz w:val="24"/>
              <w:szCs w:val="24"/>
            </w:rPr>
            <w:tab/>
          </w:r>
          <w:r>
            <w:rPr>
              <w:rFonts w:ascii="宋体" w:hAnsi="宋体" w:eastAsia="宋体" w:cs="宋体"/>
              <w:spacing w:val="-87"/>
              <w:sz w:val="24"/>
              <w:szCs w:val="24"/>
            </w:rPr>
            <w:t xml:space="preserve"> </w:t>
          </w:r>
          <w:r>
            <w:rPr>
              <w:rFonts w:ascii="Times New Roman" w:hAnsi="Times New Roman" w:eastAsia="Times New Roman" w:cs="Times New Roman"/>
              <w:spacing w:val="-15"/>
              <w:sz w:val="24"/>
              <w:szCs w:val="24"/>
            </w:rPr>
            <w:t>1</w:t>
          </w:r>
          <w:r>
            <w:rPr>
              <w:rFonts w:ascii="Times New Roman" w:hAnsi="Times New Roman" w:eastAsia="Times New Roman" w:cs="Times New Roman"/>
              <w:spacing w:val="-14"/>
              <w:sz w:val="24"/>
              <w:szCs w:val="24"/>
            </w:rPr>
            <w:t>1</w:t>
          </w:r>
          <w:r>
            <w:rPr>
              <w:rFonts w:ascii="Times New Roman" w:hAnsi="Times New Roman" w:eastAsia="Times New Roman" w:cs="Times New Roman"/>
              <w:spacing w:val="-10"/>
              <w:sz w:val="24"/>
              <w:szCs w:val="24"/>
            </w:rPr>
            <w:t>2</w:t>
          </w:r>
          <w:r>
            <w:rPr>
              <w:rFonts w:ascii="Times New Roman" w:hAnsi="Times New Roman" w:eastAsia="Times New Roman" w:cs="Times New Roman"/>
              <w:spacing w:val="-10"/>
              <w:sz w:val="24"/>
              <w:szCs w:val="24"/>
            </w:rPr>
            <w:fldChar w:fldCharType="end"/>
          </w:r>
        </w:p>
        <w:p w14:paraId="21DFE556">
          <w:pPr>
            <w:tabs>
              <w:tab w:val="right" w:leader="dot" w:pos="8834"/>
            </w:tabs>
            <w:spacing w:before="224" w:line="213" w:lineRule="auto"/>
            <w:ind w:left="498"/>
            <w:rPr>
              <w:rFonts w:ascii="Times New Roman" w:hAnsi="Times New Roman" w:eastAsia="Times New Roman" w:cs="Times New Roman"/>
              <w:sz w:val="24"/>
              <w:szCs w:val="24"/>
            </w:rPr>
          </w:pPr>
          <w:r>
            <w:fldChar w:fldCharType="begin"/>
          </w:r>
          <w:r>
            <w:instrText xml:space="preserve"> HYPERLINK \l "bookmark7" </w:instrText>
          </w:r>
          <w:r>
            <w:fldChar w:fldCharType="separate"/>
          </w:r>
          <w:r>
            <w:rPr>
              <w:rFonts w:ascii="宋体" w:hAnsi="宋体" w:eastAsia="宋体" w:cs="宋体"/>
              <w:spacing w:val="-15"/>
              <w:sz w:val="24"/>
              <w:szCs w:val="24"/>
            </w:rPr>
            <w:t>附表</w:t>
          </w:r>
          <w:r>
            <w:rPr>
              <w:rFonts w:ascii="宋体" w:hAnsi="宋体" w:eastAsia="宋体" w:cs="宋体"/>
              <w:spacing w:val="-74"/>
              <w:sz w:val="24"/>
              <w:szCs w:val="24"/>
            </w:rPr>
            <w:t xml:space="preserve"> </w:t>
          </w:r>
          <w:r>
            <w:rPr>
              <w:rFonts w:ascii="宋体" w:hAnsi="宋体" w:eastAsia="宋体" w:cs="宋体"/>
              <w:sz w:val="24"/>
              <w:szCs w:val="24"/>
            </w:rPr>
            <w:tab/>
          </w:r>
          <w:r>
            <w:rPr>
              <w:rFonts w:ascii="宋体" w:hAnsi="宋体" w:eastAsia="宋体" w:cs="宋体"/>
              <w:spacing w:val="-87"/>
              <w:sz w:val="24"/>
              <w:szCs w:val="24"/>
            </w:rPr>
            <w:t xml:space="preserve"> </w:t>
          </w:r>
          <w:r>
            <w:rPr>
              <w:rFonts w:ascii="Times New Roman" w:hAnsi="Times New Roman" w:eastAsia="Times New Roman" w:cs="Times New Roman"/>
              <w:spacing w:val="-13"/>
              <w:sz w:val="24"/>
              <w:szCs w:val="24"/>
            </w:rPr>
            <w:t>113</w:t>
          </w:r>
          <w:r>
            <w:rPr>
              <w:rFonts w:ascii="Times New Roman" w:hAnsi="Times New Roman" w:eastAsia="Times New Roman" w:cs="Times New Roman"/>
              <w:spacing w:val="-13"/>
              <w:sz w:val="24"/>
              <w:szCs w:val="24"/>
            </w:rPr>
            <w:fldChar w:fldCharType="end"/>
          </w:r>
        </w:p>
        <w:p w14:paraId="7A56E74C">
          <w:pPr>
            <w:spacing w:before="191" w:line="220" w:lineRule="auto"/>
            <w:ind w:left="318"/>
            <w:rPr>
              <w:rFonts w:ascii="宋体" w:hAnsi="宋体" w:eastAsia="宋体" w:cs="宋体"/>
              <w:sz w:val="24"/>
              <w:szCs w:val="24"/>
            </w:rPr>
          </w:pPr>
          <w:r>
            <w:fldChar w:fldCharType="begin"/>
          </w:r>
          <w:r>
            <w:instrText xml:space="preserve"> HYPERLINK \l "bookmark8" </w:instrText>
          </w:r>
          <w:r>
            <w:fldChar w:fldCharType="separate"/>
          </w:r>
          <w:r>
            <w:rPr>
              <w:rFonts w:ascii="Times New Roman" w:hAnsi="Times New Roman" w:eastAsia="Times New Roman" w:cs="Times New Roman"/>
              <w:spacing w:val="-4"/>
              <w:sz w:val="24"/>
              <w:szCs w:val="24"/>
            </w:rPr>
            <w:t>1</w:t>
          </w:r>
          <w:r>
            <w:rPr>
              <w:rFonts w:ascii="Times New Roman" w:hAnsi="Times New Roman" w:eastAsia="Times New Roman" w:cs="Times New Roman"/>
              <w:spacing w:val="-26"/>
              <w:sz w:val="24"/>
              <w:szCs w:val="24"/>
            </w:rPr>
            <w:t xml:space="preserve"> </w:t>
          </w:r>
          <w:r>
            <w:rPr>
              <w:rFonts w:ascii="宋体" w:hAnsi="宋体" w:eastAsia="宋体" w:cs="宋体"/>
              <w:spacing w:val="-4"/>
              <w:sz w:val="24"/>
              <w:szCs w:val="24"/>
            </w:rPr>
            <w:t>、建设项目污染物排放量汇总表；</w:t>
          </w:r>
          <w:r>
            <w:rPr>
              <w:rFonts w:ascii="宋体" w:hAnsi="宋体" w:eastAsia="宋体" w:cs="宋体"/>
              <w:spacing w:val="-4"/>
              <w:sz w:val="24"/>
              <w:szCs w:val="24"/>
            </w:rPr>
            <w:fldChar w:fldCharType="end"/>
          </w:r>
        </w:p>
        <w:p w14:paraId="3BDFF097">
          <w:pPr>
            <w:spacing w:before="103" w:line="219" w:lineRule="auto"/>
            <w:ind w:left="18"/>
            <w:rPr>
              <w:rFonts w:ascii="宋体" w:hAnsi="宋体" w:eastAsia="宋体" w:cs="宋体"/>
              <w:sz w:val="24"/>
              <w:szCs w:val="24"/>
            </w:rPr>
          </w:pPr>
          <w:r>
            <w:fldChar w:fldCharType="begin"/>
          </w:r>
          <w:r>
            <w:instrText xml:space="preserve"> HYPERLINK \l "bookmark9" </w:instrText>
          </w:r>
          <w:r>
            <w:fldChar w:fldCharType="separate"/>
          </w:r>
          <w:r>
            <w:rPr>
              <w:rFonts w:ascii="宋体" w:hAnsi="宋体" w:eastAsia="宋体" w:cs="宋体"/>
              <w:spacing w:val="-15"/>
              <w:sz w:val="24"/>
              <w:szCs w:val="24"/>
            </w:rPr>
            <w:t>附件</w:t>
          </w:r>
          <w:r>
            <w:rPr>
              <w:rFonts w:ascii="宋体" w:hAnsi="宋体" w:eastAsia="宋体" w:cs="宋体"/>
              <w:spacing w:val="-15"/>
              <w:sz w:val="24"/>
              <w:szCs w:val="24"/>
            </w:rPr>
            <w:fldChar w:fldCharType="end"/>
          </w:r>
        </w:p>
        <w:p w14:paraId="0C986485">
          <w:pPr>
            <w:spacing w:before="104" w:line="219" w:lineRule="auto"/>
            <w:ind w:left="498"/>
            <w:rPr>
              <w:rFonts w:ascii="宋体" w:hAnsi="宋体" w:eastAsia="宋体" w:cs="宋体"/>
              <w:sz w:val="24"/>
              <w:szCs w:val="24"/>
            </w:rPr>
          </w:pPr>
          <w:r>
            <w:fldChar w:fldCharType="begin"/>
          </w:r>
          <w:r>
            <w:instrText xml:space="preserve"> HYPERLINK \l "bookmark10" </w:instrText>
          </w:r>
          <w:r>
            <w:fldChar w:fldCharType="separate"/>
          </w:r>
          <w:r>
            <w:rPr>
              <w:rFonts w:ascii="Times New Roman" w:hAnsi="Times New Roman" w:eastAsia="Times New Roman" w:cs="Times New Roman"/>
              <w:spacing w:val="-10"/>
              <w:sz w:val="24"/>
              <w:szCs w:val="24"/>
            </w:rPr>
            <w:t>1</w:t>
          </w:r>
          <w:r>
            <w:rPr>
              <w:rFonts w:ascii="Times New Roman" w:hAnsi="Times New Roman" w:eastAsia="Times New Roman" w:cs="Times New Roman"/>
              <w:spacing w:val="-30"/>
              <w:sz w:val="24"/>
              <w:szCs w:val="24"/>
            </w:rPr>
            <w:t xml:space="preserve"> </w:t>
          </w:r>
          <w:r>
            <w:rPr>
              <w:rFonts w:ascii="宋体" w:hAnsi="宋体" w:eastAsia="宋体" w:cs="宋体"/>
              <w:spacing w:val="-10"/>
              <w:sz w:val="24"/>
              <w:szCs w:val="24"/>
            </w:rPr>
            <w:t>、委托书；</w:t>
          </w:r>
          <w:r>
            <w:rPr>
              <w:rFonts w:ascii="宋体" w:hAnsi="宋体" w:eastAsia="宋体" w:cs="宋体"/>
              <w:spacing w:val="-10"/>
              <w:sz w:val="24"/>
              <w:szCs w:val="24"/>
            </w:rPr>
            <w:fldChar w:fldCharType="end"/>
          </w:r>
        </w:p>
        <w:p w14:paraId="1FED5043">
          <w:pPr>
            <w:spacing w:before="104" w:line="220" w:lineRule="auto"/>
            <w:ind w:left="475"/>
            <w:rPr>
              <w:rFonts w:ascii="宋体" w:hAnsi="宋体" w:eastAsia="宋体" w:cs="宋体"/>
              <w:sz w:val="24"/>
              <w:szCs w:val="24"/>
            </w:rPr>
          </w:pPr>
          <w:r>
            <w:fldChar w:fldCharType="begin"/>
          </w:r>
          <w:r>
            <w:instrText xml:space="preserve"> HYPERLINK \l "bookmark11" </w:instrText>
          </w:r>
          <w:r>
            <w:fldChar w:fldCharType="separate"/>
          </w:r>
          <w:r>
            <w:rPr>
              <w:rFonts w:ascii="Times New Roman" w:hAnsi="Times New Roman" w:eastAsia="Times New Roman" w:cs="Times New Roman"/>
              <w:spacing w:val="-5"/>
              <w:sz w:val="24"/>
              <w:szCs w:val="24"/>
            </w:rPr>
            <w:t>2</w:t>
          </w:r>
          <w:r>
            <w:rPr>
              <w:rFonts w:ascii="Times New Roman" w:hAnsi="Times New Roman" w:eastAsia="Times New Roman" w:cs="Times New Roman"/>
              <w:spacing w:val="-32"/>
              <w:sz w:val="24"/>
              <w:szCs w:val="24"/>
            </w:rPr>
            <w:t xml:space="preserve"> </w:t>
          </w:r>
          <w:r>
            <w:rPr>
              <w:rFonts w:ascii="宋体" w:hAnsi="宋体" w:eastAsia="宋体" w:cs="宋体"/>
              <w:spacing w:val="-5"/>
              <w:sz w:val="24"/>
              <w:szCs w:val="24"/>
            </w:rPr>
            <w:t>、入园协议；</w:t>
          </w:r>
          <w:r>
            <w:rPr>
              <w:rFonts w:ascii="宋体" w:hAnsi="宋体" w:eastAsia="宋体" w:cs="宋体"/>
              <w:spacing w:val="-5"/>
              <w:sz w:val="24"/>
              <w:szCs w:val="24"/>
            </w:rPr>
            <w:fldChar w:fldCharType="end"/>
          </w:r>
        </w:p>
        <w:p w14:paraId="5419E5EC">
          <w:pPr>
            <w:spacing w:before="103" w:line="220" w:lineRule="auto"/>
            <w:ind w:left="480"/>
            <w:rPr>
              <w:rFonts w:ascii="宋体" w:hAnsi="宋体" w:eastAsia="宋体" w:cs="宋体"/>
              <w:sz w:val="24"/>
              <w:szCs w:val="24"/>
            </w:rPr>
          </w:pPr>
          <w:r>
            <w:fldChar w:fldCharType="begin"/>
          </w:r>
          <w:r>
            <w:instrText xml:space="preserve"> HYPERLINK \l "bookmark12" </w:instrText>
          </w:r>
          <w:r>
            <w:fldChar w:fldCharType="separate"/>
          </w:r>
          <w:r>
            <w:rPr>
              <w:rFonts w:ascii="Times New Roman" w:hAnsi="Times New Roman" w:eastAsia="Times New Roman" w:cs="Times New Roman"/>
              <w:spacing w:val="-5"/>
              <w:sz w:val="24"/>
              <w:szCs w:val="24"/>
            </w:rPr>
            <w:t>3</w:t>
          </w:r>
          <w:r>
            <w:rPr>
              <w:rFonts w:ascii="Times New Roman" w:hAnsi="Times New Roman" w:eastAsia="Times New Roman" w:cs="Times New Roman"/>
              <w:spacing w:val="-31"/>
              <w:sz w:val="24"/>
              <w:szCs w:val="24"/>
            </w:rPr>
            <w:t xml:space="preserve"> </w:t>
          </w:r>
          <w:r>
            <w:rPr>
              <w:rFonts w:ascii="宋体" w:hAnsi="宋体" w:eastAsia="宋体" w:cs="宋体"/>
              <w:spacing w:val="-5"/>
              <w:sz w:val="24"/>
              <w:szCs w:val="24"/>
            </w:rPr>
            <w:t>、投资备案证；</w:t>
          </w:r>
          <w:r>
            <w:rPr>
              <w:rFonts w:ascii="宋体" w:hAnsi="宋体" w:eastAsia="宋体" w:cs="宋体"/>
              <w:spacing w:val="-5"/>
              <w:sz w:val="24"/>
              <w:szCs w:val="24"/>
            </w:rPr>
            <w:fldChar w:fldCharType="end"/>
          </w:r>
        </w:p>
        <w:p w14:paraId="6AC91A99">
          <w:pPr>
            <w:spacing w:before="103" w:line="220" w:lineRule="auto"/>
            <w:ind w:left="474"/>
            <w:rPr>
              <w:rFonts w:ascii="宋体" w:hAnsi="宋体" w:eastAsia="宋体" w:cs="宋体"/>
              <w:sz w:val="24"/>
              <w:szCs w:val="24"/>
            </w:rPr>
          </w:pPr>
          <w:r>
            <w:fldChar w:fldCharType="begin"/>
          </w:r>
          <w:r>
            <w:instrText xml:space="preserve"> HYPERLINK \l "bookmark13" </w:instrText>
          </w:r>
          <w:r>
            <w:fldChar w:fldCharType="separate"/>
          </w:r>
          <w:r>
            <w:rPr>
              <w:rFonts w:ascii="Times New Roman" w:hAnsi="Times New Roman" w:eastAsia="Times New Roman" w:cs="Times New Roman"/>
              <w:spacing w:val="-3"/>
              <w:sz w:val="24"/>
              <w:szCs w:val="24"/>
            </w:rPr>
            <w:t>4</w:t>
          </w:r>
          <w:r>
            <w:rPr>
              <w:rFonts w:ascii="Times New Roman" w:hAnsi="Times New Roman" w:eastAsia="Times New Roman" w:cs="Times New Roman"/>
              <w:spacing w:val="-34"/>
              <w:sz w:val="24"/>
              <w:szCs w:val="24"/>
            </w:rPr>
            <w:t xml:space="preserve"> </w:t>
          </w:r>
          <w:r>
            <w:rPr>
              <w:rFonts w:ascii="宋体" w:hAnsi="宋体" w:eastAsia="宋体" w:cs="宋体"/>
              <w:spacing w:val="-3"/>
              <w:sz w:val="24"/>
              <w:szCs w:val="24"/>
            </w:rPr>
            <w:t>、原项目环评批复；</w:t>
          </w:r>
          <w:r>
            <w:rPr>
              <w:rFonts w:ascii="宋体" w:hAnsi="宋体" w:eastAsia="宋体" w:cs="宋体"/>
              <w:spacing w:val="-3"/>
              <w:sz w:val="24"/>
              <w:szCs w:val="24"/>
            </w:rPr>
            <w:fldChar w:fldCharType="end"/>
          </w:r>
        </w:p>
        <w:p w14:paraId="6EC1FD6C">
          <w:pPr>
            <w:spacing w:before="105" w:line="218" w:lineRule="auto"/>
            <w:ind w:left="482"/>
            <w:rPr>
              <w:rFonts w:ascii="宋体" w:hAnsi="宋体" w:eastAsia="宋体" w:cs="宋体"/>
              <w:sz w:val="24"/>
              <w:szCs w:val="24"/>
            </w:rPr>
          </w:pPr>
          <w:r>
            <w:fldChar w:fldCharType="begin"/>
          </w:r>
          <w:r>
            <w:instrText xml:space="preserve"> HYPERLINK \l "bookmark14" </w:instrText>
          </w:r>
          <w:r>
            <w:fldChar w:fldCharType="separate"/>
          </w:r>
          <w:r>
            <w:rPr>
              <w:rFonts w:ascii="Times New Roman" w:hAnsi="Times New Roman" w:eastAsia="Times New Roman" w:cs="Times New Roman"/>
              <w:spacing w:val="-2"/>
              <w:sz w:val="24"/>
              <w:szCs w:val="24"/>
            </w:rPr>
            <w:t>5</w:t>
          </w:r>
          <w:r>
            <w:rPr>
              <w:rFonts w:ascii="Times New Roman" w:hAnsi="Times New Roman" w:eastAsia="Times New Roman" w:cs="Times New Roman"/>
              <w:spacing w:val="-33"/>
              <w:sz w:val="24"/>
              <w:szCs w:val="24"/>
            </w:rPr>
            <w:t xml:space="preserve"> </w:t>
          </w:r>
          <w:r>
            <w:rPr>
              <w:rFonts w:ascii="宋体" w:hAnsi="宋体" w:eastAsia="宋体" w:cs="宋体"/>
              <w:spacing w:val="-2"/>
              <w:sz w:val="24"/>
              <w:szCs w:val="24"/>
            </w:rPr>
            <w:t>、竣工环境保护验收意见及验收监测报告；</w:t>
          </w:r>
          <w:r>
            <w:rPr>
              <w:rFonts w:ascii="宋体" w:hAnsi="宋体" w:eastAsia="宋体" w:cs="宋体"/>
              <w:spacing w:val="-2"/>
              <w:sz w:val="24"/>
              <w:szCs w:val="24"/>
            </w:rPr>
            <w:fldChar w:fldCharType="end"/>
          </w:r>
        </w:p>
        <w:p w14:paraId="32F82C36">
          <w:pPr>
            <w:spacing w:before="106" w:line="220" w:lineRule="auto"/>
            <w:ind w:left="480"/>
            <w:rPr>
              <w:rFonts w:ascii="宋体" w:hAnsi="宋体" w:eastAsia="宋体" w:cs="宋体"/>
              <w:sz w:val="24"/>
              <w:szCs w:val="24"/>
            </w:rPr>
          </w:pPr>
          <w:r>
            <w:fldChar w:fldCharType="begin"/>
          </w:r>
          <w:r>
            <w:instrText xml:space="preserve"> HYPERLINK \l "bookmark15" </w:instrText>
          </w:r>
          <w:r>
            <w:fldChar w:fldCharType="separate"/>
          </w:r>
          <w:r>
            <w:rPr>
              <w:rFonts w:ascii="Times New Roman" w:hAnsi="Times New Roman" w:eastAsia="Times New Roman" w:cs="Times New Roman"/>
              <w:spacing w:val="-6"/>
              <w:sz w:val="24"/>
              <w:szCs w:val="24"/>
            </w:rPr>
            <w:t>6</w:t>
          </w:r>
          <w:r>
            <w:rPr>
              <w:rFonts w:ascii="Times New Roman" w:hAnsi="Times New Roman" w:eastAsia="Times New Roman" w:cs="Times New Roman"/>
              <w:spacing w:val="-30"/>
              <w:sz w:val="24"/>
              <w:szCs w:val="24"/>
            </w:rPr>
            <w:t xml:space="preserve"> </w:t>
          </w:r>
          <w:r>
            <w:rPr>
              <w:rFonts w:ascii="宋体" w:hAnsi="宋体" w:eastAsia="宋体" w:cs="宋体"/>
              <w:spacing w:val="-6"/>
              <w:sz w:val="24"/>
              <w:szCs w:val="24"/>
            </w:rPr>
            <w:t>、危废协议；</w:t>
          </w:r>
          <w:r>
            <w:rPr>
              <w:rFonts w:ascii="宋体" w:hAnsi="宋体" w:eastAsia="宋体" w:cs="宋体"/>
              <w:spacing w:val="-6"/>
              <w:sz w:val="24"/>
              <w:szCs w:val="24"/>
            </w:rPr>
            <w:fldChar w:fldCharType="end"/>
          </w:r>
        </w:p>
        <w:p w14:paraId="5619FC73">
          <w:pPr>
            <w:spacing w:before="102" w:line="220" w:lineRule="auto"/>
            <w:ind w:left="479"/>
            <w:rPr>
              <w:rFonts w:ascii="宋体" w:hAnsi="宋体" w:eastAsia="宋体" w:cs="宋体"/>
              <w:sz w:val="24"/>
              <w:szCs w:val="24"/>
            </w:rPr>
          </w:pPr>
          <w:r>
            <w:fldChar w:fldCharType="begin"/>
          </w:r>
          <w:r>
            <w:instrText xml:space="preserve"> HYPERLINK \l "bookmark16" </w:instrText>
          </w:r>
          <w:r>
            <w:fldChar w:fldCharType="separate"/>
          </w:r>
          <w:r>
            <w:rPr>
              <w:rFonts w:ascii="Times New Roman" w:hAnsi="Times New Roman" w:eastAsia="Times New Roman" w:cs="Times New Roman"/>
              <w:spacing w:val="-5"/>
              <w:sz w:val="24"/>
              <w:szCs w:val="24"/>
            </w:rPr>
            <w:t>7</w:t>
          </w:r>
          <w:r>
            <w:rPr>
              <w:rFonts w:ascii="Times New Roman" w:hAnsi="Times New Roman" w:eastAsia="Times New Roman" w:cs="Times New Roman"/>
              <w:spacing w:val="-30"/>
              <w:sz w:val="24"/>
              <w:szCs w:val="24"/>
            </w:rPr>
            <w:t xml:space="preserve"> </w:t>
          </w:r>
          <w:r>
            <w:rPr>
              <w:rFonts w:ascii="宋体" w:hAnsi="宋体" w:eastAsia="宋体" w:cs="宋体"/>
              <w:spacing w:val="-5"/>
              <w:sz w:val="24"/>
              <w:szCs w:val="24"/>
            </w:rPr>
            <w:t>、排污许可证；</w:t>
          </w:r>
          <w:r>
            <w:rPr>
              <w:rFonts w:ascii="宋体" w:hAnsi="宋体" w:eastAsia="宋体" w:cs="宋体"/>
              <w:spacing w:val="-5"/>
              <w:sz w:val="24"/>
              <w:szCs w:val="24"/>
            </w:rPr>
            <w:fldChar w:fldCharType="end"/>
          </w:r>
        </w:p>
      </w:sdtContent>
    </w:sdt>
    <w:p w14:paraId="1D396DF1">
      <w:pPr>
        <w:spacing w:before="104" w:line="297" w:lineRule="auto"/>
        <w:ind w:right="4" w:firstLine="485"/>
        <w:rPr>
          <w:rFonts w:ascii="宋体" w:hAnsi="宋体" w:eastAsia="宋体" w:cs="宋体"/>
          <w:sz w:val="24"/>
          <w:szCs w:val="24"/>
        </w:rPr>
      </w:pPr>
      <w:r>
        <w:rPr>
          <w:rFonts w:ascii="Times New Roman" w:hAnsi="Times New Roman" w:eastAsia="Times New Roman" w:cs="Times New Roman"/>
          <w:spacing w:val="-1"/>
          <w:sz w:val="24"/>
          <w:szCs w:val="24"/>
        </w:rPr>
        <w:t>8</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、昆明市生态环境局关于《云南寻甸产业园区总体规划修编（</w:t>
      </w:r>
      <w:r>
        <w:rPr>
          <w:rFonts w:ascii="Times New Roman" w:hAnsi="Times New Roman" w:eastAsia="Times New Roman" w:cs="Times New Roman"/>
          <w:spacing w:val="-1"/>
          <w:sz w:val="24"/>
          <w:szCs w:val="24"/>
        </w:rPr>
        <w:t>2021-2035</w:t>
      </w:r>
      <w:r>
        <w:rPr>
          <w:rFonts w:ascii="宋体" w:hAnsi="宋体" w:eastAsia="宋体" w:cs="宋体"/>
          <w:spacing w:val="-2"/>
          <w:sz w:val="24"/>
          <w:szCs w:val="24"/>
        </w:rPr>
        <w:t>）环境</w:t>
      </w:r>
      <w:r>
        <w:rPr>
          <w:rFonts w:ascii="宋体" w:hAnsi="宋体" w:eastAsia="宋体" w:cs="宋体"/>
          <w:spacing w:val="-1"/>
          <w:sz w:val="24"/>
          <w:szCs w:val="24"/>
        </w:rPr>
        <w:t>影响报告书》审查意见的函（昆环审</w:t>
      </w:r>
      <w:r>
        <w:rPr>
          <w:rFonts w:ascii="Times New Roman" w:hAnsi="Times New Roman" w:eastAsia="Times New Roman" w:cs="Times New Roman"/>
          <w:spacing w:val="-1"/>
          <w:sz w:val="24"/>
          <w:szCs w:val="24"/>
        </w:rPr>
        <w:t>[</w:t>
      </w:r>
      <w:r>
        <w:fldChar w:fldCharType="begin"/>
      </w:r>
      <w:r>
        <w:instrText xml:space="preserve"> HYPERLINK \l "bookmark17" </w:instrText>
      </w:r>
      <w:r>
        <w:fldChar w:fldCharType="separate"/>
      </w:r>
      <w:r>
        <w:rPr>
          <w:rFonts w:ascii="Times New Roman" w:hAnsi="Times New Roman" w:eastAsia="Times New Roman" w:cs="Times New Roman"/>
          <w:spacing w:val="-1"/>
          <w:sz w:val="24"/>
          <w:szCs w:val="24"/>
        </w:rPr>
        <w:t>2023</w:t>
      </w:r>
      <w:r>
        <w:rPr>
          <w:rFonts w:ascii="Times New Roman" w:hAnsi="Times New Roman" w:eastAsia="Times New Roman" w:cs="Times New Roman"/>
          <w:spacing w:val="-1"/>
          <w:sz w:val="24"/>
          <w:szCs w:val="24"/>
        </w:rPr>
        <w:fldChar w:fldCharType="end"/>
      </w:r>
      <w:r>
        <w:rPr>
          <w:rFonts w:ascii="Times New Roman" w:hAnsi="Times New Roman" w:eastAsia="Times New Roman" w:cs="Times New Roman"/>
          <w:spacing w:val="-1"/>
          <w:sz w:val="24"/>
          <w:szCs w:val="24"/>
        </w:rPr>
        <w:t xml:space="preserve">]5 </w:t>
      </w:r>
      <w:r>
        <w:rPr>
          <w:rFonts w:ascii="宋体" w:hAnsi="宋体" w:eastAsia="宋体" w:cs="宋体"/>
          <w:spacing w:val="-1"/>
          <w:sz w:val="24"/>
          <w:szCs w:val="24"/>
        </w:rPr>
        <w:t>号</w:t>
      </w:r>
      <w:r>
        <w:rPr>
          <w:rFonts w:ascii="宋体" w:hAnsi="宋体" w:eastAsia="宋体" w:cs="宋体"/>
          <w:spacing w:val="6"/>
          <w:sz w:val="24"/>
          <w:szCs w:val="24"/>
        </w:rPr>
        <w:t>）；</w:t>
      </w:r>
    </w:p>
    <w:sdt>
      <w:sdtPr>
        <w:rPr>
          <w:rFonts w:ascii="Times New Roman" w:hAnsi="Times New Roman" w:eastAsia="Times New Roman" w:cs="Times New Roman"/>
          <w:sz w:val="24"/>
          <w:szCs w:val="24"/>
        </w:rPr>
        <w:id w:val="147458277"/>
        <w:docPartObj>
          <w:docPartGallery w:val="Table of Contents"/>
          <w:docPartUnique/>
        </w:docPartObj>
      </w:sdtPr>
      <w:sdtEndPr>
        <w:rPr>
          <w:rFonts w:ascii="宋体" w:hAnsi="宋体" w:eastAsia="宋体" w:cs="宋体"/>
          <w:sz w:val="24"/>
          <w:szCs w:val="24"/>
        </w:rPr>
      </w:sdtEndPr>
      <w:sdtContent>
        <w:p w14:paraId="7156108B">
          <w:pPr>
            <w:spacing w:before="5" w:line="220" w:lineRule="auto"/>
            <w:ind w:left="480"/>
            <w:rPr>
              <w:rFonts w:ascii="宋体" w:hAnsi="宋体" w:eastAsia="宋体" w:cs="宋体"/>
              <w:sz w:val="24"/>
              <w:szCs w:val="24"/>
            </w:rPr>
          </w:pPr>
          <w:r>
            <w:fldChar w:fldCharType="begin"/>
          </w:r>
          <w:r>
            <w:instrText xml:space="preserve"> HYPERLINK \l "bookmark18" </w:instrText>
          </w:r>
          <w:r>
            <w:fldChar w:fldCharType="separate"/>
          </w:r>
          <w:r>
            <w:rPr>
              <w:rFonts w:ascii="Times New Roman" w:hAnsi="Times New Roman" w:eastAsia="Times New Roman" w:cs="Times New Roman"/>
              <w:spacing w:val="-4"/>
              <w:sz w:val="24"/>
              <w:szCs w:val="24"/>
            </w:rPr>
            <w:t>9</w:t>
          </w:r>
          <w:r>
            <w:rPr>
              <w:rFonts w:ascii="Times New Roman" w:hAnsi="Times New Roman" w:eastAsia="Times New Roman" w:cs="Times New Roman"/>
              <w:spacing w:val="-34"/>
              <w:sz w:val="24"/>
              <w:szCs w:val="24"/>
            </w:rPr>
            <w:t xml:space="preserve"> </w:t>
          </w:r>
          <w:r>
            <w:rPr>
              <w:rFonts w:ascii="宋体" w:hAnsi="宋体" w:eastAsia="宋体" w:cs="宋体"/>
              <w:spacing w:val="-4"/>
              <w:sz w:val="24"/>
              <w:szCs w:val="24"/>
            </w:rPr>
            <w:t>、应急预案备案表</w:t>
          </w:r>
          <w:r>
            <w:rPr>
              <w:rFonts w:ascii="宋体" w:hAnsi="宋体" w:eastAsia="宋体" w:cs="宋体"/>
              <w:spacing w:val="-4"/>
              <w:sz w:val="24"/>
              <w:szCs w:val="24"/>
            </w:rPr>
            <w:fldChar w:fldCharType="end"/>
          </w:r>
        </w:p>
        <w:p w14:paraId="70DE1827">
          <w:pPr>
            <w:spacing w:before="102" w:line="218" w:lineRule="auto"/>
            <w:ind w:left="498"/>
            <w:rPr>
              <w:rFonts w:ascii="宋体" w:hAnsi="宋体" w:eastAsia="宋体" w:cs="宋体"/>
              <w:sz w:val="24"/>
              <w:szCs w:val="24"/>
            </w:rPr>
          </w:pPr>
          <w:r>
            <w:fldChar w:fldCharType="begin"/>
          </w:r>
          <w:r>
            <w:instrText xml:space="preserve"> HYPERLINK \l "bookmark19" </w:instrText>
          </w:r>
          <w:r>
            <w:fldChar w:fldCharType="separate"/>
          </w:r>
          <w:r>
            <w:rPr>
              <w:rFonts w:ascii="Times New Roman" w:hAnsi="Times New Roman" w:eastAsia="Times New Roman" w:cs="Times New Roman"/>
              <w:spacing w:val="-3"/>
              <w:sz w:val="24"/>
              <w:szCs w:val="24"/>
            </w:rPr>
            <w:t>10</w:t>
          </w:r>
          <w:r>
            <w:rPr>
              <w:rFonts w:ascii="Times New Roman" w:hAnsi="Times New Roman" w:eastAsia="Times New Roman" w:cs="Times New Roman"/>
              <w:spacing w:val="-30"/>
              <w:sz w:val="24"/>
              <w:szCs w:val="24"/>
            </w:rPr>
            <w:t xml:space="preserve"> </w:t>
          </w:r>
          <w:r>
            <w:rPr>
              <w:rFonts w:ascii="宋体" w:hAnsi="宋体" w:eastAsia="宋体" w:cs="宋体"/>
              <w:spacing w:val="-3"/>
              <w:sz w:val="24"/>
              <w:szCs w:val="24"/>
            </w:rPr>
            <w:t>、</w:t>
          </w:r>
          <w:r>
            <w:rPr>
              <w:rFonts w:ascii="Times New Roman" w:hAnsi="Times New Roman" w:eastAsia="Times New Roman" w:cs="Times New Roman"/>
              <w:spacing w:val="-3"/>
              <w:sz w:val="24"/>
              <w:szCs w:val="24"/>
            </w:rPr>
            <w:t xml:space="preserve">2025 </w:t>
          </w:r>
          <w:r>
            <w:rPr>
              <w:rFonts w:ascii="宋体" w:hAnsi="宋体" w:eastAsia="宋体" w:cs="宋体"/>
              <w:spacing w:val="-3"/>
              <w:sz w:val="24"/>
              <w:szCs w:val="24"/>
            </w:rPr>
            <w:t>年排污许可证自行监测报告</w:t>
          </w:r>
          <w:r>
            <w:rPr>
              <w:rFonts w:ascii="宋体" w:hAnsi="宋体" w:eastAsia="宋体" w:cs="宋体"/>
              <w:spacing w:val="-3"/>
              <w:sz w:val="24"/>
              <w:szCs w:val="24"/>
            </w:rPr>
            <w:fldChar w:fldCharType="end"/>
          </w:r>
        </w:p>
        <w:p w14:paraId="65B7A570">
          <w:pPr>
            <w:spacing w:before="105" w:line="219" w:lineRule="auto"/>
            <w:ind w:left="498"/>
            <w:rPr>
              <w:rFonts w:ascii="宋体" w:hAnsi="宋体" w:eastAsia="宋体" w:cs="宋体"/>
              <w:sz w:val="24"/>
              <w:szCs w:val="24"/>
            </w:rPr>
          </w:pPr>
          <w:r>
            <w:fldChar w:fldCharType="begin"/>
          </w:r>
          <w:r>
            <w:instrText xml:space="preserve"> HYPERLINK \l "bookmark20" </w:instrText>
          </w:r>
          <w:r>
            <w:fldChar w:fldCharType="separate"/>
          </w:r>
          <w:r>
            <w:rPr>
              <w:rFonts w:ascii="Times New Roman" w:hAnsi="Times New Roman" w:eastAsia="Times New Roman" w:cs="Times New Roman"/>
              <w:spacing w:val="-5"/>
              <w:sz w:val="24"/>
              <w:szCs w:val="24"/>
            </w:rPr>
            <w:t>11</w:t>
          </w:r>
          <w:r>
            <w:rPr>
              <w:rFonts w:ascii="Times New Roman" w:hAnsi="Times New Roman" w:eastAsia="Times New Roman" w:cs="Times New Roman"/>
              <w:spacing w:val="-30"/>
              <w:sz w:val="24"/>
              <w:szCs w:val="24"/>
            </w:rPr>
            <w:t xml:space="preserve"> </w:t>
          </w:r>
          <w:r>
            <w:rPr>
              <w:rFonts w:ascii="宋体" w:hAnsi="宋体" w:eastAsia="宋体" w:cs="宋体"/>
              <w:spacing w:val="-5"/>
              <w:sz w:val="24"/>
              <w:szCs w:val="24"/>
            </w:rPr>
            <w:t>、项目行政处罚决定书</w:t>
          </w:r>
          <w:r>
            <w:rPr>
              <w:rFonts w:ascii="宋体" w:hAnsi="宋体" w:eastAsia="宋体" w:cs="宋体"/>
              <w:spacing w:val="-5"/>
              <w:sz w:val="24"/>
              <w:szCs w:val="24"/>
            </w:rPr>
            <w:fldChar w:fldCharType="end"/>
          </w:r>
        </w:p>
        <w:p w14:paraId="7B40B406">
          <w:pPr>
            <w:spacing w:before="105" w:line="220" w:lineRule="auto"/>
            <w:ind w:left="498"/>
            <w:rPr>
              <w:rFonts w:ascii="宋体" w:hAnsi="宋体" w:eastAsia="宋体" w:cs="宋体"/>
              <w:sz w:val="24"/>
              <w:szCs w:val="24"/>
            </w:rPr>
          </w:pPr>
          <w:r>
            <w:fldChar w:fldCharType="begin"/>
          </w:r>
          <w:r>
            <w:instrText xml:space="preserve"> HYPERLINK \l "bookmark21" </w:instrText>
          </w:r>
          <w:r>
            <w:fldChar w:fldCharType="separate"/>
          </w:r>
          <w:r>
            <w:rPr>
              <w:rFonts w:ascii="Times New Roman" w:hAnsi="Times New Roman" w:eastAsia="Times New Roman" w:cs="Times New Roman"/>
              <w:spacing w:val="-7"/>
              <w:sz w:val="24"/>
              <w:szCs w:val="24"/>
            </w:rPr>
            <w:t>12</w:t>
          </w:r>
          <w:r>
            <w:rPr>
              <w:rFonts w:ascii="Times New Roman" w:hAnsi="Times New Roman" w:eastAsia="Times New Roman" w:cs="Times New Roman"/>
              <w:spacing w:val="-27"/>
              <w:sz w:val="24"/>
              <w:szCs w:val="24"/>
            </w:rPr>
            <w:t xml:space="preserve"> </w:t>
          </w:r>
          <w:r>
            <w:rPr>
              <w:rFonts w:ascii="宋体" w:hAnsi="宋体" w:eastAsia="宋体" w:cs="宋体"/>
              <w:spacing w:val="-7"/>
              <w:sz w:val="24"/>
              <w:szCs w:val="24"/>
            </w:rPr>
            <w:t>、项目公示截图</w:t>
          </w:r>
          <w:r>
            <w:rPr>
              <w:rFonts w:ascii="宋体" w:hAnsi="宋体" w:eastAsia="宋体" w:cs="宋体"/>
              <w:spacing w:val="-7"/>
              <w:sz w:val="24"/>
              <w:szCs w:val="24"/>
            </w:rPr>
            <w:fldChar w:fldCharType="end"/>
          </w:r>
        </w:p>
        <w:p w14:paraId="229F9410">
          <w:pPr>
            <w:spacing w:before="103" w:line="218" w:lineRule="auto"/>
            <w:ind w:left="498"/>
            <w:rPr>
              <w:rFonts w:ascii="宋体" w:hAnsi="宋体" w:eastAsia="宋体" w:cs="宋体"/>
              <w:sz w:val="24"/>
              <w:szCs w:val="24"/>
            </w:rPr>
          </w:pPr>
          <w:r>
            <w:fldChar w:fldCharType="begin"/>
          </w:r>
          <w:r>
            <w:instrText xml:space="preserve"> HYPERLINK \l "bookmark22" </w:instrText>
          </w:r>
          <w:r>
            <w:fldChar w:fldCharType="separate"/>
          </w:r>
          <w:r>
            <w:rPr>
              <w:rFonts w:ascii="Times New Roman" w:hAnsi="Times New Roman" w:eastAsia="Times New Roman" w:cs="Times New Roman"/>
              <w:spacing w:val="-5"/>
              <w:sz w:val="24"/>
              <w:szCs w:val="24"/>
            </w:rPr>
            <w:t>13</w:t>
          </w:r>
          <w:r>
            <w:rPr>
              <w:rFonts w:ascii="Times New Roman" w:hAnsi="Times New Roman" w:eastAsia="Times New Roman" w:cs="Times New Roman"/>
              <w:spacing w:val="-34"/>
              <w:sz w:val="24"/>
              <w:szCs w:val="24"/>
            </w:rPr>
            <w:t xml:space="preserve"> </w:t>
          </w:r>
          <w:r>
            <w:rPr>
              <w:rFonts w:ascii="宋体" w:hAnsi="宋体" w:eastAsia="宋体" w:cs="宋体"/>
              <w:spacing w:val="-5"/>
              <w:sz w:val="24"/>
              <w:szCs w:val="24"/>
            </w:rPr>
            <w:t>、项目引用监测报告</w:t>
          </w:r>
          <w:r>
            <w:rPr>
              <w:rFonts w:ascii="宋体" w:hAnsi="宋体" w:eastAsia="宋体" w:cs="宋体"/>
              <w:spacing w:val="-5"/>
              <w:sz w:val="24"/>
              <w:szCs w:val="24"/>
            </w:rPr>
            <w:fldChar w:fldCharType="end"/>
          </w:r>
        </w:p>
      </w:sdtContent>
    </w:sdt>
    <w:p w14:paraId="492AE193">
      <w:pPr>
        <w:spacing w:before="105" w:line="300" w:lineRule="auto"/>
        <w:ind w:left="8" w:right="127" w:firstLine="490"/>
        <w:rPr>
          <w:rFonts w:ascii="宋体" w:hAnsi="宋体" w:eastAsia="宋体" w:cs="宋体"/>
          <w:sz w:val="24"/>
          <w:szCs w:val="24"/>
        </w:rPr>
      </w:pPr>
      <w:r>
        <w:rPr>
          <w:rFonts w:ascii="Times New Roman" w:hAnsi="Times New Roman" w:eastAsia="Times New Roman" w:cs="Times New Roman"/>
          <w:spacing w:val="-3"/>
          <w:sz w:val="24"/>
          <w:szCs w:val="24"/>
        </w:rPr>
        <w:t>14</w:t>
      </w:r>
      <w:r>
        <w:rPr>
          <w:rFonts w:ascii="Times New Roman" w:hAnsi="Times New Roman" w:eastAsia="Times New Roman" w:cs="Times New Roman"/>
          <w:spacing w:val="-26"/>
          <w:sz w:val="24"/>
          <w:szCs w:val="24"/>
        </w:rPr>
        <w:t xml:space="preserve"> </w:t>
      </w:r>
      <w:r>
        <w:rPr>
          <w:rFonts w:ascii="宋体" w:hAnsi="宋体" w:eastAsia="宋体" w:cs="宋体"/>
          <w:spacing w:val="-3"/>
          <w:sz w:val="24"/>
          <w:szCs w:val="24"/>
        </w:rPr>
        <w:t>、昆明欧铂瑞木制品有限公司年产</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3</w:t>
      </w:r>
      <w:r>
        <w:rPr>
          <w:rFonts w:ascii="Times New Roman" w:hAnsi="Times New Roman" w:eastAsia="Times New Roman" w:cs="Times New Roman"/>
          <w:spacing w:val="15"/>
          <w:w w:val="101"/>
          <w:sz w:val="24"/>
          <w:szCs w:val="24"/>
        </w:rPr>
        <w:t xml:space="preserve"> </w:t>
      </w:r>
      <w:r>
        <w:rPr>
          <w:rFonts w:ascii="宋体" w:hAnsi="宋体" w:eastAsia="宋体" w:cs="宋体"/>
          <w:spacing w:val="-3"/>
          <w:sz w:val="24"/>
          <w:szCs w:val="24"/>
        </w:rPr>
        <w:t>万</w:t>
      </w:r>
      <w:r>
        <w:rPr>
          <w:rFonts w:ascii="宋体" w:hAnsi="宋体" w:eastAsia="宋体" w:cs="宋体"/>
          <w:spacing w:val="-58"/>
          <w:sz w:val="24"/>
          <w:szCs w:val="24"/>
        </w:rPr>
        <w:t xml:space="preserve"> </w:t>
      </w:r>
      <w:r>
        <w:rPr>
          <w:rFonts w:ascii="Times New Roman" w:hAnsi="Times New Roman" w:eastAsia="Times New Roman" w:cs="Times New Roman"/>
          <w:spacing w:val="-3"/>
          <w:sz w:val="24"/>
          <w:szCs w:val="24"/>
        </w:rPr>
        <w:t>m³</w:t>
      </w:r>
      <w:r>
        <w:rPr>
          <w:rFonts w:ascii="Times New Roman" w:hAnsi="Times New Roman" w:eastAsia="Times New Roman" w:cs="Times New Roman"/>
          <w:spacing w:val="-45"/>
          <w:sz w:val="24"/>
          <w:szCs w:val="24"/>
        </w:rPr>
        <w:t xml:space="preserve"> </w:t>
      </w:r>
      <w:r>
        <w:rPr>
          <w:rFonts w:ascii="宋体" w:hAnsi="宋体" w:eastAsia="宋体" w:cs="宋体"/>
          <w:spacing w:val="-3"/>
          <w:sz w:val="24"/>
          <w:szCs w:val="24"/>
        </w:rPr>
        <w:t>免漆生态板及深加工生产线项目验</w:t>
      </w:r>
      <w:r>
        <w:rPr>
          <w:rFonts w:ascii="宋体" w:hAnsi="宋体" w:eastAsia="宋体" w:cs="宋体"/>
          <w:spacing w:val="-4"/>
          <w:sz w:val="24"/>
          <w:szCs w:val="24"/>
        </w:rPr>
        <w:t>收监测报告</w:t>
      </w:r>
    </w:p>
    <w:sdt>
      <w:sdtPr>
        <w:rPr>
          <w:rFonts w:ascii="Times New Roman" w:hAnsi="Times New Roman" w:eastAsia="Times New Roman" w:cs="Times New Roman"/>
          <w:sz w:val="24"/>
          <w:szCs w:val="24"/>
        </w:rPr>
        <w:id w:val="147468953"/>
        <w:docPartObj>
          <w:docPartGallery w:val="Table of Contents"/>
          <w:docPartUnique/>
        </w:docPartObj>
      </w:sdtPr>
      <w:sdtEndPr>
        <w:rPr>
          <w:rFonts w:ascii="宋体" w:hAnsi="宋体" w:eastAsia="宋体" w:cs="宋体"/>
          <w:sz w:val="24"/>
          <w:szCs w:val="24"/>
        </w:rPr>
      </w:sdtEndPr>
      <w:sdtContent>
        <w:p w14:paraId="4FC6DF75">
          <w:pPr>
            <w:spacing w:before="1" w:line="218" w:lineRule="auto"/>
            <w:ind w:left="498"/>
            <w:rPr>
              <w:rFonts w:ascii="宋体" w:hAnsi="宋体" w:eastAsia="宋体" w:cs="宋体"/>
              <w:sz w:val="24"/>
              <w:szCs w:val="24"/>
            </w:rPr>
          </w:pPr>
          <w:r>
            <w:fldChar w:fldCharType="begin"/>
          </w:r>
          <w:r>
            <w:instrText xml:space="preserve"> HYPERLINK \l "bookmark23" </w:instrText>
          </w:r>
          <w:r>
            <w:fldChar w:fldCharType="separate"/>
          </w:r>
          <w:r>
            <w:rPr>
              <w:rFonts w:ascii="Times New Roman" w:hAnsi="Times New Roman" w:eastAsia="Times New Roman" w:cs="Times New Roman"/>
              <w:spacing w:val="-5"/>
              <w:sz w:val="24"/>
              <w:szCs w:val="24"/>
            </w:rPr>
            <w:t>15</w:t>
          </w:r>
          <w:r>
            <w:rPr>
              <w:rFonts w:ascii="Times New Roman" w:hAnsi="Times New Roman" w:eastAsia="Times New Roman" w:cs="Times New Roman"/>
              <w:spacing w:val="-34"/>
              <w:sz w:val="24"/>
              <w:szCs w:val="24"/>
            </w:rPr>
            <w:t xml:space="preserve"> </w:t>
          </w:r>
          <w:r>
            <w:rPr>
              <w:rFonts w:ascii="宋体" w:hAnsi="宋体" w:eastAsia="宋体" w:cs="宋体"/>
              <w:spacing w:val="-5"/>
              <w:sz w:val="24"/>
              <w:szCs w:val="24"/>
            </w:rPr>
            <w:t>、建设单位承诺书；</w:t>
          </w:r>
          <w:r>
            <w:rPr>
              <w:rFonts w:ascii="宋体" w:hAnsi="宋体" w:eastAsia="宋体" w:cs="宋体"/>
              <w:spacing w:val="-5"/>
              <w:sz w:val="24"/>
              <w:szCs w:val="24"/>
            </w:rPr>
            <w:fldChar w:fldCharType="end"/>
          </w:r>
        </w:p>
        <w:p w14:paraId="5C5B2D93">
          <w:pPr>
            <w:spacing w:before="105" w:line="219" w:lineRule="auto"/>
            <w:ind w:left="498"/>
            <w:rPr>
              <w:rFonts w:ascii="宋体" w:hAnsi="宋体" w:eastAsia="宋体" w:cs="宋体"/>
              <w:sz w:val="24"/>
              <w:szCs w:val="24"/>
            </w:rPr>
          </w:pPr>
          <w:r>
            <w:fldChar w:fldCharType="begin"/>
          </w:r>
          <w:r>
            <w:instrText xml:space="preserve"> HYPERLINK \l "bookmark24" </w:instrText>
          </w:r>
          <w:r>
            <w:fldChar w:fldCharType="separate"/>
          </w:r>
          <w:r>
            <w:rPr>
              <w:rFonts w:ascii="Times New Roman" w:hAnsi="Times New Roman" w:eastAsia="Times New Roman" w:cs="Times New Roman"/>
              <w:spacing w:val="-5"/>
              <w:sz w:val="24"/>
              <w:szCs w:val="24"/>
            </w:rPr>
            <w:t>16</w:t>
          </w:r>
          <w:r>
            <w:rPr>
              <w:rFonts w:ascii="Times New Roman" w:hAnsi="Times New Roman" w:eastAsia="Times New Roman" w:cs="Times New Roman"/>
              <w:spacing w:val="-25"/>
              <w:sz w:val="24"/>
              <w:szCs w:val="24"/>
            </w:rPr>
            <w:t xml:space="preserve"> </w:t>
          </w:r>
          <w:r>
            <w:rPr>
              <w:rFonts w:ascii="宋体" w:hAnsi="宋体" w:eastAsia="宋体" w:cs="宋体"/>
              <w:spacing w:val="-5"/>
              <w:sz w:val="24"/>
              <w:szCs w:val="24"/>
            </w:rPr>
            <w:t>、环评文件内部评审表；</w:t>
          </w:r>
          <w:r>
            <w:rPr>
              <w:rFonts w:ascii="宋体" w:hAnsi="宋体" w:eastAsia="宋体" w:cs="宋体"/>
              <w:spacing w:val="-5"/>
              <w:sz w:val="24"/>
              <w:szCs w:val="24"/>
            </w:rPr>
            <w:fldChar w:fldCharType="end"/>
          </w:r>
        </w:p>
        <w:p w14:paraId="4003CC4C">
          <w:pPr>
            <w:spacing w:before="104" w:line="220" w:lineRule="auto"/>
            <w:ind w:left="498"/>
            <w:rPr>
              <w:rFonts w:ascii="宋体" w:hAnsi="宋体" w:eastAsia="宋体" w:cs="宋体"/>
              <w:sz w:val="24"/>
              <w:szCs w:val="24"/>
            </w:rPr>
          </w:pPr>
          <w:r>
            <w:fldChar w:fldCharType="begin"/>
          </w:r>
          <w:r>
            <w:instrText xml:space="preserve"> HYPERLINK \l "bookmark25" </w:instrText>
          </w:r>
          <w:r>
            <w:fldChar w:fldCharType="separate"/>
          </w:r>
          <w:r>
            <w:rPr>
              <w:rFonts w:ascii="Times New Roman" w:hAnsi="Times New Roman" w:eastAsia="Times New Roman" w:cs="Times New Roman"/>
              <w:spacing w:val="-5"/>
              <w:sz w:val="24"/>
              <w:szCs w:val="24"/>
            </w:rPr>
            <w:t>17</w:t>
          </w:r>
          <w:r>
            <w:rPr>
              <w:rFonts w:ascii="Times New Roman" w:hAnsi="Times New Roman" w:eastAsia="Times New Roman" w:cs="Times New Roman"/>
              <w:spacing w:val="-34"/>
              <w:sz w:val="24"/>
              <w:szCs w:val="24"/>
            </w:rPr>
            <w:t xml:space="preserve"> </w:t>
          </w:r>
          <w:r>
            <w:rPr>
              <w:rFonts w:ascii="宋体" w:hAnsi="宋体" w:eastAsia="宋体" w:cs="宋体"/>
              <w:spacing w:val="-5"/>
              <w:sz w:val="24"/>
              <w:szCs w:val="24"/>
            </w:rPr>
            <w:t>、项目进度控制表；</w:t>
          </w:r>
          <w:r>
            <w:rPr>
              <w:rFonts w:ascii="宋体" w:hAnsi="宋体" w:eastAsia="宋体" w:cs="宋体"/>
              <w:spacing w:val="-5"/>
              <w:sz w:val="24"/>
              <w:szCs w:val="24"/>
            </w:rPr>
            <w:fldChar w:fldCharType="end"/>
          </w:r>
        </w:p>
        <w:p w14:paraId="269EF2D3">
          <w:pPr>
            <w:spacing w:before="103" w:line="219" w:lineRule="auto"/>
            <w:ind w:left="498"/>
            <w:rPr>
              <w:rFonts w:ascii="宋体" w:hAnsi="宋体" w:eastAsia="宋体" w:cs="宋体"/>
              <w:sz w:val="24"/>
              <w:szCs w:val="24"/>
            </w:rPr>
          </w:pPr>
          <w:r>
            <w:fldChar w:fldCharType="begin"/>
          </w:r>
          <w:r>
            <w:instrText xml:space="preserve"> HYPERLINK \l "bookmark26" </w:instrText>
          </w:r>
          <w:r>
            <w:fldChar w:fldCharType="separate"/>
          </w:r>
          <w:r>
            <w:rPr>
              <w:rFonts w:ascii="Times New Roman" w:hAnsi="Times New Roman" w:eastAsia="Times New Roman" w:cs="Times New Roman"/>
              <w:spacing w:val="-6"/>
              <w:sz w:val="24"/>
              <w:szCs w:val="24"/>
            </w:rPr>
            <w:t>18</w:t>
          </w:r>
          <w:r>
            <w:rPr>
              <w:rFonts w:ascii="Times New Roman" w:hAnsi="Times New Roman" w:eastAsia="Times New Roman" w:cs="Times New Roman"/>
              <w:spacing w:val="-30"/>
              <w:sz w:val="24"/>
              <w:szCs w:val="24"/>
            </w:rPr>
            <w:t xml:space="preserve"> </w:t>
          </w:r>
          <w:r>
            <w:rPr>
              <w:rFonts w:ascii="宋体" w:hAnsi="宋体" w:eastAsia="宋体" w:cs="宋体"/>
              <w:spacing w:val="-6"/>
              <w:sz w:val="24"/>
              <w:szCs w:val="24"/>
            </w:rPr>
            <w:t>、技术服务合同；</w:t>
          </w:r>
          <w:r>
            <w:rPr>
              <w:rFonts w:ascii="宋体" w:hAnsi="宋体" w:eastAsia="宋体" w:cs="宋体"/>
              <w:spacing w:val="-6"/>
              <w:sz w:val="24"/>
              <w:szCs w:val="24"/>
            </w:rPr>
            <w:fldChar w:fldCharType="end"/>
          </w:r>
        </w:p>
      </w:sdtContent>
    </w:sdt>
    <w:p w14:paraId="54002175">
      <w:pPr>
        <w:spacing w:before="110" w:line="219" w:lineRule="auto"/>
        <w:ind w:left="23"/>
        <w:rPr>
          <w:rFonts w:ascii="宋体" w:hAnsi="宋体" w:eastAsia="宋体" w:cs="宋体"/>
          <w:sz w:val="28"/>
          <w:szCs w:val="28"/>
        </w:rPr>
      </w:pPr>
      <w:r>
        <w:rPr>
          <w:rFonts w:ascii="宋体" w:hAnsi="宋体" w:eastAsia="宋体" w:cs="宋体"/>
          <w:spacing w:val="-16"/>
          <w:sz w:val="28"/>
          <w:szCs w:val="28"/>
        </w:rPr>
        <w:t>附图</w:t>
      </w:r>
    </w:p>
    <w:p w14:paraId="268BA149">
      <w:pPr>
        <w:spacing w:before="114" w:line="219" w:lineRule="auto"/>
        <w:ind w:left="498"/>
        <w:rPr>
          <w:rFonts w:ascii="宋体" w:hAnsi="宋体" w:eastAsia="宋体" w:cs="宋体"/>
          <w:sz w:val="24"/>
          <w:szCs w:val="24"/>
        </w:rPr>
      </w:pPr>
      <w:r>
        <w:rPr>
          <w:rFonts w:ascii="宋体" w:hAnsi="宋体" w:eastAsia="宋体" w:cs="宋体"/>
          <w:spacing w:val="-5"/>
          <w:sz w:val="24"/>
          <w:szCs w:val="24"/>
        </w:rPr>
        <w:t>附图</w:t>
      </w:r>
      <w:r>
        <w:rPr>
          <w:rFonts w:ascii="宋体" w:hAnsi="宋体" w:eastAsia="宋体" w:cs="宋体"/>
          <w:spacing w:val="-30"/>
          <w:sz w:val="24"/>
          <w:szCs w:val="24"/>
        </w:rPr>
        <w:t xml:space="preserve"> </w:t>
      </w:r>
      <w:r>
        <w:rPr>
          <w:rFonts w:ascii="Times New Roman" w:hAnsi="Times New Roman" w:eastAsia="Times New Roman" w:cs="Times New Roman"/>
          <w:spacing w:val="-5"/>
          <w:sz w:val="24"/>
          <w:szCs w:val="24"/>
        </w:rPr>
        <w:t xml:space="preserve">1 </w:t>
      </w:r>
      <w:r>
        <w:rPr>
          <w:rFonts w:ascii="宋体" w:hAnsi="宋体" w:eastAsia="宋体" w:cs="宋体"/>
          <w:spacing w:val="-5"/>
          <w:sz w:val="24"/>
          <w:szCs w:val="24"/>
        </w:rPr>
        <w:t>项目地理位置图；</w:t>
      </w:r>
    </w:p>
    <w:p w14:paraId="4C4DFB7C">
      <w:pPr>
        <w:spacing w:line="219" w:lineRule="auto"/>
        <w:rPr>
          <w:rFonts w:ascii="宋体" w:hAnsi="宋体" w:eastAsia="宋体" w:cs="宋体"/>
          <w:sz w:val="24"/>
          <w:szCs w:val="24"/>
        </w:rPr>
        <w:sectPr>
          <w:headerReference r:id="rId7" w:type="default"/>
          <w:pgSz w:w="11906" w:h="16839"/>
          <w:pgMar w:top="400" w:right="1530" w:bottom="0" w:left="1540" w:header="0" w:footer="0" w:gutter="0"/>
          <w:cols w:space="720" w:num="1"/>
        </w:sectPr>
      </w:pPr>
    </w:p>
    <w:p w14:paraId="2D281A18">
      <w:pPr>
        <w:pStyle w:val="2"/>
        <w:spacing w:line="250" w:lineRule="auto"/>
      </w:pPr>
    </w:p>
    <w:p w14:paraId="1C5FAE11">
      <w:pPr>
        <w:pStyle w:val="2"/>
        <w:spacing w:line="250" w:lineRule="auto"/>
      </w:pPr>
    </w:p>
    <w:p w14:paraId="6B4BBAFA">
      <w:pPr>
        <w:pStyle w:val="2"/>
        <w:spacing w:line="250" w:lineRule="auto"/>
      </w:pPr>
    </w:p>
    <w:p w14:paraId="5F9FF795">
      <w:pPr>
        <w:pStyle w:val="2"/>
        <w:spacing w:line="250" w:lineRule="auto"/>
      </w:pPr>
    </w:p>
    <w:p w14:paraId="6D101807">
      <w:pPr>
        <w:pStyle w:val="2"/>
        <w:spacing w:line="250" w:lineRule="auto"/>
      </w:pPr>
    </w:p>
    <w:p w14:paraId="0D861640">
      <w:pPr>
        <w:spacing w:before="78" w:line="219" w:lineRule="auto"/>
        <w:ind w:left="253"/>
        <w:rPr>
          <w:rFonts w:ascii="宋体" w:hAnsi="宋体" w:eastAsia="宋体" w:cs="宋体"/>
          <w:sz w:val="24"/>
          <w:szCs w:val="24"/>
        </w:rPr>
      </w:pPr>
      <w:r>
        <w:rPr>
          <w:rFonts w:ascii="宋体" w:hAnsi="宋体" w:eastAsia="宋体" w:cs="宋体"/>
          <w:spacing w:val="-3"/>
          <w:sz w:val="24"/>
          <w:szCs w:val="24"/>
        </w:rPr>
        <w:t>附图</w:t>
      </w:r>
      <w:r>
        <w:rPr>
          <w:rFonts w:ascii="宋体" w:hAnsi="宋体" w:eastAsia="宋体" w:cs="宋体"/>
          <w:spacing w:val="-54"/>
          <w:sz w:val="24"/>
          <w:szCs w:val="24"/>
        </w:rPr>
        <w:t xml:space="preserve"> </w:t>
      </w:r>
      <w:r>
        <w:rPr>
          <w:rFonts w:ascii="Times New Roman" w:hAnsi="Times New Roman" w:eastAsia="Times New Roman" w:cs="Times New Roman"/>
          <w:spacing w:val="-3"/>
          <w:sz w:val="24"/>
          <w:szCs w:val="24"/>
        </w:rPr>
        <w:t xml:space="preserve">2 </w:t>
      </w:r>
      <w:r>
        <w:rPr>
          <w:rFonts w:ascii="宋体" w:hAnsi="宋体" w:eastAsia="宋体" w:cs="宋体"/>
          <w:spacing w:val="-3"/>
          <w:sz w:val="24"/>
          <w:szCs w:val="24"/>
        </w:rPr>
        <w:t>项目区域水系图；</w:t>
      </w:r>
    </w:p>
    <w:p w14:paraId="0F23B40B">
      <w:pPr>
        <w:spacing w:before="104" w:line="219" w:lineRule="auto"/>
        <w:ind w:left="253"/>
        <w:rPr>
          <w:rFonts w:ascii="宋体" w:hAnsi="宋体" w:eastAsia="宋体" w:cs="宋体"/>
          <w:sz w:val="24"/>
          <w:szCs w:val="24"/>
        </w:rPr>
      </w:pPr>
      <w:r>
        <w:rPr>
          <w:rFonts w:ascii="宋体" w:hAnsi="宋体" w:eastAsia="宋体" w:cs="宋体"/>
          <w:spacing w:val="-3"/>
          <w:sz w:val="24"/>
          <w:szCs w:val="24"/>
        </w:rPr>
        <w:t>附图</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 xml:space="preserve">3 </w:t>
      </w:r>
      <w:r>
        <w:rPr>
          <w:rFonts w:ascii="宋体" w:hAnsi="宋体" w:eastAsia="宋体" w:cs="宋体"/>
          <w:spacing w:val="-3"/>
          <w:sz w:val="24"/>
          <w:szCs w:val="24"/>
        </w:rPr>
        <w:t>项目总平面布置图；</w:t>
      </w:r>
    </w:p>
    <w:p w14:paraId="1FF5DA38">
      <w:pPr>
        <w:spacing w:before="104" w:line="219" w:lineRule="auto"/>
        <w:ind w:left="253"/>
        <w:rPr>
          <w:rFonts w:ascii="宋体" w:hAnsi="宋体" w:eastAsia="宋体" w:cs="宋体"/>
          <w:sz w:val="24"/>
          <w:szCs w:val="24"/>
        </w:rPr>
      </w:pPr>
      <w:r>
        <w:rPr>
          <w:rFonts w:ascii="宋体" w:hAnsi="宋体" w:eastAsia="宋体" w:cs="宋体"/>
          <w:spacing w:val="-3"/>
          <w:sz w:val="24"/>
          <w:szCs w:val="24"/>
        </w:rPr>
        <w:t>附图</w:t>
      </w:r>
      <w:r>
        <w:rPr>
          <w:rFonts w:ascii="宋体" w:hAnsi="宋体" w:eastAsia="宋体" w:cs="宋体"/>
          <w:spacing w:val="-54"/>
          <w:sz w:val="24"/>
          <w:szCs w:val="24"/>
        </w:rPr>
        <w:t xml:space="preserve"> </w:t>
      </w:r>
      <w:r>
        <w:rPr>
          <w:rFonts w:ascii="Times New Roman" w:hAnsi="Times New Roman" w:eastAsia="Times New Roman" w:cs="Times New Roman"/>
          <w:spacing w:val="-3"/>
          <w:sz w:val="24"/>
          <w:szCs w:val="24"/>
        </w:rPr>
        <w:t xml:space="preserve">4 </w:t>
      </w:r>
      <w:r>
        <w:rPr>
          <w:rFonts w:ascii="宋体" w:hAnsi="宋体" w:eastAsia="宋体" w:cs="宋体"/>
          <w:spacing w:val="-3"/>
          <w:sz w:val="24"/>
          <w:szCs w:val="24"/>
        </w:rPr>
        <w:t>项目周边关系图；</w:t>
      </w:r>
    </w:p>
    <w:p w14:paraId="3B11762F">
      <w:pPr>
        <w:spacing w:before="104" w:line="219" w:lineRule="auto"/>
        <w:ind w:left="253"/>
        <w:rPr>
          <w:rFonts w:ascii="宋体" w:hAnsi="宋体" w:eastAsia="宋体" w:cs="宋体"/>
          <w:sz w:val="24"/>
          <w:szCs w:val="24"/>
        </w:rPr>
      </w:pPr>
      <w:r>
        <w:rPr>
          <w:rFonts w:ascii="宋体" w:hAnsi="宋体" w:eastAsia="宋体" w:cs="宋体"/>
          <w:spacing w:val="-1"/>
          <w:sz w:val="24"/>
          <w:szCs w:val="24"/>
        </w:rPr>
        <w:t>附图</w:t>
      </w:r>
      <w:r>
        <w:rPr>
          <w:rFonts w:ascii="宋体" w:hAnsi="宋体" w:eastAsia="宋体" w:cs="宋体"/>
          <w:spacing w:val="-49"/>
          <w:sz w:val="24"/>
          <w:szCs w:val="24"/>
        </w:rPr>
        <w:t xml:space="preserve"> </w:t>
      </w:r>
      <w:r>
        <w:rPr>
          <w:rFonts w:ascii="Times New Roman" w:hAnsi="Times New Roman" w:eastAsia="Times New Roman" w:cs="Times New Roman"/>
          <w:spacing w:val="-1"/>
          <w:sz w:val="24"/>
          <w:szCs w:val="24"/>
        </w:rPr>
        <w:t xml:space="preserve">5 </w:t>
      </w:r>
      <w:r>
        <w:rPr>
          <w:rFonts w:ascii="宋体" w:hAnsi="宋体" w:eastAsia="宋体" w:cs="宋体"/>
          <w:spacing w:val="-1"/>
          <w:sz w:val="24"/>
          <w:szCs w:val="24"/>
        </w:rPr>
        <w:t>项目与云南寻甸产业园区金所片区</w:t>
      </w:r>
      <w:r>
        <w:rPr>
          <w:rFonts w:ascii="宋体" w:hAnsi="宋体" w:eastAsia="宋体" w:cs="宋体"/>
          <w:spacing w:val="-2"/>
          <w:sz w:val="24"/>
          <w:szCs w:val="24"/>
        </w:rPr>
        <w:t>土地利用规划位置关系图</w:t>
      </w:r>
    </w:p>
    <w:p w14:paraId="5D22AFE6">
      <w:pPr>
        <w:spacing w:before="104" w:line="219" w:lineRule="auto"/>
        <w:ind w:left="253"/>
        <w:rPr>
          <w:rFonts w:ascii="宋体" w:hAnsi="宋体" w:eastAsia="宋体" w:cs="宋体"/>
          <w:sz w:val="24"/>
          <w:szCs w:val="24"/>
        </w:rPr>
      </w:pPr>
      <w:r>
        <w:rPr>
          <w:rFonts w:ascii="宋体" w:hAnsi="宋体" w:eastAsia="宋体" w:cs="宋体"/>
          <w:spacing w:val="1"/>
          <w:sz w:val="24"/>
          <w:szCs w:val="24"/>
        </w:rPr>
        <w:t>附图</w:t>
      </w:r>
      <w:r>
        <w:rPr>
          <w:rFonts w:ascii="Times New Roman" w:hAnsi="Times New Roman" w:eastAsia="Times New Roman" w:cs="Times New Roman"/>
          <w:spacing w:val="1"/>
          <w:sz w:val="24"/>
          <w:szCs w:val="24"/>
        </w:rPr>
        <w:t xml:space="preserve">6 </w:t>
      </w:r>
      <w:r>
        <w:rPr>
          <w:rFonts w:ascii="宋体" w:hAnsi="宋体" w:eastAsia="宋体" w:cs="宋体"/>
          <w:spacing w:val="1"/>
          <w:sz w:val="24"/>
          <w:szCs w:val="24"/>
        </w:rPr>
        <w:t>项目与牛栏江流域位置关系图；</w:t>
      </w:r>
    </w:p>
    <w:p w14:paraId="00AB48A2">
      <w:pPr>
        <w:spacing w:before="106" w:line="219" w:lineRule="auto"/>
        <w:ind w:left="253"/>
        <w:rPr>
          <w:rFonts w:ascii="宋体" w:hAnsi="宋体" w:eastAsia="宋体" w:cs="宋体"/>
          <w:sz w:val="24"/>
          <w:szCs w:val="24"/>
        </w:rPr>
      </w:pPr>
      <w:r>
        <w:rPr>
          <w:rFonts w:ascii="宋体" w:hAnsi="宋体" w:eastAsia="宋体" w:cs="宋体"/>
          <w:spacing w:val="2"/>
          <w:sz w:val="24"/>
          <w:szCs w:val="24"/>
        </w:rPr>
        <w:t>附图</w:t>
      </w:r>
      <w:r>
        <w:rPr>
          <w:rFonts w:ascii="Times New Roman" w:hAnsi="Times New Roman" w:eastAsia="Times New Roman" w:cs="Times New Roman"/>
          <w:spacing w:val="2"/>
          <w:sz w:val="24"/>
          <w:szCs w:val="24"/>
        </w:rPr>
        <w:t xml:space="preserve">7 </w:t>
      </w:r>
      <w:r>
        <w:rPr>
          <w:rFonts w:ascii="宋体" w:hAnsi="宋体" w:eastAsia="宋体" w:cs="宋体"/>
          <w:spacing w:val="2"/>
          <w:sz w:val="24"/>
          <w:szCs w:val="24"/>
        </w:rPr>
        <w:t>项目与《昆明市生态环境分区管控动态更新方案（</w:t>
      </w:r>
      <w:r>
        <w:rPr>
          <w:rFonts w:ascii="Times New Roman" w:hAnsi="Times New Roman" w:eastAsia="Times New Roman" w:cs="Times New Roman"/>
          <w:spacing w:val="2"/>
          <w:sz w:val="24"/>
          <w:szCs w:val="24"/>
        </w:rPr>
        <w:t>2023</w:t>
      </w:r>
      <w:r>
        <w:rPr>
          <w:rFonts w:ascii="宋体" w:hAnsi="宋体" w:eastAsia="宋体" w:cs="宋体"/>
          <w:spacing w:val="2"/>
          <w:sz w:val="24"/>
          <w:szCs w:val="24"/>
        </w:rPr>
        <w:t>年）》叠图；</w:t>
      </w:r>
    </w:p>
    <w:p w14:paraId="55DD42B7">
      <w:pPr>
        <w:spacing w:line="219" w:lineRule="auto"/>
        <w:rPr>
          <w:rFonts w:ascii="宋体" w:hAnsi="宋体" w:eastAsia="宋体" w:cs="宋体"/>
          <w:sz w:val="24"/>
          <w:szCs w:val="24"/>
        </w:rPr>
        <w:sectPr>
          <w:pgSz w:w="11906" w:h="16839"/>
          <w:pgMar w:top="400" w:right="1785" w:bottom="0" w:left="1785" w:header="0" w:footer="0" w:gutter="0"/>
          <w:cols w:space="720" w:num="1"/>
        </w:sectPr>
      </w:pPr>
    </w:p>
    <w:p w14:paraId="2563BD85">
      <w:pPr>
        <w:pStyle w:val="2"/>
        <w:spacing w:line="248" w:lineRule="auto"/>
      </w:pPr>
    </w:p>
    <w:p w14:paraId="46CE6358">
      <w:pPr>
        <w:pStyle w:val="2"/>
        <w:spacing w:line="248" w:lineRule="auto"/>
      </w:pPr>
    </w:p>
    <w:p w14:paraId="0381EE2F">
      <w:pPr>
        <w:pStyle w:val="2"/>
        <w:spacing w:line="248" w:lineRule="auto"/>
      </w:pPr>
    </w:p>
    <w:p w14:paraId="5B73E260">
      <w:pPr>
        <w:pStyle w:val="2"/>
        <w:spacing w:line="248" w:lineRule="auto"/>
      </w:pPr>
    </w:p>
    <w:p w14:paraId="24EC9CCD">
      <w:pPr>
        <w:pStyle w:val="2"/>
        <w:spacing w:line="249" w:lineRule="auto"/>
      </w:pPr>
    </w:p>
    <w:p w14:paraId="31F85E95">
      <w:pPr>
        <w:spacing w:before="98" w:line="219" w:lineRule="auto"/>
        <w:ind w:left="3254"/>
        <w:outlineLvl w:val="0"/>
        <w:rPr>
          <w:rFonts w:ascii="宋体" w:hAnsi="宋体" w:eastAsia="宋体" w:cs="宋体"/>
          <w:sz w:val="30"/>
          <w:szCs w:val="30"/>
        </w:rPr>
      </w:pPr>
      <w:bookmarkStart w:id="4" w:name="bookmark1"/>
      <w:bookmarkEnd w:id="4"/>
      <w:r>
        <w:rPr>
          <w:rFonts w:ascii="宋体" w:hAnsi="宋体" w:eastAsia="宋体" w:cs="宋体"/>
          <w:b/>
          <w:bCs/>
          <w:spacing w:val="-4"/>
          <w:sz w:val="30"/>
          <w:szCs w:val="30"/>
        </w:rPr>
        <w:t>一、建设项目基本情况</w:t>
      </w:r>
    </w:p>
    <w:p w14:paraId="5B015C18">
      <w:pPr>
        <w:spacing w:line="182" w:lineRule="exact"/>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3"/>
        <w:gridCol w:w="2199"/>
        <w:gridCol w:w="1470"/>
        <w:gridCol w:w="3340"/>
      </w:tblGrid>
      <w:tr w14:paraId="2EDC7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1863" w:type="dxa"/>
            <w:tcBorders>
              <w:top w:val="single" w:color="000000" w:sz="6" w:space="0"/>
              <w:left w:val="single" w:color="000000" w:sz="6" w:space="0"/>
            </w:tcBorders>
            <w:vAlign w:val="top"/>
          </w:tcPr>
          <w:p w14:paraId="5A450FD6">
            <w:pPr>
              <w:spacing w:before="55" w:line="220" w:lineRule="auto"/>
              <w:ind w:left="215"/>
              <w:rPr>
                <w:rFonts w:ascii="宋体" w:hAnsi="宋体" w:eastAsia="宋体" w:cs="宋体"/>
                <w:sz w:val="24"/>
                <w:szCs w:val="24"/>
              </w:rPr>
            </w:pPr>
            <w:r>
              <w:rPr>
                <w:rFonts w:ascii="宋体" w:hAnsi="宋体" w:eastAsia="宋体" w:cs="宋体"/>
                <w:spacing w:val="-3"/>
                <w:sz w:val="24"/>
                <w:szCs w:val="24"/>
              </w:rPr>
              <w:t>建设项目名称</w:t>
            </w:r>
          </w:p>
        </w:tc>
        <w:tc>
          <w:tcPr>
            <w:tcW w:w="7009" w:type="dxa"/>
            <w:gridSpan w:val="3"/>
            <w:tcBorders>
              <w:top w:val="single" w:color="000000" w:sz="6" w:space="0"/>
              <w:right w:val="single" w:color="000000" w:sz="6" w:space="0"/>
            </w:tcBorders>
            <w:vAlign w:val="top"/>
          </w:tcPr>
          <w:p w14:paraId="7836C853">
            <w:pPr>
              <w:spacing w:before="56" w:line="219" w:lineRule="auto"/>
              <w:ind w:left="774"/>
              <w:rPr>
                <w:rFonts w:ascii="宋体" w:hAnsi="宋体" w:eastAsia="宋体" w:cs="宋体"/>
                <w:sz w:val="24"/>
                <w:szCs w:val="24"/>
              </w:rPr>
            </w:pPr>
            <w:r>
              <w:rPr>
                <w:rFonts w:ascii="宋体" w:hAnsi="宋体" w:eastAsia="宋体" w:cs="宋体"/>
                <w:spacing w:val="-4"/>
                <w:sz w:val="24"/>
                <w:szCs w:val="24"/>
              </w:rPr>
              <w:t>昆明欧铂瑞木制品有限公司年产</w:t>
            </w:r>
            <w:r>
              <w:rPr>
                <w:rFonts w:ascii="宋体" w:hAnsi="宋体" w:eastAsia="宋体" w:cs="宋体"/>
                <w:spacing w:val="-19"/>
                <w:sz w:val="24"/>
                <w:szCs w:val="24"/>
              </w:rPr>
              <w:t xml:space="preserve"> </w:t>
            </w:r>
            <w:r>
              <w:rPr>
                <w:rFonts w:ascii="Times New Roman" w:hAnsi="Times New Roman" w:eastAsia="Times New Roman" w:cs="Times New Roman"/>
                <w:spacing w:val="-4"/>
                <w:sz w:val="24"/>
                <w:szCs w:val="24"/>
              </w:rPr>
              <w:t>100</w:t>
            </w:r>
            <w:r>
              <w:rPr>
                <w:rFonts w:ascii="Times New Roman" w:hAnsi="Times New Roman" w:eastAsia="Times New Roman" w:cs="Times New Roman"/>
                <w:spacing w:val="15"/>
                <w:sz w:val="24"/>
                <w:szCs w:val="24"/>
              </w:rPr>
              <w:t xml:space="preserve"> </w:t>
            </w:r>
            <w:r>
              <w:rPr>
                <w:rFonts w:ascii="宋体" w:hAnsi="宋体" w:eastAsia="宋体" w:cs="宋体"/>
                <w:spacing w:val="-4"/>
                <w:sz w:val="24"/>
                <w:szCs w:val="24"/>
              </w:rPr>
              <w:t>万个塑料筐项目</w:t>
            </w:r>
          </w:p>
        </w:tc>
      </w:tr>
      <w:tr w14:paraId="4BEBC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863" w:type="dxa"/>
            <w:tcBorders>
              <w:left w:val="single" w:color="000000" w:sz="6" w:space="0"/>
            </w:tcBorders>
            <w:vAlign w:val="top"/>
          </w:tcPr>
          <w:p w14:paraId="433945F1">
            <w:pPr>
              <w:spacing w:before="52" w:line="219" w:lineRule="auto"/>
              <w:ind w:left="456"/>
              <w:rPr>
                <w:rFonts w:ascii="宋体" w:hAnsi="宋体" w:eastAsia="宋体" w:cs="宋体"/>
                <w:sz w:val="24"/>
                <w:szCs w:val="24"/>
              </w:rPr>
            </w:pPr>
            <w:r>
              <w:rPr>
                <w:rFonts w:ascii="宋体" w:hAnsi="宋体" w:eastAsia="宋体" w:cs="宋体"/>
                <w:spacing w:val="-4"/>
                <w:sz w:val="24"/>
                <w:szCs w:val="24"/>
              </w:rPr>
              <w:t>项目代码</w:t>
            </w:r>
          </w:p>
        </w:tc>
        <w:tc>
          <w:tcPr>
            <w:tcW w:w="7009" w:type="dxa"/>
            <w:gridSpan w:val="3"/>
            <w:tcBorders>
              <w:right w:val="single" w:color="000000" w:sz="6" w:space="0"/>
            </w:tcBorders>
            <w:vAlign w:val="top"/>
          </w:tcPr>
          <w:p w14:paraId="08B2C7A5">
            <w:pPr>
              <w:spacing w:before="102" w:line="188" w:lineRule="auto"/>
              <w:ind w:left="2382"/>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2607-530129-04-01-216755</w:t>
            </w:r>
          </w:p>
        </w:tc>
      </w:tr>
      <w:tr w14:paraId="54B33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863" w:type="dxa"/>
            <w:tcBorders>
              <w:left w:val="single" w:color="000000" w:sz="6" w:space="0"/>
            </w:tcBorders>
            <w:vAlign w:val="top"/>
          </w:tcPr>
          <w:p w14:paraId="68C3CBAC">
            <w:pPr>
              <w:spacing w:before="54" w:line="220" w:lineRule="auto"/>
              <w:ind w:left="95"/>
              <w:rPr>
                <w:rFonts w:ascii="宋体" w:hAnsi="宋体" w:eastAsia="宋体" w:cs="宋体"/>
                <w:sz w:val="24"/>
                <w:szCs w:val="24"/>
              </w:rPr>
            </w:pPr>
            <w:r>
              <w:rPr>
                <w:rFonts w:ascii="宋体" w:hAnsi="宋体" w:eastAsia="宋体" w:cs="宋体"/>
                <w:spacing w:val="-2"/>
                <w:sz w:val="24"/>
                <w:szCs w:val="24"/>
              </w:rPr>
              <w:t>建设单位联系人</w:t>
            </w:r>
          </w:p>
        </w:tc>
        <w:tc>
          <w:tcPr>
            <w:tcW w:w="2199" w:type="dxa"/>
            <w:vAlign w:val="top"/>
          </w:tcPr>
          <w:p w14:paraId="4E0CC744">
            <w:pPr>
              <w:spacing w:before="54" w:line="219" w:lineRule="auto"/>
              <w:ind w:left="744"/>
              <w:rPr>
                <w:rFonts w:ascii="宋体" w:hAnsi="宋体" w:eastAsia="宋体" w:cs="宋体"/>
                <w:sz w:val="24"/>
                <w:szCs w:val="24"/>
              </w:rPr>
            </w:pPr>
          </w:p>
        </w:tc>
        <w:tc>
          <w:tcPr>
            <w:tcW w:w="1470" w:type="dxa"/>
            <w:vAlign w:val="top"/>
          </w:tcPr>
          <w:p w14:paraId="347FC7F3">
            <w:pPr>
              <w:spacing w:before="53" w:line="221" w:lineRule="auto"/>
              <w:ind w:left="263"/>
              <w:rPr>
                <w:rFonts w:ascii="宋体" w:hAnsi="宋体" w:eastAsia="宋体" w:cs="宋体"/>
                <w:sz w:val="24"/>
                <w:szCs w:val="24"/>
              </w:rPr>
            </w:pPr>
            <w:r>
              <w:rPr>
                <w:rFonts w:ascii="宋体" w:hAnsi="宋体" w:eastAsia="宋体" w:cs="宋体"/>
                <w:spacing w:val="-3"/>
                <w:sz w:val="24"/>
                <w:szCs w:val="24"/>
              </w:rPr>
              <w:t>联系方式</w:t>
            </w:r>
          </w:p>
        </w:tc>
        <w:tc>
          <w:tcPr>
            <w:tcW w:w="3340" w:type="dxa"/>
            <w:tcBorders>
              <w:right w:val="single" w:color="000000" w:sz="6" w:space="0"/>
            </w:tcBorders>
            <w:vAlign w:val="top"/>
          </w:tcPr>
          <w:p w14:paraId="31492BAC">
            <w:pPr>
              <w:rPr>
                <w:rFonts w:ascii="Arial"/>
                <w:sz w:val="21"/>
              </w:rPr>
            </w:pPr>
          </w:p>
        </w:tc>
      </w:tr>
      <w:tr w14:paraId="6C5E8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1863" w:type="dxa"/>
            <w:tcBorders>
              <w:left w:val="single" w:color="000000" w:sz="6" w:space="0"/>
            </w:tcBorders>
            <w:vAlign w:val="top"/>
          </w:tcPr>
          <w:p w14:paraId="39F1C12F">
            <w:pPr>
              <w:spacing w:before="53" w:line="221" w:lineRule="auto"/>
              <w:ind w:left="455"/>
              <w:rPr>
                <w:rFonts w:ascii="宋体" w:hAnsi="宋体" w:eastAsia="宋体" w:cs="宋体"/>
                <w:sz w:val="24"/>
                <w:szCs w:val="24"/>
              </w:rPr>
            </w:pPr>
            <w:r>
              <w:rPr>
                <w:rFonts w:ascii="宋体" w:hAnsi="宋体" w:eastAsia="宋体" w:cs="宋体"/>
                <w:spacing w:val="-4"/>
                <w:sz w:val="24"/>
                <w:szCs w:val="24"/>
              </w:rPr>
              <w:t>建设地点</w:t>
            </w:r>
          </w:p>
        </w:tc>
        <w:tc>
          <w:tcPr>
            <w:tcW w:w="7009" w:type="dxa"/>
            <w:gridSpan w:val="3"/>
            <w:tcBorders>
              <w:right w:val="single" w:color="000000" w:sz="6" w:space="0"/>
            </w:tcBorders>
            <w:vAlign w:val="top"/>
          </w:tcPr>
          <w:p w14:paraId="35B8A82D">
            <w:pPr>
              <w:spacing w:before="54" w:line="219" w:lineRule="auto"/>
              <w:ind w:left="991"/>
              <w:rPr>
                <w:rFonts w:ascii="宋体" w:hAnsi="宋体" w:eastAsia="宋体" w:cs="宋体"/>
                <w:sz w:val="24"/>
                <w:szCs w:val="24"/>
              </w:rPr>
            </w:pPr>
            <w:r>
              <w:rPr>
                <w:rFonts w:ascii="宋体" w:hAnsi="宋体" w:eastAsia="宋体" w:cs="宋体"/>
                <w:spacing w:val="-1"/>
                <w:sz w:val="24"/>
                <w:szCs w:val="24"/>
              </w:rPr>
              <w:t>云南省昆明市寻甸回族彝族自治县金所工业园区</w:t>
            </w:r>
          </w:p>
        </w:tc>
      </w:tr>
      <w:tr w14:paraId="34AA1D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863" w:type="dxa"/>
            <w:tcBorders>
              <w:left w:val="single" w:color="000000" w:sz="6" w:space="0"/>
            </w:tcBorders>
            <w:vAlign w:val="top"/>
          </w:tcPr>
          <w:p w14:paraId="16D72071">
            <w:pPr>
              <w:spacing w:before="55" w:line="220" w:lineRule="auto"/>
              <w:ind w:left="452"/>
              <w:rPr>
                <w:rFonts w:ascii="宋体" w:hAnsi="宋体" w:eastAsia="宋体" w:cs="宋体"/>
                <w:sz w:val="24"/>
                <w:szCs w:val="24"/>
              </w:rPr>
            </w:pPr>
            <w:r>
              <w:rPr>
                <w:rFonts w:ascii="宋体" w:hAnsi="宋体" w:eastAsia="宋体" w:cs="宋体"/>
                <w:spacing w:val="-3"/>
                <w:sz w:val="24"/>
                <w:szCs w:val="24"/>
              </w:rPr>
              <w:t>地理坐标</w:t>
            </w:r>
          </w:p>
        </w:tc>
        <w:tc>
          <w:tcPr>
            <w:tcW w:w="7009" w:type="dxa"/>
            <w:gridSpan w:val="3"/>
            <w:tcBorders>
              <w:right w:val="single" w:color="000000" w:sz="6" w:space="0"/>
            </w:tcBorders>
            <w:vAlign w:val="top"/>
          </w:tcPr>
          <w:p w14:paraId="445D8A68">
            <w:pPr>
              <w:spacing w:before="55" w:line="219" w:lineRule="auto"/>
              <w:ind w:left="696"/>
              <w:rPr>
                <w:rFonts w:ascii="宋体" w:hAnsi="宋体" w:eastAsia="宋体" w:cs="宋体"/>
                <w:sz w:val="24"/>
                <w:szCs w:val="24"/>
              </w:rPr>
            </w:pPr>
            <w:r>
              <w:rPr>
                <w:rFonts w:ascii="宋体" w:hAnsi="宋体" w:eastAsia="宋体" w:cs="宋体"/>
                <w:spacing w:val="-3"/>
                <w:sz w:val="24"/>
                <w:szCs w:val="24"/>
              </w:rPr>
              <w:t>（东经</w:t>
            </w:r>
            <w:r>
              <w:rPr>
                <w:rFonts w:ascii="宋体" w:hAnsi="宋体" w:eastAsia="宋体" w:cs="宋体"/>
                <w:spacing w:val="-49"/>
                <w:sz w:val="24"/>
                <w:szCs w:val="24"/>
              </w:rPr>
              <w:t xml:space="preserve"> </w:t>
            </w:r>
            <w:r>
              <w:rPr>
                <w:rFonts w:ascii="Times New Roman" w:hAnsi="Times New Roman" w:eastAsia="Times New Roman" w:cs="Times New Roman"/>
                <w:spacing w:val="-32"/>
                <w:sz w:val="24"/>
                <w:szCs w:val="24"/>
                <w:u w:val="single" w:color="auto"/>
              </w:rPr>
              <w:t xml:space="preserve"> </w:t>
            </w:r>
            <w:r>
              <w:rPr>
                <w:rFonts w:ascii="Times New Roman" w:hAnsi="Times New Roman" w:eastAsia="Times New Roman" w:cs="Times New Roman"/>
                <w:spacing w:val="-3"/>
                <w:sz w:val="24"/>
                <w:szCs w:val="24"/>
                <w:u w:val="single" w:color="auto"/>
              </w:rPr>
              <w:t xml:space="preserve">103 </w:t>
            </w:r>
            <w:r>
              <w:rPr>
                <w:rFonts w:ascii="宋体" w:hAnsi="宋体" w:eastAsia="宋体" w:cs="宋体"/>
                <w:spacing w:val="-3"/>
                <w:sz w:val="24"/>
                <w:szCs w:val="24"/>
              </w:rPr>
              <w:t>度</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u w:val="single" w:color="auto"/>
              </w:rPr>
              <w:t xml:space="preserve">9 </w:t>
            </w:r>
            <w:r>
              <w:rPr>
                <w:rFonts w:ascii="宋体" w:hAnsi="宋体" w:eastAsia="宋体" w:cs="宋体"/>
                <w:spacing w:val="-3"/>
                <w:sz w:val="24"/>
                <w:szCs w:val="24"/>
              </w:rPr>
              <w:t>分</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u w:val="single" w:color="auto"/>
              </w:rPr>
              <w:t xml:space="preserve">28.794 </w:t>
            </w:r>
            <w:r>
              <w:rPr>
                <w:rFonts w:ascii="宋体" w:hAnsi="宋体" w:eastAsia="宋体" w:cs="宋体"/>
                <w:spacing w:val="-3"/>
                <w:sz w:val="24"/>
                <w:szCs w:val="24"/>
              </w:rPr>
              <w:t>秒，北纬</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u w:val="single" w:color="auto"/>
              </w:rPr>
              <w:t xml:space="preserve">25 </w:t>
            </w:r>
            <w:r>
              <w:rPr>
                <w:rFonts w:ascii="宋体" w:hAnsi="宋体" w:eastAsia="宋体" w:cs="宋体"/>
                <w:spacing w:val="-3"/>
                <w:sz w:val="24"/>
                <w:szCs w:val="24"/>
              </w:rPr>
              <w:t>度</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u w:val="single" w:color="auto"/>
              </w:rPr>
              <w:t>27</w:t>
            </w:r>
            <w:r>
              <w:rPr>
                <w:rFonts w:ascii="Times New Roman" w:hAnsi="Times New Roman" w:eastAsia="Times New Roman" w:cs="Times New Roman"/>
                <w:spacing w:val="12"/>
                <w:sz w:val="24"/>
                <w:szCs w:val="24"/>
                <w:u w:val="single" w:color="auto"/>
              </w:rPr>
              <w:t xml:space="preserve"> </w:t>
            </w:r>
            <w:r>
              <w:rPr>
                <w:rFonts w:ascii="宋体" w:hAnsi="宋体" w:eastAsia="宋体" w:cs="宋体"/>
                <w:spacing w:val="-3"/>
                <w:sz w:val="24"/>
                <w:szCs w:val="24"/>
              </w:rPr>
              <w:t>分</w:t>
            </w:r>
            <w:r>
              <w:rPr>
                <w:rFonts w:ascii="宋体" w:hAnsi="宋体" w:eastAsia="宋体" w:cs="宋体"/>
                <w:spacing w:val="-56"/>
                <w:sz w:val="24"/>
                <w:szCs w:val="24"/>
              </w:rPr>
              <w:t xml:space="preserve"> </w:t>
            </w:r>
            <w:r>
              <w:rPr>
                <w:rFonts w:ascii="Times New Roman" w:hAnsi="Times New Roman" w:eastAsia="Times New Roman" w:cs="Times New Roman"/>
                <w:spacing w:val="-3"/>
                <w:sz w:val="24"/>
                <w:szCs w:val="24"/>
                <w:u w:val="single" w:color="auto"/>
              </w:rPr>
              <w:t>49.525</w:t>
            </w:r>
            <w:r>
              <w:rPr>
                <w:rFonts w:ascii="Times New Roman" w:hAnsi="Times New Roman" w:eastAsia="Times New Roman" w:cs="Times New Roman"/>
                <w:spacing w:val="9"/>
                <w:sz w:val="24"/>
                <w:szCs w:val="24"/>
                <w:u w:val="single" w:color="auto"/>
              </w:rPr>
              <w:t xml:space="preserve"> </w:t>
            </w:r>
            <w:r>
              <w:rPr>
                <w:rFonts w:ascii="宋体" w:hAnsi="宋体" w:eastAsia="宋体" w:cs="宋体"/>
                <w:spacing w:val="-3"/>
                <w:sz w:val="24"/>
                <w:szCs w:val="24"/>
              </w:rPr>
              <w:t>秒）</w:t>
            </w:r>
          </w:p>
        </w:tc>
      </w:tr>
      <w:tr w14:paraId="58D94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6" w:hRule="atLeast"/>
        </w:trPr>
        <w:tc>
          <w:tcPr>
            <w:tcW w:w="1863" w:type="dxa"/>
            <w:tcBorders>
              <w:left w:val="single" w:color="000000" w:sz="6" w:space="0"/>
            </w:tcBorders>
            <w:vAlign w:val="top"/>
          </w:tcPr>
          <w:p w14:paraId="74FBAD78">
            <w:pPr>
              <w:spacing w:line="440" w:lineRule="auto"/>
              <w:rPr>
                <w:rFonts w:ascii="Arial"/>
                <w:sz w:val="21"/>
              </w:rPr>
            </w:pPr>
          </w:p>
          <w:p w14:paraId="00B94FF7">
            <w:pPr>
              <w:spacing w:before="78" w:line="360" w:lineRule="auto"/>
              <w:ind w:left="456" w:right="449" w:firstLine="19"/>
              <w:rPr>
                <w:rFonts w:ascii="宋体" w:hAnsi="宋体" w:eastAsia="宋体" w:cs="宋体"/>
                <w:sz w:val="24"/>
                <w:szCs w:val="24"/>
              </w:rPr>
            </w:pPr>
            <w:r>
              <w:rPr>
                <w:rFonts w:ascii="宋体" w:hAnsi="宋体" w:eastAsia="宋体" w:cs="宋体"/>
                <w:spacing w:val="-9"/>
                <w:sz w:val="24"/>
                <w:szCs w:val="24"/>
              </w:rPr>
              <w:t>国民经济</w:t>
            </w:r>
            <w:r>
              <w:rPr>
                <w:rFonts w:ascii="宋体" w:hAnsi="宋体" w:eastAsia="宋体" w:cs="宋体"/>
                <w:spacing w:val="-4"/>
                <w:sz w:val="24"/>
                <w:szCs w:val="24"/>
              </w:rPr>
              <w:t>行业类别</w:t>
            </w:r>
          </w:p>
        </w:tc>
        <w:tc>
          <w:tcPr>
            <w:tcW w:w="2199" w:type="dxa"/>
            <w:vAlign w:val="top"/>
          </w:tcPr>
          <w:p w14:paraId="6AE4F68B">
            <w:pPr>
              <w:spacing w:line="439" w:lineRule="auto"/>
              <w:rPr>
                <w:rFonts w:ascii="Arial"/>
                <w:sz w:val="21"/>
              </w:rPr>
            </w:pPr>
          </w:p>
          <w:p w14:paraId="6DB799EC">
            <w:pPr>
              <w:spacing w:before="78" w:line="361" w:lineRule="auto"/>
              <w:ind w:left="625" w:right="30" w:hanging="591"/>
              <w:rPr>
                <w:rFonts w:ascii="宋体" w:hAnsi="宋体" w:eastAsia="宋体" w:cs="宋体"/>
                <w:sz w:val="24"/>
                <w:szCs w:val="24"/>
              </w:rPr>
            </w:pPr>
            <w:r>
              <w:rPr>
                <w:rFonts w:ascii="Times New Roman" w:hAnsi="Times New Roman" w:eastAsia="Times New Roman" w:cs="Times New Roman"/>
                <w:spacing w:val="-1"/>
                <w:sz w:val="24"/>
                <w:szCs w:val="24"/>
              </w:rPr>
              <w:t xml:space="preserve">C2926 </w:t>
            </w:r>
            <w:r>
              <w:rPr>
                <w:rFonts w:ascii="宋体" w:hAnsi="宋体" w:eastAsia="宋体" w:cs="宋体"/>
                <w:spacing w:val="-1"/>
                <w:sz w:val="24"/>
                <w:szCs w:val="24"/>
              </w:rPr>
              <w:t>塑料包装箱及</w:t>
            </w:r>
            <w:r>
              <w:rPr>
                <w:rFonts w:ascii="宋体" w:hAnsi="宋体" w:eastAsia="宋体" w:cs="宋体"/>
                <w:spacing w:val="-4"/>
                <w:sz w:val="24"/>
                <w:szCs w:val="24"/>
              </w:rPr>
              <w:t>容器制造</w:t>
            </w:r>
          </w:p>
        </w:tc>
        <w:tc>
          <w:tcPr>
            <w:tcW w:w="1470" w:type="dxa"/>
            <w:vAlign w:val="top"/>
          </w:tcPr>
          <w:p w14:paraId="611B1AB0">
            <w:pPr>
              <w:spacing w:line="440" w:lineRule="auto"/>
              <w:rPr>
                <w:rFonts w:ascii="Arial"/>
                <w:sz w:val="21"/>
              </w:rPr>
            </w:pPr>
          </w:p>
          <w:p w14:paraId="6A810B46">
            <w:pPr>
              <w:spacing w:before="78" w:line="360" w:lineRule="auto"/>
              <w:ind w:left="265" w:right="252"/>
              <w:rPr>
                <w:rFonts w:ascii="宋体" w:hAnsi="宋体" w:eastAsia="宋体" w:cs="宋体"/>
                <w:sz w:val="24"/>
                <w:szCs w:val="24"/>
              </w:rPr>
            </w:pPr>
            <w:r>
              <w:rPr>
                <w:rFonts w:ascii="宋体" w:hAnsi="宋体" w:eastAsia="宋体" w:cs="宋体"/>
                <w:spacing w:val="-4"/>
                <w:sz w:val="24"/>
                <w:szCs w:val="24"/>
              </w:rPr>
              <w:t>建设项目行业类别</w:t>
            </w:r>
          </w:p>
        </w:tc>
        <w:tc>
          <w:tcPr>
            <w:tcW w:w="3340" w:type="dxa"/>
            <w:tcBorders>
              <w:right w:val="single" w:color="000000" w:sz="6" w:space="0"/>
            </w:tcBorders>
            <w:vAlign w:val="top"/>
          </w:tcPr>
          <w:p w14:paraId="5CFA2C55">
            <w:pPr>
              <w:spacing w:before="55" w:line="219" w:lineRule="auto"/>
              <w:ind w:left="238"/>
              <w:rPr>
                <w:rFonts w:ascii="宋体" w:hAnsi="宋体" w:eastAsia="宋体" w:cs="宋体"/>
                <w:sz w:val="24"/>
                <w:szCs w:val="24"/>
              </w:rPr>
            </w:pPr>
            <w:r>
              <w:rPr>
                <w:rFonts w:ascii="宋体" w:hAnsi="宋体" w:eastAsia="宋体" w:cs="宋体"/>
                <w:spacing w:val="-2"/>
                <w:sz w:val="24"/>
                <w:szCs w:val="24"/>
              </w:rPr>
              <w:t>二十六、橡胶和塑料制品业</w:t>
            </w:r>
          </w:p>
          <w:p w14:paraId="18FBF6EF">
            <w:pPr>
              <w:spacing w:before="180" w:line="359" w:lineRule="auto"/>
              <w:ind w:left="116" w:right="3" w:hanging="107"/>
              <w:rPr>
                <w:rFonts w:ascii="宋体" w:hAnsi="宋体" w:eastAsia="宋体" w:cs="宋体"/>
                <w:sz w:val="24"/>
                <w:szCs w:val="24"/>
              </w:rPr>
            </w:pPr>
            <w:r>
              <w:rPr>
                <w:rFonts w:ascii="Times New Roman" w:hAnsi="Times New Roman" w:eastAsia="Times New Roman" w:cs="Times New Roman"/>
                <w:spacing w:val="-8"/>
                <w:sz w:val="24"/>
                <w:szCs w:val="24"/>
              </w:rPr>
              <w:t>29-53</w:t>
            </w:r>
            <w:r>
              <w:rPr>
                <w:rFonts w:ascii="宋体" w:hAnsi="宋体" w:eastAsia="宋体" w:cs="宋体"/>
                <w:spacing w:val="-8"/>
                <w:sz w:val="24"/>
                <w:szCs w:val="24"/>
              </w:rPr>
              <w:t>、塑料制品业</w:t>
            </w:r>
            <w:r>
              <w:rPr>
                <w:rFonts w:ascii="宋体" w:hAnsi="宋体" w:eastAsia="宋体" w:cs="宋体"/>
                <w:spacing w:val="-53"/>
                <w:sz w:val="24"/>
                <w:szCs w:val="24"/>
              </w:rPr>
              <w:t xml:space="preserve"> </w:t>
            </w:r>
            <w:r>
              <w:rPr>
                <w:rFonts w:ascii="Times New Roman" w:hAnsi="Times New Roman" w:eastAsia="Times New Roman" w:cs="Times New Roman"/>
                <w:spacing w:val="-8"/>
                <w:sz w:val="24"/>
                <w:szCs w:val="24"/>
              </w:rPr>
              <w:t>292-</w:t>
            </w:r>
            <w:r>
              <w:rPr>
                <w:rFonts w:ascii="宋体" w:hAnsi="宋体" w:eastAsia="宋体" w:cs="宋体"/>
                <w:spacing w:val="-8"/>
                <w:sz w:val="24"/>
                <w:szCs w:val="24"/>
              </w:rPr>
              <w:t>其他（年</w:t>
            </w:r>
            <w:r>
              <w:rPr>
                <w:rFonts w:ascii="宋体" w:hAnsi="宋体" w:eastAsia="宋体" w:cs="宋体"/>
                <w:spacing w:val="4"/>
                <w:sz w:val="24"/>
                <w:szCs w:val="24"/>
              </w:rPr>
              <w:t>用非溶剂型低</w:t>
            </w:r>
            <w:r>
              <w:rPr>
                <w:rFonts w:ascii="宋体" w:hAnsi="宋体" w:eastAsia="宋体" w:cs="宋体"/>
                <w:spacing w:val="-53"/>
                <w:sz w:val="24"/>
                <w:szCs w:val="24"/>
              </w:rPr>
              <w:t xml:space="preserve"> </w:t>
            </w:r>
            <w:r>
              <w:rPr>
                <w:rFonts w:ascii="Times New Roman" w:hAnsi="Times New Roman" w:eastAsia="Times New Roman" w:cs="Times New Roman"/>
                <w:sz w:val="24"/>
                <w:szCs w:val="24"/>
              </w:rPr>
              <w:t>VOCs</w:t>
            </w:r>
            <w:r>
              <w:rPr>
                <w:rFonts w:ascii="宋体" w:hAnsi="宋体" w:eastAsia="宋体" w:cs="宋体"/>
                <w:spacing w:val="4"/>
                <w:sz w:val="24"/>
                <w:szCs w:val="24"/>
              </w:rPr>
              <w:t>含量涂料</w:t>
            </w:r>
          </w:p>
          <w:p w14:paraId="2224C291">
            <w:pPr>
              <w:spacing w:line="219" w:lineRule="auto"/>
              <w:ind w:left="702"/>
              <w:rPr>
                <w:rFonts w:ascii="宋体" w:hAnsi="宋体" w:eastAsia="宋体" w:cs="宋体"/>
                <w:sz w:val="24"/>
                <w:szCs w:val="24"/>
              </w:rPr>
            </w:pPr>
            <w:r>
              <w:rPr>
                <w:rFonts w:ascii="Times New Roman" w:hAnsi="Times New Roman" w:eastAsia="Times New Roman" w:cs="Times New Roman"/>
                <w:spacing w:val="-6"/>
                <w:sz w:val="24"/>
                <w:szCs w:val="24"/>
              </w:rPr>
              <w:t>10</w:t>
            </w:r>
            <w:r>
              <w:rPr>
                <w:rFonts w:ascii="Times New Roman" w:hAnsi="Times New Roman" w:eastAsia="Times New Roman" w:cs="Times New Roman"/>
                <w:spacing w:val="24"/>
                <w:w w:val="101"/>
                <w:sz w:val="24"/>
                <w:szCs w:val="24"/>
              </w:rPr>
              <w:t xml:space="preserve"> </w:t>
            </w:r>
            <w:r>
              <w:rPr>
                <w:rFonts w:ascii="宋体" w:hAnsi="宋体" w:eastAsia="宋体" w:cs="宋体"/>
                <w:spacing w:val="-6"/>
                <w:sz w:val="24"/>
                <w:szCs w:val="24"/>
              </w:rPr>
              <w:t>吨以下的除外）</w:t>
            </w:r>
          </w:p>
        </w:tc>
      </w:tr>
      <w:tr w14:paraId="1E282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4" w:hRule="atLeast"/>
        </w:trPr>
        <w:tc>
          <w:tcPr>
            <w:tcW w:w="1863" w:type="dxa"/>
            <w:tcBorders>
              <w:left w:val="single" w:color="000000" w:sz="6" w:space="0"/>
            </w:tcBorders>
            <w:vAlign w:val="top"/>
          </w:tcPr>
          <w:p w14:paraId="6670EE03">
            <w:pPr>
              <w:spacing w:line="266" w:lineRule="auto"/>
              <w:rPr>
                <w:rFonts w:ascii="Arial"/>
                <w:sz w:val="21"/>
              </w:rPr>
            </w:pPr>
          </w:p>
          <w:p w14:paraId="3F93647A">
            <w:pPr>
              <w:spacing w:line="266" w:lineRule="auto"/>
              <w:rPr>
                <w:rFonts w:ascii="Arial"/>
                <w:sz w:val="21"/>
              </w:rPr>
            </w:pPr>
          </w:p>
          <w:p w14:paraId="19A61C34">
            <w:pPr>
              <w:spacing w:line="266" w:lineRule="auto"/>
              <w:rPr>
                <w:rFonts w:ascii="Arial"/>
                <w:sz w:val="21"/>
              </w:rPr>
            </w:pPr>
          </w:p>
          <w:p w14:paraId="5CE381DF">
            <w:pPr>
              <w:spacing w:before="78" w:line="220" w:lineRule="auto"/>
              <w:ind w:left="455"/>
              <w:rPr>
                <w:rFonts w:ascii="宋体" w:hAnsi="宋体" w:eastAsia="宋体" w:cs="宋体"/>
                <w:sz w:val="24"/>
                <w:szCs w:val="24"/>
              </w:rPr>
            </w:pPr>
            <w:r>
              <w:rPr>
                <w:rFonts w:ascii="宋体" w:hAnsi="宋体" w:eastAsia="宋体" w:cs="宋体"/>
                <w:spacing w:val="-4"/>
                <w:sz w:val="24"/>
                <w:szCs w:val="24"/>
              </w:rPr>
              <w:t>建设性质</w:t>
            </w:r>
          </w:p>
        </w:tc>
        <w:tc>
          <w:tcPr>
            <w:tcW w:w="2199" w:type="dxa"/>
            <w:vAlign w:val="top"/>
          </w:tcPr>
          <w:p w14:paraId="7ACFE3D3">
            <w:pPr>
              <w:spacing w:before="180" w:line="352" w:lineRule="auto"/>
              <w:ind w:left="16" w:right="564" w:firstLine="3"/>
              <w:rPr>
                <w:rFonts w:ascii="宋体" w:hAnsi="宋体" w:eastAsia="宋体" w:cs="宋体"/>
                <w:sz w:val="24"/>
                <w:szCs w:val="24"/>
              </w:rPr>
            </w:pPr>
            <w:r>
              <w:rPr>
                <w:rFonts w:ascii="MS Gothic" w:hAnsi="MS Gothic" w:eastAsia="MS Gothic" w:cs="MS Gothic"/>
                <w:spacing w:val="-10"/>
                <w:sz w:val="24"/>
                <w:szCs w:val="24"/>
              </w:rPr>
              <w:t>□</w:t>
            </w:r>
            <w:r>
              <w:rPr>
                <w:rFonts w:ascii="宋体" w:hAnsi="宋体" w:eastAsia="宋体" w:cs="宋体"/>
                <w:spacing w:val="-10"/>
                <w:sz w:val="24"/>
                <w:szCs w:val="24"/>
              </w:rPr>
              <w:t>新建（迁建）</w:t>
            </w:r>
            <w:r>
              <w:rPr>
                <w:rFonts w:ascii="宋体" w:hAnsi="宋体" w:eastAsia="宋体" w:cs="宋体"/>
                <w:sz w:val="24"/>
                <w:szCs w:val="24"/>
              </w:rPr>
              <w:t xml:space="preserve"> </w:t>
            </w:r>
            <w:r>
              <w:rPr>
                <w:rFonts w:ascii="Times New Roman" w:hAnsi="Times New Roman" w:eastAsia="Times New Roman" w:cs="Times New Roman"/>
                <w:spacing w:val="-12"/>
                <w:sz w:val="24"/>
                <w:szCs w:val="24"/>
              </w:rPr>
              <w:t>□</w:t>
            </w:r>
            <w:r>
              <w:rPr>
                <w:rFonts w:ascii="Times New Roman" w:hAnsi="Times New Roman" w:eastAsia="Times New Roman" w:cs="Times New Roman"/>
                <w:spacing w:val="-44"/>
                <w:sz w:val="24"/>
                <w:szCs w:val="24"/>
              </w:rPr>
              <w:t xml:space="preserve"> </w:t>
            </w:r>
            <w:r>
              <w:rPr>
                <w:rFonts w:ascii="宋体" w:hAnsi="宋体" w:eastAsia="宋体" w:cs="宋体"/>
                <w:spacing w:val="-12"/>
                <w:sz w:val="24"/>
                <w:szCs w:val="24"/>
              </w:rPr>
              <w:t>改建</w:t>
            </w:r>
          </w:p>
          <w:p w14:paraId="2F936A7B">
            <w:pPr>
              <w:spacing w:before="18" w:line="231" w:lineRule="auto"/>
              <w:ind w:left="19"/>
              <w:rPr>
                <w:rFonts w:ascii="宋体" w:hAnsi="宋体" w:eastAsia="宋体" w:cs="宋体"/>
                <w:sz w:val="24"/>
                <w:szCs w:val="24"/>
              </w:rPr>
            </w:pPr>
            <w:r>
              <w:rPr>
                <w:rFonts w:ascii="MS Gothic" w:hAnsi="MS Gothic" w:eastAsia="MS Gothic" w:cs="MS Gothic"/>
                <w:spacing w:val="-17"/>
                <w:sz w:val="24"/>
                <w:szCs w:val="24"/>
              </w:rPr>
              <w:t>☑</w:t>
            </w:r>
            <w:r>
              <w:rPr>
                <w:rFonts w:ascii="宋体" w:hAnsi="宋体" w:eastAsia="宋体" w:cs="宋体"/>
                <w:spacing w:val="-17"/>
                <w:sz w:val="24"/>
                <w:szCs w:val="24"/>
              </w:rPr>
              <w:t>扩建</w:t>
            </w:r>
          </w:p>
          <w:p w14:paraId="3D919956">
            <w:pPr>
              <w:spacing w:before="165" w:line="219" w:lineRule="auto"/>
              <w:ind w:left="16"/>
              <w:rPr>
                <w:rFonts w:ascii="宋体" w:hAnsi="宋体" w:eastAsia="宋体" w:cs="宋体"/>
                <w:sz w:val="24"/>
                <w:szCs w:val="24"/>
              </w:rPr>
            </w:pPr>
            <w:r>
              <w:rPr>
                <w:rFonts w:ascii="Times New Roman" w:hAnsi="Times New Roman" w:eastAsia="Times New Roman" w:cs="Times New Roman"/>
                <w:spacing w:val="-4"/>
                <w:sz w:val="24"/>
                <w:szCs w:val="24"/>
              </w:rPr>
              <w:t>□</w:t>
            </w:r>
            <w:r>
              <w:rPr>
                <w:rFonts w:ascii="宋体" w:hAnsi="宋体" w:eastAsia="宋体" w:cs="宋体"/>
                <w:spacing w:val="-4"/>
                <w:sz w:val="24"/>
                <w:szCs w:val="24"/>
              </w:rPr>
              <w:t>技术改造</w:t>
            </w:r>
          </w:p>
        </w:tc>
        <w:tc>
          <w:tcPr>
            <w:tcW w:w="1470" w:type="dxa"/>
            <w:vAlign w:val="top"/>
          </w:tcPr>
          <w:p w14:paraId="6DF19F9B">
            <w:pPr>
              <w:spacing w:line="283" w:lineRule="auto"/>
              <w:rPr>
                <w:rFonts w:ascii="Arial"/>
                <w:sz w:val="21"/>
              </w:rPr>
            </w:pPr>
          </w:p>
          <w:p w14:paraId="44D1C57E">
            <w:pPr>
              <w:spacing w:line="284" w:lineRule="auto"/>
              <w:rPr>
                <w:rFonts w:ascii="Arial"/>
                <w:sz w:val="21"/>
              </w:rPr>
            </w:pPr>
          </w:p>
          <w:p w14:paraId="2CAAE59D">
            <w:pPr>
              <w:spacing w:before="78" w:line="360" w:lineRule="auto"/>
              <w:ind w:left="293" w:right="252" w:hanging="28"/>
              <w:rPr>
                <w:rFonts w:ascii="宋体" w:hAnsi="宋体" w:eastAsia="宋体" w:cs="宋体"/>
                <w:sz w:val="24"/>
                <w:szCs w:val="24"/>
              </w:rPr>
            </w:pPr>
            <w:r>
              <w:rPr>
                <w:rFonts w:ascii="宋体" w:hAnsi="宋体" w:eastAsia="宋体" w:cs="宋体"/>
                <w:spacing w:val="-4"/>
                <w:sz w:val="24"/>
                <w:szCs w:val="24"/>
              </w:rPr>
              <w:t>建设项目</w:t>
            </w:r>
            <w:r>
              <w:rPr>
                <w:rFonts w:ascii="宋体" w:hAnsi="宋体" w:eastAsia="宋体" w:cs="宋体"/>
                <w:spacing w:val="-11"/>
                <w:sz w:val="24"/>
                <w:szCs w:val="24"/>
              </w:rPr>
              <w:t>申报情形</w:t>
            </w:r>
          </w:p>
        </w:tc>
        <w:tc>
          <w:tcPr>
            <w:tcW w:w="3340" w:type="dxa"/>
            <w:tcBorders>
              <w:right w:val="single" w:color="000000" w:sz="6" w:space="0"/>
            </w:tcBorders>
            <w:vAlign w:val="top"/>
          </w:tcPr>
          <w:p w14:paraId="42447D61">
            <w:pPr>
              <w:spacing w:before="180" w:line="230" w:lineRule="auto"/>
              <w:ind w:left="24"/>
              <w:rPr>
                <w:rFonts w:ascii="宋体" w:hAnsi="宋体" w:eastAsia="宋体" w:cs="宋体"/>
                <w:sz w:val="24"/>
                <w:szCs w:val="24"/>
              </w:rPr>
            </w:pPr>
            <w:r>
              <w:rPr>
                <w:rFonts w:ascii="MS Gothic" w:hAnsi="MS Gothic" w:eastAsia="MS Gothic" w:cs="MS Gothic"/>
                <w:spacing w:val="-7"/>
                <w:sz w:val="24"/>
                <w:szCs w:val="24"/>
              </w:rPr>
              <w:t>☑</w:t>
            </w:r>
            <w:r>
              <w:rPr>
                <w:rFonts w:ascii="宋体" w:hAnsi="宋体" w:eastAsia="宋体" w:cs="宋体"/>
                <w:spacing w:val="-7"/>
                <w:sz w:val="24"/>
                <w:szCs w:val="24"/>
              </w:rPr>
              <w:t>首次申报项目</w:t>
            </w:r>
          </w:p>
          <w:p w14:paraId="779915DF">
            <w:pPr>
              <w:spacing w:before="166" w:line="219" w:lineRule="auto"/>
              <w:ind w:left="21"/>
              <w:rPr>
                <w:rFonts w:ascii="宋体" w:hAnsi="宋体" w:eastAsia="宋体" w:cs="宋体"/>
                <w:sz w:val="24"/>
                <w:szCs w:val="24"/>
              </w:rPr>
            </w:pPr>
            <w:r>
              <w:rPr>
                <w:rFonts w:ascii="Times New Roman" w:hAnsi="Times New Roman" w:eastAsia="Times New Roman" w:cs="Times New Roman"/>
                <w:spacing w:val="-2"/>
                <w:sz w:val="24"/>
                <w:szCs w:val="24"/>
              </w:rPr>
              <w:t>□</w:t>
            </w:r>
            <w:r>
              <w:rPr>
                <w:rFonts w:ascii="宋体" w:hAnsi="宋体" w:eastAsia="宋体" w:cs="宋体"/>
                <w:spacing w:val="-2"/>
                <w:sz w:val="24"/>
                <w:szCs w:val="24"/>
              </w:rPr>
              <w:t>不予批准后再次申报项目</w:t>
            </w:r>
          </w:p>
          <w:p w14:paraId="6FA03F0D">
            <w:pPr>
              <w:spacing w:before="183" w:line="230" w:lineRule="auto"/>
              <w:ind w:left="24"/>
              <w:rPr>
                <w:rFonts w:ascii="宋体" w:hAnsi="宋体" w:eastAsia="宋体" w:cs="宋体"/>
                <w:sz w:val="24"/>
                <w:szCs w:val="24"/>
              </w:rPr>
            </w:pPr>
            <w:r>
              <w:rPr>
                <w:rFonts w:ascii="MS Gothic" w:hAnsi="MS Gothic" w:eastAsia="MS Gothic" w:cs="MS Gothic"/>
                <w:spacing w:val="-5"/>
                <w:sz w:val="24"/>
                <w:szCs w:val="24"/>
              </w:rPr>
              <w:t>□</w:t>
            </w:r>
            <w:r>
              <w:rPr>
                <w:rFonts w:ascii="宋体" w:hAnsi="宋体" w:eastAsia="宋体" w:cs="宋体"/>
                <w:spacing w:val="-5"/>
                <w:sz w:val="24"/>
                <w:szCs w:val="24"/>
              </w:rPr>
              <w:t>超五年重新审核项目</w:t>
            </w:r>
          </w:p>
          <w:p w14:paraId="4392CD1A">
            <w:pPr>
              <w:spacing w:before="166" w:line="232" w:lineRule="auto"/>
              <w:ind w:left="24"/>
              <w:rPr>
                <w:rFonts w:ascii="宋体" w:hAnsi="宋体" w:eastAsia="宋体" w:cs="宋体"/>
                <w:sz w:val="24"/>
                <w:szCs w:val="24"/>
              </w:rPr>
            </w:pPr>
            <w:r>
              <w:rPr>
                <w:rFonts w:ascii="MS Gothic" w:hAnsi="MS Gothic" w:eastAsia="MS Gothic" w:cs="MS Gothic"/>
                <w:spacing w:val="-5"/>
                <w:sz w:val="24"/>
                <w:szCs w:val="24"/>
              </w:rPr>
              <w:t>□</w:t>
            </w:r>
            <w:r>
              <w:rPr>
                <w:rFonts w:ascii="宋体" w:hAnsi="宋体" w:eastAsia="宋体" w:cs="宋体"/>
                <w:spacing w:val="-5"/>
                <w:sz w:val="24"/>
                <w:szCs w:val="24"/>
              </w:rPr>
              <w:t>重大变动重新报批项目</w:t>
            </w:r>
          </w:p>
        </w:tc>
      </w:tr>
      <w:tr w14:paraId="1B862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0" w:hRule="atLeast"/>
        </w:trPr>
        <w:tc>
          <w:tcPr>
            <w:tcW w:w="1863" w:type="dxa"/>
            <w:tcBorders>
              <w:left w:val="single" w:color="000000" w:sz="6" w:space="0"/>
            </w:tcBorders>
            <w:vAlign w:val="top"/>
          </w:tcPr>
          <w:p w14:paraId="606370CB">
            <w:pPr>
              <w:spacing w:before="293" w:line="360" w:lineRule="auto"/>
              <w:ind w:left="23" w:firstLine="37"/>
              <w:rPr>
                <w:rFonts w:ascii="宋体" w:hAnsi="宋体" w:eastAsia="宋体" w:cs="宋体"/>
                <w:sz w:val="24"/>
                <w:szCs w:val="24"/>
              </w:rPr>
            </w:pPr>
            <w:r>
              <w:rPr>
                <w:rFonts w:ascii="宋体" w:hAnsi="宋体" w:eastAsia="宋体" w:cs="宋体"/>
                <w:spacing w:val="-11"/>
                <w:sz w:val="24"/>
                <w:szCs w:val="24"/>
              </w:rPr>
              <w:t>项目审批（核准</w:t>
            </w:r>
            <w:r>
              <w:rPr>
                <w:rFonts w:ascii="Times New Roman" w:hAnsi="Times New Roman" w:eastAsia="Times New Roman" w:cs="Times New Roman"/>
                <w:spacing w:val="-11"/>
                <w:sz w:val="24"/>
                <w:szCs w:val="24"/>
              </w:rPr>
              <w:t>/</w:t>
            </w:r>
            <w:r>
              <w:rPr>
                <w:rFonts w:ascii="宋体" w:hAnsi="宋体" w:eastAsia="宋体" w:cs="宋体"/>
                <w:spacing w:val="-37"/>
                <w:sz w:val="24"/>
                <w:szCs w:val="24"/>
              </w:rPr>
              <w:t>备案）部门（选填）</w:t>
            </w:r>
          </w:p>
        </w:tc>
        <w:tc>
          <w:tcPr>
            <w:tcW w:w="2199" w:type="dxa"/>
            <w:vAlign w:val="top"/>
          </w:tcPr>
          <w:p w14:paraId="211CC191">
            <w:pPr>
              <w:spacing w:before="293" w:line="360" w:lineRule="auto"/>
              <w:ind w:left="386" w:right="20" w:hanging="359"/>
              <w:rPr>
                <w:rFonts w:ascii="宋体" w:hAnsi="宋体" w:eastAsia="宋体" w:cs="宋体"/>
                <w:sz w:val="24"/>
                <w:szCs w:val="24"/>
              </w:rPr>
            </w:pPr>
            <w:r>
              <w:rPr>
                <w:rFonts w:ascii="宋体" w:hAnsi="宋体" w:eastAsia="宋体" w:cs="宋体"/>
                <w:spacing w:val="-2"/>
                <w:sz w:val="24"/>
                <w:szCs w:val="24"/>
              </w:rPr>
              <w:t>寻甸回族彝族自治县</w:t>
            </w:r>
            <w:r>
              <w:rPr>
                <w:rFonts w:ascii="宋体" w:hAnsi="宋体" w:eastAsia="宋体" w:cs="宋体"/>
                <w:spacing w:val="-3"/>
                <w:sz w:val="24"/>
                <w:szCs w:val="24"/>
              </w:rPr>
              <w:t>发展和改革局</w:t>
            </w:r>
          </w:p>
        </w:tc>
        <w:tc>
          <w:tcPr>
            <w:tcW w:w="1470" w:type="dxa"/>
            <w:vAlign w:val="top"/>
          </w:tcPr>
          <w:p w14:paraId="025BBC09">
            <w:pPr>
              <w:spacing w:before="59" w:line="220" w:lineRule="auto"/>
              <w:ind w:left="26"/>
              <w:rPr>
                <w:rFonts w:ascii="宋体" w:hAnsi="宋体" w:eastAsia="宋体" w:cs="宋体"/>
                <w:sz w:val="24"/>
                <w:szCs w:val="24"/>
              </w:rPr>
            </w:pPr>
            <w:r>
              <w:rPr>
                <w:rFonts w:ascii="宋体" w:hAnsi="宋体" w:eastAsia="宋体" w:cs="宋体"/>
                <w:spacing w:val="-3"/>
                <w:sz w:val="24"/>
                <w:szCs w:val="24"/>
              </w:rPr>
              <w:t>项目审批（核</w:t>
            </w:r>
          </w:p>
          <w:p w14:paraId="63F426ED">
            <w:pPr>
              <w:spacing w:before="179" w:line="220" w:lineRule="auto"/>
              <w:jc w:val="right"/>
              <w:rPr>
                <w:rFonts w:ascii="宋体" w:hAnsi="宋体" w:eastAsia="宋体" w:cs="宋体"/>
                <w:sz w:val="24"/>
                <w:szCs w:val="24"/>
              </w:rPr>
            </w:pPr>
            <w:r>
              <w:rPr>
                <w:rFonts w:ascii="宋体" w:hAnsi="宋体" w:eastAsia="宋体" w:cs="宋体"/>
                <w:spacing w:val="-9"/>
                <w:sz w:val="24"/>
                <w:szCs w:val="24"/>
              </w:rPr>
              <w:t>准</w:t>
            </w:r>
            <w:r>
              <w:rPr>
                <w:rFonts w:ascii="Times New Roman" w:hAnsi="Times New Roman" w:eastAsia="Times New Roman" w:cs="Times New Roman"/>
                <w:spacing w:val="-9"/>
                <w:sz w:val="24"/>
                <w:szCs w:val="24"/>
              </w:rPr>
              <w:t>/</w:t>
            </w:r>
            <w:r>
              <w:rPr>
                <w:rFonts w:ascii="宋体" w:hAnsi="宋体" w:eastAsia="宋体" w:cs="宋体"/>
                <w:spacing w:val="-9"/>
                <w:sz w:val="24"/>
                <w:szCs w:val="24"/>
              </w:rPr>
              <w:t>备案）文号</w:t>
            </w:r>
          </w:p>
          <w:p w14:paraId="645480DF">
            <w:pPr>
              <w:spacing w:before="182" w:line="220" w:lineRule="auto"/>
              <w:ind w:left="273"/>
              <w:rPr>
                <w:rFonts w:ascii="宋体" w:hAnsi="宋体" w:eastAsia="宋体" w:cs="宋体"/>
                <w:sz w:val="24"/>
                <w:szCs w:val="24"/>
              </w:rPr>
            </w:pPr>
            <w:r>
              <w:rPr>
                <w:rFonts w:ascii="宋体" w:hAnsi="宋体" w:eastAsia="宋体" w:cs="宋体"/>
                <w:spacing w:val="-6"/>
                <w:sz w:val="24"/>
                <w:szCs w:val="24"/>
              </w:rPr>
              <w:t>（选填）</w:t>
            </w:r>
          </w:p>
        </w:tc>
        <w:tc>
          <w:tcPr>
            <w:tcW w:w="3340" w:type="dxa"/>
            <w:tcBorders>
              <w:right w:val="single" w:color="000000" w:sz="6" w:space="0"/>
            </w:tcBorders>
            <w:vAlign w:val="top"/>
          </w:tcPr>
          <w:p w14:paraId="44C04EE4">
            <w:pPr>
              <w:spacing w:line="252" w:lineRule="auto"/>
              <w:rPr>
                <w:rFonts w:ascii="Arial"/>
                <w:sz w:val="21"/>
              </w:rPr>
            </w:pPr>
          </w:p>
          <w:p w14:paraId="3D04FCAE">
            <w:pPr>
              <w:spacing w:line="252" w:lineRule="auto"/>
              <w:rPr>
                <w:rFonts w:ascii="Arial"/>
                <w:sz w:val="21"/>
              </w:rPr>
            </w:pPr>
          </w:p>
          <w:p w14:paraId="4A02DE01">
            <w:pPr>
              <w:spacing w:before="69" w:line="188" w:lineRule="auto"/>
              <w:ind w:left="309"/>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2607-530129-04-01-216755</w:t>
            </w:r>
          </w:p>
        </w:tc>
      </w:tr>
      <w:tr w14:paraId="06BF0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4" w:hRule="atLeast"/>
        </w:trPr>
        <w:tc>
          <w:tcPr>
            <w:tcW w:w="1863" w:type="dxa"/>
            <w:tcBorders>
              <w:left w:val="single" w:color="000000" w:sz="6" w:space="0"/>
            </w:tcBorders>
            <w:vAlign w:val="top"/>
          </w:tcPr>
          <w:p w14:paraId="05B1B2BA">
            <w:pPr>
              <w:spacing w:before="295" w:line="220" w:lineRule="auto"/>
              <w:ind w:left="99"/>
              <w:rPr>
                <w:rFonts w:ascii="宋体" w:hAnsi="宋体" w:eastAsia="宋体" w:cs="宋体"/>
                <w:sz w:val="24"/>
                <w:szCs w:val="24"/>
              </w:rPr>
            </w:pPr>
            <w:r>
              <w:rPr>
                <w:rFonts w:ascii="宋体" w:hAnsi="宋体" w:eastAsia="宋体" w:cs="宋体"/>
                <w:spacing w:val="-3"/>
                <w:sz w:val="24"/>
                <w:szCs w:val="24"/>
              </w:rPr>
              <w:t>总投资（万元）</w:t>
            </w:r>
          </w:p>
        </w:tc>
        <w:tc>
          <w:tcPr>
            <w:tcW w:w="2199" w:type="dxa"/>
            <w:vAlign w:val="top"/>
          </w:tcPr>
          <w:p w14:paraId="5EC807CD">
            <w:pPr>
              <w:spacing w:line="273" w:lineRule="auto"/>
              <w:rPr>
                <w:rFonts w:ascii="Arial"/>
                <w:sz w:val="21"/>
              </w:rPr>
            </w:pPr>
          </w:p>
          <w:p w14:paraId="713598A7">
            <w:pPr>
              <w:spacing w:before="69" w:line="188" w:lineRule="auto"/>
              <w:ind w:left="925"/>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550</w:t>
            </w:r>
          </w:p>
        </w:tc>
        <w:tc>
          <w:tcPr>
            <w:tcW w:w="1470" w:type="dxa"/>
            <w:vAlign w:val="top"/>
          </w:tcPr>
          <w:p w14:paraId="4E99A4A8">
            <w:pPr>
              <w:spacing w:before="62" w:line="220" w:lineRule="auto"/>
              <w:ind w:left="22"/>
              <w:rPr>
                <w:rFonts w:ascii="宋体" w:hAnsi="宋体" w:eastAsia="宋体" w:cs="宋体"/>
                <w:sz w:val="24"/>
                <w:szCs w:val="24"/>
              </w:rPr>
            </w:pPr>
            <w:r>
              <w:rPr>
                <w:rFonts w:ascii="宋体" w:hAnsi="宋体" w:eastAsia="宋体" w:cs="宋体"/>
                <w:spacing w:val="-2"/>
                <w:sz w:val="24"/>
                <w:szCs w:val="24"/>
              </w:rPr>
              <w:t>环保投资（万</w:t>
            </w:r>
          </w:p>
          <w:p w14:paraId="2F693A95">
            <w:pPr>
              <w:spacing w:before="179" w:line="220" w:lineRule="auto"/>
              <w:ind w:left="504"/>
              <w:rPr>
                <w:rFonts w:ascii="宋体" w:hAnsi="宋体" w:eastAsia="宋体" w:cs="宋体"/>
                <w:sz w:val="24"/>
                <w:szCs w:val="24"/>
              </w:rPr>
            </w:pPr>
            <w:r>
              <w:rPr>
                <w:rFonts w:ascii="宋体" w:hAnsi="宋体" w:eastAsia="宋体" w:cs="宋体"/>
                <w:spacing w:val="-6"/>
                <w:sz w:val="24"/>
                <w:szCs w:val="24"/>
              </w:rPr>
              <w:t>元）</w:t>
            </w:r>
          </w:p>
        </w:tc>
        <w:tc>
          <w:tcPr>
            <w:tcW w:w="3340" w:type="dxa"/>
            <w:tcBorders>
              <w:right w:val="single" w:color="000000" w:sz="6" w:space="0"/>
            </w:tcBorders>
            <w:vAlign w:val="top"/>
          </w:tcPr>
          <w:p w14:paraId="50DEA644">
            <w:pPr>
              <w:spacing w:line="273" w:lineRule="auto"/>
              <w:rPr>
                <w:rFonts w:ascii="Arial"/>
                <w:sz w:val="21"/>
              </w:rPr>
            </w:pPr>
          </w:p>
          <w:p w14:paraId="602D4937">
            <w:pPr>
              <w:spacing w:before="69" w:line="188" w:lineRule="auto"/>
              <w:ind w:left="1487"/>
              <w:rPr>
                <w:rFonts w:ascii="Times New Roman" w:hAnsi="Times New Roman" w:eastAsia="Times New Roman" w:cs="Times New Roman"/>
                <w:sz w:val="24"/>
                <w:szCs w:val="24"/>
              </w:rPr>
            </w:pPr>
            <w:r>
              <w:rPr>
                <w:rFonts w:ascii="Times New Roman" w:hAnsi="Times New Roman" w:eastAsia="Times New Roman" w:cs="Times New Roman"/>
                <w:spacing w:val="-9"/>
                <w:sz w:val="24"/>
                <w:szCs w:val="24"/>
              </w:rPr>
              <w:t>11.7</w:t>
            </w:r>
          </w:p>
        </w:tc>
      </w:tr>
      <w:tr w14:paraId="52125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4" w:hRule="atLeast"/>
        </w:trPr>
        <w:tc>
          <w:tcPr>
            <w:tcW w:w="1863" w:type="dxa"/>
            <w:tcBorders>
              <w:left w:val="single" w:color="000000" w:sz="6" w:space="0"/>
            </w:tcBorders>
            <w:vAlign w:val="top"/>
          </w:tcPr>
          <w:p w14:paraId="64722EF4">
            <w:pPr>
              <w:spacing w:before="61" w:line="220" w:lineRule="auto"/>
              <w:ind w:left="212"/>
              <w:rPr>
                <w:rFonts w:ascii="宋体" w:hAnsi="宋体" w:eastAsia="宋体" w:cs="宋体"/>
                <w:sz w:val="24"/>
                <w:szCs w:val="24"/>
              </w:rPr>
            </w:pPr>
            <w:r>
              <w:rPr>
                <w:rFonts w:ascii="宋体" w:hAnsi="宋体" w:eastAsia="宋体" w:cs="宋体"/>
                <w:spacing w:val="-2"/>
                <w:sz w:val="24"/>
                <w:szCs w:val="24"/>
              </w:rPr>
              <w:t>环保投资占比</w:t>
            </w:r>
          </w:p>
          <w:p w14:paraId="2E203A86">
            <w:pPr>
              <w:spacing w:before="178" w:line="232" w:lineRule="auto"/>
              <w:ind w:left="603"/>
              <w:rPr>
                <w:rFonts w:ascii="宋体" w:hAnsi="宋体" w:eastAsia="宋体" w:cs="宋体"/>
                <w:sz w:val="24"/>
                <w:szCs w:val="24"/>
              </w:rPr>
            </w:pPr>
            <w:r>
              <w:rPr>
                <w:rFonts w:ascii="宋体" w:hAnsi="宋体" w:eastAsia="宋体" w:cs="宋体"/>
                <w:spacing w:val="-7"/>
                <w:sz w:val="24"/>
                <w:szCs w:val="24"/>
              </w:rPr>
              <w:t>（</w:t>
            </w:r>
            <w:r>
              <w:rPr>
                <w:rFonts w:ascii="Times New Roman" w:hAnsi="Times New Roman" w:eastAsia="Times New Roman" w:cs="Times New Roman"/>
                <w:spacing w:val="-7"/>
                <w:sz w:val="24"/>
                <w:szCs w:val="24"/>
              </w:rPr>
              <w:t>%</w:t>
            </w:r>
            <w:r>
              <w:rPr>
                <w:rFonts w:ascii="宋体" w:hAnsi="宋体" w:eastAsia="宋体" w:cs="宋体"/>
                <w:spacing w:val="-7"/>
                <w:sz w:val="24"/>
                <w:szCs w:val="24"/>
              </w:rPr>
              <w:t>）</w:t>
            </w:r>
          </w:p>
        </w:tc>
        <w:tc>
          <w:tcPr>
            <w:tcW w:w="2199" w:type="dxa"/>
            <w:vAlign w:val="top"/>
          </w:tcPr>
          <w:p w14:paraId="0BDAAA9F">
            <w:pPr>
              <w:spacing w:line="274" w:lineRule="auto"/>
              <w:rPr>
                <w:rFonts w:ascii="Arial"/>
                <w:sz w:val="21"/>
              </w:rPr>
            </w:pPr>
          </w:p>
          <w:p w14:paraId="34130B52">
            <w:pPr>
              <w:spacing w:before="69" w:line="188" w:lineRule="auto"/>
              <w:ind w:left="889"/>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2.13</w:t>
            </w:r>
          </w:p>
        </w:tc>
        <w:tc>
          <w:tcPr>
            <w:tcW w:w="1470" w:type="dxa"/>
            <w:vAlign w:val="top"/>
          </w:tcPr>
          <w:p w14:paraId="1E6F438C">
            <w:pPr>
              <w:spacing w:before="294" w:line="220" w:lineRule="auto"/>
              <w:ind w:left="261"/>
              <w:rPr>
                <w:rFonts w:ascii="宋体" w:hAnsi="宋体" w:eastAsia="宋体" w:cs="宋体"/>
                <w:sz w:val="24"/>
                <w:szCs w:val="24"/>
              </w:rPr>
            </w:pPr>
            <w:r>
              <w:rPr>
                <w:rFonts w:ascii="宋体" w:hAnsi="宋体" w:eastAsia="宋体" w:cs="宋体"/>
                <w:spacing w:val="-3"/>
                <w:sz w:val="24"/>
                <w:szCs w:val="24"/>
              </w:rPr>
              <w:t>施工工期</w:t>
            </w:r>
          </w:p>
        </w:tc>
        <w:tc>
          <w:tcPr>
            <w:tcW w:w="3340" w:type="dxa"/>
            <w:tcBorders>
              <w:right w:val="single" w:color="000000" w:sz="6" w:space="0"/>
            </w:tcBorders>
            <w:vAlign w:val="top"/>
          </w:tcPr>
          <w:p w14:paraId="5001ACFD">
            <w:pPr>
              <w:spacing w:before="294" w:line="219" w:lineRule="auto"/>
              <w:ind w:left="1362"/>
              <w:rPr>
                <w:rFonts w:ascii="宋体" w:hAnsi="宋体" w:eastAsia="宋体" w:cs="宋体"/>
                <w:sz w:val="24"/>
                <w:szCs w:val="24"/>
              </w:rPr>
            </w:pPr>
            <w:r>
              <w:rPr>
                <w:rFonts w:ascii="Times New Roman" w:hAnsi="Times New Roman" w:eastAsia="Times New Roman" w:cs="Times New Roman"/>
                <w:spacing w:val="-13"/>
                <w:sz w:val="24"/>
                <w:szCs w:val="24"/>
              </w:rPr>
              <w:t>1</w:t>
            </w:r>
            <w:r>
              <w:rPr>
                <w:rFonts w:ascii="Times New Roman" w:hAnsi="Times New Roman" w:eastAsia="Times New Roman" w:cs="Times New Roman"/>
                <w:spacing w:val="9"/>
                <w:sz w:val="24"/>
                <w:szCs w:val="24"/>
              </w:rPr>
              <w:t xml:space="preserve"> </w:t>
            </w:r>
            <w:r>
              <w:rPr>
                <w:rFonts w:ascii="宋体" w:hAnsi="宋体" w:eastAsia="宋体" w:cs="宋体"/>
                <w:spacing w:val="-13"/>
                <w:sz w:val="24"/>
                <w:szCs w:val="24"/>
              </w:rPr>
              <w:t>个月</w:t>
            </w:r>
          </w:p>
        </w:tc>
      </w:tr>
      <w:tr w14:paraId="668CC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3" w:hRule="atLeast"/>
        </w:trPr>
        <w:tc>
          <w:tcPr>
            <w:tcW w:w="1863" w:type="dxa"/>
            <w:tcBorders>
              <w:left w:val="single" w:color="000000" w:sz="6" w:space="0"/>
            </w:tcBorders>
            <w:vAlign w:val="top"/>
          </w:tcPr>
          <w:p w14:paraId="55B8B5B2">
            <w:pPr>
              <w:spacing w:before="295" w:line="220" w:lineRule="auto"/>
              <w:ind w:left="216"/>
              <w:rPr>
                <w:rFonts w:ascii="宋体" w:hAnsi="宋体" w:eastAsia="宋体" w:cs="宋体"/>
                <w:sz w:val="24"/>
                <w:szCs w:val="24"/>
              </w:rPr>
            </w:pPr>
            <w:r>
              <w:rPr>
                <w:rFonts w:ascii="宋体" w:hAnsi="宋体" w:eastAsia="宋体" w:cs="宋体"/>
                <w:spacing w:val="-3"/>
                <w:sz w:val="24"/>
                <w:szCs w:val="24"/>
              </w:rPr>
              <w:t>是否开工建设</w:t>
            </w:r>
          </w:p>
        </w:tc>
        <w:tc>
          <w:tcPr>
            <w:tcW w:w="2199" w:type="dxa"/>
            <w:vAlign w:val="top"/>
          </w:tcPr>
          <w:p w14:paraId="3971177F">
            <w:pPr>
              <w:spacing w:before="61" w:line="339" w:lineRule="auto"/>
              <w:ind w:left="19" w:right="1563"/>
              <w:rPr>
                <w:rFonts w:ascii="宋体" w:hAnsi="宋体" w:eastAsia="宋体" w:cs="宋体"/>
                <w:sz w:val="24"/>
                <w:szCs w:val="24"/>
              </w:rPr>
            </w:pPr>
            <w:r>
              <w:rPr>
                <w:rFonts w:ascii="MS Gothic" w:hAnsi="MS Gothic" w:eastAsia="MS Gothic" w:cs="MS Gothic"/>
                <w:spacing w:val="-25"/>
                <w:sz w:val="24"/>
                <w:szCs w:val="24"/>
              </w:rPr>
              <w:t>□</w:t>
            </w:r>
            <w:r>
              <w:rPr>
                <w:rFonts w:ascii="宋体" w:hAnsi="宋体" w:eastAsia="宋体" w:cs="宋体"/>
                <w:spacing w:val="-25"/>
                <w:sz w:val="24"/>
                <w:szCs w:val="24"/>
              </w:rPr>
              <w:t>否</w:t>
            </w:r>
            <w:r>
              <w:rPr>
                <w:rFonts w:ascii="MS Gothic" w:hAnsi="MS Gothic" w:eastAsia="MS Gothic" w:cs="MS Gothic"/>
                <w:spacing w:val="-37"/>
                <w:sz w:val="24"/>
                <w:szCs w:val="24"/>
              </w:rPr>
              <w:t>☑</w:t>
            </w:r>
            <w:r>
              <w:rPr>
                <w:rFonts w:ascii="宋体" w:hAnsi="宋体" w:eastAsia="宋体" w:cs="宋体"/>
                <w:spacing w:val="-37"/>
                <w:sz w:val="24"/>
                <w:szCs w:val="24"/>
              </w:rPr>
              <w:t>是：</w:t>
            </w:r>
          </w:p>
        </w:tc>
        <w:tc>
          <w:tcPr>
            <w:tcW w:w="1470" w:type="dxa"/>
            <w:vAlign w:val="top"/>
          </w:tcPr>
          <w:p w14:paraId="544B5D2D">
            <w:pPr>
              <w:spacing w:before="62" w:line="221" w:lineRule="auto"/>
              <w:ind w:left="24"/>
              <w:rPr>
                <w:rFonts w:ascii="宋体" w:hAnsi="宋体" w:eastAsia="宋体" w:cs="宋体"/>
                <w:sz w:val="24"/>
                <w:szCs w:val="24"/>
              </w:rPr>
            </w:pPr>
            <w:r>
              <w:rPr>
                <w:rFonts w:ascii="宋体" w:hAnsi="宋体" w:eastAsia="宋体" w:cs="宋体"/>
                <w:spacing w:val="-2"/>
                <w:sz w:val="24"/>
                <w:szCs w:val="24"/>
              </w:rPr>
              <w:t>用地（用海）</w:t>
            </w:r>
          </w:p>
          <w:p w14:paraId="6D363841">
            <w:pPr>
              <w:spacing w:before="178" w:line="220" w:lineRule="auto"/>
              <w:ind w:left="131"/>
              <w:rPr>
                <w:rFonts w:ascii="宋体" w:hAnsi="宋体" w:eastAsia="宋体" w:cs="宋体"/>
                <w:sz w:val="24"/>
                <w:szCs w:val="24"/>
              </w:rPr>
            </w:pPr>
            <w:r>
              <w:rPr>
                <w:rFonts w:ascii="宋体" w:hAnsi="宋体" w:eastAsia="宋体" w:cs="宋体"/>
                <w:spacing w:val="-2"/>
                <w:sz w:val="24"/>
                <w:szCs w:val="24"/>
              </w:rPr>
              <w:t>面积（</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2"/>
                <w:sz w:val="15"/>
                <w:szCs w:val="15"/>
              </w:rPr>
              <w:t>2</w:t>
            </w:r>
            <w:r>
              <w:rPr>
                <w:rFonts w:ascii="宋体" w:hAnsi="宋体" w:eastAsia="宋体" w:cs="宋体"/>
                <w:spacing w:val="-2"/>
                <w:sz w:val="24"/>
                <w:szCs w:val="24"/>
              </w:rPr>
              <w:t>）</w:t>
            </w:r>
          </w:p>
        </w:tc>
        <w:tc>
          <w:tcPr>
            <w:tcW w:w="3340" w:type="dxa"/>
            <w:tcBorders>
              <w:right w:val="single" w:color="000000" w:sz="6" w:space="0"/>
            </w:tcBorders>
            <w:vAlign w:val="top"/>
          </w:tcPr>
          <w:p w14:paraId="76B97810">
            <w:pPr>
              <w:spacing w:line="251" w:lineRule="auto"/>
              <w:rPr>
                <w:rFonts w:ascii="Arial"/>
                <w:sz w:val="21"/>
              </w:rPr>
            </w:pPr>
          </w:p>
          <w:p w14:paraId="63E1A06C">
            <w:pPr>
              <w:spacing w:before="69" w:line="209" w:lineRule="auto"/>
              <w:ind w:left="1298"/>
              <w:rPr>
                <w:rFonts w:ascii="Times New Roman" w:hAnsi="Times New Roman" w:eastAsia="Times New Roman" w:cs="Times New Roman"/>
                <w:sz w:val="15"/>
                <w:szCs w:val="15"/>
              </w:rPr>
            </w:pPr>
            <w:r>
              <w:rPr>
                <w:rFonts w:ascii="Times New Roman" w:hAnsi="Times New Roman" w:eastAsia="Times New Roman" w:cs="Times New Roman"/>
                <w:spacing w:val="-1"/>
                <w:sz w:val="24"/>
                <w:szCs w:val="24"/>
              </w:rPr>
              <w:t>2820m</w:t>
            </w:r>
            <w:r>
              <w:rPr>
                <w:rFonts w:ascii="Times New Roman" w:hAnsi="Times New Roman" w:eastAsia="Times New Roman" w:cs="Times New Roman"/>
                <w:spacing w:val="-1"/>
                <w:position w:val="7"/>
                <w:sz w:val="15"/>
                <w:szCs w:val="15"/>
              </w:rPr>
              <w:t>2</w:t>
            </w:r>
          </w:p>
        </w:tc>
      </w:tr>
      <w:tr w14:paraId="0C2E7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3" w:hRule="atLeast"/>
        </w:trPr>
        <w:tc>
          <w:tcPr>
            <w:tcW w:w="1863" w:type="dxa"/>
            <w:tcBorders>
              <w:left w:val="single" w:color="000000" w:sz="6" w:space="0"/>
              <w:bottom w:val="single" w:color="000000" w:sz="6" w:space="0"/>
            </w:tcBorders>
            <w:vAlign w:val="top"/>
          </w:tcPr>
          <w:p w14:paraId="4DDDBE0E">
            <w:pPr>
              <w:spacing w:line="433" w:lineRule="auto"/>
              <w:rPr>
                <w:rFonts w:ascii="Arial"/>
                <w:sz w:val="21"/>
              </w:rPr>
            </w:pPr>
          </w:p>
          <w:p w14:paraId="01D52256">
            <w:pPr>
              <w:spacing w:before="78" w:line="361" w:lineRule="auto"/>
              <w:ind w:left="693" w:right="209" w:hanging="480"/>
              <w:rPr>
                <w:rFonts w:ascii="宋体" w:hAnsi="宋体" w:eastAsia="宋体" w:cs="宋体"/>
                <w:sz w:val="24"/>
                <w:szCs w:val="24"/>
              </w:rPr>
            </w:pPr>
            <w:r>
              <w:rPr>
                <w:rFonts w:ascii="宋体" w:hAnsi="宋体" w:eastAsia="宋体" w:cs="宋体"/>
                <w:spacing w:val="-2"/>
                <w:sz w:val="24"/>
                <w:szCs w:val="24"/>
              </w:rPr>
              <w:t>专项评价设置</w:t>
            </w:r>
            <w:r>
              <w:rPr>
                <w:rFonts w:ascii="宋体" w:hAnsi="宋体" w:eastAsia="宋体" w:cs="宋体"/>
                <w:spacing w:val="-6"/>
                <w:sz w:val="24"/>
                <w:szCs w:val="24"/>
              </w:rPr>
              <w:t>情况</w:t>
            </w:r>
          </w:p>
        </w:tc>
        <w:tc>
          <w:tcPr>
            <w:tcW w:w="7009" w:type="dxa"/>
            <w:gridSpan w:val="3"/>
            <w:tcBorders>
              <w:bottom w:val="single" w:color="000000" w:sz="6" w:space="0"/>
              <w:right w:val="single" w:color="000000" w:sz="6" w:space="0"/>
            </w:tcBorders>
            <w:vAlign w:val="top"/>
          </w:tcPr>
          <w:p w14:paraId="7C98B093">
            <w:pPr>
              <w:spacing w:before="47" w:line="351" w:lineRule="auto"/>
              <w:ind w:left="112" w:firstLine="478"/>
              <w:jc w:val="both"/>
              <w:rPr>
                <w:rFonts w:ascii="宋体" w:hAnsi="宋体" w:eastAsia="宋体" w:cs="宋体"/>
                <w:sz w:val="24"/>
                <w:szCs w:val="24"/>
              </w:rPr>
            </w:pPr>
            <w:r>
              <w:rPr>
                <w:rFonts w:ascii="宋体" w:hAnsi="宋体" w:eastAsia="宋体" w:cs="宋体"/>
                <w:spacing w:val="-11"/>
                <w:sz w:val="24"/>
                <w:szCs w:val="24"/>
              </w:rPr>
              <w:t>根据《建设项目环境影响报告表编制技术指南（污</w:t>
            </w:r>
            <w:r>
              <w:rPr>
                <w:rFonts w:ascii="宋体" w:hAnsi="宋体" w:eastAsia="宋体" w:cs="宋体"/>
                <w:spacing w:val="-12"/>
                <w:sz w:val="24"/>
                <w:szCs w:val="24"/>
              </w:rPr>
              <w:t>染影响类）》</w:t>
            </w:r>
            <w:r>
              <w:rPr>
                <w:rFonts w:ascii="宋体" w:hAnsi="宋体" w:eastAsia="宋体" w:cs="宋体"/>
                <w:sz w:val="24"/>
                <w:szCs w:val="24"/>
              </w:rPr>
              <w:t xml:space="preserve"> </w:t>
            </w:r>
            <w:r>
              <w:rPr>
                <w:rFonts w:ascii="宋体" w:hAnsi="宋体" w:eastAsia="宋体" w:cs="宋体"/>
                <w:spacing w:val="2"/>
                <w:sz w:val="24"/>
                <w:szCs w:val="24"/>
              </w:rPr>
              <w:t>（试行）项目周边不涉及集中式饮用水水源和热水、矿泉水、温泉等特殊地下水资源保护区，因此本项目不设地下水专项评价工作。同时结合《建设项目环境影响报告表编制技术指南（污染影</w:t>
            </w:r>
          </w:p>
        </w:tc>
      </w:tr>
    </w:tbl>
    <w:p w14:paraId="66FBEE84">
      <w:pPr>
        <w:pStyle w:val="2"/>
      </w:pPr>
    </w:p>
    <w:p w14:paraId="700EB127">
      <w:pPr>
        <w:sectPr>
          <w:footerReference r:id="rId8" w:type="default"/>
          <w:pgSz w:w="11906" w:h="16839"/>
          <w:pgMar w:top="400" w:right="1509" w:bottom="1329" w:left="1509" w:header="0" w:footer="1113" w:gutter="0"/>
          <w:cols w:space="720" w:num="1"/>
        </w:sectPr>
      </w:pPr>
    </w:p>
    <w:p w14:paraId="3F15C950">
      <w:pPr>
        <w:spacing w:before="19"/>
      </w:pPr>
    </w:p>
    <w:p w14:paraId="639F4FDC">
      <w:pPr>
        <w:spacing w:before="19"/>
      </w:pPr>
    </w:p>
    <w:p w14:paraId="70F39BF1">
      <w:pPr>
        <w:spacing w:before="19"/>
      </w:pPr>
    </w:p>
    <w:p w14:paraId="117857D3">
      <w:pPr>
        <w:spacing w:before="18"/>
      </w:pPr>
    </w:p>
    <w:p w14:paraId="695FEAF7">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3"/>
        <w:gridCol w:w="113"/>
        <w:gridCol w:w="765"/>
        <w:gridCol w:w="1910"/>
        <w:gridCol w:w="3149"/>
        <w:gridCol w:w="950"/>
        <w:gridCol w:w="122"/>
      </w:tblGrid>
      <w:tr w14:paraId="0D13B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863" w:type="dxa"/>
            <w:vMerge w:val="restart"/>
            <w:tcBorders>
              <w:top w:val="single" w:color="000000" w:sz="6" w:space="0"/>
              <w:left w:val="single" w:color="000000" w:sz="6" w:space="0"/>
              <w:bottom w:val="nil"/>
            </w:tcBorders>
            <w:vAlign w:val="top"/>
          </w:tcPr>
          <w:p w14:paraId="1CD16FB3">
            <w:pPr>
              <w:rPr>
                <w:rFonts w:ascii="Arial"/>
                <w:sz w:val="21"/>
              </w:rPr>
            </w:pPr>
          </w:p>
        </w:tc>
        <w:tc>
          <w:tcPr>
            <w:tcW w:w="7009" w:type="dxa"/>
            <w:gridSpan w:val="6"/>
            <w:tcBorders>
              <w:top w:val="single" w:color="000000" w:sz="6" w:space="0"/>
              <w:right w:val="single" w:color="000000" w:sz="6" w:space="0"/>
            </w:tcBorders>
            <w:vAlign w:val="top"/>
          </w:tcPr>
          <w:p w14:paraId="0D639798">
            <w:pPr>
              <w:spacing w:before="29" w:line="218" w:lineRule="auto"/>
              <w:ind w:left="123"/>
              <w:rPr>
                <w:rFonts w:ascii="宋体" w:hAnsi="宋体" w:eastAsia="宋体" w:cs="宋体"/>
                <w:sz w:val="24"/>
                <w:szCs w:val="24"/>
              </w:rPr>
            </w:pPr>
            <w:r>
              <w:rPr>
                <w:rFonts w:ascii="宋体" w:hAnsi="宋体" w:eastAsia="宋体" w:cs="宋体"/>
                <w:spacing w:val="-3"/>
                <w:sz w:val="24"/>
                <w:szCs w:val="24"/>
              </w:rPr>
              <w:t>响类）》（试行）中表</w:t>
            </w:r>
            <w:r>
              <w:rPr>
                <w:rFonts w:ascii="宋体" w:hAnsi="宋体" w:eastAsia="宋体" w:cs="宋体"/>
                <w:spacing w:val="-30"/>
                <w:sz w:val="24"/>
                <w:szCs w:val="24"/>
              </w:rPr>
              <w:t xml:space="preserve"> </w:t>
            </w:r>
            <w:r>
              <w:rPr>
                <w:rFonts w:ascii="Times New Roman" w:hAnsi="Times New Roman" w:eastAsia="Times New Roman" w:cs="Times New Roman"/>
                <w:spacing w:val="-3"/>
                <w:sz w:val="24"/>
                <w:szCs w:val="24"/>
              </w:rPr>
              <w:t>1-</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3"/>
                <w:sz w:val="24"/>
                <w:szCs w:val="24"/>
              </w:rPr>
              <w:t xml:space="preserve">1 </w:t>
            </w:r>
            <w:r>
              <w:rPr>
                <w:rFonts w:ascii="宋体" w:hAnsi="宋体" w:eastAsia="宋体" w:cs="宋体"/>
                <w:spacing w:val="-3"/>
                <w:sz w:val="24"/>
                <w:szCs w:val="24"/>
              </w:rPr>
              <w:t>确定是否设置项目专项评价。</w:t>
            </w:r>
          </w:p>
          <w:p w14:paraId="0691CD51">
            <w:pPr>
              <w:spacing w:before="180" w:line="216" w:lineRule="auto"/>
              <w:ind w:left="2180"/>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32"/>
                <w:sz w:val="20"/>
                <w:szCs w:val="20"/>
              </w:rPr>
              <w:t xml:space="preserve"> </w:t>
            </w:r>
            <w:r>
              <w:rPr>
                <w:rFonts w:ascii="Times New Roman" w:hAnsi="Times New Roman" w:eastAsia="Times New Roman" w:cs="Times New Roman"/>
                <w:b/>
                <w:bCs/>
                <w:spacing w:val="5"/>
                <w:sz w:val="20"/>
                <w:szCs w:val="20"/>
              </w:rPr>
              <w:t xml:space="preserve">1-1    </w:t>
            </w:r>
            <w:r>
              <w:rPr>
                <w:rFonts w:ascii="宋体" w:hAnsi="宋体" w:eastAsia="宋体" w:cs="宋体"/>
                <w:b/>
                <w:bCs/>
                <w:spacing w:val="5"/>
                <w:sz w:val="20"/>
                <w:szCs w:val="20"/>
              </w:rPr>
              <w:t>项目专项评价判定表</w:t>
            </w:r>
          </w:p>
        </w:tc>
      </w:tr>
      <w:tr w14:paraId="09675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1863" w:type="dxa"/>
            <w:vMerge w:val="continue"/>
            <w:tcBorders>
              <w:top w:val="nil"/>
              <w:left w:val="single" w:color="000000" w:sz="6" w:space="0"/>
              <w:bottom w:val="nil"/>
            </w:tcBorders>
            <w:vAlign w:val="top"/>
          </w:tcPr>
          <w:p w14:paraId="58EC57D8">
            <w:pPr>
              <w:rPr>
                <w:rFonts w:ascii="Arial"/>
                <w:sz w:val="21"/>
              </w:rPr>
            </w:pPr>
          </w:p>
        </w:tc>
        <w:tc>
          <w:tcPr>
            <w:tcW w:w="113" w:type="dxa"/>
            <w:tcBorders>
              <w:top w:val="nil"/>
              <w:bottom w:val="nil"/>
            </w:tcBorders>
            <w:vAlign w:val="top"/>
          </w:tcPr>
          <w:p w14:paraId="00D6FFE0">
            <w:pPr>
              <w:rPr>
                <w:rFonts w:ascii="Arial"/>
                <w:sz w:val="21"/>
              </w:rPr>
            </w:pPr>
          </w:p>
        </w:tc>
        <w:tc>
          <w:tcPr>
            <w:tcW w:w="765" w:type="dxa"/>
            <w:vAlign w:val="top"/>
          </w:tcPr>
          <w:p w14:paraId="2579852F">
            <w:pPr>
              <w:spacing w:before="234" w:line="379" w:lineRule="auto"/>
              <w:ind w:left="171" w:right="175" w:firstLine="1"/>
              <w:jc w:val="both"/>
              <w:rPr>
                <w:rFonts w:ascii="宋体" w:hAnsi="宋体" w:eastAsia="宋体" w:cs="宋体"/>
                <w:sz w:val="20"/>
                <w:szCs w:val="20"/>
              </w:rPr>
            </w:pPr>
            <w:r>
              <w:rPr>
                <w:rFonts w:ascii="宋体" w:hAnsi="宋体" w:eastAsia="宋体" w:cs="宋体"/>
                <w:b/>
                <w:bCs/>
                <w:spacing w:val="3"/>
                <w:sz w:val="20"/>
                <w:szCs w:val="20"/>
              </w:rPr>
              <w:t>专项</w:t>
            </w:r>
            <w:r>
              <w:rPr>
                <w:rFonts w:ascii="宋体" w:hAnsi="宋体" w:eastAsia="宋体" w:cs="宋体"/>
                <w:b/>
                <w:bCs/>
                <w:spacing w:val="4"/>
                <w:sz w:val="20"/>
                <w:szCs w:val="20"/>
              </w:rPr>
              <w:t>评价类别</w:t>
            </w:r>
          </w:p>
        </w:tc>
        <w:tc>
          <w:tcPr>
            <w:tcW w:w="1910" w:type="dxa"/>
            <w:vAlign w:val="top"/>
          </w:tcPr>
          <w:p w14:paraId="1244AA88">
            <w:pPr>
              <w:spacing w:line="287" w:lineRule="auto"/>
              <w:rPr>
                <w:rFonts w:ascii="Arial"/>
                <w:sz w:val="21"/>
              </w:rPr>
            </w:pPr>
          </w:p>
          <w:p w14:paraId="2D2F1847">
            <w:pPr>
              <w:spacing w:line="288" w:lineRule="auto"/>
              <w:rPr>
                <w:rFonts w:ascii="Arial"/>
                <w:sz w:val="21"/>
              </w:rPr>
            </w:pPr>
          </w:p>
          <w:p w14:paraId="26F4CDAF">
            <w:pPr>
              <w:spacing w:before="65" w:line="228" w:lineRule="auto"/>
              <w:ind w:left="541"/>
              <w:rPr>
                <w:rFonts w:ascii="宋体" w:hAnsi="宋体" w:eastAsia="宋体" w:cs="宋体"/>
                <w:sz w:val="20"/>
                <w:szCs w:val="20"/>
              </w:rPr>
            </w:pPr>
            <w:r>
              <w:rPr>
                <w:rFonts w:ascii="宋体" w:hAnsi="宋体" w:eastAsia="宋体" w:cs="宋体"/>
                <w:b/>
                <w:bCs/>
                <w:spacing w:val="5"/>
                <w:sz w:val="20"/>
                <w:szCs w:val="20"/>
              </w:rPr>
              <w:t>设置原则</w:t>
            </w:r>
          </w:p>
        </w:tc>
        <w:tc>
          <w:tcPr>
            <w:tcW w:w="3149" w:type="dxa"/>
            <w:vAlign w:val="top"/>
          </w:tcPr>
          <w:p w14:paraId="383DE3E8">
            <w:pPr>
              <w:spacing w:line="287" w:lineRule="auto"/>
              <w:rPr>
                <w:rFonts w:ascii="Arial"/>
                <w:sz w:val="21"/>
              </w:rPr>
            </w:pPr>
          </w:p>
          <w:p w14:paraId="5B26DCEE">
            <w:pPr>
              <w:spacing w:line="288" w:lineRule="auto"/>
              <w:rPr>
                <w:rFonts w:ascii="Arial"/>
                <w:sz w:val="21"/>
              </w:rPr>
            </w:pPr>
          </w:p>
          <w:p w14:paraId="3CA27D42">
            <w:pPr>
              <w:spacing w:before="65" w:line="228" w:lineRule="auto"/>
              <w:ind w:left="1163"/>
              <w:rPr>
                <w:rFonts w:ascii="宋体" w:hAnsi="宋体" w:eastAsia="宋体" w:cs="宋体"/>
                <w:sz w:val="20"/>
                <w:szCs w:val="20"/>
              </w:rPr>
            </w:pPr>
            <w:r>
              <w:rPr>
                <w:rFonts w:ascii="宋体" w:hAnsi="宋体" w:eastAsia="宋体" w:cs="宋体"/>
                <w:b/>
                <w:bCs/>
                <w:spacing w:val="5"/>
                <w:sz w:val="20"/>
                <w:szCs w:val="20"/>
              </w:rPr>
              <w:t>项目情况</w:t>
            </w:r>
          </w:p>
        </w:tc>
        <w:tc>
          <w:tcPr>
            <w:tcW w:w="950" w:type="dxa"/>
            <w:vAlign w:val="top"/>
          </w:tcPr>
          <w:p w14:paraId="51A4A1BE">
            <w:pPr>
              <w:spacing w:before="31" w:line="228" w:lineRule="auto"/>
              <w:ind w:left="174"/>
              <w:rPr>
                <w:rFonts w:ascii="宋体" w:hAnsi="宋体" w:eastAsia="宋体" w:cs="宋体"/>
                <w:sz w:val="20"/>
                <w:szCs w:val="20"/>
              </w:rPr>
            </w:pPr>
            <w:r>
              <w:rPr>
                <w:rFonts w:ascii="宋体" w:hAnsi="宋体" w:eastAsia="宋体" w:cs="宋体"/>
                <w:b/>
                <w:bCs/>
                <w:spacing w:val="4"/>
                <w:sz w:val="20"/>
                <w:szCs w:val="20"/>
              </w:rPr>
              <w:t>是否需</w:t>
            </w:r>
          </w:p>
          <w:p w14:paraId="22B63A25">
            <w:pPr>
              <w:spacing w:before="160" w:line="229" w:lineRule="auto"/>
              <w:ind w:left="171"/>
              <w:rPr>
                <w:rFonts w:ascii="宋体" w:hAnsi="宋体" w:eastAsia="宋体" w:cs="宋体"/>
                <w:sz w:val="20"/>
                <w:szCs w:val="20"/>
              </w:rPr>
            </w:pPr>
            <w:r>
              <w:rPr>
                <w:rFonts w:ascii="宋体" w:hAnsi="宋体" w:eastAsia="宋体" w:cs="宋体"/>
                <w:b/>
                <w:bCs/>
                <w:spacing w:val="5"/>
                <w:sz w:val="20"/>
                <w:szCs w:val="20"/>
              </w:rPr>
              <w:t>要设置</w:t>
            </w:r>
          </w:p>
          <w:p w14:paraId="2750B747">
            <w:pPr>
              <w:spacing w:before="161" w:line="359" w:lineRule="auto"/>
              <w:ind w:left="379" w:right="150" w:hanging="208"/>
              <w:rPr>
                <w:rFonts w:ascii="宋体" w:hAnsi="宋体" w:eastAsia="宋体" w:cs="宋体"/>
                <w:sz w:val="20"/>
                <w:szCs w:val="20"/>
              </w:rPr>
            </w:pPr>
            <w:r>
              <w:rPr>
                <w:rFonts w:ascii="宋体" w:hAnsi="宋体" w:eastAsia="宋体" w:cs="宋体"/>
                <w:b/>
                <w:bCs/>
                <w:spacing w:val="5"/>
                <w:sz w:val="20"/>
                <w:szCs w:val="20"/>
              </w:rPr>
              <w:t>专项评</w:t>
            </w:r>
            <w:r>
              <w:rPr>
                <w:rFonts w:ascii="宋体" w:hAnsi="宋体" w:eastAsia="宋体" w:cs="宋体"/>
                <w:b/>
                <w:bCs/>
                <w:spacing w:val="-3"/>
                <w:sz w:val="20"/>
                <w:szCs w:val="20"/>
              </w:rPr>
              <w:t>价</w:t>
            </w:r>
          </w:p>
        </w:tc>
        <w:tc>
          <w:tcPr>
            <w:tcW w:w="122" w:type="dxa"/>
            <w:vMerge w:val="restart"/>
            <w:tcBorders>
              <w:top w:val="nil"/>
              <w:bottom w:val="nil"/>
              <w:right w:val="single" w:color="000000" w:sz="6" w:space="0"/>
            </w:tcBorders>
            <w:vAlign w:val="top"/>
          </w:tcPr>
          <w:p w14:paraId="77D8A952">
            <w:pPr>
              <w:rPr>
                <w:rFonts w:ascii="Arial"/>
                <w:sz w:val="21"/>
              </w:rPr>
            </w:pPr>
          </w:p>
        </w:tc>
      </w:tr>
      <w:tr w14:paraId="401F9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2" w:hRule="atLeast"/>
        </w:trPr>
        <w:tc>
          <w:tcPr>
            <w:tcW w:w="1863" w:type="dxa"/>
            <w:vMerge w:val="continue"/>
            <w:tcBorders>
              <w:top w:val="nil"/>
              <w:left w:val="single" w:color="000000" w:sz="6" w:space="0"/>
              <w:bottom w:val="nil"/>
            </w:tcBorders>
            <w:vAlign w:val="top"/>
          </w:tcPr>
          <w:p w14:paraId="4E201959">
            <w:pPr>
              <w:rPr>
                <w:rFonts w:ascii="Arial"/>
                <w:sz w:val="21"/>
              </w:rPr>
            </w:pPr>
          </w:p>
        </w:tc>
        <w:tc>
          <w:tcPr>
            <w:tcW w:w="113" w:type="dxa"/>
            <w:tcBorders>
              <w:top w:val="nil"/>
              <w:bottom w:val="nil"/>
            </w:tcBorders>
            <w:vAlign w:val="top"/>
          </w:tcPr>
          <w:p w14:paraId="5FDF0A80">
            <w:pPr>
              <w:rPr>
                <w:rFonts w:ascii="Arial"/>
                <w:sz w:val="21"/>
              </w:rPr>
            </w:pPr>
          </w:p>
        </w:tc>
        <w:tc>
          <w:tcPr>
            <w:tcW w:w="765" w:type="dxa"/>
            <w:vAlign w:val="top"/>
          </w:tcPr>
          <w:p w14:paraId="4EA551E8">
            <w:pPr>
              <w:spacing w:line="296" w:lineRule="auto"/>
              <w:rPr>
                <w:rFonts w:ascii="Arial"/>
                <w:sz w:val="21"/>
              </w:rPr>
            </w:pPr>
          </w:p>
          <w:p w14:paraId="05318EBE">
            <w:pPr>
              <w:spacing w:line="297" w:lineRule="auto"/>
              <w:rPr>
                <w:rFonts w:ascii="Arial"/>
                <w:sz w:val="21"/>
              </w:rPr>
            </w:pPr>
          </w:p>
          <w:p w14:paraId="794B9CAB">
            <w:pPr>
              <w:spacing w:line="297" w:lineRule="auto"/>
              <w:rPr>
                <w:rFonts w:ascii="Arial"/>
                <w:sz w:val="21"/>
              </w:rPr>
            </w:pPr>
          </w:p>
          <w:p w14:paraId="6BB4142F">
            <w:pPr>
              <w:spacing w:line="297" w:lineRule="auto"/>
              <w:rPr>
                <w:rFonts w:ascii="Arial"/>
                <w:sz w:val="21"/>
              </w:rPr>
            </w:pPr>
          </w:p>
          <w:p w14:paraId="113916FF">
            <w:pPr>
              <w:spacing w:before="65" w:line="228" w:lineRule="auto"/>
              <w:ind w:left="177"/>
              <w:rPr>
                <w:rFonts w:ascii="宋体" w:hAnsi="宋体" w:eastAsia="宋体" w:cs="宋体"/>
                <w:sz w:val="20"/>
                <w:szCs w:val="20"/>
              </w:rPr>
            </w:pPr>
            <w:r>
              <w:rPr>
                <w:rFonts w:ascii="宋体" w:hAnsi="宋体" w:eastAsia="宋体" w:cs="宋体"/>
                <w:spacing w:val="3"/>
                <w:sz w:val="20"/>
                <w:szCs w:val="20"/>
              </w:rPr>
              <w:t>大气</w:t>
            </w:r>
          </w:p>
        </w:tc>
        <w:tc>
          <w:tcPr>
            <w:tcW w:w="1910" w:type="dxa"/>
            <w:vAlign w:val="top"/>
          </w:tcPr>
          <w:p w14:paraId="58D9FEB2">
            <w:pPr>
              <w:spacing w:before="32" w:line="228" w:lineRule="auto"/>
              <w:ind w:left="118"/>
              <w:rPr>
                <w:rFonts w:ascii="宋体" w:hAnsi="宋体" w:eastAsia="宋体" w:cs="宋体"/>
                <w:sz w:val="20"/>
                <w:szCs w:val="20"/>
              </w:rPr>
            </w:pPr>
            <w:r>
              <w:rPr>
                <w:rFonts w:ascii="宋体" w:hAnsi="宋体" w:eastAsia="宋体" w:cs="宋体"/>
                <w:spacing w:val="8"/>
                <w:sz w:val="20"/>
                <w:szCs w:val="20"/>
              </w:rPr>
              <w:t>排放废气含有毒有</w:t>
            </w:r>
          </w:p>
          <w:p w14:paraId="20CFDCBF">
            <w:pPr>
              <w:spacing w:before="161" w:line="228" w:lineRule="auto"/>
              <w:ind w:left="167"/>
              <w:rPr>
                <w:rFonts w:ascii="宋体" w:hAnsi="宋体" w:eastAsia="宋体" w:cs="宋体"/>
                <w:sz w:val="20"/>
                <w:szCs w:val="20"/>
              </w:rPr>
            </w:pPr>
            <w:r>
              <w:rPr>
                <w:rFonts w:ascii="宋体" w:hAnsi="宋体" w:eastAsia="宋体" w:cs="宋体"/>
                <w:spacing w:val="2"/>
                <w:sz w:val="20"/>
                <w:szCs w:val="20"/>
              </w:rPr>
              <w:t>害污染物</w:t>
            </w:r>
            <w:r>
              <w:rPr>
                <w:rFonts w:ascii="宋体" w:hAnsi="宋体" w:eastAsia="宋体" w:cs="宋体"/>
                <w:spacing w:val="-27"/>
                <w:sz w:val="20"/>
                <w:szCs w:val="20"/>
              </w:rPr>
              <w:t xml:space="preserve"> </w:t>
            </w:r>
            <w:r>
              <w:rPr>
                <w:rFonts w:ascii="Times New Roman" w:hAnsi="Times New Roman" w:eastAsia="Times New Roman" w:cs="Times New Roman"/>
                <w:spacing w:val="2"/>
                <w:position w:val="6"/>
                <w:sz w:val="13"/>
                <w:szCs w:val="13"/>
              </w:rPr>
              <w:t>1</w:t>
            </w:r>
            <w:r>
              <w:rPr>
                <w:rFonts w:ascii="Times New Roman" w:hAnsi="Times New Roman" w:eastAsia="Times New Roman" w:cs="Times New Roman"/>
                <w:spacing w:val="-11"/>
                <w:position w:val="6"/>
                <w:sz w:val="13"/>
                <w:szCs w:val="13"/>
              </w:rPr>
              <w:t xml:space="preserve"> </w:t>
            </w:r>
            <w:r>
              <w:rPr>
                <w:rFonts w:ascii="宋体" w:hAnsi="宋体" w:eastAsia="宋体" w:cs="宋体"/>
                <w:spacing w:val="2"/>
                <w:sz w:val="20"/>
                <w:szCs w:val="20"/>
              </w:rPr>
              <w:t>、二噁</w:t>
            </w:r>
          </w:p>
          <w:p w14:paraId="7EA3584B">
            <w:pPr>
              <w:spacing w:before="162" w:line="221" w:lineRule="auto"/>
              <w:ind w:left="111"/>
              <w:rPr>
                <w:rFonts w:ascii="宋体" w:hAnsi="宋体" w:eastAsia="宋体" w:cs="宋体"/>
                <w:sz w:val="20"/>
                <w:szCs w:val="20"/>
              </w:rPr>
            </w:pPr>
            <w:r>
              <w:rPr>
                <w:rFonts w:ascii="宋体" w:hAnsi="宋体" w:eastAsia="宋体" w:cs="宋体"/>
                <w:spacing w:val="6"/>
                <w:sz w:val="20"/>
                <w:szCs w:val="20"/>
              </w:rPr>
              <w:t>英、苯并</w:t>
            </w:r>
            <w:r>
              <w:rPr>
                <w:rFonts w:ascii="Times New Roman" w:hAnsi="Times New Roman" w:eastAsia="Times New Roman" w:cs="Times New Roman"/>
                <w:spacing w:val="6"/>
                <w:sz w:val="20"/>
                <w:szCs w:val="20"/>
              </w:rPr>
              <w:t>[a]</w:t>
            </w:r>
            <w:r>
              <w:rPr>
                <w:rFonts w:ascii="宋体" w:hAnsi="宋体" w:eastAsia="宋体" w:cs="宋体"/>
                <w:spacing w:val="6"/>
                <w:sz w:val="20"/>
                <w:szCs w:val="20"/>
              </w:rPr>
              <w:t>芘、氰</w:t>
            </w:r>
          </w:p>
          <w:p w14:paraId="54274561">
            <w:pPr>
              <w:spacing w:before="169" w:line="228" w:lineRule="auto"/>
              <w:ind w:left="118"/>
              <w:rPr>
                <w:rFonts w:ascii="宋体" w:hAnsi="宋体" w:eastAsia="宋体" w:cs="宋体"/>
                <w:sz w:val="20"/>
                <w:szCs w:val="20"/>
              </w:rPr>
            </w:pPr>
            <w:r>
              <w:rPr>
                <w:rFonts w:ascii="宋体" w:hAnsi="宋体" w:eastAsia="宋体" w:cs="宋体"/>
                <w:spacing w:val="8"/>
                <w:sz w:val="20"/>
                <w:szCs w:val="20"/>
              </w:rPr>
              <w:t>化物、氯气且厂界</w:t>
            </w:r>
          </w:p>
          <w:p w14:paraId="3438A1CD">
            <w:pPr>
              <w:spacing w:before="160" w:line="228" w:lineRule="auto"/>
              <w:ind w:left="122"/>
              <w:rPr>
                <w:rFonts w:ascii="宋体" w:hAnsi="宋体" w:eastAsia="宋体" w:cs="宋体"/>
                <w:sz w:val="20"/>
                <w:szCs w:val="20"/>
              </w:rPr>
            </w:pPr>
            <w:r>
              <w:rPr>
                <w:rFonts w:ascii="宋体" w:hAnsi="宋体" w:eastAsia="宋体" w:cs="宋体"/>
                <w:spacing w:val="5"/>
                <w:sz w:val="20"/>
                <w:szCs w:val="20"/>
              </w:rPr>
              <w:t>外</w:t>
            </w:r>
            <w:r>
              <w:rPr>
                <w:rFonts w:ascii="宋体" w:hAnsi="宋体" w:eastAsia="宋体" w:cs="宋体"/>
                <w:spacing w:val="-34"/>
                <w:sz w:val="20"/>
                <w:szCs w:val="20"/>
              </w:rPr>
              <w:t xml:space="preserve"> </w:t>
            </w:r>
            <w:r>
              <w:rPr>
                <w:rFonts w:ascii="Times New Roman" w:hAnsi="Times New Roman" w:eastAsia="Times New Roman" w:cs="Times New Roman"/>
                <w:spacing w:val="5"/>
                <w:sz w:val="20"/>
                <w:szCs w:val="20"/>
              </w:rPr>
              <w:t xml:space="preserve">500 </w:t>
            </w:r>
            <w:r>
              <w:rPr>
                <w:rFonts w:ascii="宋体" w:hAnsi="宋体" w:eastAsia="宋体" w:cs="宋体"/>
                <w:spacing w:val="5"/>
                <w:sz w:val="20"/>
                <w:szCs w:val="20"/>
              </w:rPr>
              <w:t>米范围内有</w:t>
            </w:r>
          </w:p>
          <w:p w14:paraId="70264428">
            <w:pPr>
              <w:spacing w:before="162" w:line="228" w:lineRule="auto"/>
              <w:ind w:left="110"/>
              <w:rPr>
                <w:rFonts w:ascii="宋体" w:hAnsi="宋体" w:eastAsia="宋体" w:cs="宋体"/>
                <w:sz w:val="20"/>
                <w:szCs w:val="20"/>
              </w:rPr>
            </w:pPr>
            <w:r>
              <w:rPr>
                <w:rFonts w:ascii="宋体" w:hAnsi="宋体" w:eastAsia="宋体" w:cs="宋体"/>
                <w:spacing w:val="8"/>
                <w:sz w:val="20"/>
                <w:szCs w:val="20"/>
              </w:rPr>
              <w:t>环境空气保护目标</w:t>
            </w:r>
          </w:p>
          <w:p w14:paraId="56FC5B50">
            <w:pPr>
              <w:spacing w:before="164" w:line="228" w:lineRule="auto"/>
              <w:ind w:left="376"/>
              <w:rPr>
                <w:rFonts w:ascii="宋体" w:hAnsi="宋体" w:eastAsia="宋体" w:cs="宋体"/>
                <w:sz w:val="20"/>
                <w:szCs w:val="20"/>
              </w:rPr>
            </w:pPr>
            <w:r>
              <w:rPr>
                <w:rFonts w:ascii="Times New Roman" w:hAnsi="Times New Roman" w:eastAsia="Times New Roman" w:cs="Times New Roman"/>
                <w:spacing w:val="4"/>
                <w:position w:val="6"/>
                <w:sz w:val="13"/>
                <w:szCs w:val="13"/>
              </w:rPr>
              <w:t>2</w:t>
            </w:r>
            <w:r>
              <w:rPr>
                <w:rFonts w:ascii="Times New Roman" w:hAnsi="Times New Roman" w:eastAsia="Times New Roman" w:cs="Times New Roman"/>
                <w:spacing w:val="27"/>
                <w:w w:val="101"/>
                <w:position w:val="6"/>
                <w:sz w:val="13"/>
                <w:szCs w:val="13"/>
              </w:rPr>
              <w:t xml:space="preserve"> </w:t>
            </w:r>
            <w:r>
              <w:rPr>
                <w:rFonts w:ascii="宋体" w:hAnsi="宋体" w:eastAsia="宋体" w:cs="宋体"/>
                <w:spacing w:val="4"/>
                <w:sz w:val="20"/>
                <w:szCs w:val="20"/>
              </w:rPr>
              <w:t>的建设项目</w:t>
            </w:r>
          </w:p>
        </w:tc>
        <w:tc>
          <w:tcPr>
            <w:tcW w:w="3149" w:type="dxa"/>
            <w:vAlign w:val="top"/>
          </w:tcPr>
          <w:p w14:paraId="649C3E95">
            <w:pPr>
              <w:spacing w:line="288" w:lineRule="auto"/>
              <w:rPr>
                <w:rFonts w:ascii="Arial"/>
                <w:sz w:val="21"/>
              </w:rPr>
            </w:pPr>
          </w:p>
          <w:p w14:paraId="49702D25">
            <w:pPr>
              <w:spacing w:line="288" w:lineRule="auto"/>
              <w:rPr>
                <w:rFonts w:ascii="Arial"/>
                <w:sz w:val="21"/>
              </w:rPr>
            </w:pPr>
          </w:p>
          <w:p w14:paraId="4DF99AB0">
            <w:pPr>
              <w:spacing w:before="65" w:line="227" w:lineRule="auto"/>
              <w:ind w:left="217"/>
              <w:rPr>
                <w:rFonts w:ascii="宋体" w:hAnsi="宋体" w:eastAsia="宋体" w:cs="宋体"/>
                <w:sz w:val="20"/>
                <w:szCs w:val="20"/>
              </w:rPr>
            </w:pPr>
            <w:r>
              <w:rPr>
                <w:rFonts w:ascii="宋体" w:hAnsi="宋体" w:eastAsia="宋体" w:cs="宋体"/>
                <w:spacing w:val="9"/>
                <w:sz w:val="20"/>
                <w:szCs w:val="20"/>
              </w:rPr>
              <w:t>本项目废气污染物为非甲烷总</w:t>
            </w:r>
          </w:p>
          <w:p w14:paraId="0035789B">
            <w:pPr>
              <w:spacing w:before="161" w:line="228" w:lineRule="auto"/>
              <w:ind w:left="114"/>
              <w:rPr>
                <w:rFonts w:ascii="宋体" w:hAnsi="宋体" w:eastAsia="宋体" w:cs="宋体"/>
                <w:sz w:val="20"/>
                <w:szCs w:val="20"/>
              </w:rPr>
            </w:pPr>
            <w:r>
              <w:rPr>
                <w:rFonts w:ascii="宋体" w:hAnsi="宋体" w:eastAsia="宋体" w:cs="宋体"/>
                <w:spacing w:val="9"/>
                <w:sz w:val="20"/>
                <w:szCs w:val="20"/>
              </w:rPr>
              <w:t>烃和颗粒物，不涉及有毒有害污</w:t>
            </w:r>
          </w:p>
          <w:p w14:paraId="05A7C48B">
            <w:pPr>
              <w:spacing w:before="163" w:line="221" w:lineRule="auto"/>
              <w:ind w:left="129"/>
              <w:rPr>
                <w:rFonts w:ascii="宋体" w:hAnsi="宋体" w:eastAsia="宋体" w:cs="宋体"/>
                <w:sz w:val="20"/>
                <w:szCs w:val="20"/>
              </w:rPr>
            </w:pPr>
            <w:r>
              <w:rPr>
                <w:rFonts w:ascii="宋体" w:hAnsi="宋体" w:eastAsia="宋体" w:cs="宋体"/>
                <w:spacing w:val="4"/>
                <w:sz w:val="20"/>
                <w:szCs w:val="20"/>
              </w:rPr>
              <w:t>染物</w:t>
            </w:r>
            <w:r>
              <w:rPr>
                <w:rFonts w:ascii="宋体" w:hAnsi="宋体" w:eastAsia="宋体" w:cs="宋体"/>
                <w:spacing w:val="-14"/>
                <w:sz w:val="20"/>
                <w:szCs w:val="20"/>
              </w:rPr>
              <w:t xml:space="preserve"> </w:t>
            </w:r>
            <w:r>
              <w:rPr>
                <w:rFonts w:ascii="Times New Roman" w:hAnsi="Times New Roman" w:eastAsia="Times New Roman" w:cs="Times New Roman"/>
                <w:spacing w:val="4"/>
                <w:sz w:val="20"/>
                <w:szCs w:val="20"/>
              </w:rPr>
              <w:t>1</w:t>
            </w:r>
            <w:r>
              <w:rPr>
                <w:rFonts w:ascii="Times New Roman" w:hAnsi="Times New Roman" w:eastAsia="Times New Roman" w:cs="Times New Roman"/>
                <w:spacing w:val="-26"/>
                <w:sz w:val="20"/>
                <w:szCs w:val="20"/>
              </w:rPr>
              <w:t xml:space="preserve"> </w:t>
            </w:r>
            <w:r>
              <w:rPr>
                <w:rFonts w:ascii="宋体" w:hAnsi="宋体" w:eastAsia="宋体" w:cs="宋体"/>
                <w:spacing w:val="4"/>
                <w:sz w:val="20"/>
                <w:szCs w:val="20"/>
              </w:rPr>
              <w:t>、二噁英、苯并</w:t>
            </w:r>
            <w:r>
              <w:rPr>
                <w:rFonts w:ascii="Times New Roman" w:hAnsi="Times New Roman" w:eastAsia="Times New Roman" w:cs="Times New Roman"/>
                <w:spacing w:val="4"/>
                <w:sz w:val="20"/>
                <w:szCs w:val="20"/>
              </w:rPr>
              <w:t>[a]</w:t>
            </w:r>
            <w:r>
              <w:rPr>
                <w:rFonts w:ascii="宋体" w:hAnsi="宋体" w:eastAsia="宋体" w:cs="宋体"/>
                <w:spacing w:val="4"/>
                <w:sz w:val="20"/>
                <w:szCs w:val="20"/>
              </w:rPr>
              <w:t>芘、氰</w:t>
            </w:r>
          </w:p>
          <w:p w14:paraId="6B1D5951">
            <w:pPr>
              <w:spacing w:before="168" w:line="229" w:lineRule="auto"/>
              <w:ind w:left="954"/>
              <w:rPr>
                <w:rFonts w:ascii="宋体" w:hAnsi="宋体" w:eastAsia="宋体" w:cs="宋体"/>
                <w:sz w:val="20"/>
                <w:szCs w:val="20"/>
              </w:rPr>
            </w:pPr>
            <w:r>
              <w:rPr>
                <w:rFonts w:ascii="宋体" w:hAnsi="宋体" w:eastAsia="宋体" w:cs="宋体"/>
                <w:spacing w:val="6"/>
                <w:sz w:val="20"/>
                <w:szCs w:val="20"/>
              </w:rPr>
              <w:t>化物、氯气。</w:t>
            </w:r>
          </w:p>
        </w:tc>
        <w:tc>
          <w:tcPr>
            <w:tcW w:w="950" w:type="dxa"/>
            <w:vAlign w:val="top"/>
          </w:tcPr>
          <w:p w14:paraId="7A344134">
            <w:pPr>
              <w:spacing w:line="296" w:lineRule="auto"/>
              <w:rPr>
                <w:rFonts w:ascii="Arial"/>
                <w:sz w:val="21"/>
              </w:rPr>
            </w:pPr>
          </w:p>
          <w:p w14:paraId="6D4A20C6">
            <w:pPr>
              <w:spacing w:line="297" w:lineRule="auto"/>
              <w:rPr>
                <w:rFonts w:ascii="Arial"/>
                <w:sz w:val="21"/>
              </w:rPr>
            </w:pPr>
          </w:p>
          <w:p w14:paraId="6B114988">
            <w:pPr>
              <w:spacing w:line="297" w:lineRule="auto"/>
              <w:rPr>
                <w:rFonts w:ascii="Arial"/>
                <w:sz w:val="21"/>
              </w:rPr>
            </w:pPr>
          </w:p>
          <w:p w14:paraId="4462D5AB">
            <w:pPr>
              <w:spacing w:line="297" w:lineRule="auto"/>
              <w:rPr>
                <w:rFonts w:ascii="Arial"/>
                <w:sz w:val="21"/>
              </w:rPr>
            </w:pPr>
          </w:p>
          <w:p w14:paraId="2C295A5B">
            <w:pPr>
              <w:spacing w:before="65" w:line="228" w:lineRule="auto"/>
              <w:ind w:left="388"/>
              <w:rPr>
                <w:rFonts w:ascii="宋体" w:hAnsi="宋体" w:eastAsia="宋体" w:cs="宋体"/>
                <w:sz w:val="20"/>
                <w:szCs w:val="20"/>
              </w:rPr>
            </w:pPr>
            <w:r>
              <w:rPr>
                <w:rFonts w:ascii="宋体" w:hAnsi="宋体" w:eastAsia="宋体" w:cs="宋体"/>
                <w:sz w:val="20"/>
                <w:szCs w:val="20"/>
              </w:rPr>
              <w:t>否</w:t>
            </w:r>
          </w:p>
        </w:tc>
        <w:tc>
          <w:tcPr>
            <w:tcW w:w="122" w:type="dxa"/>
            <w:vMerge w:val="continue"/>
            <w:tcBorders>
              <w:top w:val="nil"/>
              <w:bottom w:val="nil"/>
              <w:right w:val="single" w:color="000000" w:sz="6" w:space="0"/>
            </w:tcBorders>
            <w:vAlign w:val="top"/>
          </w:tcPr>
          <w:p w14:paraId="465459B8">
            <w:pPr>
              <w:rPr>
                <w:rFonts w:ascii="Arial"/>
                <w:sz w:val="21"/>
              </w:rPr>
            </w:pPr>
          </w:p>
        </w:tc>
      </w:tr>
      <w:tr w14:paraId="46906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3" w:hRule="atLeast"/>
        </w:trPr>
        <w:tc>
          <w:tcPr>
            <w:tcW w:w="1863" w:type="dxa"/>
            <w:vMerge w:val="continue"/>
            <w:tcBorders>
              <w:top w:val="nil"/>
              <w:left w:val="single" w:color="000000" w:sz="6" w:space="0"/>
              <w:bottom w:val="nil"/>
            </w:tcBorders>
            <w:vAlign w:val="top"/>
          </w:tcPr>
          <w:p w14:paraId="2EB9DDBD">
            <w:pPr>
              <w:rPr>
                <w:rFonts w:ascii="Arial"/>
                <w:sz w:val="21"/>
              </w:rPr>
            </w:pPr>
          </w:p>
        </w:tc>
        <w:tc>
          <w:tcPr>
            <w:tcW w:w="113" w:type="dxa"/>
            <w:tcBorders>
              <w:top w:val="nil"/>
              <w:bottom w:val="nil"/>
            </w:tcBorders>
            <w:vAlign w:val="top"/>
          </w:tcPr>
          <w:p w14:paraId="6B3367FC">
            <w:pPr>
              <w:rPr>
                <w:rFonts w:ascii="Arial"/>
                <w:sz w:val="21"/>
              </w:rPr>
            </w:pPr>
          </w:p>
        </w:tc>
        <w:tc>
          <w:tcPr>
            <w:tcW w:w="765" w:type="dxa"/>
            <w:vAlign w:val="top"/>
          </w:tcPr>
          <w:p w14:paraId="28820EA6">
            <w:pPr>
              <w:spacing w:line="260" w:lineRule="auto"/>
              <w:rPr>
                <w:rFonts w:ascii="Arial"/>
                <w:sz w:val="21"/>
              </w:rPr>
            </w:pPr>
          </w:p>
          <w:p w14:paraId="68A1F28E">
            <w:pPr>
              <w:spacing w:line="261" w:lineRule="auto"/>
              <w:rPr>
                <w:rFonts w:ascii="Arial"/>
                <w:sz w:val="21"/>
              </w:rPr>
            </w:pPr>
          </w:p>
          <w:p w14:paraId="01E38E93">
            <w:pPr>
              <w:spacing w:line="261" w:lineRule="auto"/>
              <w:rPr>
                <w:rFonts w:ascii="Arial"/>
                <w:sz w:val="21"/>
              </w:rPr>
            </w:pPr>
          </w:p>
          <w:p w14:paraId="23BA0AE7">
            <w:pPr>
              <w:spacing w:before="65" w:line="378" w:lineRule="auto"/>
              <w:ind w:left="283" w:right="175" w:hanging="108"/>
              <w:rPr>
                <w:rFonts w:ascii="宋体" w:hAnsi="宋体" w:eastAsia="宋体" w:cs="宋体"/>
                <w:sz w:val="20"/>
                <w:szCs w:val="20"/>
              </w:rPr>
            </w:pPr>
            <w:r>
              <w:rPr>
                <w:rFonts w:ascii="宋体" w:hAnsi="宋体" w:eastAsia="宋体" w:cs="宋体"/>
                <w:spacing w:val="4"/>
                <w:sz w:val="20"/>
                <w:szCs w:val="20"/>
              </w:rPr>
              <w:t>地表</w:t>
            </w:r>
            <w:r>
              <w:rPr>
                <w:rFonts w:ascii="宋体" w:hAnsi="宋体" w:eastAsia="宋体" w:cs="宋体"/>
                <w:sz w:val="20"/>
                <w:szCs w:val="20"/>
              </w:rPr>
              <w:t>水</w:t>
            </w:r>
          </w:p>
        </w:tc>
        <w:tc>
          <w:tcPr>
            <w:tcW w:w="1910" w:type="dxa"/>
            <w:vAlign w:val="top"/>
          </w:tcPr>
          <w:p w14:paraId="7CEC0244">
            <w:pPr>
              <w:spacing w:before="36" w:line="228" w:lineRule="auto"/>
              <w:ind w:left="118"/>
              <w:rPr>
                <w:rFonts w:ascii="宋体" w:hAnsi="宋体" w:eastAsia="宋体" w:cs="宋体"/>
                <w:sz w:val="20"/>
                <w:szCs w:val="20"/>
              </w:rPr>
            </w:pPr>
            <w:r>
              <w:rPr>
                <w:rFonts w:ascii="宋体" w:hAnsi="宋体" w:eastAsia="宋体" w:cs="宋体"/>
                <w:spacing w:val="8"/>
                <w:sz w:val="20"/>
                <w:szCs w:val="20"/>
              </w:rPr>
              <w:t>新增工业废水直排</w:t>
            </w:r>
          </w:p>
          <w:p w14:paraId="55EFA33E">
            <w:pPr>
              <w:spacing w:before="160" w:line="228" w:lineRule="auto"/>
              <w:ind w:left="120"/>
              <w:rPr>
                <w:rFonts w:ascii="宋体" w:hAnsi="宋体" w:eastAsia="宋体" w:cs="宋体"/>
                <w:sz w:val="20"/>
                <w:szCs w:val="20"/>
              </w:rPr>
            </w:pPr>
            <w:r>
              <w:rPr>
                <w:rFonts w:ascii="宋体" w:hAnsi="宋体" w:eastAsia="宋体" w:cs="宋体"/>
                <w:spacing w:val="8"/>
                <w:sz w:val="20"/>
                <w:szCs w:val="20"/>
              </w:rPr>
              <w:t>建设项目（槽罐车</w:t>
            </w:r>
          </w:p>
          <w:p w14:paraId="2BE888F8">
            <w:pPr>
              <w:spacing w:before="160" w:line="228" w:lineRule="auto"/>
              <w:ind w:left="122"/>
              <w:rPr>
                <w:rFonts w:ascii="宋体" w:hAnsi="宋体" w:eastAsia="宋体" w:cs="宋体"/>
                <w:sz w:val="20"/>
                <w:szCs w:val="20"/>
              </w:rPr>
            </w:pPr>
            <w:r>
              <w:rPr>
                <w:rFonts w:ascii="宋体" w:hAnsi="宋体" w:eastAsia="宋体" w:cs="宋体"/>
                <w:spacing w:val="8"/>
                <w:sz w:val="20"/>
                <w:szCs w:val="20"/>
              </w:rPr>
              <w:t>外送污水处理厂的</w:t>
            </w:r>
          </w:p>
          <w:p w14:paraId="1964210B">
            <w:pPr>
              <w:spacing w:before="161" w:line="228" w:lineRule="auto"/>
              <w:ind w:left="130"/>
              <w:rPr>
                <w:rFonts w:ascii="宋体" w:hAnsi="宋体" w:eastAsia="宋体" w:cs="宋体"/>
                <w:sz w:val="20"/>
                <w:szCs w:val="20"/>
              </w:rPr>
            </w:pPr>
            <w:r>
              <w:rPr>
                <w:rFonts w:ascii="宋体" w:hAnsi="宋体" w:eastAsia="宋体" w:cs="宋体"/>
                <w:spacing w:val="4"/>
                <w:sz w:val="20"/>
                <w:szCs w:val="20"/>
              </w:rPr>
              <w:t>除外</w:t>
            </w:r>
            <w:r>
              <w:rPr>
                <w:rFonts w:ascii="宋体" w:hAnsi="宋体" w:eastAsia="宋体" w:cs="宋体"/>
                <w:spacing w:val="16"/>
                <w:sz w:val="20"/>
                <w:szCs w:val="20"/>
              </w:rPr>
              <w:t>）；</w:t>
            </w:r>
            <w:r>
              <w:rPr>
                <w:rFonts w:ascii="宋体" w:hAnsi="宋体" w:eastAsia="宋体" w:cs="宋体"/>
                <w:spacing w:val="4"/>
                <w:sz w:val="20"/>
                <w:szCs w:val="20"/>
              </w:rPr>
              <w:t>新增废水</w:t>
            </w:r>
          </w:p>
          <w:p w14:paraId="5430106A">
            <w:pPr>
              <w:spacing w:before="163" w:line="228" w:lineRule="auto"/>
              <w:ind w:left="119"/>
              <w:rPr>
                <w:rFonts w:ascii="宋体" w:hAnsi="宋体" w:eastAsia="宋体" w:cs="宋体"/>
                <w:sz w:val="20"/>
                <w:szCs w:val="20"/>
              </w:rPr>
            </w:pPr>
            <w:r>
              <w:rPr>
                <w:rFonts w:ascii="宋体" w:hAnsi="宋体" w:eastAsia="宋体" w:cs="宋体"/>
                <w:spacing w:val="8"/>
                <w:sz w:val="20"/>
                <w:szCs w:val="20"/>
              </w:rPr>
              <w:t>直排的污水集中处</w:t>
            </w:r>
          </w:p>
          <w:p w14:paraId="7D35ED84">
            <w:pPr>
              <w:spacing w:before="162" w:line="228" w:lineRule="auto"/>
              <w:ind w:left="751"/>
              <w:rPr>
                <w:rFonts w:ascii="宋体" w:hAnsi="宋体" w:eastAsia="宋体" w:cs="宋体"/>
                <w:sz w:val="20"/>
                <w:szCs w:val="20"/>
              </w:rPr>
            </w:pPr>
            <w:r>
              <w:rPr>
                <w:rFonts w:ascii="宋体" w:hAnsi="宋体" w:eastAsia="宋体" w:cs="宋体"/>
                <w:spacing w:val="3"/>
                <w:sz w:val="20"/>
                <w:szCs w:val="20"/>
              </w:rPr>
              <w:t>理厂</w:t>
            </w:r>
          </w:p>
        </w:tc>
        <w:tc>
          <w:tcPr>
            <w:tcW w:w="3149" w:type="dxa"/>
            <w:vAlign w:val="top"/>
          </w:tcPr>
          <w:p w14:paraId="17034407">
            <w:pPr>
              <w:spacing w:line="289" w:lineRule="auto"/>
              <w:rPr>
                <w:rFonts w:ascii="Arial"/>
                <w:sz w:val="21"/>
              </w:rPr>
            </w:pPr>
          </w:p>
          <w:p w14:paraId="41A8FC5E">
            <w:pPr>
              <w:spacing w:line="290" w:lineRule="auto"/>
              <w:rPr>
                <w:rFonts w:ascii="Arial"/>
                <w:sz w:val="21"/>
              </w:rPr>
            </w:pPr>
          </w:p>
          <w:p w14:paraId="6BD126D6">
            <w:pPr>
              <w:spacing w:before="65" w:line="227" w:lineRule="auto"/>
              <w:ind w:left="114"/>
              <w:rPr>
                <w:rFonts w:ascii="宋体" w:hAnsi="宋体" w:eastAsia="宋体" w:cs="宋体"/>
                <w:sz w:val="20"/>
                <w:szCs w:val="20"/>
              </w:rPr>
            </w:pPr>
            <w:r>
              <w:rPr>
                <w:rFonts w:ascii="宋体" w:hAnsi="宋体" w:eastAsia="宋体" w:cs="宋体"/>
                <w:spacing w:val="9"/>
                <w:sz w:val="20"/>
                <w:szCs w:val="20"/>
              </w:rPr>
              <w:t>本项目无生产废水产生、无废水</w:t>
            </w:r>
          </w:p>
          <w:p w14:paraId="09896CAC">
            <w:pPr>
              <w:spacing w:before="161" w:line="228" w:lineRule="auto"/>
              <w:ind w:left="117"/>
              <w:rPr>
                <w:rFonts w:ascii="宋体" w:hAnsi="宋体" w:eastAsia="宋体" w:cs="宋体"/>
                <w:sz w:val="20"/>
                <w:szCs w:val="20"/>
              </w:rPr>
            </w:pPr>
            <w:r>
              <w:rPr>
                <w:rFonts w:ascii="宋体" w:hAnsi="宋体" w:eastAsia="宋体" w:cs="宋体"/>
                <w:spacing w:val="8"/>
                <w:sz w:val="20"/>
                <w:szCs w:val="20"/>
              </w:rPr>
              <w:t>不外排，因此项目不设置地表水</w:t>
            </w:r>
          </w:p>
          <w:p w14:paraId="02D725D0">
            <w:pPr>
              <w:spacing w:before="161" w:line="228" w:lineRule="auto"/>
              <w:ind w:left="1268"/>
              <w:rPr>
                <w:rFonts w:ascii="宋体" w:hAnsi="宋体" w:eastAsia="宋体" w:cs="宋体"/>
                <w:sz w:val="20"/>
                <w:szCs w:val="20"/>
              </w:rPr>
            </w:pPr>
            <w:r>
              <w:rPr>
                <w:rFonts w:ascii="宋体" w:hAnsi="宋体" w:eastAsia="宋体" w:cs="宋体"/>
                <w:spacing w:val="2"/>
                <w:sz w:val="20"/>
                <w:szCs w:val="20"/>
              </w:rPr>
              <w:t>专项。</w:t>
            </w:r>
          </w:p>
        </w:tc>
        <w:tc>
          <w:tcPr>
            <w:tcW w:w="950" w:type="dxa"/>
            <w:vAlign w:val="top"/>
          </w:tcPr>
          <w:p w14:paraId="19228D78">
            <w:pPr>
              <w:spacing w:line="246" w:lineRule="auto"/>
              <w:rPr>
                <w:rFonts w:ascii="Arial"/>
                <w:sz w:val="21"/>
              </w:rPr>
            </w:pPr>
          </w:p>
          <w:p w14:paraId="4E4B48A2">
            <w:pPr>
              <w:spacing w:line="246" w:lineRule="auto"/>
              <w:rPr>
                <w:rFonts w:ascii="Arial"/>
                <w:sz w:val="21"/>
              </w:rPr>
            </w:pPr>
          </w:p>
          <w:p w14:paraId="4DB13118">
            <w:pPr>
              <w:spacing w:line="246" w:lineRule="auto"/>
              <w:rPr>
                <w:rFonts w:ascii="Arial"/>
                <w:sz w:val="21"/>
              </w:rPr>
            </w:pPr>
          </w:p>
          <w:p w14:paraId="0B175668">
            <w:pPr>
              <w:spacing w:line="247" w:lineRule="auto"/>
              <w:rPr>
                <w:rFonts w:ascii="Arial"/>
                <w:sz w:val="21"/>
              </w:rPr>
            </w:pPr>
          </w:p>
          <w:p w14:paraId="7A1CF1D2">
            <w:pPr>
              <w:spacing w:before="65" w:line="228" w:lineRule="auto"/>
              <w:ind w:left="388"/>
              <w:rPr>
                <w:rFonts w:ascii="宋体" w:hAnsi="宋体" w:eastAsia="宋体" w:cs="宋体"/>
                <w:sz w:val="20"/>
                <w:szCs w:val="20"/>
              </w:rPr>
            </w:pPr>
            <w:r>
              <w:rPr>
                <w:rFonts w:ascii="宋体" w:hAnsi="宋体" w:eastAsia="宋体" w:cs="宋体"/>
                <w:sz w:val="20"/>
                <w:szCs w:val="20"/>
              </w:rPr>
              <w:t>否</w:t>
            </w:r>
          </w:p>
        </w:tc>
        <w:tc>
          <w:tcPr>
            <w:tcW w:w="122" w:type="dxa"/>
            <w:vMerge w:val="continue"/>
            <w:tcBorders>
              <w:top w:val="nil"/>
              <w:bottom w:val="nil"/>
              <w:right w:val="single" w:color="000000" w:sz="6" w:space="0"/>
            </w:tcBorders>
            <w:vAlign w:val="top"/>
          </w:tcPr>
          <w:p w14:paraId="508862CC">
            <w:pPr>
              <w:rPr>
                <w:rFonts w:ascii="Arial"/>
                <w:sz w:val="21"/>
              </w:rPr>
            </w:pPr>
          </w:p>
        </w:tc>
      </w:tr>
      <w:tr w14:paraId="037C7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5" w:hRule="atLeast"/>
        </w:trPr>
        <w:tc>
          <w:tcPr>
            <w:tcW w:w="1863" w:type="dxa"/>
            <w:vMerge w:val="continue"/>
            <w:tcBorders>
              <w:top w:val="nil"/>
              <w:left w:val="single" w:color="000000" w:sz="6" w:space="0"/>
              <w:bottom w:val="nil"/>
            </w:tcBorders>
            <w:vAlign w:val="top"/>
          </w:tcPr>
          <w:p w14:paraId="6A61B61D">
            <w:pPr>
              <w:rPr>
                <w:rFonts w:ascii="Arial"/>
                <w:sz w:val="21"/>
              </w:rPr>
            </w:pPr>
          </w:p>
        </w:tc>
        <w:tc>
          <w:tcPr>
            <w:tcW w:w="113" w:type="dxa"/>
            <w:tcBorders>
              <w:top w:val="nil"/>
              <w:bottom w:val="nil"/>
            </w:tcBorders>
            <w:vAlign w:val="top"/>
          </w:tcPr>
          <w:p w14:paraId="52C38C12">
            <w:pPr>
              <w:rPr>
                <w:rFonts w:ascii="Arial"/>
                <w:sz w:val="21"/>
              </w:rPr>
            </w:pPr>
          </w:p>
        </w:tc>
        <w:tc>
          <w:tcPr>
            <w:tcW w:w="765" w:type="dxa"/>
            <w:vAlign w:val="top"/>
          </w:tcPr>
          <w:p w14:paraId="2225F2F0">
            <w:pPr>
              <w:spacing w:line="291" w:lineRule="auto"/>
              <w:rPr>
                <w:rFonts w:ascii="Arial"/>
                <w:sz w:val="21"/>
              </w:rPr>
            </w:pPr>
          </w:p>
          <w:p w14:paraId="2E6168F0">
            <w:pPr>
              <w:spacing w:line="291" w:lineRule="auto"/>
              <w:rPr>
                <w:rFonts w:ascii="Arial"/>
                <w:sz w:val="21"/>
              </w:rPr>
            </w:pPr>
          </w:p>
          <w:p w14:paraId="631E068A">
            <w:pPr>
              <w:spacing w:before="65" w:line="378" w:lineRule="auto"/>
              <w:ind w:left="175" w:right="175"/>
              <w:rPr>
                <w:rFonts w:ascii="宋体" w:hAnsi="宋体" w:eastAsia="宋体" w:cs="宋体"/>
                <w:sz w:val="20"/>
                <w:szCs w:val="20"/>
              </w:rPr>
            </w:pPr>
            <w:r>
              <w:rPr>
                <w:rFonts w:ascii="宋体" w:hAnsi="宋体" w:eastAsia="宋体" w:cs="宋体"/>
                <w:spacing w:val="4"/>
                <w:sz w:val="20"/>
                <w:szCs w:val="20"/>
              </w:rPr>
              <w:t>环境风险</w:t>
            </w:r>
          </w:p>
        </w:tc>
        <w:tc>
          <w:tcPr>
            <w:tcW w:w="1910" w:type="dxa"/>
            <w:vAlign w:val="top"/>
          </w:tcPr>
          <w:p w14:paraId="3E5D2322">
            <w:pPr>
              <w:spacing w:before="242" w:line="228" w:lineRule="auto"/>
              <w:ind w:left="118"/>
              <w:rPr>
                <w:rFonts w:ascii="宋体" w:hAnsi="宋体" w:eastAsia="宋体" w:cs="宋体"/>
                <w:sz w:val="20"/>
                <w:szCs w:val="20"/>
              </w:rPr>
            </w:pPr>
            <w:r>
              <w:rPr>
                <w:rFonts w:ascii="宋体" w:hAnsi="宋体" w:eastAsia="宋体" w:cs="宋体"/>
                <w:spacing w:val="8"/>
                <w:sz w:val="20"/>
                <w:szCs w:val="20"/>
              </w:rPr>
              <w:t>有毒有害和易燃易</w:t>
            </w:r>
          </w:p>
          <w:p w14:paraId="2B729BE2">
            <w:pPr>
              <w:spacing w:before="161" w:line="226" w:lineRule="auto"/>
              <w:ind w:left="118"/>
              <w:rPr>
                <w:rFonts w:ascii="宋体" w:hAnsi="宋体" w:eastAsia="宋体" w:cs="宋体"/>
                <w:sz w:val="20"/>
                <w:szCs w:val="20"/>
              </w:rPr>
            </w:pPr>
            <w:r>
              <w:rPr>
                <w:rFonts w:ascii="宋体" w:hAnsi="宋体" w:eastAsia="宋体" w:cs="宋体"/>
                <w:spacing w:val="8"/>
                <w:sz w:val="20"/>
                <w:szCs w:val="20"/>
              </w:rPr>
              <w:t>爆危险物质存储量</w:t>
            </w:r>
          </w:p>
          <w:p w14:paraId="778EAC1C">
            <w:pPr>
              <w:spacing w:before="162" w:line="228" w:lineRule="auto"/>
              <w:ind w:left="146"/>
              <w:rPr>
                <w:rFonts w:ascii="宋体" w:hAnsi="宋体" w:eastAsia="宋体" w:cs="宋体"/>
                <w:sz w:val="20"/>
                <w:szCs w:val="20"/>
              </w:rPr>
            </w:pPr>
            <w:r>
              <w:rPr>
                <w:rFonts w:ascii="宋体" w:hAnsi="宋体" w:eastAsia="宋体" w:cs="宋体"/>
                <w:spacing w:val="4"/>
                <w:sz w:val="20"/>
                <w:szCs w:val="20"/>
              </w:rPr>
              <w:t>超过临界量</w:t>
            </w:r>
            <w:r>
              <w:rPr>
                <w:rFonts w:ascii="宋体" w:hAnsi="宋体" w:eastAsia="宋体" w:cs="宋体"/>
                <w:spacing w:val="-42"/>
                <w:sz w:val="20"/>
                <w:szCs w:val="20"/>
              </w:rPr>
              <w:t xml:space="preserve"> </w:t>
            </w:r>
            <w:r>
              <w:rPr>
                <w:rFonts w:ascii="Times New Roman" w:hAnsi="Times New Roman" w:eastAsia="Times New Roman" w:cs="Times New Roman"/>
                <w:spacing w:val="4"/>
                <w:position w:val="6"/>
                <w:sz w:val="13"/>
                <w:szCs w:val="13"/>
              </w:rPr>
              <w:t>3</w:t>
            </w:r>
            <w:r>
              <w:rPr>
                <w:rFonts w:ascii="Times New Roman" w:hAnsi="Times New Roman" w:eastAsia="Times New Roman" w:cs="Times New Roman"/>
                <w:spacing w:val="27"/>
                <w:w w:val="101"/>
                <w:position w:val="6"/>
                <w:sz w:val="13"/>
                <w:szCs w:val="13"/>
              </w:rPr>
              <w:t xml:space="preserve"> </w:t>
            </w:r>
            <w:r>
              <w:rPr>
                <w:rFonts w:ascii="宋体" w:hAnsi="宋体" w:eastAsia="宋体" w:cs="宋体"/>
                <w:spacing w:val="4"/>
                <w:sz w:val="20"/>
                <w:szCs w:val="20"/>
              </w:rPr>
              <w:t>的建</w:t>
            </w:r>
          </w:p>
          <w:p w14:paraId="266CD3E9">
            <w:pPr>
              <w:spacing w:before="161" w:line="229" w:lineRule="auto"/>
              <w:ind w:left="752"/>
              <w:rPr>
                <w:rFonts w:ascii="宋体" w:hAnsi="宋体" w:eastAsia="宋体" w:cs="宋体"/>
                <w:sz w:val="20"/>
                <w:szCs w:val="20"/>
              </w:rPr>
            </w:pPr>
            <w:r>
              <w:rPr>
                <w:rFonts w:ascii="宋体" w:hAnsi="宋体" w:eastAsia="宋体" w:cs="宋体"/>
                <w:spacing w:val="3"/>
                <w:sz w:val="20"/>
                <w:szCs w:val="20"/>
              </w:rPr>
              <w:t>设目</w:t>
            </w:r>
          </w:p>
        </w:tc>
        <w:tc>
          <w:tcPr>
            <w:tcW w:w="3149" w:type="dxa"/>
            <w:vAlign w:val="top"/>
          </w:tcPr>
          <w:p w14:paraId="6A2A1138">
            <w:pPr>
              <w:spacing w:before="38" w:line="226" w:lineRule="auto"/>
              <w:ind w:left="113"/>
              <w:rPr>
                <w:rFonts w:ascii="宋体" w:hAnsi="宋体" w:eastAsia="宋体" w:cs="宋体"/>
                <w:sz w:val="20"/>
                <w:szCs w:val="20"/>
              </w:rPr>
            </w:pPr>
            <w:r>
              <w:rPr>
                <w:rFonts w:ascii="宋体" w:hAnsi="宋体" w:eastAsia="宋体" w:cs="宋体"/>
                <w:spacing w:val="9"/>
                <w:sz w:val="20"/>
                <w:szCs w:val="20"/>
              </w:rPr>
              <w:t>根据《建设项目环境风险评价技</w:t>
            </w:r>
          </w:p>
          <w:p w14:paraId="0964C890">
            <w:pPr>
              <w:spacing w:before="162" w:line="227" w:lineRule="auto"/>
              <w:ind w:left="120"/>
              <w:rPr>
                <w:rFonts w:ascii="宋体" w:hAnsi="宋体" w:eastAsia="宋体" w:cs="宋体"/>
                <w:sz w:val="20"/>
                <w:szCs w:val="20"/>
              </w:rPr>
            </w:pPr>
            <w:r>
              <w:rPr>
                <w:rFonts w:ascii="宋体" w:hAnsi="宋体" w:eastAsia="宋体" w:cs="宋体"/>
                <w:spacing w:val="6"/>
                <w:sz w:val="20"/>
                <w:szCs w:val="20"/>
              </w:rPr>
              <w:t>术导则》（</w:t>
            </w:r>
            <w:r>
              <w:rPr>
                <w:rFonts w:ascii="Times New Roman" w:hAnsi="Times New Roman" w:eastAsia="Times New Roman" w:cs="Times New Roman"/>
                <w:sz w:val="20"/>
                <w:szCs w:val="20"/>
              </w:rPr>
              <w:t>HJ</w:t>
            </w:r>
            <w:r>
              <w:rPr>
                <w:rFonts w:ascii="Times New Roman" w:hAnsi="Times New Roman" w:eastAsia="Times New Roman" w:cs="Times New Roman"/>
                <w:spacing w:val="6"/>
                <w:sz w:val="20"/>
                <w:szCs w:val="20"/>
              </w:rPr>
              <w:t>169-2018</w:t>
            </w:r>
            <w:r>
              <w:rPr>
                <w:rFonts w:ascii="宋体" w:hAnsi="宋体" w:eastAsia="宋体" w:cs="宋体"/>
                <w:spacing w:val="18"/>
                <w:sz w:val="20"/>
                <w:szCs w:val="20"/>
              </w:rPr>
              <w:t>），</w:t>
            </w:r>
            <w:r>
              <w:rPr>
                <w:rFonts w:ascii="宋体" w:hAnsi="宋体" w:eastAsia="宋体" w:cs="宋体"/>
                <w:spacing w:val="6"/>
                <w:sz w:val="20"/>
                <w:szCs w:val="20"/>
              </w:rPr>
              <w:t>本项</w:t>
            </w:r>
          </w:p>
          <w:p w14:paraId="1C1408DE">
            <w:pPr>
              <w:spacing w:before="164" w:line="227" w:lineRule="auto"/>
              <w:ind w:left="256"/>
              <w:rPr>
                <w:rFonts w:ascii="宋体" w:hAnsi="宋体" w:eastAsia="宋体" w:cs="宋体"/>
                <w:sz w:val="20"/>
                <w:szCs w:val="20"/>
              </w:rPr>
            </w:pPr>
            <w:r>
              <w:rPr>
                <w:rFonts w:ascii="宋体" w:hAnsi="宋体" w:eastAsia="宋体" w:cs="宋体"/>
                <w:spacing w:val="6"/>
                <w:sz w:val="20"/>
                <w:szCs w:val="20"/>
              </w:rPr>
              <w:t>目风险物质为废机油和废旧活</w:t>
            </w:r>
          </w:p>
          <w:p w14:paraId="4B371BF7">
            <w:pPr>
              <w:spacing w:before="162" w:line="228" w:lineRule="auto"/>
              <w:ind w:left="219"/>
              <w:rPr>
                <w:rFonts w:ascii="宋体" w:hAnsi="宋体" w:eastAsia="宋体" w:cs="宋体"/>
                <w:sz w:val="20"/>
                <w:szCs w:val="20"/>
              </w:rPr>
            </w:pPr>
            <w:r>
              <w:rPr>
                <w:rFonts w:ascii="宋体" w:hAnsi="宋体" w:eastAsia="宋体" w:cs="宋体"/>
                <w:spacing w:val="9"/>
                <w:sz w:val="20"/>
                <w:szCs w:val="20"/>
              </w:rPr>
              <w:t>性炭，最大储存量未超过临界</w:t>
            </w:r>
          </w:p>
          <w:p w14:paraId="265E029D">
            <w:pPr>
              <w:spacing w:before="161" w:line="228" w:lineRule="auto"/>
              <w:ind w:left="428"/>
              <w:rPr>
                <w:rFonts w:ascii="宋体" w:hAnsi="宋体" w:eastAsia="宋体" w:cs="宋体"/>
                <w:sz w:val="20"/>
                <w:szCs w:val="20"/>
              </w:rPr>
            </w:pPr>
            <w:r>
              <w:rPr>
                <w:rFonts w:ascii="宋体" w:hAnsi="宋体" w:eastAsia="宋体" w:cs="宋体"/>
                <w:spacing w:val="8"/>
                <w:sz w:val="20"/>
                <w:szCs w:val="20"/>
              </w:rPr>
              <w:t>量，不设环境风险专项。</w:t>
            </w:r>
          </w:p>
        </w:tc>
        <w:tc>
          <w:tcPr>
            <w:tcW w:w="950" w:type="dxa"/>
            <w:vAlign w:val="top"/>
          </w:tcPr>
          <w:p w14:paraId="683456A6">
            <w:pPr>
              <w:spacing w:line="261" w:lineRule="auto"/>
              <w:rPr>
                <w:rFonts w:ascii="Arial"/>
                <w:sz w:val="21"/>
              </w:rPr>
            </w:pPr>
          </w:p>
          <w:p w14:paraId="59B42F98">
            <w:pPr>
              <w:spacing w:line="262" w:lineRule="auto"/>
              <w:rPr>
                <w:rFonts w:ascii="Arial"/>
                <w:sz w:val="21"/>
              </w:rPr>
            </w:pPr>
          </w:p>
          <w:p w14:paraId="54AF2335">
            <w:pPr>
              <w:spacing w:line="262" w:lineRule="auto"/>
              <w:rPr>
                <w:rFonts w:ascii="Arial"/>
                <w:sz w:val="21"/>
              </w:rPr>
            </w:pPr>
          </w:p>
          <w:p w14:paraId="7083F957">
            <w:pPr>
              <w:spacing w:before="65" w:line="228" w:lineRule="auto"/>
              <w:ind w:left="388"/>
              <w:rPr>
                <w:rFonts w:ascii="宋体" w:hAnsi="宋体" w:eastAsia="宋体" w:cs="宋体"/>
                <w:sz w:val="20"/>
                <w:szCs w:val="20"/>
              </w:rPr>
            </w:pPr>
            <w:r>
              <w:rPr>
                <w:rFonts w:ascii="宋体" w:hAnsi="宋体" w:eastAsia="宋体" w:cs="宋体"/>
                <w:sz w:val="20"/>
                <w:szCs w:val="20"/>
              </w:rPr>
              <w:t>否</w:t>
            </w:r>
          </w:p>
        </w:tc>
        <w:tc>
          <w:tcPr>
            <w:tcW w:w="122" w:type="dxa"/>
            <w:vMerge w:val="continue"/>
            <w:tcBorders>
              <w:top w:val="nil"/>
              <w:bottom w:val="nil"/>
              <w:right w:val="single" w:color="000000" w:sz="6" w:space="0"/>
            </w:tcBorders>
            <w:vAlign w:val="top"/>
          </w:tcPr>
          <w:p w14:paraId="0677106F">
            <w:pPr>
              <w:rPr>
                <w:rFonts w:ascii="Arial"/>
                <w:sz w:val="21"/>
              </w:rPr>
            </w:pPr>
          </w:p>
        </w:tc>
      </w:tr>
      <w:tr w14:paraId="07C4D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1" w:hRule="atLeast"/>
        </w:trPr>
        <w:tc>
          <w:tcPr>
            <w:tcW w:w="1863" w:type="dxa"/>
            <w:vMerge w:val="continue"/>
            <w:tcBorders>
              <w:top w:val="nil"/>
              <w:left w:val="single" w:color="000000" w:sz="6" w:space="0"/>
              <w:bottom w:val="nil"/>
            </w:tcBorders>
            <w:vAlign w:val="top"/>
          </w:tcPr>
          <w:p w14:paraId="52CE8197">
            <w:pPr>
              <w:rPr>
                <w:rFonts w:ascii="Arial"/>
                <w:sz w:val="21"/>
              </w:rPr>
            </w:pPr>
          </w:p>
        </w:tc>
        <w:tc>
          <w:tcPr>
            <w:tcW w:w="113" w:type="dxa"/>
            <w:tcBorders>
              <w:top w:val="nil"/>
              <w:bottom w:val="nil"/>
            </w:tcBorders>
            <w:vAlign w:val="top"/>
          </w:tcPr>
          <w:p w14:paraId="10495729">
            <w:pPr>
              <w:rPr>
                <w:rFonts w:ascii="Arial"/>
                <w:sz w:val="21"/>
              </w:rPr>
            </w:pPr>
          </w:p>
        </w:tc>
        <w:tc>
          <w:tcPr>
            <w:tcW w:w="765" w:type="dxa"/>
            <w:vAlign w:val="top"/>
          </w:tcPr>
          <w:p w14:paraId="414A2BF9">
            <w:pPr>
              <w:spacing w:line="298" w:lineRule="auto"/>
              <w:rPr>
                <w:rFonts w:ascii="Arial"/>
                <w:sz w:val="21"/>
              </w:rPr>
            </w:pPr>
          </w:p>
          <w:p w14:paraId="4F833BED">
            <w:pPr>
              <w:spacing w:line="298" w:lineRule="auto"/>
              <w:rPr>
                <w:rFonts w:ascii="Arial"/>
                <w:sz w:val="21"/>
              </w:rPr>
            </w:pPr>
          </w:p>
          <w:p w14:paraId="27179B05">
            <w:pPr>
              <w:spacing w:line="299" w:lineRule="auto"/>
              <w:rPr>
                <w:rFonts w:ascii="Arial"/>
                <w:sz w:val="21"/>
              </w:rPr>
            </w:pPr>
          </w:p>
          <w:p w14:paraId="50CD5B5D">
            <w:pPr>
              <w:spacing w:line="299" w:lineRule="auto"/>
              <w:rPr>
                <w:rFonts w:ascii="Arial"/>
                <w:sz w:val="21"/>
              </w:rPr>
            </w:pPr>
          </w:p>
          <w:p w14:paraId="3F63A77A">
            <w:pPr>
              <w:spacing w:before="65" w:line="233" w:lineRule="auto"/>
              <w:ind w:left="176"/>
              <w:rPr>
                <w:rFonts w:ascii="宋体" w:hAnsi="宋体" w:eastAsia="宋体" w:cs="宋体"/>
                <w:sz w:val="20"/>
                <w:szCs w:val="20"/>
              </w:rPr>
            </w:pPr>
            <w:r>
              <w:rPr>
                <w:rFonts w:ascii="宋体" w:hAnsi="宋体" w:eastAsia="宋体" w:cs="宋体"/>
                <w:spacing w:val="3"/>
                <w:sz w:val="20"/>
                <w:szCs w:val="20"/>
              </w:rPr>
              <w:t>生态</w:t>
            </w:r>
          </w:p>
        </w:tc>
        <w:tc>
          <w:tcPr>
            <w:tcW w:w="1910" w:type="dxa"/>
            <w:vAlign w:val="top"/>
          </w:tcPr>
          <w:p w14:paraId="4E727101">
            <w:pPr>
              <w:spacing w:before="42" w:line="228" w:lineRule="auto"/>
              <w:ind w:left="120"/>
              <w:rPr>
                <w:rFonts w:ascii="宋体" w:hAnsi="宋体" w:eastAsia="宋体" w:cs="宋体"/>
                <w:sz w:val="20"/>
                <w:szCs w:val="20"/>
              </w:rPr>
            </w:pPr>
            <w:r>
              <w:rPr>
                <w:rFonts w:ascii="宋体" w:hAnsi="宋体" w:eastAsia="宋体" w:cs="宋体"/>
                <w:spacing w:val="5"/>
                <w:sz w:val="20"/>
                <w:szCs w:val="20"/>
              </w:rPr>
              <w:t>取水口下游</w:t>
            </w:r>
            <w:r>
              <w:rPr>
                <w:rFonts w:ascii="宋体" w:hAnsi="宋体" w:eastAsia="宋体" w:cs="宋体"/>
                <w:spacing w:val="-32"/>
                <w:sz w:val="20"/>
                <w:szCs w:val="20"/>
              </w:rPr>
              <w:t xml:space="preserve"> </w:t>
            </w:r>
            <w:r>
              <w:rPr>
                <w:rFonts w:ascii="Times New Roman" w:hAnsi="Times New Roman" w:eastAsia="Times New Roman" w:cs="Times New Roman"/>
                <w:spacing w:val="5"/>
                <w:sz w:val="20"/>
                <w:szCs w:val="20"/>
              </w:rPr>
              <w:t xml:space="preserve">500 </w:t>
            </w:r>
            <w:r>
              <w:rPr>
                <w:rFonts w:ascii="宋体" w:hAnsi="宋体" w:eastAsia="宋体" w:cs="宋体"/>
                <w:spacing w:val="5"/>
                <w:sz w:val="20"/>
                <w:szCs w:val="20"/>
              </w:rPr>
              <w:t>米</w:t>
            </w:r>
          </w:p>
          <w:p w14:paraId="32DBC29B">
            <w:pPr>
              <w:spacing w:before="160" w:line="228" w:lineRule="auto"/>
              <w:ind w:left="123"/>
              <w:rPr>
                <w:rFonts w:ascii="宋体" w:hAnsi="宋体" w:eastAsia="宋体" w:cs="宋体"/>
                <w:sz w:val="20"/>
                <w:szCs w:val="20"/>
              </w:rPr>
            </w:pPr>
            <w:r>
              <w:rPr>
                <w:rFonts w:ascii="宋体" w:hAnsi="宋体" w:eastAsia="宋体" w:cs="宋体"/>
                <w:spacing w:val="8"/>
                <w:sz w:val="20"/>
                <w:szCs w:val="20"/>
              </w:rPr>
              <w:t>范围内有重要水生</w:t>
            </w:r>
          </w:p>
          <w:p w14:paraId="500F00D2">
            <w:pPr>
              <w:spacing w:before="161" w:line="228" w:lineRule="auto"/>
              <w:ind w:left="225"/>
              <w:rPr>
                <w:rFonts w:ascii="宋体" w:hAnsi="宋体" w:eastAsia="宋体" w:cs="宋体"/>
                <w:sz w:val="20"/>
                <w:szCs w:val="20"/>
              </w:rPr>
            </w:pPr>
            <w:r>
              <w:rPr>
                <w:rFonts w:ascii="宋体" w:hAnsi="宋体" w:eastAsia="宋体" w:cs="宋体"/>
                <w:spacing w:val="8"/>
                <w:sz w:val="20"/>
                <w:szCs w:val="20"/>
              </w:rPr>
              <w:t>生物的自然产卵</w:t>
            </w:r>
          </w:p>
          <w:p w14:paraId="6BC8C4D7">
            <w:pPr>
              <w:spacing w:before="161" w:line="228" w:lineRule="auto"/>
              <w:ind w:left="117"/>
              <w:rPr>
                <w:rFonts w:ascii="宋体" w:hAnsi="宋体" w:eastAsia="宋体" w:cs="宋体"/>
                <w:sz w:val="20"/>
                <w:szCs w:val="20"/>
              </w:rPr>
            </w:pPr>
            <w:r>
              <w:rPr>
                <w:rFonts w:ascii="宋体" w:hAnsi="宋体" w:eastAsia="宋体" w:cs="宋体"/>
                <w:spacing w:val="8"/>
                <w:sz w:val="20"/>
                <w:szCs w:val="20"/>
              </w:rPr>
              <w:t>场、索饵场、越冬</w:t>
            </w:r>
          </w:p>
          <w:p w14:paraId="323DA283">
            <w:pPr>
              <w:spacing w:before="163" w:line="228" w:lineRule="auto"/>
              <w:ind w:left="117"/>
              <w:rPr>
                <w:rFonts w:ascii="宋体" w:hAnsi="宋体" w:eastAsia="宋体" w:cs="宋体"/>
                <w:sz w:val="20"/>
                <w:szCs w:val="20"/>
              </w:rPr>
            </w:pPr>
            <w:r>
              <w:rPr>
                <w:rFonts w:ascii="宋体" w:hAnsi="宋体" w:eastAsia="宋体" w:cs="宋体"/>
                <w:spacing w:val="8"/>
                <w:sz w:val="20"/>
                <w:szCs w:val="20"/>
              </w:rPr>
              <w:t>场和洄游通道的新</w:t>
            </w:r>
          </w:p>
          <w:p w14:paraId="210E3B9D">
            <w:pPr>
              <w:spacing w:before="161" w:line="228" w:lineRule="auto"/>
              <w:ind w:left="118"/>
              <w:rPr>
                <w:rFonts w:ascii="宋体" w:hAnsi="宋体" w:eastAsia="宋体" w:cs="宋体"/>
                <w:sz w:val="20"/>
                <w:szCs w:val="20"/>
              </w:rPr>
            </w:pPr>
            <w:r>
              <w:rPr>
                <w:rFonts w:ascii="宋体" w:hAnsi="宋体" w:eastAsia="宋体" w:cs="宋体"/>
                <w:spacing w:val="8"/>
                <w:sz w:val="20"/>
                <w:szCs w:val="20"/>
              </w:rPr>
              <w:t>增河道取水的污染</w:t>
            </w:r>
          </w:p>
          <w:p w14:paraId="2808730E">
            <w:pPr>
              <w:spacing w:before="161" w:line="228" w:lineRule="auto"/>
              <w:ind w:left="432"/>
              <w:rPr>
                <w:rFonts w:ascii="宋体" w:hAnsi="宋体" w:eastAsia="宋体" w:cs="宋体"/>
                <w:sz w:val="20"/>
                <w:szCs w:val="20"/>
              </w:rPr>
            </w:pPr>
            <w:r>
              <w:rPr>
                <w:rFonts w:ascii="宋体" w:hAnsi="宋体" w:eastAsia="宋体" w:cs="宋体"/>
                <w:spacing w:val="8"/>
                <w:sz w:val="20"/>
                <w:szCs w:val="20"/>
              </w:rPr>
              <w:t>类建设项目</w:t>
            </w:r>
          </w:p>
        </w:tc>
        <w:tc>
          <w:tcPr>
            <w:tcW w:w="3149" w:type="dxa"/>
            <w:vAlign w:val="top"/>
          </w:tcPr>
          <w:p w14:paraId="185F4F95">
            <w:pPr>
              <w:spacing w:before="244" w:line="227" w:lineRule="auto"/>
              <w:ind w:left="114"/>
              <w:rPr>
                <w:rFonts w:ascii="宋体" w:hAnsi="宋体" w:eastAsia="宋体" w:cs="宋体"/>
                <w:sz w:val="20"/>
                <w:szCs w:val="20"/>
              </w:rPr>
            </w:pPr>
            <w:r>
              <w:rPr>
                <w:rFonts w:ascii="宋体" w:hAnsi="宋体" w:eastAsia="宋体" w:cs="宋体"/>
                <w:spacing w:val="9"/>
                <w:sz w:val="20"/>
                <w:szCs w:val="20"/>
              </w:rPr>
              <w:t>本项目由自来水管网供水，无取</w:t>
            </w:r>
          </w:p>
          <w:p w14:paraId="26B1FDCD">
            <w:pPr>
              <w:spacing w:before="161" w:line="228" w:lineRule="auto"/>
              <w:ind w:left="116"/>
              <w:rPr>
                <w:rFonts w:ascii="宋体" w:hAnsi="宋体" w:eastAsia="宋体" w:cs="宋体"/>
                <w:sz w:val="20"/>
                <w:szCs w:val="20"/>
              </w:rPr>
            </w:pPr>
            <w:r>
              <w:rPr>
                <w:rFonts w:ascii="宋体" w:hAnsi="宋体" w:eastAsia="宋体" w:cs="宋体"/>
                <w:spacing w:val="7"/>
                <w:sz w:val="20"/>
                <w:szCs w:val="20"/>
              </w:rPr>
              <w:t>水口，不属于取水口下游</w:t>
            </w:r>
            <w:r>
              <w:rPr>
                <w:rFonts w:ascii="宋体" w:hAnsi="宋体" w:eastAsia="宋体" w:cs="宋体"/>
                <w:spacing w:val="-36"/>
                <w:sz w:val="20"/>
                <w:szCs w:val="20"/>
              </w:rPr>
              <w:t xml:space="preserve"> </w:t>
            </w:r>
            <w:r>
              <w:rPr>
                <w:rFonts w:ascii="Times New Roman" w:hAnsi="Times New Roman" w:eastAsia="Times New Roman" w:cs="Times New Roman"/>
                <w:spacing w:val="7"/>
                <w:sz w:val="20"/>
                <w:szCs w:val="20"/>
              </w:rPr>
              <w:t xml:space="preserve">500 </w:t>
            </w:r>
            <w:r>
              <w:rPr>
                <w:rFonts w:ascii="宋体" w:hAnsi="宋体" w:eastAsia="宋体" w:cs="宋体"/>
                <w:spacing w:val="7"/>
                <w:sz w:val="20"/>
                <w:szCs w:val="20"/>
              </w:rPr>
              <w:t>米</w:t>
            </w:r>
          </w:p>
          <w:p w14:paraId="45978F99">
            <w:pPr>
              <w:spacing w:before="163" w:line="228" w:lineRule="auto"/>
              <w:ind w:left="221"/>
              <w:rPr>
                <w:rFonts w:ascii="宋体" w:hAnsi="宋体" w:eastAsia="宋体" w:cs="宋体"/>
                <w:sz w:val="20"/>
                <w:szCs w:val="20"/>
              </w:rPr>
            </w:pPr>
            <w:r>
              <w:rPr>
                <w:rFonts w:ascii="宋体" w:hAnsi="宋体" w:eastAsia="宋体" w:cs="宋体"/>
                <w:spacing w:val="8"/>
                <w:sz w:val="20"/>
                <w:szCs w:val="20"/>
              </w:rPr>
              <w:t>范围内有重要水生生物的自然</w:t>
            </w:r>
          </w:p>
          <w:p w14:paraId="1B31C737">
            <w:pPr>
              <w:spacing w:before="160" w:line="228" w:lineRule="auto"/>
              <w:ind w:left="113"/>
              <w:rPr>
                <w:rFonts w:ascii="宋体" w:hAnsi="宋体" w:eastAsia="宋体" w:cs="宋体"/>
                <w:sz w:val="20"/>
                <w:szCs w:val="20"/>
              </w:rPr>
            </w:pPr>
            <w:r>
              <w:rPr>
                <w:rFonts w:ascii="宋体" w:hAnsi="宋体" w:eastAsia="宋体" w:cs="宋体"/>
                <w:spacing w:val="9"/>
                <w:sz w:val="20"/>
                <w:szCs w:val="20"/>
              </w:rPr>
              <w:t>产卵、索饵场、越冬场和洄游通</w:t>
            </w:r>
          </w:p>
          <w:p w14:paraId="54208661">
            <w:pPr>
              <w:spacing w:before="161" w:line="228" w:lineRule="auto"/>
              <w:ind w:left="216"/>
              <w:rPr>
                <w:rFonts w:ascii="宋体" w:hAnsi="宋体" w:eastAsia="宋体" w:cs="宋体"/>
                <w:sz w:val="20"/>
                <w:szCs w:val="20"/>
              </w:rPr>
            </w:pPr>
            <w:r>
              <w:rPr>
                <w:rFonts w:ascii="宋体" w:hAnsi="宋体" w:eastAsia="宋体" w:cs="宋体"/>
                <w:spacing w:val="9"/>
                <w:sz w:val="20"/>
                <w:szCs w:val="20"/>
              </w:rPr>
              <w:t>道的新增河道取水的污染类建</w:t>
            </w:r>
          </w:p>
          <w:p w14:paraId="2679E1DE">
            <w:pPr>
              <w:spacing w:before="162" w:line="228" w:lineRule="auto"/>
              <w:ind w:left="1165"/>
              <w:rPr>
                <w:rFonts w:ascii="宋体" w:hAnsi="宋体" w:eastAsia="宋体" w:cs="宋体"/>
                <w:sz w:val="20"/>
                <w:szCs w:val="20"/>
              </w:rPr>
            </w:pPr>
            <w:r>
              <w:rPr>
                <w:rFonts w:ascii="宋体" w:hAnsi="宋体" w:eastAsia="宋体" w:cs="宋体"/>
                <w:spacing w:val="4"/>
                <w:sz w:val="20"/>
                <w:szCs w:val="20"/>
              </w:rPr>
              <w:t>设项目。</w:t>
            </w:r>
          </w:p>
        </w:tc>
        <w:tc>
          <w:tcPr>
            <w:tcW w:w="950" w:type="dxa"/>
            <w:vAlign w:val="top"/>
          </w:tcPr>
          <w:p w14:paraId="216836C3">
            <w:pPr>
              <w:spacing w:line="298" w:lineRule="auto"/>
              <w:rPr>
                <w:rFonts w:ascii="Arial"/>
                <w:sz w:val="21"/>
              </w:rPr>
            </w:pPr>
          </w:p>
          <w:p w14:paraId="20F3C424">
            <w:pPr>
              <w:spacing w:line="299" w:lineRule="auto"/>
              <w:rPr>
                <w:rFonts w:ascii="Arial"/>
                <w:sz w:val="21"/>
              </w:rPr>
            </w:pPr>
          </w:p>
          <w:p w14:paraId="546F22A2">
            <w:pPr>
              <w:spacing w:line="299" w:lineRule="auto"/>
              <w:rPr>
                <w:rFonts w:ascii="Arial"/>
                <w:sz w:val="21"/>
              </w:rPr>
            </w:pPr>
          </w:p>
          <w:p w14:paraId="0AED91C2">
            <w:pPr>
              <w:spacing w:line="299" w:lineRule="auto"/>
              <w:rPr>
                <w:rFonts w:ascii="Arial"/>
                <w:sz w:val="21"/>
              </w:rPr>
            </w:pPr>
          </w:p>
          <w:p w14:paraId="671CE5E5">
            <w:pPr>
              <w:spacing w:before="65" w:line="228" w:lineRule="auto"/>
              <w:ind w:left="388"/>
              <w:rPr>
                <w:rFonts w:ascii="宋体" w:hAnsi="宋体" w:eastAsia="宋体" w:cs="宋体"/>
                <w:sz w:val="20"/>
                <w:szCs w:val="20"/>
              </w:rPr>
            </w:pPr>
            <w:r>
              <w:rPr>
                <w:rFonts w:ascii="宋体" w:hAnsi="宋体" w:eastAsia="宋体" w:cs="宋体"/>
                <w:sz w:val="20"/>
                <w:szCs w:val="20"/>
              </w:rPr>
              <w:t>否</w:t>
            </w:r>
          </w:p>
        </w:tc>
        <w:tc>
          <w:tcPr>
            <w:tcW w:w="122" w:type="dxa"/>
            <w:vMerge w:val="continue"/>
            <w:tcBorders>
              <w:top w:val="nil"/>
              <w:bottom w:val="nil"/>
              <w:right w:val="single" w:color="000000" w:sz="6" w:space="0"/>
            </w:tcBorders>
            <w:vAlign w:val="top"/>
          </w:tcPr>
          <w:p w14:paraId="25390133">
            <w:pPr>
              <w:rPr>
                <w:rFonts w:ascii="Arial"/>
                <w:sz w:val="21"/>
              </w:rPr>
            </w:pPr>
          </w:p>
        </w:tc>
      </w:tr>
      <w:tr w14:paraId="766A3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1863" w:type="dxa"/>
            <w:vMerge w:val="continue"/>
            <w:tcBorders>
              <w:top w:val="nil"/>
              <w:left w:val="single" w:color="000000" w:sz="6" w:space="0"/>
              <w:bottom w:val="single" w:color="000000" w:sz="6" w:space="0"/>
            </w:tcBorders>
            <w:vAlign w:val="top"/>
          </w:tcPr>
          <w:p w14:paraId="2703D048">
            <w:pPr>
              <w:rPr>
                <w:rFonts w:ascii="Arial"/>
                <w:sz w:val="21"/>
              </w:rPr>
            </w:pPr>
          </w:p>
        </w:tc>
        <w:tc>
          <w:tcPr>
            <w:tcW w:w="113" w:type="dxa"/>
            <w:tcBorders>
              <w:top w:val="nil"/>
              <w:bottom w:val="single" w:color="000000" w:sz="6" w:space="0"/>
            </w:tcBorders>
            <w:vAlign w:val="top"/>
          </w:tcPr>
          <w:p w14:paraId="17D984C6">
            <w:pPr>
              <w:rPr>
                <w:rFonts w:ascii="Arial"/>
                <w:sz w:val="21"/>
              </w:rPr>
            </w:pPr>
          </w:p>
        </w:tc>
        <w:tc>
          <w:tcPr>
            <w:tcW w:w="765" w:type="dxa"/>
            <w:tcBorders>
              <w:bottom w:val="single" w:color="000000" w:sz="6" w:space="0"/>
            </w:tcBorders>
            <w:vAlign w:val="top"/>
          </w:tcPr>
          <w:p w14:paraId="4EFED379">
            <w:pPr>
              <w:spacing w:before="47" w:line="228" w:lineRule="auto"/>
              <w:ind w:left="174"/>
              <w:rPr>
                <w:rFonts w:ascii="宋体" w:hAnsi="宋体" w:eastAsia="宋体" w:cs="宋体"/>
                <w:sz w:val="20"/>
                <w:szCs w:val="20"/>
              </w:rPr>
            </w:pPr>
            <w:r>
              <w:rPr>
                <w:rFonts w:ascii="宋体" w:hAnsi="宋体" w:eastAsia="宋体" w:cs="宋体"/>
                <w:spacing w:val="5"/>
                <w:sz w:val="20"/>
                <w:szCs w:val="20"/>
              </w:rPr>
              <w:t>海洋</w:t>
            </w:r>
          </w:p>
        </w:tc>
        <w:tc>
          <w:tcPr>
            <w:tcW w:w="1910" w:type="dxa"/>
            <w:tcBorders>
              <w:bottom w:val="single" w:color="000000" w:sz="6" w:space="0"/>
            </w:tcBorders>
            <w:vAlign w:val="top"/>
          </w:tcPr>
          <w:p w14:paraId="6FAF000A">
            <w:pPr>
              <w:spacing w:before="47" w:line="228" w:lineRule="auto"/>
              <w:ind w:left="119"/>
              <w:rPr>
                <w:rFonts w:ascii="宋体" w:hAnsi="宋体" w:eastAsia="宋体" w:cs="宋体"/>
                <w:sz w:val="20"/>
                <w:szCs w:val="20"/>
              </w:rPr>
            </w:pPr>
            <w:r>
              <w:rPr>
                <w:rFonts w:ascii="宋体" w:hAnsi="宋体" w:eastAsia="宋体" w:cs="宋体"/>
                <w:spacing w:val="8"/>
                <w:sz w:val="20"/>
                <w:szCs w:val="20"/>
              </w:rPr>
              <w:t>直接向海排放污染</w:t>
            </w:r>
          </w:p>
        </w:tc>
        <w:tc>
          <w:tcPr>
            <w:tcW w:w="3149" w:type="dxa"/>
            <w:tcBorders>
              <w:bottom w:val="single" w:color="000000" w:sz="6" w:space="0"/>
            </w:tcBorders>
            <w:vAlign w:val="top"/>
          </w:tcPr>
          <w:p w14:paraId="4152F02C">
            <w:pPr>
              <w:spacing w:before="47" w:line="227" w:lineRule="auto"/>
              <w:ind w:left="217"/>
              <w:rPr>
                <w:rFonts w:ascii="宋体" w:hAnsi="宋体" w:eastAsia="宋体" w:cs="宋体"/>
                <w:sz w:val="20"/>
                <w:szCs w:val="20"/>
              </w:rPr>
            </w:pPr>
            <w:r>
              <w:rPr>
                <w:rFonts w:ascii="宋体" w:hAnsi="宋体" w:eastAsia="宋体" w:cs="宋体"/>
                <w:spacing w:val="9"/>
                <w:sz w:val="20"/>
                <w:szCs w:val="20"/>
              </w:rPr>
              <w:t>本项目不属于海洋工程建设项</w:t>
            </w:r>
          </w:p>
        </w:tc>
        <w:tc>
          <w:tcPr>
            <w:tcW w:w="950" w:type="dxa"/>
            <w:tcBorders>
              <w:bottom w:val="single" w:color="000000" w:sz="6" w:space="0"/>
            </w:tcBorders>
            <w:vAlign w:val="top"/>
          </w:tcPr>
          <w:p w14:paraId="422B64F8">
            <w:pPr>
              <w:spacing w:before="47" w:line="228" w:lineRule="auto"/>
              <w:ind w:left="388"/>
              <w:rPr>
                <w:rFonts w:ascii="宋体" w:hAnsi="宋体" w:eastAsia="宋体" w:cs="宋体"/>
                <w:sz w:val="20"/>
                <w:szCs w:val="20"/>
              </w:rPr>
            </w:pPr>
            <w:r>
              <w:rPr>
                <w:rFonts w:ascii="宋体" w:hAnsi="宋体" w:eastAsia="宋体" w:cs="宋体"/>
                <w:sz w:val="20"/>
                <w:szCs w:val="20"/>
              </w:rPr>
              <w:t>否</w:t>
            </w:r>
          </w:p>
        </w:tc>
        <w:tc>
          <w:tcPr>
            <w:tcW w:w="122" w:type="dxa"/>
            <w:vMerge w:val="continue"/>
            <w:tcBorders>
              <w:top w:val="nil"/>
              <w:bottom w:val="single" w:color="000000" w:sz="6" w:space="0"/>
              <w:right w:val="single" w:color="000000" w:sz="6" w:space="0"/>
            </w:tcBorders>
            <w:vAlign w:val="top"/>
          </w:tcPr>
          <w:p w14:paraId="38FA6BEA">
            <w:pPr>
              <w:rPr>
                <w:rFonts w:ascii="Arial"/>
                <w:sz w:val="21"/>
              </w:rPr>
            </w:pPr>
          </w:p>
        </w:tc>
      </w:tr>
    </w:tbl>
    <w:p w14:paraId="2B9764E9">
      <w:pPr>
        <w:pStyle w:val="2"/>
      </w:pPr>
    </w:p>
    <w:p w14:paraId="53F1EFBC">
      <w:pPr>
        <w:sectPr>
          <w:footerReference r:id="rId9" w:type="default"/>
          <w:pgSz w:w="11906" w:h="16839"/>
          <w:pgMar w:top="400" w:right="1509" w:bottom="1329" w:left="1509" w:header="0" w:footer="1113" w:gutter="0"/>
          <w:cols w:space="720" w:num="1"/>
        </w:sectPr>
      </w:pPr>
    </w:p>
    <w:p w14:paraId="3DEE273B">
      <w:pPr>
        <w:spacing w:before="19"/>
      </w:pPr>
    </w:p>
    <w:p w14:paraId="66D2192D">
      <w:pPr>
        <w:spacing w:before="19"/>
      </w:pPr>
    </w:p>
    <w:p w14:paraId="4195D613">
      <w:pPr>
        <w:spacing w:before="19"/>
      </w:pPr>
    </w:p>
    <w:p w14:paraId="5D36CEA1">
      <w:pPr>
        <w:spacing w:before="18"/>
      </w:pPr>
    </w:p>
    <w:p w14:paraId="3C77483C">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0"/>
        <w:gridCol w:w="703"/>
        <w:gridCol w:w="113"/>
        <w:gridCol w:w="765"/>
        <w:gridCol w:w="1910"/>
        <w:gridCol w:w="3149"/>
        <w:gridCol w:w="950"/>
        <w:gridCol w:w="122"/>
      </w:tblGrid>
      <w:tr w14:paraId="2C3E0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1863" w:type="dxa"/>
            <w:gridSpan w:val="2"/>
            <w:vMerge w:val="restart"/>
            <w:tcBorders>
              <w:top w:val="single" w:color="000000" w:sz="6" w:space="0"/>
              <w:left w:val="single" w:color="000000" w:sz="6" w:space="0"/>
              <w:bottom w:val="nil"/>
            </w:tcBorders>
            <w:vAlign w:val="top"/>
          </w:tcPr>
          <w:p w14:paraId="667862E6">
            <w:pPr>
              <w:rPr>
                <w:rFonts w:ascii="Arial"/>
                <w:sz w:val="21"/>
              </w:rPr>
            </w:pPr>
          </w:p>
        </w:tc>
        <w:tc>
          <w:tcPr>
            <w:tcW w:w="113" w:type="dxa"/>
            <w:tcBorders>
              <w:top w:val="single" w:color="000000" w:sz="6" w:space="0"/>
              <w:bottom w:val="nil"/>
            </w:tcBorders>
            <w:vAlign w:val="top"/>
          </w:tcPr>
          <w:p w14:paraId="43FE1514">
            <w:pPr>
              <w:rPr>
                <w:rFonts w:ascii="Arial"/>
                <w:sz w:val="21"/>
              </w:rPr>
            </w:pPr>
          </w:p>
        </w:tc>
        <w:tc>
          <w:tcPr>
            <w:tcW w:w="765" w:type="dxa"/>
            <w:tcBorders>
              <w:top w:val="single" w:color="000000" w:sz="6" w:space="0"/>
            </w:tcBorders>
            <w:vAlign w:val="top"/>
          </w:tcPr>
          <w:p w14:paraId="6590EFB9">
            <w:pPr>
              <w:rPr>
                <w:rFonts w:ascii="Arial"/>
                <w:sz w:val="21"/>
              </w:rPr>
            </w:pPr>
          </w:p>
        </w:tc>
        <w:tc>
          <w:tcPr>
            <w:tcW w:w="1910" w:type="dxa"/>
            <w:tcBorders>
              <w:top w:val="single" w:color="000000" w:sz="6" w:space="0"/>
            </w:tcBorders>
            <w:vAlign w:val="top"/>
          </w:tcPr>
          <w:p w14:paraId="2D2AD6A4">
            <w:pPr>
              <w:spacing w:before="38" w:line="359" w:lineRule="auto"/>
              <w:ind w:left="752" w:right="117" w:hanging="634"/>
              <w:rPr>
                <w:rFonts w:ascii="宋体" w:hAnsi="宋体" w:eastAsia="宋体" w:cs="宋体"/>
                <w:sz w:val="20"/>
                <w:szCs w:val="20"/>
              </w:rPr>
            </w:pPr>
            <w:r>
              <w:rPr>
                <w:rFonts w:ascii="宋体" w:hAnsi="宋体" w:eastAsia="宋体" w:cs="宋体"/>
                <w:spacing w:val="8"/>
                <w:sz w:val="20"/>
                <w:szCs w:val="20"/>
              </w:rPr>
              <w:t>物的海洋工程建设</w:t>
            </w:r>
            <w:r>
              <w:rPr>
                <w:rFonts w:ascii="宋体" w:hAnsi="宋体" w:eastAsia="宋体" w:cs="宋体"/>
                <w:spacing w:val="3"/>
                <w:sz w:val="20"/>
                <w:szCs w:val="20"/>
              </w:rPr>
              <w:t>项目</w:t>
            </w:r>
          </w:p>
        </w:tc>
        <w:tc>
          <w:tcPr>
            <w:tcW w:w="3149" w:type="dxa"/>
            <w:tcBorders>
              <w:top w:val="single" w:color="000000" w:sz="6" w:space="0"/>
            </w:tcBorders>
            <w:vAlign w:val="top"/>
          </w:tcPr>
          <w:p w14:paraId="077C7A54">
            <w:pPr>
              <w:spacing w:before="37" w:line="228" w:lineRule="auto"/>
              <w:ind w:left="256"/>
              <w:rPr>
                <w:rFonts w:ascii="宋体" w:hAnsi="宋体" w:eastAsia="宋体" w:cs="宋体"/>
                <w:sz w:val="20"/>
                <w:szCs w:val="20"/>
              </w:rPr>
            </w:pPr>
            <w:r>
              <w:rPr>
                <w:rFonts w:ascii="宋体" w:hAnsi="宋体" w:eastAsia="宋体" w:cs="宋体"/>
                <w:spacing w:val="5"/>
                <w:sz w:val="20"/>
                <w:szCs w:val="20"/>
              </w:rPr>
              <w:t>目，无直接向海排放污染物。</w:t>
            </w:r>
          </w:p>
        </w:tc>
        <w:tc>
          <w:tcPr>
            <w:tcW w:w="950" w:type="dxa"/>
            <w:tcBorders>
              <w:top w:val="single" w:color="000000" w:sz="6" w:space="0"/>
            </w:tcBorders>
            <w:vAlign w:val="top"/>
          </w:tcPr>
          <w:p w14:paraId="6CF596C4">
            <w:pPr>
              <w:rPr>
                <w:rFonts w:ascii="Arial"/>
                <w:sz w:val="21"/>
              </w:rPr>
            </w:pPr>
          </w:p>
        </w:tc>
        <w:tc>
          <w:tcPr>
            <w:tcW w:w="122" w:type="dxa"/>
            <w:tcBorders>
              <w:top w:val="single" w:color="000000" w:sz="6" w:space="0"/>
              <w:bottom w:val="nil"/>
              <w:right w:val="single" w:color="000000" w:sz="6" w:space="0"/>
            </w:tcBorders>
            <w:vAlign w:val="top"/>
          </w:tcPr>
          <w:p w14:paraId="1BE2832C">
            <w:pPr>
              <w:rPr>
                <w:rFonts w:ascii="Arial"/>
                <w:sz w:val="21"/>
              </w:rPr>
            </w:pPr>
          </w:p>
        </w:tc>
      </w:tr>
      <w:tr w14:paraId="1DA4F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863" w:type="dxa"/>
            <w:gridSpan w:val="2"/>
            <w:vMerge w:val="continue"/>
            <w:tcBorders>
              <w:top w:val="nil"/>
              <w:left w:val="single" w:color="000000" w:sz="6" w:space="0"/>
            </w:tcBorders>
            <w:vAlign w:val="top"/>
          </w:tcPr>
          <w:p w14:paraId="61477750">
            <w:pPr>
              <w:rPr>
                <w:rFonts w:ascii="Arial"/>
                <w:sz w:val="21"/>
              </w:rPr>
            </w:pPr>
          </w:p>
        </w:tc>
        <w:tc>
          <w:tcPr>
            <w:tcW w:w="7009" w:type="dxa"/>
            <w:gridSpan w:val="6"/>
            <w:tcBorders>
              <w:right w:val="single" w:color="000000" w:sz="6" w:space="0"/>
            </w:tcBorders>
            <w:vAlign w:val="top"/>
          </w:tcPr>
          <w:p w14:paraId="04519F62">
            <w:pPr>
              <w:spacing w:before="36" w:line="218" w:lineRule="auto"/>
              <w:ind w:left="594"/>
              <w:rPr>
                <w:rFonts w:ascii="宋体" w:hAnsi="宋体" w:eastAsia="宋体" w:cs="宋体"/>
                <w:sz w:val="24"/>
                <w:szCs w:val="24"/>
              </w:rPr>
            </w:pPr>
            <w:r>
              <w:rPr>
                <w:rFonts w:ascii="宋体" w:hAnsi="宋体" w:eastAsia="宋体" w:cs="宋体"/>
                <w:spacing w:val="-1"/>
                <w:sz w:val="24"/>
                <w:szCs w:val="24"/>
              </w:rPr>
              <w:t>综上，本项目不设置专项评价。</w:t>
            </w:r>
          </w:p>
        </w:tc>
      </w:tr>
      <w:tr w14:paraId="0832C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0" w:hRule="atLeast"/>
        </w:trPr>
        <w:tc>
          <w:tcPr>
            <w:tcW w:w="1160" w:type="dxa"/>
            <w:tcBorders>
              <w:left w:val="single" w:color="000000" w:sz="6" w:space="0"/>
            </w:tcBorders>
            <w:vAlign w:val="top"/>
          </w:tcPr>
          <w:p w14:paraId="2A75E55D">
            <w:pPr>
              <w:spacing w:line="422" w:lineRule="auto"/>
              <w:rPr>
                <w:rFonts w:ascii="Arial"/>
                <w:sz w:val="21"/>
              </w:rPr>
            </w:pPr>
          </w:p>
          <w:p w14:paraId="7E854C48">
            <w:pPr>
              <w:spacing w:before="78" w:line="361" w:lineRule="auto"/>
              <w:ind w:left="461" w:right="219" w:hanging="240"/>
              <w:rPr>
                <w:rFonts w:ascii="宋体" w:hAnsi="宋体" w:eastAsia="宋体" w:cs="宋体"/>
                <w:sz w:val="24"/>
                <w:szCs w:val="24"/>
              </w:rPr>
            </w:pPr>
            <w:r>
              <w:rPr>
                <w:rFonts w:ascii="宋体" w:hAnsi="宋体" w:eastAsia="宋体" w:cs="宋体"/>
                <w:spacing w:val="-4"/>
                <w:sz w:val="24"/>
                <w:szCs w:val="24"/>
              </w:rPr>
              <w:t>规划情</w:t>
            </w:r>
            <w:r>
              <w:rPr>
                <w:rFonts w:ascii="宋体" w:hAnsi="宋体" w:eastAsia="宋体" w:cs="宋体"/>
                <w:sz w:val="24"/>
                <w:szCs w:val="24"/>
              </w:rPr>
              <w:t>况</w:t>
            </w:r>
          </w:p>
        </w:tc>
        <w:tc>
          <w:tcPr>
            <w:tcW w:w="7712" w:type="dxa"/>
            <w:gridSpan w:val="7"/>
            <w:tcBorders>
              <w:right w:val="single" w:color="000000" w:sz="6" w:space="0"/>
            </w:tcBorders>
            <w:vAlign w:val="top"/>
          </w:tcPr>
          <w:p w14:paraId="6C854334">
            <w:pPr>
              <w:spacing w:before="36" w:line="219" w:lineRule="auto"/>
              <w:ind w:left="127"/>
              <w:rPr>
                <w:rFonts w:ascii="宋体" w:hAnsi="宋体" w:eastAsia="宋体" w:cs="宋体"/>
                <w:sz w:val="24"/>
                <w:szCs w:val="24"/>
              </w:rPr>
            </w:pPr>
            <w:r>
              <w:rPr>
                <w:rFonts w:ascii="Times New Roman" w:hAnsi="Times New Roman" w:eastAsia="Times New Roman" w:cs="Times New Roman"/>
                <w:spacing w:val="-2"/>
                <w:sz w:val="24"/>
                <w:szCs w:val="24"/>
              </w:rPr>
              <w:t>1</w:t>
            </w:r>
            <w:r>
              <w:rPr>
                <w:rFonts w:ascii="Times New Roman" w:hAnsi="Times New Roman" w:eastAsia="Times New Roman" w:cs="Times New Roman"/>
                <w:spacing w:val="-20"/>
                <w:sz w:val="24"/>
                <w:szCs w:val="24"/>
              </w:rPr>
              <w:t xml:space="preserve"> </w:t>
            </w:r>
            <w:r>
              <w:rPr>
                <w:rFonts w:ascii="宋体" w:hAnsi="宋体" w:eastAsia="宋体" w:cs="宋体"/>
                <w:spacing w:val="-2"/>
                <w:sz w:val="24"/>
                <w:szCs w:val="24"/>
              </w:rPr>
              <w:t>、规划名称：《云南寻甸产业园区总体规划修编（</w:t>
            </w:r>
            <w:r>
              <w:rPr>
                <w:rFonts w:ascii="Times New Roman" w:hAnsi="Times New Roman" w:eastAsia="Times New Roman" w:cs="Times New Roman"/>
                <w:spacing w:val="-2"/>
                <w:sz w:val="24"/>
                <w:szCs w:val="24"/>
              </w:rPr>
              <w:t>2021-2035</w:t>
            </w:r>
            <w:r>
              <w:rPr>
                <w:rFonts w:ascii="宋体" w:hAnsi="宋体" w:eastAsia="宋体" w:cs="宋体"/>
                <w:spacing w:val="-2"/>
                <w:sz w:val="24"/>
                <w:szCs w:val="24"/>
              </w:rPr>
              <w:t>）》；</w:t>
            </w:r>
          </w:p>
          <w:p w14:paraId="340F617D">
            <w:pPr>
              <w:spacing w:before="182" w:line="219" w:lineRule="auto"/>
              <w:ind w:left="104"/>
              <w:rPr>
                <w:rFonts w:ascii="宋体" w:hAnsi="宋体" w:eastAsia="宋体" w:cs="宋体"/>
                <w:sz w:val="24"/>
                <w:szCs w:val="24"/>
              </w:rPr>
            </w:pPr>
            <w:r>
              <w:rPr>
                <w:rFonts w:ascii="Times New Roman" w:hAnsi="Times New Roman" w:eastAsia="Times New Roman" w:cs="Times New Roman"/>
                <w:spacing w:val="-3"/>
                <w:sz w:val="24"/>
                <w:szCs w:val="24"/>
              </w:rPr>
              <w:t>2</w:t>
            </w:r>
            <w:r>
              <w:rPr>
                <w:rFonts w:ascii="Times New Roman" w:hAnsi="Times New Roman" w:eastAsia="Times New Roman" w:cs="Times New Roman"/>
                <w:spacing w:val="-22"/>
                <w:sz w:val="24"/>
                <w:szCs w:val="24"/>
              </w:rPr>
              <w:t xml:space="preserve"> </w:t>
            </w:r>
            <w:r>
              <w:rPr>
                <w:rFonts w:ascii="宋体" w:hAnsi="宋体" w:eastAsia="宋体" w:cs="宋体"/>
                <w:spacing w:val="-3"/>
                <w:sz w:val="24"/>
                <w:szCs w:val="24"/>
              </w:rPr>
              <w:t>、审查机关：昆明市人民政府。</w:t>
            </w:r>
          </w:p>
          <w:p w14:paraId="063E0FE2">
            <w:pPr>
              <w:spacing w:before="180" w:line="343" w:lineRule="auto"/>
              <w:ind w:left="108" w:right="102" w:firstLine="1"/>
              <w:rPr>
                <w:rFonts w:ascii="宋体" w:hAnsi="宋体" w:eastAsia="宋体" w:cs="宋体"/>
                <w:sz w:val="24"/>
                <w:szCs w:val="24"/>
              </w:rPr>
            </w:pPr>
            <w:r>
              <w:rPr>
                <w:rFonts w:ascii="Times New Roman" w:hAnsi="Times New Roman" w:eastAsia="Times New Roman" w:cs="Times New Roman"/>
                <w:spacing w:val="-3"/>
                <w:sz w:val="24"/>
                <w:szCs w:val="24"/>
              </w:rPr>
              <w:t>3</w:t>
            </w:r>
            <w:r>
              <w:rPr>
                <w:rFonts w:ascii="Times New Roman" w:hAnsi="Times New Roman" w:eastAsia="Times New Roman" w:cs="Times New Roman"/>
                <w:spacing w:val="-33"/>
                <w:sz w:val="24"/>
                <w:szCs w:val="24"/>
              </w:rPr>
              <w:t xml:space="preserve"> </w:t>
            </w:r>
            <w:r>
              <w:rPr>
                <w:rFonts w:ascii="宋体" w:hAnsi="宋体" w:eastAsia="宋体" w:cs="宋体"/>
                <w:spacing w:val="-3"/>
                <w:sz w:val="24"/>
                <w:szCs w:val="24"/>
              </w:rPr>
              <w:t>、审查文件名称及文号：昆明市人民政府关于云南寻甸产业园区总</w:t>
            </w:r>
            <w:r>
              <w:rPr>
                <w:rFonts w:ascii="宋体" w:hAnsi="宋体" w:eastAsia="宋体" w:cs="宋体"/>
                <w:spacing w:val="-4"/>
                <w:sz w:val="24"/>
                <w:szCs w:val="24"/>
              </w:rPr>
              <w:t>体规</w:t>
            </w:r>
            <w:r>
              <w:rPr>
                <w:rFonts w:ascii="宋体" w:hAnsi="宋体" w:eastAsia="宋体" w:cs="宋体"/>
                <w:spacing w:val="-1"/>
                <w:sz w:val="24"/>
                <w:szCs w:val="24"/>
              </w:rPr>
              <w:t>划修编（</w:t>
            </w:r>
            <w:r>
              <w:rPr>
                <w:rFonts w:ascii="Times New Roman" w:hAnsi="Times New Roman" w:eastAsia="Times New Roman" w:cs="Times New Roman"/>
                <w:spacing w:val="-1"/>
                <w:sz w:val="24"/>
                <w:szCs w:val="24"/>
              </w:rPr>
              <w:t>2021—2035</w:t>
            </w:r>
            <w:r>
              <w:rPr>
                <w:rFonts w:ascii="宋体" w:hAnsi="宋体" w:eastAsia="宋体" w:cs="宋体"/>
                <w:spacing w:val="-1"/>
                <w:sz w:val="24"/>
                <w:szCs w:val="24"/>
              </w:rPr>
              <w:t>）的批复（昆政复〔</w:t>
            </w:r>
            <w:r>
              <w:rPr>
                <w:rFonts w:ascii="Times New Roman" w:hAnsi="Times New Roman" w:eastAsia="Times New Roman" w:cs="Times New Roman"/>
                <w:spacing w:val="-1"/>
                <w:sz w:val="24"/>
                <w:szCs w:val="24"/>
              </w:rPr>
              <w:t>2023</w:t>
            </w:r>
            <w:r>
              <w:rPr>
                <w:rFonts w:ascii="宋体" w:hAnsi="宋体" w:eastAsia="宋体" w:cs="宋体"/>
                <w:spacing w:val="-1"/>
                <w:sz w:val="24"/>
                <w:szCs w:val="24"/>
              </w:rPr>
              <w:t>〕</w:t>
            </w:r>
            <w:r>
              <w:rPr>
                <w:rFonts w:ascii="Times New Roman" w:hAnsi="Times New Roman" w:eastAsia="Times New Roman" w:cs="Times New Roman"/>
                <w:spacing w:val="-1"/>
                <w:sz w:val="24"/>
                <w:szCs w:val="24"/>
              </w:rPr>
              <w:t>63</w:t>
            </w:r>
            <w:r>
              <w:rPr>
                <w:rFonts w:ascii="Times New Roman" w:hAnsi="Times New Roman" w:eastAsia="Times New Roman" w:cs="Times New Roman"/>
                <w:spacing w:val="22"/>
                <w:sz w:val="24"/>
                <w:szCs w:val="24"/>
              </w:rPr>
              <w:t xml:space="preserve"> </w:t>
            </w:r>
            <w:r>
              <w:rPr>
                <w:rFonts w:ascii="宋体" w:hAnsi="宋体" w:eastAsia="宋体" w:cs="宋体"/>
                <w:spacing w:val="-1"/>
                <w:sz w:val="24"/>
                <w:szCs w:val="24"/>
              </w:rPr>
              <w:t>号）。</w:t>
            </w:r>
          </w:p>
        </w:tc>
      </w:tr>
      <w:tr w14:paraId="2AD41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trPr>
        <w:tc>
          <w:tcPr>
            <w:tcW w:w="1160" w:type="dxa"/>
            <w:tcBorders>
              <w:left w:val="single" w:color="000000" w:sz="6" w:space="0"/>
            </w:tcBorders>
            <w:vAlign w:val="top"/>
          </w:tcPr>
          <w:p w14:paraId="229C4949">
            <w:pPr>
              <w:spacing w:line="425" w:lineRule="auto"/>
              <w:rPr>
                <w:rFonts w:ascii="Arial"/>
                <w:sz w:val="21"/>
              </w:rPr>
            </w:pPr>
          </w:p>
          <w:p w14:paraId="715B7E87">
            <w:pPr>
              <w:spacing w:before="78" w:line="221" w:lineRule="auto"/>
              <w:ind w:left="221"/>
              <w:rPr>
                <w:rFonts w:ascii="宋体" w:hAnsi="宋体" w:eastAsia="宋体" w:cs="宋体"/>
                <w:sz w:val="24"/>
                <w:szCs w:val="24"/>
              </w:rPr>
            </w:pPr>
            <w:r>
              <w:rPr>
                <w:rFonts w:ascii="宋体" w:hAnsi="宋体" w:eastAsia="宋体" w:cs="宋体"/>
                <w:spacing w:val="-4"/>
                <w:sz w:val="24"/>
                <w:szCs w:val="24"/>
              </w:rPr>
              <w:t>规划环</w:t>
            </w:r>
          </w:p>
          <w:p w14:paraId="5FB21814">
            <w:pPr>
              <w:spacing w:before="177" w:line="220" w:lineRule="auto"/>
              <w:ind w:left="221"/>
              <w:rPr>
                <w:rFonts w:ascii="宋体" w:hAnsi="宋体" w:eastAsia="宋体" w:cs="宋体"/>
                <w:sz w:val="24"/>
                <w:szCs w:val="24"/>
              </w:rPr>
            </w:pPr>
            <w:r>
              <w:rPr>
                <w:rFonts w:ascii="宋体" w:hAnsi="宋体" w:eastAsia="宋体" w:cs="宋体"/>
                <w:spacing w:val="-4"/>
                <w:sz w:val="24"/>
                <w:szCs w:val="24"/>
              </w:rPr>
              <w:t>境影响</w:t>
            </w:r>
          </w:p>
          <w:p w14:paraId="2220CD48">
            <w:pPr>
              <w:spacing w:before="181" w:line="218" w:lineRule="auto"/>
              <w:ind w:left="219"/>
              <w:rPr>
                <w:rFonts w:ascii="宋体" w:hAnsi="宋体" w:eastAsia="宋体" w:cs="宋体"/>
                <w:sz w:val="24"/>
                <w:szCs w:val="24"/>
              </w:rPr>
            </w:pPr>
            <w:r>
              <w:rPr>
                <w:rFonts w:ascii="宋体" w:hAnsi="宋体" w:eastAsia="宋体" w:cs="宋体"/>
                <w:spacing w:val="-3"/>
                <w:sz w:val="24"/>
                <w:szCs w:val="24"/>
              </w:rPr>
              <w:t>评价情</w:t>
            </w:r>
          </w:p>
          <w:p w14:paraId="26AE935F">
            <w:pPr>
              <w:spacing w:before="182" w:line="220" w:lineRule="auto"/>
              <w:ind w:left="462"/>
              <w:rPr>
                <w:rFonts w:ascii="宋体" w:hAnsi="宋体" w:eastAsia="宋体" w:cs="宋体"/>
                <w:sz w:val="24"/>
                <w:szCs w:val="24"/>
              </w:rPr>
            </w:pPr>
            <w:r>
              <w:rPr>
                <w:rFonts w:ascii="宋体" w:hAnsi="宋体" w:eastAsia="宋体" w:cs="宋体"/>
                <w:sz w:val="24"/>
                <w:szCs w:val="24"/>
              </w:rPr>
              <w:t>况</w:t>
            </w:r>
          </w:p>
        </w:tc>
        <w:tc>
          <w:tcPr>
            <w:tcW w:w="7712" w:type="dxa"/>
            <w:gridSpan w:val="7"/>
            <w:tcBorders>
              <w:right w:val="single" w:color="000000" w:sz="6" w:space="0"/>
            </w:tcBorders>
            <w:vAlign w:val="top"/>
          </w:tcPr>
          <w:p w14:paraId="1D606EAF">
            <w:pPr>
              <w:spacing w:before="40" w:line="359" w:lineRule="auto"/>
              <w:ind w:left="120" w:right="522" w:firstLine="7"/>
              <w:rPr>
                <w:rFonts w:ascii="宋体" w:hAnsi="宋体" w:eastAsia="宋体" w:cs="宋体"/>
                <w:sz w:val="24"/>
                <w:szCs w:val="24"/>
              </w:rPr>
            </w:pPr>
            <w:r>
              <w:rPr>
                <w:rFonts w:ascii="Times New Roman" w:hAnsi="Times New Roman" w:eastAsia="Times New Roman" w:cs="Times New Roman"/>
                <w:spacing w:val="-2"/>
                <w:sz w:val="24"/>
                <w:szCs w:val="24"/>
              </w:rPr>
              <w:t>1</w:t>
            </w:r>
            <w:r>
              <w:rPr>
                <w:rFonts w:ascii="Times New Roman" w:hAnsi="Times New Roman" w:eastAsia="Times New Roman" w:cs="Times New Roman"/>
                <w:spacing w:val="-30"/>
                <w:sz w:val="24"/>
                <w:szCs w:val="24"/>
              </w:rPr>
              <w:t xml:space="preserve"> </w:t>
            </w:r>
            <w:r>
              <w:rPr>
                <w:rFonts w:ascii="宋体" w:hAnsi="宋体" w:eastAsia="宋体" w:cs="宋体"/>
                <w:spacing w:val="-2"/>
                <w:sz w:val="24"/>
                <w:szCs w:val="24"/>
              </w:rPr>
              <w:t>、规划环境影响评价文件名称：《云南寻甸产业园区总体规划修编（</w:t>
            </w:r>
            <w:r>
              <w:rPr>
                <w:rFonts w:ascii="Times New Roman" w:hAnsi="Times New Roman" w:eastAsia="Times New Roman" w:cs="Times New Roman"/>
                <w:spacing w:val="-2"/>
                <w:sz w:val="24"/>
                <w:szCs w:val="24"/>
              </w:rPr>
              <w:t>2021-2035</w:t>
            </w:r>
            <w:r>
              <w:rPr>
                <w:rFonts w:ascii="宋体" w:hAnsi="宋体" w:eastAsia="宋体" w:cs="宋体"/>
                <w:spacing w:val="-2"/>
                <w:sz w:val="24"/>
                <w:szCs w:val="24"/>
              </w:rPr>
              <w:t>）环境影响报告书》；</w:t>
            </w:r>
          </w:p>
          <w:p w14:paraId="0ABABCCD">
            <w:pPr>
              <w:spacing w:line="218" w:lineRule="auto"/>
              <w:ind w:left="104"/>
              <w:rPr>
                <w:rFonts w:ascii="宋体" w:hAnsi="宋体" w:eastAsia="宋体" w:cs="宋体"/>
                <w:sz w:val="24"/>
                <w:szCs w:val="24"/>
              </w:rPr>
            </w:pPr>
            <w:r>
              <w:rPr>
                <w:rFonts w:ascii="Times New Roman" w:hAnsi="Times New Roman" w:eastAsia="Times New Roman" w:cs="Times New Roman"/>
                <w:spacing w:val="-2"/>
                <w:sz w:val="24"/>
                <w:szCs w:val="24"/>
              </w:rPr>
              <w:t>2</w:t>
            </w:r>
            <w:r>
              <w:rPr>
                <w:rFonts w:ascii="Times New Roman" w:hAnsi="Times New Roman" w:eastAsia="Times New Roman" w:cs="Times New Roman"/>
                <w:spacing w:val="-34"/>
                <w:sz w:val="24"/>
                <w:szCs w:val="24"/>
              </w:rPr>
              <w:t xml:space="preserve"> </w:t>
            </w:r>
            <w:r>
              <w:rPr>
                <w:rFonts w:ascii="宋体" w:hAnsi="宋体" w:eastAsia="宋体" w:cs="宋体"/>
                <w:spacing w:val="-2"/>
                <w:sz w:val="24"/>
                <w:szCs w:val="24"/>
              </w:rPr>
              <w:t>、审查机关：昆明市生态环境局；</w:t>
            </w:r>
          </w:p>
          <w:p w14:paraId="782B2FBC">
            <w:pPr>
              <w:spacing w:before="182" w:line="347" w:lineRule="auto"/>
              <w:ind w:left="109" w:right="28"/>
              <w:rPr>
                <w:rFonts w:ascii="宋体" w:hAnsi="宋体" w:eastAsia="宋体" w:cs="宋体"/>
                <w:sz w:val="24"/>
                <w:szCs w:val="24"/>
              </w:rPr>
            </w:pPr>
            <w:r>
              <w:rPr>
                <w:rFonts w:ascii="Times New Roman" w:hAnsi="Times New Roman" w:eastAsia="Times New Roman" w:cs="Times New Roman"/>
                <w:spacing w:val="-3"/>
                <w:sz w:val="24"/>
                <w:szCs w:val="24"/>
              </w:rPr>
              <w:t>3</w:t>
            </w:r>
            <w:r>
              <w:rPr>
                <w:rFonts w:ascii="Times New Roman" w:hAnsi="Times New Roman" w:eastAsia="Times New Roman" w:cs="Times New Roman"/>
                <w:spacing w:val="-33"/>
                <w:sz w:val="24"/>
                <w:szCs w:val="24"/>
              </w:rPr>
              <w:t xml:space="preserve"> </w:t>
            </w:r>
            <w:r>
              <w:rPr>
                <w:rFonts w:ascii="宋体" w:hAnsi="宋体" w:eastAsia="宋体" w:cs="宋体"/>
                <w:spacing w:val="-3"/>
                <w:sz w:val="24"/>
                <w:szCs w:val="24"/>
              </w:rPr>
              <w:t>、审查文件名称及文号：昆明市生态环境局关于《云南寻甸产业园</w:t>
            </w:r>
            <w:r>
              <w:rPr>
                <w:rFonts w:ascii="宋体" w:hAnsi="宋体" w:eastAsia="宋体" w:cs="宋体"/>
                <w:spacing w:val="-4"/>
                <w:sz w:val="24"/>
                <w:szCs w:val="24"/>
              </w:rPr>
              <w:t>区总</w:t>
            </w:r>
            <w:r>
              <w:rPr>
                <w:rFonts w:ascii="宋体" w:hAnsi="宋体" w:eastAsia="宋体" w:cs="宋体"/>
                <w:spacing w:val="-11"/>
                <w:sz w:val="24"/>
                <w:szCs w:val="24"/>
              </w:rPr>
              <w:t>体规划修编（</w:t>
            </w:r>
            <w:r>
              <w:rPr>
                <w:rFonts w:ascii="Times New Roman" w:hAnsi="Times New Roman" w:eastAsia="Times New Roman" w:cs="Times New Roman"/>
                <w:spacing w:val="-11"/>
                <w:sz w:val="24"/>
                <w:szCs w:val="24"/>
              </w:rPr>
              <w:t>2021-2035</w:t>
            </w:r>
            <w:r>
              <w:rPr>
                <w:rFonts w:ascii="宋体" w:hAnsi="宋体" w:eastAsia="宋体" w:cs="宋体"/>
                <w:spacing w:val="-11"/>
                <w:sz w:val="24"/>
                <w:szCs w:val="24"/>
              </w:rPr>
              <w:t>）环境影响报告书》审查意见的函（昆环审〔</w:t>
            </w:r>
            <w:r>
              <w:rPr>
                <w:rFonts w:ascii="Times New Roman" w:hAnsi="Times New Roman" w:eastAsia="Times New Roman" w:cs="Times New Roman"/>
                <w:spacing w:val="-11"/>
                <w:sz w:val="24"/>
                <w:szCs w:val="24"/>
              </w:rPr>
              <w:t>2023</w:t>
            </w:r>
            <w:r>
              <w:rPr>
                <w:rFonts w:ascii="宋体" w:hAnsi="宋体" w:eastAsia="宋体" w:cs="宋体"/>
                <w:spacing w:val="-11"/>
                <w:sz w:val="24"/>
                <w:szCs w:val="24"/>
              </w:rPr>
              <w:t>〕</w:t>
            </w:r>
            <w:r>
              <w:rPr>
                <w:rFonts w:ascii="宋体" w:hAnsi="宋体" w:eastAsia="宋体" w:cs="宋体"/>
                <w:spacing w:val="2"/>
                <w:sz w:val="24"/>
                <w:szCs w:val="24"/>
              </w:rPr>
              <w:t xml:space="preserve"> </w:t>
            </w:r>
            <w:r>
              <w:rPr>
                <w:rFonts w:ascii="Times New Roman" w:hAnsi="Times New Roman" w:eastAsia="Times New Roman" w:cs="Times New Roman"/>
                <w:spacing w:val="-7"/>
                <w:sz w:val="24"/>
                <w:szCs w:val="24"/>
              </w:rPr>
              <w:t>5</w:t>
            </w:r>
            <w:r>
              <w:rPr>
                <w:rFonts w:ascii="Times New Roman" w:hAnsi="Times New Roman" w:eastAsia="Times New Roman" w:cs="Times New Roman"/>
                <w:spacing w:val="17"/>
                <w:w w:val="101"/>
                <w:sz w:val="24"/>
                <w:szCs w:val="24"/>
              </w:rPr>
              <w:t xml:space="preserve"> </w:t>
            </w:r>
            <w:r>
              <w:rPr>
                <w:rFonts w:ascii="宋体" w:hAnsi="宋体" w:eastAsia="宋体" w:cs="宋体"/>
                <w:spacing w:val="-7"/>
                <w:sz w:val="24"/>
                <w:szCs w:val="24"/>
              </w:rPr>
              <w:t>号）。</w:t>
            </w:r>
          </w:p>
        </w:tc>
      </w:tr>
      <w:tr w14:paraId="1DA10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2" w:hRule="atLeast"/>
        </w:trPr>
        <w:tc>
          <w:tcPr>
            <w:tcW w:w="1160" w:type="dxa"/>
            <w:tcBorders>
              <w:left w:val="single" w:color="000000" w:sz="6" w:space="0"/>
              <w:bottom w:val="single" w:color="000000" w:sz="6" w:space="0"/>
            </w:tcBorders>
            <w:vAlign w:val="top"/>
          </w:tcPr>
          <w:p w14:paraId="198D61D1">
            <w:pPr>
              <w:spacing w:line="256" w:lineRule="auto"/>
              <w:rPr>
                <w:rFonts w:ascii="Arial"/>
                <w:sz w:val="21"/>
              </w:rPr>
            </w:pPr>
          </w:p>
          <w:p w14:paraId="488C5264">
            <w:pPr>
              <w:spacing w:line="256" w:lineRule="auto"/>
              <w:rPr>
                <w:rFonts w:ascii="Arial"/>
                <w:sz w:val="21"/>
              </w:rPr>
            </w:pPr>
          </w:p>
          <w:p w14:paraId="550ABA30">
            <w:pPr>
              <w:spacing w:line="256" w:lineRule="auto"/>
              <w:rPr>
                <w:rFonts w:ascii="Arial"/>
                <w:sz w:val="21"/>
              </w:rPr>
            </w:pPr>
          </w:p>
          <w:p w14:paraId="1C7717A8">
            <w:pPr>
              <w:spacing w:line="256" w:lineRule="auto"/>
              <w:rPr>
                <w:rFonts w:ascii="Arial"/>
                <w:sz w:val="21"/>
              </w:rPr>
            </w:pPr>
          </w:p>
          <w:p w14:paraId="421C2D6B">
            <w:pPr>
              <w:spacing w:line="256" w:lineRule="auto"/>
              <w:rPr>
                <w:rFonts w:ascii="Arial"/>
                <w:sz w:val="21"/>
              </w:rPr>
            </w:pPr>
          </w:p>
          <w:p w14:paraId="51E3902F">
            <w:pPr>
              <w:spacing w:line="257" w:lineRule="auto"/>
              <w:rPr>
                <w:rFonts w:ascii="Arial"/>
                <w:sz w:val="21"/>
              </w:rPr>
            </w:pPr>
          </w:p>
          <w:p w14:paraId="7BAC8BC7">
            <w:pPr>
              <w:spacing w:line="257" w:lineRule="auto"/>
              <w:rPr>
                <w:rFonts w:ascii="Arial"/>
                <w:sz w:val="21"/>
              </w:rPr>
            </w:pPr>
          </w:p>
          <w:p w14:paraId="349E6369">
            <w:pPr>
              <w:spacing w:line="257" w:lineRule="auto"/>
              <w:rPr>
                <w:rFonts w:ascii="Arial"/>
                <w:sz w:val="21"/>
              </w:rPr>
            </w:pPr>
          </w:p>
          <w:p w14:paraId="2CD51CE7">
            <w:pPr>
              <w:spacing w:before="78" w:line="221" w:lineRule="auto"/>
              <w:ind w:left="221"/>
              <w:rPr>
                <w:rFonts w:ascii="宋体" w:hAnsi="宋体" w:eastAsia="宋体" w:cs="宋体"/>
                <w:sz w:val="24"/>
                <w:szCs w:val="24"/>
              </w:rPr>
            </w:pPr>
            <w:r>
              <w:rPr>
                <w:rFonts w:ascii="宋体" w:hAnsi="宋体" w:eastAsia="宋体" w:cs="宋体"/>
                <w:spacing w:val="-4"/>
                <w:sz w:val="24"/>
                <w:szCs w:val="24"/>
              </w:rPr>
              <w:t>规划及</w:t>
            </w:r>
          </w:p>
          <w:p w14:paraId="407F31DD">
            <w:pPr>
              <w:spacing w:before="178" w:line="221" w:lineRule="auto"/>
              <w:ind w:left="221"/>
              <w:rPr>
                <w:rFonts w:ascii="宋体" w:hAnsi="宋体" w:eastAsia="宋体" w:cs="宋体"/>
                <w:sz w:val="24"/>
                <w:szCs w:val="24"/>
              </w:rPr>
            </w:pPr>
            <w:r>
              <w:rPr>
                <w:rFonts w:ascii="宋体" w:hAnsi="宋体" w:eastAsia="宋体" w:cs="宋体"/>
                <w:spacing w:val="-4"/>
                <w:sz w:val="24"/>
                <w:szCs w:val="24"/>
              </w:rPr>
              <w:t>规划环</w:t>
            </w:r>
          </w:p>
          <w:p w14:paraId="5F565C6F">
            <w:pPr>
              <w:spacing w:before="180" w:line="220" w:lineRule="auto"/>
              <w:ind w:left="221"/>
              <w:rPr>
                <w:rFonts w:ascii="宋体" w:hAnsi="宋体" w:eastAsia="宋体" w:cs="宋体"/>
                <w:sz w:val="24"/>
                <w:szCs w:val="24"/>
              </w:rPr>
            </w:pPr>
            <w:r>
              <w:rPr>
                <w:rFonts w:ascii="宋体" w:hAnsi="宋体" w:eastAsia="宋体" w:cs="宋体"/>
                <w:spacing w:val="-4"/>
                <w:sz w:val="24"/>
                <w:szCs w:val="24"/>
              </w:rPr>
              <w:t>境影响</w:t>
            </w:r>
          </w:p>
          <w:p w14:paraId="2594689E">
            <w:pPr>
              <w:spacing w:before="179" w:line="218" w:lineRule="auto"/>
              <w:ind w:left="219"/>
              <w:rPr>
                <w:rFonts w:ascii="宋体" w:hAnsi="宋体" w:eastAsia="宋体" w:cs="宋体"/>
                <w:sz w:val="24"/>
                <w:szCs w:val="24"/>
              </w:rPr>
            </w:pPr>
            <w:r>
              <w:rPr>
                <w:rFonts w:ascii="宋体" w:hAnsi="宋体" w:eastAsia="宋体" w:cs="宋体"/>
                <w:spacing w:val="-3"/>
                <w:sz w:val="24"/>
                <w:szCs w:val="24"/>
              </w:rPr>
              <w:t>评价符</w:t>
            </w:r>
          </w:p>
          <w:p w14:paraId="2AB3B49E">
            <w:pPr>
              <w:spacing w:before="184" w:line="220" w:lineRule="auto"/>
              <w:ind w:left="221"/>
              <w:rPr>
                <w:rFonts w:ascii="宋体" w:hAnsi="宋体" w:eastAsia="宋体" w:cs="宋体"/>
                <w:sz w:val="24"/>
                <w:szCs w:val="24"/>
              </w:rPr>
            </w:pPr>
            <w:r>
              <w:rPr>
                <w:rFonts w:ascii="宋体" w:hAnsi="宋体" w:eastAsia="宋体" w:cs="宋体"/>
                <w:spacing w:val="-4"/>
                <w:sz w:val="24"/>
                <w:szCs w:val="24"/>
              </w:rPr>
              <w:t>合性分</w:t>
            </w:r>
          </w:p>
          <w:p w14:paraId="2C802342">
            <w:pPr>
              <w:spacing w:before="182" w:line="220" w:lineRule="auto"/>
              <w:ind w:left="462"/>
              <w:rPr>
                <w:rFonts w:ascii="宋体" w:hAnsi="宋体" w:eastAsia="宋体" w:cs="宋体"/>
                <w:sz w:val="24"/>
                <w:szCs w:val="24"/>
              </w:rPr>
            </w:pPr>
            <w:r>
              <w:rPr>
                <w:rFonts w:ascii="宋体" w:hAnsi="宋体" w:eastAsia="宋体" w:cs="宋体"/>
                <w:sz w:val="24"/>
                <w:szCs w:val="24"/>
              </w:rPr>
              <w:t>析</w:t>
            </w:r>
          </w:p>
        </w:tc>
        <w:tc>
          <w:tcPr>
            <w:tcW w:w="7712" w:type="dxa"/>
            <w:gridSpan w:val="7"/>
            <w:tcBorders>
              <w:bottom w:val="single" w:color="000000" w:sz="6" w:space="0"/>
              <w:right w:val="single" w:color="000000" w:sz="6" w:space="0"/>
            </w:tcBorders>
            <w:vAlign w:val="top"/>
          </w:tcPr>
          <w:p w14:paraId="6F1182DD">
            <w:pPr>
              <w:spacing w:before="41" w:line="359" w:lineRule="auto"/>
              <w:ind w:left="112" w:right="104" w:firstLine="483"/>
              <w:rPr>
                <w:rFonts w:ascii="宋体" w:hAnsi="宋体" w:eastAsia="宋体" w:cs="宋体"/>
                <w:sz w:val="24"/>
                <w:szCs w:val="24"/>
              </w:rPr>
            </w:pPr>
            <w:r>
              <w:rPr>
                <w:rFonts w:ascii="Times New Roman" w:hAnsi="Times New Roman" w:eastAsia="Times New Roman" w:cs="Times New Roman"/>
                <w:b/>
                <w:bCs/>
                <w:sz w:val="24"/>
                <w:szCs w:val="24"/>
              </w:rPr>
              <w:t>1</w:t>
            </w:r>
            <w:r>
              <w:rPr>
                <w:rFonts w:ascii="Times New Roman" w:hAnsi="Times New Roman" w:eastAsia="Times New Roman" w:cs="Times New Roman"/>
                <w:b/>
                <w:bCs/>
                <w:spacing w:val="-29"/>
                <w:sz w:val="24"/>
                <w:szCs w:val="24"/>
              </w:rPr>
              <w:t xml:space="preserve"> </w:t>
            </w:r>
            <w:r>
              <w:rPr>
                <w:rFonts w:ascii="宋体" w:hAnsi="宋体" w:eastAsia="宋体" w:cs="宋体"/>
                <w:b/>
                <w:bCs/>
                <w:sz w:val="24"/>
                <w:szCs w:val="24"/>
              </w:rPr>
              <w:t>、与《云南寻甸产业园区总体规划修编（</w:t>
            </w:r>
            <w:r>
              <w:rPr>
                <w:rFonts w:ascii="Times New Roman" w:hAnsi="Times New Roman" w:eastAsia="Times New Roman" w:cs="Times New Roman"/>
                <w:b/>
                <w:bCs/>
                <w:sz w:val="24"/>
                <w:szCs w:val="24"/>
              </w:rPr>
              <w:t>2021</w:t>
            </w:r>
            <w:r>
              <w:rPr>
                <w:rFonts w:ascii="Times New Roman" w:hAnsi="Times New Roman" w:eastAsia="Times New Roman" w:cs="Times New Roman"/>
                <w:b/>
                <w:bCs/>
                <w:spacing w:val="-1"/>
                <w:sz w:val="24"/>
                <w:szCs w:val="24"/>
              </w:rPr>
              <w:t>-2035</w:t>
            </w:r>
            <w:r>
              <w:rPr>
                <w:rFonts w:ascii="宋体" w:hAnsi="宋体" w:eastAsia="宋体" w:cs="宋体"/>
                <w:b/>
                <w:bCs/>
                <w:spacing w:val="-1"/>
                <w:sz w:val="24"/>
                <w:szCs w:val="24"/>
              </w:rPr>
              <w:t>）》的符合性</w:t>
            </w:r>
            <w:r>
              <w:rPr>
                <w:rFonts w:ascii="宋体" w:hAnsi="宋体" w:eastAsia="宋体" w:cs="宋体"/>
                <w:b/>
                <w:bCs/>
                <w:spacing w:val="-9"/>
                <w:sz w:val="24"/>
                <w:szCs w:val="24"/>
              </w:rPr>
              <w:t>分析</w:t>
            </w:r>
          </w:p>
          <w:p w14:paraId="036BFC51">
            <w:pPr>
              <w:spacing w:line="218" w:lineRule="auto"/>
              <w:ind w:left="600"/>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1</w:t>
            </w:r>
            <w:r>
              <w:rPr>
                <w:rFonts w:ascii="宋体" w:hAnsi="宋体" w:eastAsia="宋体" w:cs="宋体"/>
                <w:b/>
                <w:bCs/>
                <w:spacing w:val="-5"/>
                <w:sz w:val="24"/>
                <w:szCs w:val="24"/>
              </w:rPr>
              <w:t>）规划简介</w:t>
            </w:r>
          </w:p>
          <w:p w14:paraId="439C8CF4">
            <w:pPr>
              <w:spacing w:before="178" w:line="359" w:lineRule="auto"/>
              <w:ind w:left="108" w:right="22" w:firstLine="480"/>
              <w:rPr>
                <w:rFonts w:ascii="宋体" w:hAnsi="宋体" w:eastAsia="宋体" w:cs="宋体"/>
                <w:sz w:val="24"/>
                <w:szCs w:val="24"/>
              </w:rPr>
            </w:pPr>
            <w:r>
              <w:rPr>
                <w:rFonts w:ascii="宋体" w:hAnsi="宋体" w:eastAsia="宋体" w:cs="宋体"/>
                <w:spacing w:val="-2"/>
                <w:sz w:val="24"/>
                <w:szCs w:val="24"/>
              </w:rPr>
              <w:t>根据《规划》，修编后云南寻甸产业园区远期</w:t>
            </w:r>
            <w:r>
              <w:rPr>
                <w:rFonts w:ascii="宋体" w:hAnsi="宋体" w:eastAsia="宋体" w:cs="宋体"/>
                <w:spacing w:val="-3"/>
                <w:sz w:val="24"/>
                <w:szCs w:val="24"/>
              </w:rPr>
              <w:t>规划范围至</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 xml:space="preserve">2035 </w:t>
            </w:r>
            <w:r>
              <w:rPr>
                <w:rFonts w:ascii="宋体" w:hAnsi="宋体" w:eastAsia="宋体" w:cs="宋体"/>
                <w:spacing w:val="-3"/>
                <w:sz w:val="24"/>
                <w:szCs w:val="24"/>
              </w:rPr>
              <w:t>年占</w:t>
            </w:r>
            <w:r>
              <w:rPr>
                <w:rFonts w:ascii="宋体" w:hAnsi="宋体" w:eastAsia="宋体" w:cs="宋体"/>
                <w:spacing w:val="-4"/>
                <w:sz w:val="24"/>
                <w:szCs w:val="24"/>
              </w:rPr>
              <w:t>地面积为</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1214.59</w:t>
            </w:r>
            <w:r>
              <w:rPr>
                <w:rFonts w:ascii="Times New Roman" w:hAnsi="Times New Roman" w:eastAsia="Times New Roman" w:cs="Times New Roman"/>
                <w:spacing w:val="17"/>
                <w:sz w:val="24"/>
                <w:szCs w:val="24"/>
              </w:rPr>
              <w:t xml:space="preserve"> </w:t>
            </w:r>
            <w:r>
              <w:rPr>
                <w:rFonts w:ascii="宋体" w:hAnsi="宋体" w:eastAsia="宋体" w:cs="宋体"/>
                <w:spacing w:val="-4"/>
                <w:sz w:val="24"/>
                <w:szCs w:val="24"/>
              </w:rPr>
              <w:t>公顷。总体布局规划为</w:t>
            </w:r>
            <w:r>
              <w:rPr>
                <w:rFonts w:ascii="Times New Roman" w:hAnsi="Times New Roman" w:eastAsia="Times New Roman" w:cs="Times New Roman"/>
                <w:spacing w:val="-4"/>
                <w:sz w:val="24"/>
                <w:szCs w:val="24"/>
              </w:rPr>
              <w:t>“</w:t>
            </w:r>
            <w:r>
              <w:rPr>
                <w:rFonts w:ascii="宋体" w:hAnsi="宋体" w:eastAsia="宋体" w:cs="宋体"/>
                <w:spacing w:val="-4"/>
                <w:sz w:val="24"/>
                <w:szCs w:val="24"/>
              </w:rPr>
              <w:t>一园三片</w:t>
            </w:r>
            <w:r>
              <w:rPr>
                <w:rFonts w:ascii="Times New Roman" w:hAnsi="Times New Roman" w:eastAsia="Times New Roman" w:cs="Times New Roman"/>
                <w:spacing w:val="-4"/>
                <w:sz w:val="24"/>
                <w:szCs w:val="24"/>
              </w:rPr>
              <w:t>”</w:t>
            </w:r>
            <w:r>
              <w:rPr>
                <w:rFonts w:ascii="宋体" w:hAnsi="宋体" w:eastAsia="宋体" w:cs="宋体"/>
                <w:spacing w:val="-4"/>
                <w:sz w:val="24"/>
                <w:szCs w:val="24"/>
              </w:rPr>
              <w:t>一园即云南</w:t>
            </w:r>
            <w:r>
              <w:rPr>
                <w:rFonts w:ascii="宋体" w:hAnsi="宋体" w:eastAsia="宋体" w:cs="宋体"/>
                <w:spacing w:val="-5"/>
                <w:sz w:val="24"/>
                <w:szCs w:val="24"/>
              </w:rPr>
              <w:t>寻甸产业</w:t>
            </w:r>
            <w:r>
              <w:rPr>
                <w:rFonts w:ascii="宋体" w:hAnsi="宋体" w:eastAsia="宋体" w:cs="宋体"/>
                <w:spacing w:val="-8"/>
                <w:sz w:val="24"/>
                <w:szCs w:val="24"/>
              </w:rPr>
              <w:t>园区；三片即羊街片区、金所片区</w:t>
            </w:r>
            <w:r>
              <w:rPr>
                <w:rFonts w:ascii="Times New Roman" w:hAnsi="Times New Roman" w:eastAsia="Times New Roman" w:cs="Times New Roman"/>
                <w:spacing w:val="-8"/>
                <w:sz w:val="24"/>
                <w:szCs w:val="24"/>
              </w:rPr>
              <w:t>(</w:t>
            </w:r>
            <w:r>
              <w:rPr>
                <w:rFonts w:ascii="宋体" w:hAnsi="宋体" w:eastAsia="宋体" w:cs="宋体"/>
                <w:spacing w:val="-8"/>
                <w:sz w:val="24"/>
                <w:szCs w:val="24"/>
              </w:rPr>
              <w:t>含金所组团、天生桥组团</w:t>
            </w:r>
            <w:r>
              <w:rPr>
                <w:rFonts w:ascii="Times New Roman" w:hAnsi="Times New Roman" w:eastAsia="Times New Roman" w:cs="Times New Roman"/>
                <w:spacing w:val="-8"/>
                <w:sz w:val="24"/>
                <w:szCs w:val="24"/>
              </w:rPr>
              <w:t>)</w:t>
            </w:r>
            <w:r>
              <w:rPr>
                <w:rFonts w:ascii="宋体" w:hAnsi="宋体" w:eastAsia="宋体" w:cs="宋体"/>
                <w:spacing w:val="-8"/>
                <w:sz w:val="24"/>
                <w:szCs w:val="24"/>
              </w:rPr>
              <w:t>、倘甸片区。</w:t>
            </w:r>
            <w:r>
              <w:rPr>
                <w:rFonts w:ascii="宋体" w:hAnsi="宋体" w:eastAsia="宋体" w:cs="宋体"/>
                <w:spacing w:val="1"/>
                <w:sz w:val="24"/>
                <w:szCs w:val="24"/>
              </w:rPr>
              <w:t>金所片区</w:t>
            </w:r>
            <w:r>
              <w:rPr>
                <w:rFonts w:ascii="Times New Roman" w:hAnsi="Times New Roman" w:eastAsia="Times New Roman" w:cs="Times New Roman"/>
                <w:spacing w:val="1"/>
                <w:sz w:val="24"/>
                <w:szCs w:val="24"/>
              </w:rPr>
              <w:t>(</w:t>
            </w:r>
            <w:r>
              <w:rPr>
                <w:rFonts w:ascii="宋体" w:hAnsi="宋体" w:eastAsia="宋体" w:cs="宋体"/>
                <w:spacing w:val="1"/>
                <w:sz w:val="24"/>
                <w:szCs w:val="24"/>
              </w:rPr>
              <w:t>金所组团</w:t>
            </w:r>
            <w:r>
              <w:rPr>
                <w:rFonts w:ascii="Times New Roman" w:hAnsi="Times New Roman" w:eastAsia="Times New Roman" w:cs="Times New Roman"/>
                <w:spacing w:val="1"/>
                <w:sz w:val="24"/>
                <w:szCs w:val="24"/>
              </w:rPr>
              <w:t>)</w:t>
            </w:r>
            <w:r>
              <w:rPr>
                <w:rFonts w:ascii="宋体" w:hAnsi="宋体" w:eastAsia="宋体" w:cs="宋体"/>
                <w:spacing w:val="1"/>
                <w:sz w:val="24"/>
                <w:szCs w:val="24"/>
              </w:rPr>
              <w:t>占地</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522.60</w:t>
            </w:r>
            <w:r>
              <w:rPr>
                <w:rFonts w:ascii="Times New Roman" w:hAnsi="Times New Roman" w:eastAsia="Times New Roman" w:cs="Times New Roman"/>
                <w:spacing w:val="21"/>
                <w:w w:val="101"/>
                <w:sz w:val="24"/>
                <w:szCs w:val="24"/>
              </w:rPr>
              <w:t xml:space="preserve"> </w:t>
            </w:r>
            <w:r>
              <w:rPr>
                <w:rFonts w:ascii="宋体" w:hAnsi="宋体" w:eastAsia="宋体" w:cs="宋体"/>
                <w:spacing w:val="1"/>
                <w:sz w:val="24"/>
                <w:szCs w:val="24"/>
              </w:rPr>
              <w:t>公顷，定位以先进装备制造产业区、非</w:t>
            </w:r>
            <w:r>
              <w:rPr>
                <w:rFonts w:ascii="宋体" w:hAnsi="宋体" w:eastAsia="宋体" w:cs="宋体"/>
                <w:spacing w:val="2"/>
                <w:sz w:val="24"/>
                <w:szCs w:val="24"/>
              </w:rPr>
              <w:t>烟轻工产业区、绿色建材产业区、绿色化工产业区、公共服务配套区、</w:t>
            </w:r>
            <w:r>
              <w:rPr>
                <w:rFonts w:ascii="宋体" w:hAnsi="宋体" w:eastAsia="宋体" w:cs="宋体"/>
                <w:sz w:val="24"/>
                <w:szCs w:val="24"/>
              </w:rPr>
              <w:t>中转物流区为主；金所片区</w:t>
            </w:r>
            <w:r>
              <w:rPr>
                <w:rFonts w:ascii="Times New Roman" w:hAnsi="Times New Roman" w:eastAsia="Times New Roman" w:cs="Times New Roman"/>
                <w:sz w:val="24"/>
                <w:szCs w:val="24"/>
              </w:rPr>
              <w:t>(</w:t>
            </w:r>
            <w:r>
              <w:rPr>
                <w:rFonts w:ascii="宋体" w:hAnsi="宋体" w:eastAsia="宋体" w:cs="宋体"/>
                <w:sz w:val="24"/>
                <w:szCs w:val="24"/>
              </w:rPr>
              <w:t>天生桥组团</w:t>
            </w:r>
            <w:r>
              <w:rPr>
                <w:rFonts w:ascii="Times New Roman" w:hAnsi="Times New Roman" w:eastAsia="Times New Roman" w:cs="Times New Roman"/>
                <w:sz w:val="24"/>
                <w:szCs w:val="24"/>
              </w:rPr>
              <w:t>)</w:t>
            </w:r>
            <w:r>
              <w:rPr>
                <w:rFonts w:ascii="宋体" w:hAnsi="宋体" w:eastAsia="宋体" w:cs="宋体"/>
                <w:sz w:val="24"/>
                <w:szCs w:val="24"/>
              </w:rPr>
              <w:t>占地</w:t>
            </w:r>
            <w:r>
              <w:rPr>
                <w:rFonts w:ascii="宋体" w:hAnsi="宋体" w:eastAsia="宋体" w:cs="宋体"/>
                <w:spacing w:val="-9"/>
                <w:sz w:val="24"/>
                <w:szCs w:val="24"/>
              </w:rPr>
              <w:t xml:space="preserve"> </w:t>
            </w:r>
            <w:r>
              <w:rPr>
                <w:rFonts w:ascii="Times New Roman" w:hAnsi="Times New Roman" w:eastAsia="Times New Roman" w:cs="Times New Roman"/>
                <w:sz w:val="24"/>
                <w:szCs w:val="24"/>
              </w:rPr>
              <w:t>158.92</w:t>
            </w:r>
            <w:r>
              <w:rPr>
                <w:rFonts w:ascii="Times New Roman" w:hAnsi="Times New Roman" w:eastAsia="Times New Roman" w:cs="Times New Roman"/>
                <w:spacing w:val="19"/>
                <w:w w:val="101"/>
                <w:sz w:val="24"/>
                <w:szCs w:val="24"/>
              </w:rPr>
              <w:t xml:space="preserve"> </w:t>
            </w:r>
            <w:r>
              <w:rPr>
                <w:rFonts w:ascii="宋体" w:hAnsi="宋体" w:eastAsia="宋体" w:cs="宋体"/>
                <w:sz w:val="24"/>
                <w:szCs w:val="24"/>
              </w:rPr>
              <w:t>公顷，定位以绿色</w:t>
            </w:r>
            <w:r>
              <w:rPr>
                <w:rFonts w:ascii="宋体" w:hAnsi="宋体" w:eastAsia="宋体" w:cs="宋体"/>
                <w:spacing w:val="-1"/>
                <w:sz w:val="24"/>
                <w:szCs w:val="24"/>
              </w:rPr>
              <w:t>化工产业区、先进装备制造产业区为主；羊街片区占地</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263.39</w:t>
            </w:r>
            <w:r>
              <w:rPr>
                <w:rFonts w:ascii="Times New Roman" w:hAnsi="Times New Roman" w:eastAsia="Times New Roman" w:cs="Times New Roman"/>
                <w:spacing w:val="17"/>
                <w:sz w:val="24"/>
                <w:szCs w:val="24"/>
              </w:rPr>
              <w:t xml:space="preserve"> </w:t>
            </w:r>
            <w:r>
              <w:rPr>
                <w:rFonts w:ascii="宋体" w:hAnsi="宋体" w:eastAsia="宋体" w:cs="宋体"/>
                <w:spacing w:val="-1"/>
                <w:sz w:val="24"/>
                <w:szCs w:val="24"/>
              </w:rPr>
              <w:t>公顷，定</w:t>
            </w:r>
            <w:r>
              <w:rPr>
                <w:rFonts w:ascii="宋体" w:hAnsi="宋体" w:eastAsia="宋体" w:cs="宋体"/>
                <w:spacing w:val="2"/>
                <w:sz w:val="24"/>
                <w:szCs w:val="24"/>
              </w:rPr>
              <w:t>位以先进装备制造产业区、非烟轻工产业区</w:t>
            </w:r>
            <w:r>
              <w:rPr>
                <w:rFonts w:ascii="宋体" w:hAnsi="宋体" w:eastAsia="宋体" w:cs="宋体"/>
                <w:spacing w:val="1"/>
                <w:sz w:val="24"/>
                <w:szCs w:val="24"/>
              </w:rPr>
              <w:t>、商贸物流及冷链加工区为</w:t>
            </w:r>
            <w:r>
              <w:rPr>
                <w:rFonts w:ascii="宋体" w:hAnsi="宋体" w:eastAsia="宋体" w:cs="宋体"/>
                <w:spacing w:val="3"/>
                <w:sz w:val="24"/>
                <w:szCs w:val="24"/>
              </w:rPr>
              <w:t xml:space="preserve">主；倘甸片区占地 </w:t>
            </w:r>
            <w:r>
              <w:rPr>
                <w:rFonts w:ascii="Times New Roman" w:hAnsi="Times New Roman" w:eastAsia="Times New Roman" w:cs="Times New Roman"/>
                <w:spacing w:val="3"/>
                <w:sz w:val="24"/>
                <w:szCs w:val="24"/>
              </w:rPr>
              <w:t xml:space="preserve">269.69  </w:t>
            </w:r>
            <w:r>
              <w:rPr>
                <w:rFonts w:ascii="宋体" w:hAnsi="宋体" w:eastAsia="宋体" w:cs="宋体"/>
                <w:spacing w:val="3"/>
                <w:sz w:val="24"/>
                <w:szCs w:val="24"/>
              </w:rPr>
              <w:t>公顷，定位以生物医疗产业区、先进装备制</w:t>
            </w:r>
            <w:r>
              <w:rPr>
                <w:rFonts w:ascii="宋体" w:hAnsi="宋体" w:eastAsia="宋体" w:cs="宋体"/>
                <w:spacing w:val="-1"/>
                <w:sz w:val="24"/>
                <w:szCs w:val="24"/>
              </w:rPr>
              <w:t>造产业区、非烟轻工产业区、公共服务配套区为主。</w:t>
            </w:r>
          </w:p>
          <w:p w14:paraId="54C3F5AA">
            <w:pPr>
              <w:spacing w:before="6" w:line="219" w:lineRule="auto"/>
              <w:ind w:left="600"/>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2</w:t>
            </w:r>
            <w:r>
              <w:rPr>
                <w:rFonts w:ascii="宋体" w:hAnsi="宋体" w:eastAsia="宋体" w:cs="宋体"/>
                <w:b/>
                <w:bCs/>
                <w:spacing w:val="-4"/>
                <w:sz w:val="24"/>
                <w:szCs w:val="24"/>
              </w:rPr>
              <w:t>）规划相关内容</w:t>
            </w:r>
          </w:p>
          <w:p w14:paraId="10CE6132">
            <w:pPr>
              <w:spacing w:before="181" w:line="219" w:lineRule="auto"/>
              <w:ind w:left="591"/>
              <w:rPr>
                <w:rFonts w:ascii="宋体" w:hAnsi="宋体" w:eastAsia="宋体" w:cs="宋体"/>
                <w:sz w:val="24"/>
                <w:szCs w:val="24"/>
              </w:rPr>
            </w:pPr>
            <w:r>
              <w:rPr>
                <w:rFonts w:ascii="宋体" w:hAnsi="宋体" w:eastAsia="宋体" w:cs="宋体"/>
                <w:spacing w:val="2"/>
                <w:sz w:val="24"/>
                <w:szCs w:val="24"/>
              </w:rPr>
              <w:t>金所片区金所组团（</w:t>
            </w:r>
            <w:r>
              <w:rPr>
                <w:rFonts w:ascii="Times New Roman" w:hAnsi="Times New Roman" w:eastAsia="Times New Roman" w:cs="Times New Roman"/>
                <w:spacing w:val="2"/>
                <w:sz w:val="24"/>
                <w:szCs w:val="24"/>
              </w:rPr>
              <w:t>6</w:t>
            </w:r>
            <w:r>
              <w:rPr>
                <w:rFonts w:ascii="Times New Roman" w:hAnsi="Times New Roman" w:eastAsia="Times New Roman" w:cs="Times New Roman"/>
                <w:spacing w:val="17"/>
                <w:w w:val="101"/>
                <w:sz w:val="24"/>
                <w:szCs w:val="24"/>
              </w:rPr>
              <w:t xml:space="preserve"> </w:t>
            </w:r>
            <w:r>
              <w:rPr>
                <w:rFonts w:ascii="宋体" w:hAnsi="宋体" w:eastAsia="宋体" w:cs="宋体"/>
                <w:spacing w:val="2"/>
                <w:sz w:val="24"/>
                <w:szCs w:val="24"/>
              </w:rPr>
              <w:t>分区</w:t>
            </w:r>
            <w:r>
              <w:rPr>
                <w:rFonts w:ascii="宋体" w:hAnsi="宋体" w:eastAsia="宋体" w:cs="宋体"/>
                <w:spacing w:val="18"/>
                <w:sz w:val="24"/>
                <w:szCs w:val="24"/>
              </w:rPr>
              <w:t>）：</w:t>
            </w:r>
            <w:r>
              <w:rPr>
                <w:rFonts w:ascii="宋体" w:hAnsi="宋体" w:eastAsia="宋体" w:cs="宋体"/>
                <w:spacing w:val="2"/>
                <w:sz w:val="24"/>
                <w:szCs w:val="24"/>
              </w:rPr>
              <w:t>先进装备制造产业区、非烟轻工产</w:t>
            </w:r>
          </w:p>
        </w:tc>
      </w:tr>
    </w:tbl>
    <w:p w14:paraId="35C0B30A">
      <w:pPr>
        <w:pStyle w:val="2"/>
      </w:pPr>
    </w:p>
    <w:p w14:paraId="456BF6C3">
      <w:pPr>
        <w:sectPr>
          <w:footerReference r:id="rId10" w:type="default"/>
          <w:pgSz w:w="11906" w:h="16839"/>
          <w:pgMar w:top="400" w:right="1509" w:bottom="1329" w:left="1509" w:header="0" w:footer="1113" w:gutter="0"/>
          <w:cols w:space="720" w:num="1"/>
        </w:sectPr>
      </w:pPr>
    </w:p>
    <w:p w14:paraId="0215F1EC">
      <w:pPr>
        <w:spacing w:before="19"/>
      </w:pPr>
    </w:p>
    <w:p w14:paraId="6061258D">
      <w:pPr>
        <w:spacing w:before="19"/>
      </w:pPr>
    </w:p>
    <w:p w14:paraId="3A8F0BED">
      <w:pPr>
        <w:spacing w:before="19"/>
      </w:pPr>
    </w:p>
    <w:p w14:paraId="0814A9B4">
      <w:pPr>
        <w:spacing w:before="18"/>
      </w:pPr>
    </w:p>
    <w:p w14:paraId="61384F15">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4"/>
        <w:gridCol w:w="631"/>
        <w:gridCol w:w="4051"/>
        <w:gridCol w:w="2163"/>
        <w:gridCol w:w="628"/>
        <w:gridCol w:w="124"/>
      </w:tblGrid>
      <w:tr w14:paraId="1DEDB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03" w:hRule="atLeast"/>
        </w:trPr>
        <w:tc>
          <w:tcPr>
            <w:tcW w:w="1161" w:type="dxa"/>
            <w:vMerge w:val="restart"/>
            <w:tcBorders>
              <w:top w:val="single" w:color="000000" w:sz="6" w:space="0"/>
              <w:left w:val="single" w:color="000000" w:sz="6" w:space="0"/>
              <w:bottom w:val="nil"/>
            </w:tcBorders>
            <w:vAlign w:val="top"/>
          </w:tcPr>
          <w:p w14:paraId="27610C5F">
            <w:pPr>
              <w:rPr>
                <w:rFonts w:ascii="Arial"/>
                <w:sz w:val="21"/>
              </w:rPr>
            </w:pPr>
          </w:p>
        </w:tc>
        <w:tc>
          <w:tcPr>
            <w:tcW w:w="7711" w:type="dxa"/>
            <w:gridSpan w:val="6"/>
            <w:tcBorders>
              <w:top w:val="single" w:color="000000" w:sz="6" w:space="0"/>
              <w:right w:val="single" w:color="000000" w:sz="6" w:space="0"/>
            </w:tcBorders>
            <w:vAlign w:val="top"/>
          </w:tcPr>
          <w:p w14:paraId="22039628">
            <w:pPr>
              <w:spacing w:before="30" w:line="359" w:lineRule="auto"/>
              <w:ind w:left="125" w:right="102" w:hanging="18"/>
              <w:rPr>
                <w:rFonts w:ascii="宋体" w:hAnsi="宋体" w:eastAsia="宋体" w:cs="宋体"/>
                <w:sz w:val="24"/>
                <w:szCs w:val="24"/>
              </w:rPr>
            </w:pPr>
            <w:r>
              <w:rPr>
                <w:rFonts w:ascii="宋体" w:hAnsi="宋体" w:eastAsia="宋体" w:cs="宋体"/>
                <w:spacing w:val="2"/>
                <w:sz w:val="24"/>
                <w:szCs w:val="24"/>
              </w:rPr>
              <w:t>业区、绿色建材产业区、绿色化工产业区、</w:t>
            </w:r>
            <w:r>
              <w:rPr>
                <w:rFonts w:ascii="宋体" w:hAnsi="宋体" w:eastAsia="宋体" w:cs="宋体"/>
                <w:spacing w:val="1"/>
                <w:sz w:val="24"/>
                <w:szCs w:val="24"/>
              </w:rPr>
              <w:t>公共服务配套区、中转物流</w:t>
            </w:r>
            <w:r>
              <w:rPr>
                <w:rFonts w:ascii="宋体" w:hAnsi="宋体" w:eastAsia="宋体" w:cs="宋体"/>
                <w:spacing w:val="-14"/>
                <w:sz w:val="24"/>
                <w:szCs w:val="24"/>
              </w:rPr>
              <w:t>区；</w:t>
            </w:r>
          </w:p>
          <w:p w14:paraId="77B0E7B0">
            <w:pPr>
              <w:spacing w:line="359" w:lineRule="auto"/>
              <w:ind w:left="109" w:right="102" w:firstLine="480"/>
              <w:rPr>
                <w:rFonts w:ascii="宋体" w:hAnsi="宋体" w:eastAsia="宋体" w:cs="宋体"/>
                <w:sz w:val="24"/>
                <w:szCs w:val="24"/>
              </w:rPr>
            </w:pPr>
            <w:r>
              <w:rPr>
                <w:rFonts w:ascii="宋体" w:hAnsi="宋体" w:eastAsia="宋体" w:cs="宋体"/>
                <w:spacing w:val="4"/>
                <w:sz w:val="24"/>
                <w:szCs w:val="24"/>
              </w:rPr>
              <w:t>金所片区天生桥组团（本次拟设置为化工园区</w:t>
            </w:r>
            <w:r>
              <w:rPr>
                <w:rFonts w:ascii="宋体" w:hAnsi="宋体" w:eastAsia="宋体" w:cs="宋体"/>
                <w:spacing w:val="-2"/>
                <w:sz w:val="24"/>
                <w:szCs w:val="24"/>
              </w:rPr>
              <w:t>）（</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20"/>
                <w:w w:val="101"/>
                <w:sz w:val="24"/>
                <w:szCs w:val="24"/>
              </w:rPr>
              <w:t xml:space="preserve"> </w:t>
            </w:r>
            <w:r>
              <w:rPr>
                <w:rFonts w:ascii="宋体" w:hAnsi="宋体" w:eastAsia="宋体" w:cs="宋体"/>
                <w:spacing w:val="3"/>
                <w:sz w:val="24"/>
                <w:szCs w:val="24"/>
              </w:rPr>
              <w:t>分区</w:t>
            </w:r>
            <w:r>
              <w:rPr>
                <w:rFonts w:ascii="宋体" w:hAnsi="宋体" w:eastAsia="宋体" w:cs="宋体"/>
                <w:spacing w:val="-2"/>
                <w:sz w:val="24"/>
                <w:szCs w:val="24"/>
              </w:rPr>
              <w:t>）：</w:t>
            </w:r>
            <w:r>
              <w:rPr>
                <w:rFonts w:ascii="宋体" w:hAnsi="宋体" w:eastAsia="宋体" w:cs="宋体"/>
                <w:spacing w:val="3"/>
                <w:sz w:val="24"/>
                <w:szCs w:val="24"/>
              </w:rPr>
              <w:t>绿色</w:t>
            </w:r>
            <w:r>
              <w:rPr>
                <w:rFonts w:ascii="宋体" w:hAnsi="宋体" w:eastAsia="宋体" w:cs="宋体"/>
                <w:spacing w:val="-1"/>
                <w:sz w:val="24"/>
                <w:szCs w:val="24"/>
              </w:rPr>
              <w:t>化工产业区、先进装备制造产业区；</w:t>
            </w:r>
          </w:p>
          <w:p w14:paraId="6FF3FF87">
            <w:pPr>
              <w:spacing w:line="359" w:lineRule="auto"/>
              <w:ind w:left="117" w:right="102" w:firstLine="478"/>
              <w:rPr>
                <w:rFonts w:ascii="宋体" w:hAnsi="宋体" w:eastAsia="宋体" w:cs="宋体"/>
                <w:sz w:val="24"/>
                <w:szCs w:val="24"/>
              </w:rPr>
            </w:pPr>
            <w:r>
              <w:rPr>
                <w:rFonts w:ascii="宋体" w:hAnsi="宋体" w:eastAsia="宋体" w:cs="宋体"/>
                <w:spacing w:val="2"/>
                <w:sz w:val="24"/>
                <w:szCs w:val="24"/>
              </w:rPr>
              <w:t>羊街片区（</w:t>
            </w:r>
            <w:r>
              <w:rPr>
                <w:rFonts w:ascii="Times New Roman" w:hAnsi="Times New Roman" w:eastAsia="Times New Roman" w:cs="Times New Roman"/>
                <w:spacing w:val="2"/>
                <w:sz w:val="24"/>
                <w:szCs w:val="24"/>
              </w:rPr>
              <w:t>3</w:t>
            </w:r>
            <w:r>
              <w:rPr>
                <w:rFonts w:ascii="Times New Roman" w:hAnsi="Times New Roman" w:eastAsia="Times New Roman" w:cs="Times New Roman"/>
                <w:spacing w:val="18"/>
                <w:sz w:val="24"/>
                <w:szCs w:val="24"/>
              </w:rPr>
              <w:t xml:space="preserve"> </w:t>
            </w:r>
            <w:r>
              <w:rPr>
                <w:rFonts w:ascii="宋体" w:hAnsi="宋体" w:eastAsia="宋体" w:cs="宋体"/>
                <w:spacing w:val="2"/>
                <w:sz w:val="24"/>
                <w:szCs w:val="24"/>
              </w:rPr>
              <w:t>分区</w:t>
            </w:r>
            <w:r>
              <w:rPr>
                <w:rFonts w:ascii="宋体" w:hAnsi="宋体" w:eastAsia="宋体" w:cs="宋体"/>
                <w:spacing w:val="15"/>
                <w:sz w:val="24"/>
                <w:szCs w:val="24"/>
              </w:rPr>
              <w:t>）：</w:t>
            </w:r>
            <w:r>
              <w:rPr>
                <w:rFonts w:ascii="宋体" w:hAnsi="宋体" w:eastAsia="宋体" w:cs="宋体"/>
                <w:spacing w:val="2"/>
                <w:sz w:val="24"/>
                <w:szCs w:val="24"/>
              </w:rPr>
              <w:t>先进装备制造产业区、非烟轻工产业区、商</w:t>
            </w:r>
            <w:r>
              <w:rPr>
                <w:rFonts w:ascii="宋体" w:hAnsi="宋体" w:eastAsia="宋体" w:cs="宋体"/>
                <w:spacing w:val="-2"/>
                <w:sz w:val="24"/>
                <w:szCs w:val="24"/>
              </w:rPr>
              <w:t>贸物流及冷链加工区；</w:t>
            </w:r>
          </w:p>
          <w:p w14:paraId="23090D05">
            <w:pPr>
              <w:spacing w:before="2" w:line="359" w:lineRule="auto"/>
              <w:ind w:left="109" w:right="102" w:firstLine="479"/>
              <w:rPr>
                <w:rFonts w:ascii="宋体" w:hAnsi="宋体" w:eastAsia="宋体" w:cs="宋体"/>
                <w:sz w:val="24"/>
                <w:szCs w:val="24"/>
              </w:rPr>
            </w:pPr>
            <w:r>
              <w:rPr>
                <w:rFonts w:ascii="宋体" w:hAnsi="宋体" w:eastAsia="宋体" w:cs="宋体"/>
                <w:spacing w:val="2"/>
                <w:sz w:val="24"/>
                <w:szCs w:val="24"/>
              </w:rPr>
              <w:t>倘甸片区（</w:t>
            </w:r>
            <w:r>
              <w:rPr>
                <w:rFonts w:ascii="Times New Roman" w:hAnsi="Times New Roman" w:eastAsia="Times New Roman" w:cs="Times New Roman"/>
                <w:spacing w:val="2"/>
                <w:sz w:val="24"/>
                <w:szCs w:val="24"/>
              </w:rPr>
              <w:t>4</w:t>
            </w:r>
            <w:r>
              <w:rPr>
                <w:rFonts w:ascii="Times New Roman" w:hAnsi="Times New Roman" w:eastAsia="Times New Roman" w:cs="Times New Roman"/>
                <w:spacing w:val="17"/>
                <w:sz w:val="24"/>
                <w:szCs w:val="24"/>
              </w:rPr>
              <w:t xml:space="preserve"> </w:t>
            </w:r>
            <w:r>
              <w:rPr>
                <w:rFonts w:ascii="宋体" w:hAnsi="宋体" w:eastAsia="宋体" w:cs="宋体"/>
                <w:spacing w:val="2"/>
                <w:sz w:val="24"/>
                <w:szCs w:val="24"/>
              </w:rPr>
              <w:t>分区</w:t>
            </w:r>
            <w:r>
              <w:rPr>
                <w:rFonts w:ascii="宋体" w:hAnsi="宋体" w:eastAsia="宋体" w:cs="宋体"/>
                <w:spacing w:val="19"/>
                <w:sz w:val="24"/>
                <w:szCs w:val="24"/>
              </w:rPr>
              <w:t>）：</w:t>
            </w:r>
            <w:r>
              <w:rPr>
                <w:rFonts w:ascii="宋体" w:hAnsi="宋体" w:eastAsia="宋体" w:cs="宋体"/>
                <w:spacing w:val="2"/>
                <w:sz w:val="24"/>
                <w:szCs w:val="24"/>
              </w:rPr>
              <w:t>生物医疗产业区、先进装备制造产业区、非</w:t>
            </w:r>
            <w:r>
              <w:rPr>
                <w:rFonts w:ascii="宋体" w:hAnsi="宋体" w:eastAsia="宋体" w:cs="宋体"/>
                <w:spacing w:val="-1"/>
                <w:sz w:val="24"/>
                <w:szCs w:val="24"/>
              </w:rPr>
              <w:t>烟轻工产业区、公共服务配套区。</w:t>
            </w:r>
          </w:p>
          <w:p w14:paraId="0046871D">
            <w:pPr>
              <w:spacing w:line="219" w:lineRule="auto"/>
              <w:ind w:left="599"/>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3</w:t>
            </w:r>
            <w:r>
              <w:rPr>
                <w:rFonts w:ascii="宋体" w:hAnsi="宋体" w:eastAsia="宋体" w:cs="宋体"/>
                <w:b/>
                <w:bCs/>
                <w:spacing w:val="-5"/>
                <w:sz w:val="24"/>
                <w:szCs w:val="24"/>
              </w:rPr>
              <w:t>）相符性分析</w:t>
            </w:r>
          </w:p>
          <w:p w14:paraId="13993B2C">
            <w:pPr>
              <w:spacing w:before="182" w:line="359" w:lineRule="auto"/>
              <w:ind w:left="107" w:right="43" w:firstLine="481"/>
              <w:jc w:val="both"/>
              <w:rPr>
                <w:rFonts w:ascii="宋体" w:hAnsi="宋体" w:eastAsia="宋体" w:cs="宋体"/>
                <w:sz w:val="24"/>
                <w:szCs w:val="24"/>
              </w:rPr>
            </w:pPr>
            <w:r>
              <w:rPr>
                <w:rFonts w:ascii="宋体" w:hAnsi="宋体" w:eastAsia="宋体" w:cs="宋体"/>
                <w:spacing w:val="2"/>
                <w:sz w:val="24"/>
                <w:szCs w:val="24"/>
              </w:rPr>
              <w:t>本项目位于云南寻甸产业园区金所片区，根</w:t>
            </w:r>
            <w:r>
              <w:rPr>
                <w:rFonts w:ascii="宋体" w:hAnsi="宋体" w:eastAsia="宋体" w:cs="宋体"/>
                <w:spacing w:val="1"/>
                <w:sz w:val="24"/>
                <w:szCs w:val="24"/>
              </w:rPr>
              <w:t>据与《云南寻甸产业园</w:t>
            </w:r>
            <w:r>
              <w:rPr>
                <w:rFonts w:ascii="宋体" w:hAnsi="宋体" w:eastAsia="宋体" w:cs="宋体"/>
                <w:spacing w:val="-2"/>
                <w:sz w:val="24"/>
                <w:szCs w:val="24"/>
              </w:rPr>
              <w:t>区总体规划修编（</w:t>
            </w:r>
            <w:r>
              <w:rPr>
                <w:rFonts w:ascii="Times New Roman" w:hAnsi="Times New Roman" w:eastAsia="Times New Roman" w:cs="Times New Roman"/>
                <w:spacing w:val="-2"/>
                <w:sz w:val="24"/>
                <w:szCs w:val="24"/>
              </w:rPr>
              <w:t>2021-2035</w:t>
            </w:r>
            <w:r>
              <w:rPr>
                <w:rFonts w:ascii="宋体" w:hAnsi="宋体" w:eastAsia="宋体" w:cs="宋体"/>
                <w:spacing w:val="-2"/>
                <w:sz w:val="24"/>
                <w:szCs w:val="24"/>
              </w:rPr>
              <w:t>）》中</w:t>
            </w:r>
            <w:r>
              <w:rPr>
                <w:rFonts w:ascii="宋体" w:hAnsi="宋体" w:eastAsia="宋体" w:cs="宋体"/>
                <w:spacing w:val="-3"/>
                <w:sz w:val="24"/>
                <w:szCs w:val="24"/>
              </w:rPr>
              <w:t>的金所片区规划叠图分析（附图</w:t>
            </w:r>
            <w:r>
              <w:rPr>
                <w:rFonts w:ascii="宋体" w:hAnsi="宋体" w:eastAsia="宋体" w:cs="宋体"/>
                <w:spacing w:val="-48"/>
                <w:sz w:val="24"/>
                <w:szCs w:val="24"/>
              </w:rPr>
              <w:t xml:space="preserve"> </w:t>
            </w:r>
            <w:r>
              <w:rPr>
                <w:rFonts w:ascii="Times New Roman" w:hAnsi="Times New Roman" w:eastAsia="Times New Roman" w:cs="Times New Roman"/>
                <w:spacing w:val="-3"/>
                <w:sz w:val="24"/>
                <w:szCs w:val="24"/>
              </w:rPr>
              <w:t>5</w:t>
            </w:r>
            <w:r>
              <w:rPr>
                <w:rFonts w:ascii="宋体" w:hAnsi="宋体" w:eastAsia="宋体" w:cs="宋体"/>
                <w:spacing w:val="-39"/>
                <w:sz w:val="24"/>
                <w:szCs w:val="24"/>
              </w:rPr>
              <w:t>），</w:t>
            </w:r>
            <w:r>
              <w:rPr>
                <w:rFonts w:ascii="宋体" w:hAnsi="宋体" w:eastAsia="宋体" w:cs="宋体"/>
                <w:spacing w:val="2"/>
                <w:sz w:val="24"/>
                <w:szCs w:val="24"/>
              </w:rPr>
              <w:t>项目用地规划为二类工业用地，为金属制品</w:t>
            </w:r>
            <w:r>
              <w:rPr>
                <w:rFonts w:ascii="宋体" w:hAnsi="宋体" w:eastAsia="宋体" w:cs="宋体"/>
                <w:spacing w:val="1"/>
                <w:sz w:val="24"/>
                <w:szCs w:val="24"/>
              </w:rPr>
              <w:t>业、橡胶制品业、塑料制品</w:t>
            </w:r>
            <w:r>
              <w:rPr>
                <w:rFonts w:ascii="宋体" w:hAnsi="宋体" w:eastAsia="宋体" w:cs="宋体"/>
                <w:spacing w:val="2"/>
                <w:sz w:val="24"/>
                <w:szCs w:val="24"/>
              </w:rPr>
              <w:t>业、家具制造业、木材加工业等，项目属于</w:t>
            </w:r>
            <w:r>
              <w:rPr>
                <w:rFonts w:ascii="宋体" w:hAnsi="宋体" w:eastAsia="宋体" w:cs="宋体"/>
                <w:spacing w:val="1"/>
                <w:sz w:val="24"/>
                <w:szCs w:val="24"/>
              </w:rPr>
              <w:t>塑料筐生产项目，为塑料制</w:t>
            </w:r>
            <w:r>
              <w:rPr>
                <w:rFonts w:ascii="宋体" w:hAnsi="宋体" w:eastAsia="宋体" w:cs="宋体"/>
                <w:spacing w:val="-1"/>
                <w:sz w:val="24"/>
                <w:szCs w:val="24"/>
              </w:rPr>
              <w:t>品业，符合园区规划。</w:t>
            </w:r>
          </w:p>
          <w:p w14:paraId="52DEB74E">
            <w:pPr>
              <w:spacing w:line="359" w:lineRule="auto"/>
              <w:ind w:left="119" w:right="102" w:firstLine="471"/>
              <w:rPr>
                <w:rFonts w:ascii="宋体" w:hAnsi="宋体" w:eastAsia="宋体" w:cs="宋体"/>
                <w:sz w:val="24"/>
                <w:szCs w:val="24"/>
              </w:rPr>
            </w:pPr>
            <w:r>
              <w:rPr>
                <w:rFonts w:ascii="宋体" w:hAnsi="宋体" w:eastAsia="宋体" w:cs="宋体"/>
                <w:spacing w:val="16"/>
                <w:sz w:val="24"/>
                <w:szCs w:val="24"/>
              </w:rPr>
              <w:t>综上分析</w:t>
            </w:r>
            <w:r>
              <w:rPr>
                <w:rFonts w:ascii="宋体" w:hAnsi="宋体" w:eastAsia="宋体" w:cs="宋体"/>
                <w:spacing w:val="-45"/>
                <w:sz w:val="24"/>
                <w:szCs w:val="24"/>
              </w:rPr>
              <w:t xml:space="preserve"> </w:t>
            </w:r>
            <w:r>
              <w:rPr>
                <w:rFonts w:ascii="宋体" w:hAnsi="宋体" w:eastAsia="宋体" w:cs="宋体"/>
                <w:spacing w:val="16"/>
                <w:sz w:val="24"/>
                <w:szCs w:val="24"/>
              </w:rPr>
              <w:t>，项</w:t>
            </w:r>
            <w:r>
              <w:rPr>
                <w:rFonts w:ascii="宋体" w:hAnsi="宋体" w:eastAsia="宋体" w:cs="宋体"/>
                <w:spacing w:val="-34"/>
                <w:sz w:val="24"/>
                <w:szCs w:val="24"/>
              </w:rPr>
              <w:t xml:space="preserve"> </w:t>
            </w:r>
            <w:r>
              <w:rPr>
                <w:rFonts w:ascii="宋体" w:hAnsi="宋体" w:eastAsia="宋体" w:cs="宋体"/>
                <w:spacing w:val="16"/>
                <w:sz w:val="24"/>
                <w:szCs w:val="24"/>
              </w:rPr>
              <w:t>目建设符合《</w:t>
            </w:r>
            <w:r>
              <w:rPr>
                <w:rFonts w:ascii="宋体" w:hAnsi="宋体" w:eastAsia="宋体" w:cs="宋体"/>
                <w:spacing w:val="-49"/>
                <w:sz w:val="24"/>
                <w:szCs w:val="24"/>
              </w:rPr>
              <w:t xml:space="preserve"> </w:t>
            </w:r>
            <w:r>
              <w:rPr>
                <w:rFonts w:ascii="宋体" w:hAnsi="宋体" w:eastAsia="宋体" w:cs="宋体"/>
                <w:spacing w:val="16"/>
                <w:sz w:val="24"/>
                <w:szCs w:val="24"/>
              </w:rPr>
              <w:t>云南寻甸产业</w:t>
            </w:r>
            <w:r>
              <w:rPr>
                <w:rFonts w:ascii="宋体" w:hAnsi="宋体" w:eastAsia="宋体" w:cs="宋体"/>
                <w:spacing w:val="-60"/>
                <w:sz w:val="24"/>
                <w:szCs w:val="24"/>
              </w:rPr>
              <w:t xml:space="preserve"> </w:t>
            </w:r>
            <w:r>
              <w:rPr>
                <w:rFonts w:ascii="宋体" w:hAnsi="宋体" w:eastAsia="宋体" w:cs="宋体"/>
                <w:spacing w:val="16"/>
                <w:sz w:val="24"/>
                <w:szCs w:val="24"/>
              </w:rPr>
              <w:t>园</w:t>
            </w:r>
            <w:r>
              <w:rPr>
                <w:rFonts w:ascii="宋体" w:hAnsi="宋体" w:eastAsia="宋体" w:cs="宋体"/>
                <w:spacing w:val="-62"/>
                <w:sz w:val="24"/>
                <w:szCs w:val="24"/>
              </w:rPr>
              <w:t xml:space="preserve"> </w:t>
            </w:r>
            <w:r>
              <w:rPr>
                <w:rFonts w:ascii="宋体" w:hAnsi="宋体" w:eastAsia="宋体" w:cs="宋体"/>
                <w:spacing w:val="16"/>
                <w:sz w:val="24"/>
                <w:szCs w:val="24"/>
              </w:rPr>
              <w:t>区总体规划修编</w:t>
            </w:r>
            <w:r>
              <w:rPr>
                <w:rFonts w:ascii="宋体" w:hAnsi="宋体" w:eastAsia="宋体" w:cs="宋体"/>
                <w:spacing w:val="-2"/>
                <w:sz w:val="24"/>
                <w:szCs w:val="24"/>
              </w:rPr>
              <w:t>（</w:t>
            </w:r>
            <w:r>
              <w:rPr>
                <w:rFonts w:ascii="Times New Roman" w:hAnsi="Times New Roman" w:eastAsia="Times New Roman" w:cs="Times New Roman"/>
                <w:spacing w:val="-2"/>
                <w:sz w:val="24"/>
                <w:szCs w:val="24"/>
              </w:rPr>
              <w:t>2021-2035</w:t>
            </w:r>
            <w:r>
              <w:rPr>
                <w:rFonts w:ascii="宋体" w:hAnsi="宋体" w:eastAsia="宋体" w:cs="宋体"/>
                <w:spacing w:val="-2"/>
                <w:sz w:val="24"/>
                <w:szCs w:val="24"/>
              </w:rPr>
              <w:t>）》。</w:t>
            </w:r>
          </w:p>
          <w:p w14:paraId="0A480BBB">
            <w:pPr>
              <w:spacing w:line="359" w:lineRule="auto"/>
              <w:ind w:left="113" w:right="104" w:firstLine="470"/>
              <w:rPr>
                <w:rFonts w:ascii="宋体" w:hAnsi="宋体" w:eastAsia="宋体" w:cs="宋体"/>
                <w:sz w:val="24"/>
                <w:szCs w:val="24"/>
              </w:rPr>
            </w:pPr>
            <w:r>
              <w:rPr>
                <w:rFonts w:ascii="Times New Roman" w:hAnsi="Times New Roman" w:eastAsia="Times New Roman" w:cs="Times New Roman"/>
                <w:b/>
                <w:bCs/>
                <w:sz w:val="24"/>
                <w:szCs w:val="24"/>
              </w:rPr>
              <w:t>2</w:t>
            </w:r>
            <w:r>
              <w:rPr>
                <w:rFonts w:ascii="Times New Roman" w:hAnsi="Times New Roman" w:eastAsia="Times New Roman" w:cs="Times New Roman"/>
                <w:b/>
                <w:bCs/>
                <w:spacing w:val="-30"/>
                <w:sz w:val="24"/>
                <w:szCs w:val="24"/>
              </w:rPr>
              <w:t xml:space="preserve"> </w:t>
            </w:r>
            <w:r>
              <w:rPr>
                <w:rFonts w:ascii="宋体" w:hAnsi="宋体" w:eastAsia="宋体" w:cs="宋体"/>
                <w:b/>
                <w:bCs/>
                <w:sz w:val="24"/>
                <w:szCs w:val="24"/>
              </w:rPr>
              <w:t>、与《云南寻甸产业园区总体规划修编（</w:t>
            </w:r>
            <w:r>
              <w:rPr>
                <w:rFonts w:ascii="Times New Roman" w:hAnsi="Times New Roman" w:eastAsia="Times New Roman" w:cs="Times New Roman"/>
                <w:b/>
                <w:bCs/>
                <w:sz w:val="24"/>
                <w:szCs w:val="24"/>
              </w:rPr>
              <w:t>2021-2035</w:t>
            </w:r>
            <w:r>
              <w:rPr>
                <w:rFonts w:ascii="宋体" w:hAnsi="宋体" w:eastAsia="宋体" w:cs="宋体"/>
                <w:b/>
                <w:bCs/>
                <w:sz w:val="24"/>
                <w:szCs w:val="24"/>
              </w:rPr>
              <w:t>）环境影响报</w:t>
            </w:r>
            <w:r>
              <w:rPr>
                <w:rFonts w:ascii="宋体" w:hAnsi="宋体" w:eastAsia="宋体" w:cs="宋体"/>
                <w:b/>
                <w:bCs/>
                <w:spacing w:val="-3"/>
                <w:sz w:val="24"/>
                <w:szCs w:val="24"/>
              </w:rPr>
              <w:t>告书》及审查意见（昆环审〔</w:t>
            </w:r>
            <w:r>
              <w:rPr>
                <w:rFonts w:ascii="Times New Roman" w:hAnsi="Times New Roman" w:eastAsia="Times New Roman" w:cs="Times New Roman"/>
                <w:b/>
                <w:bCs/>
                <w:spacing w:val="-3"/>
                <w:sz w:val="24"/>
                <w:szCs w:val="24"/>
              </w:rPr>
              <w:t>2023</w:t>
            </w:r>
            <w:r>
              <w:rPr>
                <w:rFonts w:ascii="宋体" w:hAnsi="宋体" w:eastAsia="宋体" w:cs="宋体"/>
                <w:b/>
                <w:bCs/>
                <w:spacing w:val="-3"/>
                <w:sz w:val="24"/>
                <w:szCs w:val="24"/>
              </w:rPr>
              <w:t>〕</w:t>
            </w:r>
            <w:r>
              <w:rPr>
                <w:rFonts w:ascii="Times New Roman" w:hAnsi="Times New Roman" w:eastAsia="Times New Roman" w:cs="Times New Roman"/>
                <w:b/>
                <w:bCs/>
                <w:spacing w:val="-3"/>
                <w:sz w:val="24"/>
                <w:szCs w:val="24"/>
              </w:rPr>
              <w:t>5</w:t>
            </w:r>
            <w:r>
              <w:rPr>
                <w:rFonts w:ascii="Times New Roman" w:hAnsi="Times New Roman" w:eastAsia="Times New Roman" w:cs="Times New Roman"/>
                <w:b/>
                <w:bCs/>
                <w:spacing w:val="31"/>
                <w:sz w:val="24"/>
                <w:szCs w:val="24"/>
              </w:rPr>
              <w:t xml:space="preserve"> </w:t>
            </w:r>
            <w:r>
              <w:rPr>
                <w:rFonts w:ascii="宋体" w:hAnsi="宋体" w:eastAsia="宋体" w:cs="宋体"/>
                <w:b/>
                <w:bCs/>
                <w:spacing w:val="-3"/>
                <w:sz w:val="24"/>
                <w:szCs w:val="24"/>
              </w:rPr>
              <w:t>号）的符合性分析</w:t>
            </w:r>
          </w:p>
          <w:p w14:paraId="654E56D3">
            <w:pPr>
              <w:spacing w:line="219" w:lineRule="auto"/>
              <w:ind w:left="599"/>
              <w:rPr>
                <w:rFonts w:ascii="宋体" w:hAnsi="宋体" w:eastAsia="宋体" w:cs="宋体"/>
                <w:sz w:val="24"/>
                <w:szCs w:val="24"/>
              </w:rPr>
            </w:pPr>
            <w:r>
              <w:rPr>
                <w:rFonts w:ascii="宋体" w:hAnsi="宋体" w:eastAsia="宋体" w:cs="宋体"/>
                <w:b/>
                <w:bCs/>
                <w:spacing w:val="-3"/>
                <w:sz w:val="24"/>
                <w:szCs w:val="24"/>
              </w:rPr>
              <w:t>（</w:t>
            </w:r>
            <w:r>
              <w:rPr>
                <w:rFonts w:ascii="Times New Roman" w:hAnsi="Times New Roman" w:eastAsia="Times New Roman" w:cs="Times New Roman"/>
                <w:b/>
                <w:bCs/>
                <w:spacing w:val="-3"/>
                <w:sz w:val="24"/>
                <w:szCs w:val="24"/>
              </w:rPr>
              <w:t>1</w:t>
            </w:r>
            <w:r>
              <w:rPr>
                <w:rFonts w:ascii="宋体" w:hAnsi="宋体" w:eastAsia="宋体" w:cs="宋体"/>
                <w:b/>
                <w:bCs/>
                <w:spacing w:val="-3"/>
                <w:sz w:val="24"/>
                <w:szCs w:val="24"/>
              </w:rPr>
              <w:t>）主要环境影响减缓措施符合性分析</w:t>
            </w:r>
          </w:p>
          <w:p w14:paraId="382C2C78">
            <w:pPr>
              <w:spacing w:before="181" w:line="358" w:lineRule="auto"/>
              <w:ind w:left="111" w:right="102" w:firstLine="477"/>
              <w:jc w:val="both"/>
              <w:rPr>
                <w:rFonts w:ascii="宋体" w:hAnsi="宋体" w:eastAsia="宋体" w:cs="宋体"/>
                <w:sz w:val="24"/>
                <w:szCs w:val="24"/>
              </w:rPr>
            </w:pPr>
            <w:r>
              <w:rPr>
                <w:rFonts w:ascii="宋体" w:hAnsi="宋体" w:eastAsia="宋体" w:cs="宋体"/>
                <w:spacing w:val="-1"/>
                <w:sz w:val="24"/>
                <w:szCs w:val="24"/>
              </w:rPr>
              <w:t>根据《云南寻甸产业园区总体规划修编（</w:t>
            </w:r>
            <w:r>
              <w:rPr>
                <w:rFonts w:ascii="Times New Roman" w:hAnsi="Times New Roman" w:eastAsia="Times New Roman" w:cs="Times New Roman"/>
                <w:spacing w:val="-1"/>
                <w:sz w:val="24"/>
                <w:szCs w:val="24"/>
              </w:rPr>
              <w:t>2021-2035</w:t>
            </w:r>
            <w:r>
              <w:rPr>
                <w:rFonts w:ascii="宋体" w:hAnsi="宋体" w:eastAsia="宋体" w:cs="宋体"/>
                <w:spacing w:val="-1"/>
                <w:sz w:val="24"/>
                <w:szCs w:val="24"/>
              </w:rPr>
              <w:t>）环境影响报告</w:t>
            </w:r>
            <w:r>
              <w:rPr>
                <w:rFonts w:ascii="宋体" w:hAnsi="宋体" w:eastAsia="宋体" w:cs="宋体"/>
                <w:spacing w:val="1"/>
                <w:sz w:val="24"/>
                <w:szCs w:val="24"/>
              </w:rPr>
              <w:t>书》及其环评审查意见，本项目与园区的主要环境影响减缓措施符合性</w:t>
            </w:r>
            <w:r>
              <w:rPr>
                <w:rFonts w:ascii="宋体" w:hAnsi="宋体" w:eastAsia="宋体" w:cs="宋体"/>
                <w:spacing w:val="-2"/>
                <w:sz w:val="24"/>
                <w:szCs w:val="24"/>
              </w:rPr>
              <w:t>分析如下表所示。</w:t>
            </w:r>
          </w:p>
          <w:p w14:paraId="1B805201">
            <w:pPr>
              <w:spacing w:before="1" w:line="226" w:lineRule="auto"/>
              <w:ind w:left="125"/>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13"/>
                <w:sz w:val="20"/>
                <w:szCs w:val="20"/>
              </w:rPr>
              <w:t xml:space="preserve"> </w:t>
            </w:r>
            <w:r>
              <w:rPr>
                <w:rFonts w:ascii="Times New Roman" w:hAnsi="Times New Roman" w:eastAsia="Times New Roman" w:cs="Times New Roman"/>
                <w:b/>
                <w:bCs/>
                <w:spacing w:val="6"/>
                <w:sz w:val="20"/>
                <w:szCs w:val="20"/>
              </w:rPr>
              <w:t xml:space="preserve">1-2  </w:t>
            </w:r>
            <w:r>
              <w:rPr>
                <w:rFonts w:ascii="宋体" w:hAnsi="宋体" w:eastAsia="宋体" w:cs="宋体"/>
                <w:b/>
                <w:bCs/>
                <w:spacing w:val="6"/>
                <w:sz w:val="20"/>
                <w:szCs w:val="20"/>
              </w:rPr>
              <w:t>项目与《云南寻甸产业园区总体规划修编（</w:t>
            </w:r>
            <w:r>
              <w:rPr>
                <w:rFonts w:ascii="Times New Roman" w:hAnsi="Times New Roman" w:eastAsia="Times New Roman" w:cs="Times New Roman"/>
                <w:b/>
                <w:bCs/>
                <w:spacing w:val="6"/>
                <w:sz w:val="20"/>
                <w:szCs w:val="20"/>
              </w:rPr>
              <w:t>2021-2035</w:t>
            </w:r>
            <w:r>
              <w:rPr>
                <w:rFonts w:ascii="宋体" w:hAnsi="宋体" w:eastAsia="宋体" w:cs="宋体"/>
                <w:b/>
                <w:bCs/>
                <w:spacing w:val="6"/>
                <w:sz w:val="20"/>
                <w:szCs w:val="20"/>
              </w:rPr>
              <w:t>）环境影响报告书》</w:t>
            </w:r>
          </w:p>
          <w:p w14:paraId="33424493">
            <w:pPr>
              <w:spacing w:before="26" w:line="207" w:lineRule="auto"/>
              <w:ind w:left="2275"/>
              <w:rPr>
                <w:rFonts w:ascii="宋体" w:hAnsi="宋体" w:eastAsia="宋体" w:cs="宋体"/>
                <w:sz w:val="20"/>
                <w:szCs w:val="20"/>
              </w:rPr>
            </w:pPr>
            <w:r>
              <w:rPr>
                <w:rFonts w:ascii="宋体" w:hAnsi="宋体" w:eastAsia="宋体" w:cs="宋体"/>
                <w:b/>
                <w:bCs/>
                <w:spacing w:val="8"/>
                <w:sz w:val="20"/>
                <w:szCs w:val="20"/>
              </w:rPr>
              <w:t>及其环评审查意见的相符性分析表</w:t>
            </w:r>
          </w:p>
        </w:tc>
      </w:tr>
      <w:tr w14:paraId="5C5C0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1161" w:type="dxa"/>
            <w:vMerge w:val="continue"/>
            <w:tcBorders>
              <w:top w:val="nil"/>
              <w:left w:val="single" w:color="000000" w:sz="6" w:space="0"/>
              <w:bottom w:val="nil"/>
            </w:tcBorders>
            <w:vAlign w:val="top"/>
          </w:tcPr>
          <w:p w14:paraId="4F002CF0">
            <w:pPr>
              <w:rPr>
                <w:rFonts w:ascii="Arial"/>
                <w:sz w:val="21"/>
              </w:rPr>
            </w:pPr>
          </w:p>
        </w:tc>
        <w:tc>
          <w:tcPr>
            <w:tcW w:w="114" w:type="dxa"/>
            <w:tcBorders>
              <w:top w:val="nil"/>
              <w:bottom w:val="nil"/>
            </w:tcBorders>
            <w:vAlign w:val="top"/>
          </w:tcPr>
          <w:p w14:paraId="55190B7E">
            <w:pPr>
              <w:rPr>
                <w:rFonts w:ascii="Arial"/>
                <w:sz w:val="21"/>
              </w:rPr>
            </w:pPr>
          </w:p>
        </w:tc>
        <w:tc>
          <w:tcPr>
            <w:tcW w:w="631" w:type="dxa"/>
            <w:textDirection w:val="tbRlV"/>
            <w:vAlign w:val="top"/>
          </w:tcPr>
          <w:p w14:paraId="49F1E18F">
            <w:pPr>
              <w:spacing w:before="215" w:line="216" w:lineRule="auto"/>
              <w:ind w:left="245"/>
              <w:rPr>
                <w:rFonts w:ascii="宋体" w:hAnsi="宋体" w:eastAsia="宋体" w:cs="宋体"/>
                <w:sz w:val="20"/>
                <w:szCs w:val="20"/>
              </w:rPr>
            </w:pPr>
            <w:r>
              <w:rPr>
                <w:rFonts w:ascii="宋体" w:hAnsi="宋体" w:eastAsia="宋体" w:cs="宋体"/>
                <w:b/>
                <w:bCs/>
                <w:spacing w:val="6"/>
                <w:sz w:val="20"/>
                <w:szCs w:val="20"/>
              </w:rPr>
              <w:t>类</w:t>
            </w:r>
            <w:r>
              <w:rPr>
                <w:rFonts w:ascii="宋体" w:hAnsi="宋体" w:eastAsia="宋体" w:cs="宋体"/>
                <w:spacing w:val="99"/>
                <w:sz w:val="20"/>
                <w:szCs w:val="20"/>
              </w:rPr>
              <w:t xml:space="preserve"> </w:t>
            </w:r>
            <w:r>
              <w:rPr>
                <w:rFonts w:ascii="宋体" w:hAnsi="宋体" w:eastAsia="宋体" w:cs="宋体"/>
                <w:b/>
                <w:bCs/>
                <w:spacing w:val="6"/>
                <w:sz w:val="20"/>
                <w:szCs w:val="20"/>
              </w:rPr>
              <w:t>别</w:t>
            </w:r>
          </w:p>
        </w:tc>
        <w:tc>
          <w:tcPr>
            <w:tcW w:w="4051" w:type="dxa"/>
            <w:vAlign w:val="top"/>
          </w:tcPr>
          <w:p w14:paraId="36DD3382">
            <w:pPr>
              <w:spacing w:line="384" w:lineRule="auto"/>
              <w:rPr>
                <w:rFonts w:ascii="Arial"/>
                <w:sz w:val="21"/>
              </w:rPr>
            </w:pPr>
          </w:p>
          <w:p w14:paraId="2F4186C6">
            <w:pPr>
              <w:spacing w:before="65" w:line="228" w:lineRule="auto"/>
              <w:ind w:left="1633"/>
              <w:rPr>
                <w:rFonts w:ascii="宋体" w:hAnsi="宋体" w:eastAsia="宋体" w:cs="宋体"/>
                <w:sz w:val="20"/>
                <w:szCs w:val="20"/>
              </w:rPr>
            </w:pPr>
            <w:r>
              <w:rPr>
                <w:rFonts w:ascii="宋体" w:hAnsi="宋体" w:eastAsia="宋体" w:cs="宋体"/>
                <w:b/>
                <w:bCs/>
                <w:sz w:val="20"/>
                <w:szCs w:val="20"/>
              </w:rPr>
              <w:t>内容要求</w:t>
            </w:r>
          </w:p>
        </w:tc>
        <w:tc>
          <w:tcPr>
            <w:tcW w:w="2163" w:type="dxa"/>
            <w:vAlign w:val="top"/>
          </w:tcPr>
          <w:p w14:paraId="774F9046">
            <w:pPr>
              <w:spacing w:line="384" w:lineRule="auto"/>
              <w:rPr>
                <w:rFonts w:ascii="Arial"/>
                <w:sz w:val="21"/>
              </w:rPr>
            </w:pPr>
          </w:p>
          <w:p w14:paraId="51775760">
            <w:pPr>
              <w:spacing w:before="65" w:line="228" w:lineRule="auto"/>
              <w:ind w:left="462"/>
              <w:rPr>
                <w:rFonts w:ascii="宋体" w:hAnsi="宋体" w:eastAsia="宋体" w:cs="宋体"/>
                <w:sz w:val="20"/>
                <w:szCs w:val="20"/>
              </w:rPr>
            </w:pPr>
            <w:r>
              <w:rPr>
                <w:rFonts w:ascii="宋体" w:hAnsi="宋体" w:eastAsia="宋体" w:cs="宋体"/>
                <w:b/>
                <w:bCs/>
                <w:spacing w:val="6"/>
                <w:sz w:val="20"/>
                <w:szCs w:val="20"/>
              </w:rPr>
              <w:t>项目建设内容</w:t>
            </w:r>
          </w:p>
        </w:tc>
        <w:tc>
          <w:tcPr>
            <w:tcW w:w="628" w:type="dxa"/>
            <w:textDirection w:val="tbRlV"/>
            <w:vAlign w:val="top"/>
          </w:tcPr>
          <w:p w14:paraId="01EE1930">
            <w:pPr>
              <w:spacing w:before="201" w:line="215" w:lineRule="auto"/>
              <w:ind w:left="43"/>
              <w:rPr>
                <w:rFonts w:ascii="宋体" w:hAnsi="宋体" w:eastAsia="宋体" w:cs="宋体"/>
                <w:sz w:val="20"/>
                <w:szCs w:val="20"/>
              </w:rPr>
            </w:pPr>
            <w:r>
              <w:rPr>
                <w:rFonts w:ascii="宋体" w:hAnsi="宋体" w:eastAsia="宋体" w:cs="宋体"/>
                <w:b/>
                <w:bCs/>
                <w:spacing w:val="6"/>
                <w:sz w:val="20"/>
                <w:szCs w:val="20"/>
              </w:rPr>
              <w:t>符</w:t>
            </w:r>
            <w:r>
              <w:rPr>
                <w:rFonts w:ascii="宋体" w:hAnsi="宋体" w:eastAsia="宋体" w:cs="宋体"/>
                <w:spacing w:val="100"/>
                <w:sz w:val="20"/>
                <w:szCs w:val="20"/>
              </w:rPr>
              <w:t xml:space="preserve"> </w:t>
            </w:r>
            <w:r>
              <w:rPr>
                <w:rFonts w:ascii="宋体" w:hAnsi="宋体" w:eastAsia="宋体" w:cs="宋体"/>
                <w:b/>
                <w:bCs/>
                <w:spacing w:val="6"/>
                <w:sz w:val="20"/>
                <w:szCs w:val="20"/>
              </w:rPr>
              <w:t>合</w:t>
            </w:r>
            <w:r>
              <w:rPr>
                <w:rFonts w:ascii="宋体" w:hAnsi="宋体" w:eastAsia="宋体" w:cs="宋体"/>
                <w:spacing w:val="99"/>
                <w:sz w:val="20"/>
                <w:szCs w:val="20"/>
              </w:rPr>
              <w:t xml:space="preserve"> </w:t>
            </w:r>
            <w:r>
              <w:rPr>
                <w:rFonts w:ascii="宋体" w:hAnsi="宋体" w:eastAsia="宋体" w:cs="宋体"/>
                <w:b/>
                <w:bCs/>
                <w:spacing w:val="6"/>
                <w:sz w:val="20"/>
                <w:szCs w:val="20"/>
              </w:rPr>
              <w:t>性</w:t>
            </w:r>
          </w:p>
        </w:tc>
        <w:tc>
          <w:tcPr>
            <w:tcW w:w="124" w:type="dxa"/>
            <w:tcBorders>
              <w:top w:val="nil"/>
              <w:bottom w:val="nil"/>
              <w:right w:val="single" w:color="000000" w:sz="6" w:space="0"/>
            </w:tcBorders>
            <w:vAlign w:val="top"/>
          </w:tcPr>
          <w:p w14:paraId="0F9690BE">
            <w:pPr>
              <w:rPr>
                <w:rFonts w:ascii="Arial"/>
                <w:sz w:val="21"/>
              </w:rPr>
            </w:pPr>
          </w:p>
        </w:tc>
      </w:tr>
      <w:tr w14:paraId="0D13D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2" w:hRule="atLeast"/>
        </w:trPr>
        <w:tc>
          <w:tcPr>
            <w:tcW w:w="1161" w:type="dxa"/>
            <w:vMerge w:val="continue"/>
            <w:tcBorders>
              <w:top w:val="nil"/>
              <w:left w:val="single" w:color="000000" w:sz="6" w:space="0"/>
              <w:bottom w:val="single" w:color="000000" w:sz="6" w:space="0"/>
            </w:tcBorders>
            <w:vAlign w:val="top"/>
          </w:tcPr>
          <w:p w14:paraId="5C61206A">
            <w:pPr>
              <w:rPr>
                <w:rFonts w:ascii="Arial"/>
                <w:sz w:val="21"/>
              </w:rPr>
            </w:pPr>
          </w:p>
        </w:tc>
        <w:tc>
          <w:tcPr>
            <w:tcW w:w="114" w:type="dxa"/>
            <w:tcBorders>
              <w:top w:val="nil"/>
              <w:bottom w:val="single" w:color="000000" w:sz="6" w:space="0"/>
            </w:tcBorders>
            <w:vAlign w:val="top"/>
          </w:tcPr>
          <w:p w14:paraId="65C9A2DF">
            <w:pPr>
              <w:rPr>
                <w:rFonts w:ascii="Arial"/>
                <w:sz w:val="21"/>
              </w:rPr>
            </w:pPr>
          </w:p>
        </w:tc>
        <w:tc>
          <w:tcPr>
            <w:tcW w:w="631" w:type="dxa"/>
            <w:tcBorders>
              <w:bottom w:val="single" w:color="000000" w:sz="6" w:space="0"/>
            </w:tcBorders>
            <w:textDirection w:val="tbRlV"/>
            <w:vAlign w:val="top"/>
          </w:tcPr>
          <w:p w14:paraId="31179FC1">
            <w:pPr>
              <w:spacing w:before="213" w:line="216" w:lineRule="auto"/>
              <w:ind w:left="45"/>
              <w:rPr>
                <w:rFonts w:ascii="宋体" w:hAnsi="宋体" w:eastAsia="宋体" w:cs="宋体"/>
                <w:sz w:val="20"/>
                <w:szCs w:val="20"/>
              </w:rPr>
            </w:pPr>
            <w:r>
              <w:rPr>
                <w:rFonts w:ascii="宋体" w:hAnsi="宋体" w:eastAsia="宋体" w:cs="宋体"/>
                <w:spacing w:val="8"/>
                <w:sz w:val="20"/>
                <w:szCs w:val="20"/>
              </w:rPr>
              <w:t>水</w:t>
            </w:r>
            <w:r>
              <w:rPr>
                <w:rFonts w:ascii="宋体" w:hAnsi="宋体" w:eastAsia="宋体" w:cs="宋体"/>
                <w:spacing w:val="100"/>
                <w:sz w:val="20"/>
                <w:szCs w:val="20"/>
              </w:rPr>
              <w:t xml:space="preserve"> </w:t>
            </w:r>
            <w:r>
              <w:rPr>
                <w:rFonts w:ascii="宋体" w:hAnsi="宋体" w:eastAsia="宋体" w:cs="宋体"/>
                <w:spacing w:val="8"/>
                <w:sz w:val="20"/>
                <w:szCs w:val="20"/>
              </w:rPr>
              <w:t>环</w:t>
            </w:r>
            <w:r>
              <w:rPr>
                <w:rFonts w:ascii="宋体" w:hAnsi="宋体" w:eastAsia="宋体" w:cs="宋体"/>
                <w:spacing w:val="99"/>
                <w:sz w:val="20"/>
                <w:szCs w:val="20"/>
              </w:rPr>
              <w:t xml:space="preserve"> </w:t>
            </w:r>
            <w:r>
              <w:rPr>
                <w:rFonts w:ascii="宋体" w:hAnsi="宋体" w:eastAsia="宋体" w:cs="宋体"/>
                <w:spacing w:val="8"/>
                <w:sz w:val="20"/>
                <w:szCs w:val="20"/>
              </w:rPr>
              <w:t>境</w:t>
            </w:r>
          </w:p>
        </w:tc>
        <w:tc>
          <w:tcPr>
            <w:tcW w:w="4051" w:type="dxa"/>
            <w:tcBorders>
              <w:bottom w:val="single" w:color="000000" w:sz="6" w:space="0"/>
            </w:tcBorders>
            <w:vAlign w:val="top"/>
          </w:tcPr>
          <w:p w14:paraId="712CCA59">
            <w:pPr>
              <w:spacing w:before="45" w:line="365" w:lineRule="auto"/>
              <w:ind w:left="108" w:right="105" w:hanging="1"/>
              <w:jc w:val="both"/>
              <w:rPr>
                <w:rFonts w:ascii="宋体" w:hAnsi="宋体" w:eastAsia="宋体" w:cs="宋体"/>
                <w:sz w:val="20"/>
                <w:szCs w:val="20"/>
              </w:rPr>
            </w:pPr>
            <w:r>
              <w:rPr>
                <w:rFonts w:ascii="宋体" w:hAnsi="宋体" w:eastAsia="宋体" w:cs="宋体"/>
                <w:spacing w:val="9"/>
                <w:sz w:val="20"/>
                <w:szCs w:val="20"/>
              </w:rPr>
              <w:t>①根据《规划修编》实施对水环境的影响</w:t>
            </w:r>
            <w:r>
              <w:rPr>
                <w:rFonts w:ascii="宋体" w:hAnsi="宋体" w:eastAsia="宋体" w:cs="宋体"/>
                <w:spacing w:val="6"/>
                <w:sz w:val="20"/>
                <w:szCs w:val="20"/>
              </w:rPr>
              <w:t>分析，规划建设覆盖规划区范围的</w:t>
            </w:r>
            <w:r>
              <w:rPr>
                <w:rFonts w:ascii="Times New Roman" w:hAnsi="Times New Roman" w:eastAsia="Times New Roman" w:cs="Times New Roman"/>
                <w:spacing w:val="6"/>
                <w:sz w:val="20"/>
                <w:szCs w:val="20"/>
              </w:rPr>
              <w:t>“</w:t>
            </w:r>
            <w:r>
              <w:rPr>
                <w:rFonts w:ascii="Times New Roman" w:hAnsi="Times New Roman" w:eastAsia="Times New Roman" w:cs="Times New Roman"/>
                <w:spacing w:val="-23"/>
                <w:sz w:val="20"/>
                <w:szCs w:val="20"/>
              </w:rPr>
              <w:t xml:space="preserve"> </w:t>
            </w:r>
            <w:r>
              <w:rPr>
                <w:rFonts w:ascii="宋体" w:hAnsi="宋体" w:eastAsia="宋体" w:cs="宋体"/>
                <w:spacing w:val="6"/>
                <w:sz w:val="20"/>
                <w:szCs w:val="20"/>
              </w:rPr>
              <w:t>雨污分</w:t>
            </w:r>
            <w:r>
              <w:rPr>
                <w:rFonts w:ascii="宋体" w:hAnsi="宋体" w:eastAsia="宋体" w:cs="宋体"/>
                <w:spacing w:val="7"/>
                <w:sz w:val="20"/>
                <w:szCs w:val="20"/>
              </w:rPr>
              <w:t>流</w:t>
            </w:r>
            <w:r>
              <w:rPr>
                <w:rFonts w:ascii="Times New Roman" w:hAnsi="Times New Roman" w:eastAsia="Times New Roman" w:cs="Times New Roman"/>
                <w:spacing w:val="7"/>
                <w:sz w:val="20"/>
                <w:szCs w:val="20"/>
              </w:rPr>
              <w:t>”</w:t>
            </w:r>
            <w:r>
              <w:rPr>
                <w:rFonts w:ascii="宋体" w:hAnsi="宋体" w:eastAsia="宋体" w:cs="宋体"/>
                <w:spacing w:val="7"/>
                <w:sz w:val="20"/>
                <w:szCs w:val="20"/>
              </w:rPr>
              <w:t>排水体制。各煤、磷、盐化工等企业内</w:t>
            </w:r>
          </w:p>
        </w:tc>
        <w:tc>
          <w:tcPr>
            <w:tcW w:w="2163" w:type="dxa"/>
            <w:tcBorders>
              <w:bottom w:val="single" w:color="000000" w:sz="6" w:space="0"/>
            </w:tcBorders>
            <w:vAlign w:val="top"/>
          </w:tcPr>
          <w:p w14:paraId="3A58BDCB">
            <w:pPr>
              <w:spacing w:before="45" w:line="365" w:lineRule="auto"/>
              <w:ind w:left="140" w:right="161" w:hanging="8"/>
              <w:jc w:val="both"/>
              <w:rPr>
                <w:rFonts w:ascii="宋体" w:hAnsi="宋体" w:eastAsia="宋体" w:cs="宋体"/>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0"/>
                <w:sz w:val="20"/>
                <w:szCs w:val="20"/>
              </w:rPr>
              <w:t xml:space="preserve"> </w:t>
            </w:r>
            <w:r>
              <w:rPr>
                <w:rFonts w:ascii="宋体" w:hAnsi="宋体" w:eastAsia="宋体" w:cs="宋体"/>
                <w:spacing w:val="3"/>
                <w:sz w:val="20"/>
                <w:szCs w:val="20"/>
              </w:rPr>
              <w:t>、本项目为扩建项</w:t>
            </w:r>
            <w:r>
              <w:rPr>
                <w:rFonts w:ascii="宋体" w:hAnsi="宋体" w:eastAsia="宋体" w:cs="宋体"/>
                <w:spacing w:val="6"/>
                <w:sz w:val="20"/>
                <w:szCs w:val="20"/>
              </w:rPr>
              <w:t>目，在园区已建厂房内生产，实施雨污分</w:t>
            </w:r>
          </w:p>
        </w:tc>
        <w:tc>
          <w:tcPr>
            <w:tcW w:w="628" w:type="dxa"/>
            <w:tcBorders>
              <w:bottom w:val="single" w:color="000000" w:sz="6" w:space="0"/>
            </w:tcBorders>
            <w:textDirection w:val="tbRlV"/>
            <w:vAlign w:val="top"/>
          </w:tcPr>
          <w:p w14:paraId="54939AC5">
            <w:pPr>
              <w:spacing w:before="201" w:line="215" w:lineRule="auto"/>
              <w:ind w:left="247"/>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4" w:type="dxa"/>
            <w:tcBorders>
              <w:top w:val="nil"/>
              <w:bottom w:val="single" w:color="000000" w:sz="6" w:space="0"/>
              <w:right w:val="single" w:color="000000" w:sz="6" w:space="0"/>
            </w:tcBorders>
            <w:vAlign w:val="top"/>
          </w:tcPr>
          <w:p w14:paraId="4066E3E0">
            <w:pPr>
              <w:rPr>
                <w:rFonts w:ascii="Arial"/>
                <w:sz w:val="21"/>
              </w:rPr>
            </w:pPr>
          </w:p>
        </w:tc>
      </w:tr>
    </w:tbl>
    <w:p w14:paraId="3E261E7B">
      <w:pPr>
        <w:pStyle w:val="2"/>
      </w:pPr>
    </w:p>
    <w:p w14:paraId="4F666C29">
      <w:pPr>
        <w:sectPr>
          <w:footerReference r:id="rId11" w:type="default"/>
          <w:pgSz w:w="11906" w:h="16839"/>
          <w:pgMar w:top="400" w:right="1509" w:bottom="1329" w:left="1509" w:header="0" w:footer="1113" w:gutter="0"/>
          <w:cols w:space="720" w:num="1"/>
        </w:sectPr>
      </w:pPr>
    </w:p>
    <w:p w14:paraId="47CA37EB">
      <w:pPr>
        <w:spacing w:before="19"/>
      </w:pPr>
    </w:p>
    <w:p w14:paraId="241C8790">
      <w:pPr>
        <w:spacing w:before="19"/>
      </w:pPr>
    </w:p>
    <w:p w14:paraId="7BCD4B8B">
      <w:pPr>
        <w:spacing w:before="19"/>
      </w:pPr>
    </w:p>
    <w:p w14:paraId="31C0BFA8">
      <w:pPr>
        <w:spacing w:before="18"/>
      </w:pPr>
    </w:p>
    <w:p w14:paraId="22BE8219">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4"/>
        <w:gridCol w:w="631"/>
        <w:gridCol w:w="4051"/>
        <w:gridCol w:w="2163"/>
        <w:gridCol w:w="628"/>
        <w:gridCol w:w="124"/>
      </w:tblGrid>
      <w:tr w14:paraId="38AE2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2" w:hRule="atLeast"/>
        </w:trPr>
        <w:tc>
          <w:tcPr>
            <w:tcW w:w="1161" w:type="dxa"/>
            <w:vMerge w:val="restart"/>
            <w:tcBorders>
              <w:top w:val="single" w:color="000000" w:sz="6" w:space="0"/>
              <w:left w:val="single" w:color="000000" w:sz="6" w:space="0"/>
              <w:bottom w:val="nil"/>
            </w:tcBorders>
            <w:vAlign w:val="top"/>
          </w:tcPr>
          <w:p w14:paraId="3B5C2CD4">
            <w:pPr>
              <w:rPr>
                <w:rFonts w:ascii="Arial"/>
                <w:sz w:val="21"/>
              </w:rPr>
            </w:pPr>
          </w:p>
        </w:tc>
        <w:tc>
          <w:tcPr>
            <w:tcW w:w="114" w:type="dxa"/>
            <w:tcBorders>
              <w:top w:val="single" w:color="000000" w:sz="6" w:space="0"/>
              <w:bottom w:val="nil"/>
            </w:tcBorders>
            <w:vAlign w:val="top"/>
          </w:tcPr>
          <w:p w14:paraId="34E97086">
            <w:pPr>
              <w:rPr>
                <w:rFonts w:ascii="Arial"/>
                <w:sz w:val="21"/>
              </w:rPr>
            </w:pPr>
          </w:p>
        </w:tc>
        <w:tc>
          <w:tcPr>
            <w:tcW w:w="631" w:type="dxa"/>
            <w:textDirection w:val="tbRlV"/>
            <w:vAlign w:val="top"/>
          </w:tcPr>
          <w:p w14:paraId="31DA20D2">
            <w:pPr>
              <w:spacing w:before="214" w:line="216" w:lineRule="auto"/>
              <w:ind w:left="37"/>
              <w:rPr>
                <w:rFonts w:ascii="宋体" w:hAnsi="宋体" w:eastAsia="宋体" w:cs="宋体"/>
                <w:sz w:val="20"/>
                <w:szCs w:val="20"/>
              </w:rPr>
            </w:pPr>
            <w:r>
              <w:rPr>
                <w:rFonts w:ascii="宋体" w:hAnsi="宋体" w:eastAsia="宋体" w:cs="宋体"/>
                <w:spacing w:val="8"/>
                <w:sz w:val="20"/>
                <w:szCs w:val="20"/>
              </w:rPr>
              <w:t>影</w:t>
            </w:r>
            <w:r>
              <w:rPr>
                <w:rFonts w:ascii="宋体" w:hAnsi="宋体" w:eastAsia="宋体" w:cs="宋体"/>
                <w:spacing w:val="102"/>
                <w:sz w:val="20"/>
                <w:szCs w:val="20"/>
              </w:rPr>
              <w:t xml:space="preserve"> </w:t>
            </w:r>
            <w:r>
              <w:rPr>
                <w:rFonts w:ascii="宋体" w:hAnsi="宋体" w:eastAsia="宋体" w:cs="宋体"/>
                <w:spacing w:val="8"/>
                <w:sz w:val="20"/>
                <w:szCs w:val="20"/>
              </w:rPr>
              <w:t>响</w:t>
            </w:r>
            <w:r>
              <w:rPr>
                <w:rFonts w:ascii="宋体" w:hAnsi="宋体" w:eastAsia="宋体" w:cs="宋体"/>
                <w:spacing w:val="100"/>
                <w:sz w:val="20"/>
                <w:szCs w:val="20"/>
              </w:rPr>
              <w:t xml:space="preserve"> </w:t>
            </w:r>
            <w:r>
              <w:rPr>
                <w:rFonts w:ascii="宋体" w:hAnsi="宋体" w:eastAsia="宋体" w:cs="宋体"/>
                <w:spacing w:val="8"/>
                <w:sz w:val="20"/>
                <w:szCs w:val="20"/>
              </w:rPr>
              <w:t>减</w:t>
            </w:r>
            <w:r>
              <w:rPr>
                <w:rFonts w:ascii="宋体" w:hAnsi="宋体" w:eastAsia="宋体" w:cs="宋体"/>
                <w:spacing w:val="99"/>
                <w:sz w:val="20"/>
                <w:szCs w:val="20"/>
              </w:rPr>
              <w:t xml:space="preserve"> </w:t>
            </w:r>
            <w:r>
              <w:rPr>
                <w:rFonts w:ascii="宋体" w:hAnsi="宋体" w:eastAsia="宋体" w:cs="宋体"/>
                <w:spacing w:val="8"/>
                <w:sz w:val="20"/>
                <w:szCs w:val="20"/>
              </w:rPr>
              <w:t>缓</w:t>
            </w:r>
            <w:r>
              <w:rPr>
                <w:rFonts w:ascii="宋体" w:hAnsi="宋体" w:eastAsia="宋体" w:cs="宋体"/>
                <w:spacing w:val="99"/>
                <w:sz w:val="20"/>
                <w:szCs w:val="20"/>
              </w:rPr>
              <w:t xml:space="preserve"> </w:t>
            </w:r>
            <w:r>
              <w:rPr>
                <w:rFonts w:ascii="宋体" w:hAnsi="宋体" w:eastAsia="宋体" w:cs="宋体"/>
                <w:spacing w:val="8"/>
                <w:sz w:val="20"/>
                <w:szCs w:val="20"/>
              </w:rPr>
              <w:t>措</w:t>
            </w:r>
            <w:r>
              <w:rPr>
                <w:rFonts w:ascii="宋体" w:hAnsi="宋体" w:eastAsia="宋体" w:cs="宋体"/>
                <w:spacing w:val="99"/>
                <w:sz w:val="20"/>
                <w:szCs w:val="20"/>
              </w:rPr>
              <w:t xml:space="preserve"> </w:t>
            </w:r>
            <w:r>
              <w:rPr>
                <w:rFonts w:ascii="宋体" w:hAnsi="宋体" w:eastAsia="宋体" w:cs="宋体"/>
                <w:spacing w:val="8"/>
                <w:sz w:val="20"/>
                <w:szCs w:val="20"/>
              </w:rPr>
              <w:t>施</w:t>
            </w:r>
          </w:p>
        </w:tc>
        <w:tc>
          <w:tcPr>
            <w:tcW w:w="4051" w:type="dxa"/>
            <w:vAlign w:val="top"/>
          </w:tcPr>
          <w:p w14:paraId="1743A715">
            <w:pPr>
              <w:spacing w:before="37" w:line="377" w:lineRule="auto"/>
              <w:ind w:left="110" w:right="168"/>
              <w:jc w:val="both"/>
              <w:rPr>
                <w:rFonts w:ascii="宋体" w:hAnsi="宋体" w:eastAsia="宋体" w:cs="宋体"/>
                <w:sz w:val="20"/>
                <w:szCs w:val="20"/>
              </w:rPr>
            </w:pPr>
            <w:r>
              <w:rPr>
                <w:rFonts w:ascii="宋体" w:hAnsi="宋体" w:eastAsia="宋体" w:cs="宋体"/>
                <w:spacing w:val="9"/>
                <w:sz w:val="20"/>
                <w:szCs w:val="20"/>
              </w:rPr>
              <w:t>部自行收集初期雨水进行处理后回用，园区雨水经过雨水管网收集后汇入附近地表水体；金所组团现状煤磷盐化工企业及废水实现零排放企业按现状处置方式，即由企业处理达标后循环回用或经已建的排污</w:t>
            </w:r>
            <w:r>
              <w:rPr>
                <w:rFonts w:ascii="宋体" w:hAnsi="宋体" w:eastAsia="宋体" w:cs="宋体"/>
                <w:spacing w:val="7"/>
                <w:sz w:val="20"/>
                <w:szCs w:val="20"/>
              </w:rPr>
              <w:t>管道排至摩洛河。</w:t>
            </w:r>
          </w:p>
          <w:p w14:paraId="17F478AA">
            <w:pPr>
              <w:spacing w:before="7" w:line="376" w:lineRule="auto"/>
              <w:ind w:left="106" w:right="51"/>
              <w:rPr>
                <w:rFonts w:ascii="宋体" w:hAnsi="宋体" w:eastAsia="宋体" w:cs="宋体"/>
                <w:sz w:val="20"/>
                <w:szCs w:val="20"/>
              </w:rPr>
            </w:pPr>
            <w:r>
              <w:rPr>
                <w:rFonts w:ascii="宋体" w:hAnsi="宋体" w:eastAsia="宋体" w:cs="宋体"/>
                <w:spacing w:val="9"/>
                <w:sz w:val="20"/>
                <w:szCs w:val="20"/>
              </w:rPr>
              <w:t>②园区严格按照规划要求，建设污水集中</w:t>
            </w:r>
            <w:r>
              <w:rPr>
                <w:rFonts w:ascii="宋体" w:hAnsi="宋体" w:eastAsia="宋体" w:cs="宋体"/>
                <w:spacing w:val="4"/>
                <w:sz w:val="20"/>
                <w:szCs w:val="20"/>
              </w:rPr>
              <w:t>和分散处理设施，提高园区水资源利用率，</w:t>
            </w:r>
            <w:r>
              <w:rPr>
                <w:rFonts w:ascii="宋体" w:hAnsi="宋体" w:eastAsia="宋体" w:cs="宋体"/>
                <w:spacing w:val="9"/>
                <w:sz w:val="20"/>
                <w:szCs w:val="20"/>
              </w:rPr>
              <w:t>减少污水排放。各组团后续入驻企业废水严格按照规划排水方案执行；园区内企事业单位等应增加再生水回用接口。企业内</w:t>
            </w:r>
            <w:r>
              <w:rPr>
                <w:rFonts w:ascii="宋体" w:hAnsi="宋体" w:eastAsia="宋体" w:cs="宋体"/>
                <w:spacing w:val="4"/>
                <w:sz w:val="20"/>
                <w:szCs w:val="20"/>
              </w:rPr>
              <w:t>部循环利用</w:t>
            </w:r>
            <w:r>
              <w:rPr>
                <w:rFonts w:ascii="Times New Roman" w:hAnsi="Times New Roman" w:eastAsia="Times New Roman" w:cs="Times New Roman"/>
                <w:spacing w:val="4"/>
                <w:sz w:val="20"/>
                <w:szCs w:val="20"/>
              </w:rPr>
              <w:t>+</w:t>
            </w:r>
            <w:r>
              <w:rPr>
                <w:rFonts w:ascii="Times New Roman" w:hAnsi="Times New Roman" w:eastAsia="Times New Roman" w:cs="Times New Roman"/>
                <w:spacing w:val="-7"/>
                <w:sz w:val="20"/>
                <w:szCs w:val="20"/>
              </w:rPr>
              <w:t xml:space="preserve"> </w:t>
            </w:r>
            <w:r>
              <w:rPr>
                <w:rFonts w:ascii="宋体" w:hAnsi="宋体" w:eastAsia="宋体" w:cs="宋体"/>
                <w:spacing w:val="4"/>
                <w:sz w:val="20"/>
                <w:szCs w:val="20"/>
              </w:rPr>
              <w:t>园区调配两级保障措施，按分</w:t>
            </w:r>
            <w:r>
              <w:rPr>
                <w:rFonts w:ascii="宋体" w:hAnsi="宋体" w:eastAsia="宋体" w:cs="宋体"/>
                <w:spacing w:val="8"/>
                <w:sz w:val="20"/>
                <w:szCs w:val="20"/>
              </w:rPr>
              <w:t>期发展要求分别建设污水处理回用系统，</w:t>
            </w:r>
          </w:p>
          <w:p w14:paraId="29706773">
            <w:pPr>
              <w:spacing w:before="1" w:line="377" w:lineRule="auto"/>
              <w:ind w:left="109" w:right="168"/>
              <w:rPr>
                <w:rFonts w:ascii="宋体" w:hAnsi="宋体" w:eastAsia="宋体" w:cs="宋体"/>
                <w:sz w:val="20"/>
                <w:szCs w:val="20"/>
              </w:rPr>
            </w:pPr>
            <w:r>
              <w:rPr>
                <w:rFonts w:ascii="宋体" w:hAnsi="宋体" w:eastAsia="宋体" w:cs="宋体"/>
                <w:spacing w:val="9"/>
                <w:sz w:val="20"/>
                <w:szCs w:val="20"/>
              </w:rPr>
              <w:t>污水处理回用系统采取分质处理分级回用方式，回用于各类城市杂用水和工业补水</w:t>
            </w:r>
            <w:r>
              <w:rPr>
                <w:rFonts w:ascii="宋体" w:hAnsi="宋体" w:eastAsia="宋体" w:cs="宋体"/>
                <w:sz w:val="20"/>
                <w:szCs w:val="20"/>
              </w:rPr>
              <w:t>等；</w:t>
            </w:r>
          </w:p>
          <w:p w14:paraId="1F2F5BBA">
            <w:pPr>
              <w:spacing w:before="1" w:line="376" w:lineRule="auto"/>
              <w:ind w:left="107" w:right="51" w:hanging="1"/>
              <w:rPr>
                <w:rFonts w:ascii="宋体" w:hAnsi="宋体" w:eastAsia="宋体" w:cs="宋体"/>
                <w:sz w:val="20"/>
                <w:szCs w:val="20"/>
              </w:rPr>
            </w:pPr>
            <w:r>
              <w:rPr>
                <w:rFonts w:ascii="宋体" w:hAnsi="宋体" w:eastAsia="宋体" w:cs="宋体"/>
                <w:spacing w:val="4"/>
                <w:sz w:val="20"/>
                <w:szCs w:val="20"/>
              </w:rPr>
              <w:t>③严格各污水处理设施的管理、监测工作，</w:t>
            </w:r>
            <w:r>
              <w:rPr>
                <w:rFonts w:ascii="宋体" w:hAnsi="宋体" w:eastAsia="宋体" w:cs="宋体"/>
                <w:spacing w:val="9"/>
                <w:sz w:val="20"/>
                <w:szCs w:val="20"/>
              </w:rPr>
              <w:t>确保污水处理设施外排污水长期稳定达</w:t>
            </w:r>
          </w:p>
          <w:p w14:paraId="59E73F36">
            <w:pPr>
              <w:spacing w:before="4" w:line="369" w:lineRule="auto"/>
              <w:ind w:left="108" w:right="168"/>
              <w:rPr>
                <w:rFonts w:ascii="宋体" w:hAnsi="宋体" w:eastAsia="宋体" w:cs="宋体"/>
                <w:sz w:val="20"/>
                <w:szCs w:val="20"/>
              </w:rPr>
            </w:pPr>
            <w:r>
              <w:rPr>
                <w:rFonts w:ascii="宋体" w:hAnsi="宋体" w:eastAsia="宋体" w:cs="宋体"/>
                <w:spacing w:val="9"/>
                <w:sz w:val="20"/>
                <w:szCs w:val="20"/>
              </w:rPr>
              <w:t>标。新建、迁建项目应采用先进的生产工艺和污染防治技术，其清洁生产水平应达到国内先进水平以上；实行严格的清洁生</w:t>
            </w:r>
            <w:r>
              <w:rPr>
                <w:rFonts w:ascii="宋体" w:hAnsi="宋体" w:eastAsia="宋体" w:cs="宋体"/>
                <w:spacing w:val="8"/>
                <w:sz w:val="20"/>
                <w:szCs w:val="20"/>
              </w:rPr>
              <w:t>产审计，全过程降低对水的消耗和污染；</w:t>
            </w:r>
            <w:r>
              <w:rPr>
                <w:rFonts w:ascii="宋体" w:hAnsi="宋体" w:eastAsia="宋体" w:cs="宋体"/>
                <w:spacing w:val="9"/>
                <w:sz w:val="20"/>
                <w:szCs w:val="20"/>
              </w:rPr>
              <w:t>工业企业应严格控制用水量，加大工业用</w:t>
            </w:r>
            <w:r>
              <w:rPr>
                <w:rFonts w:ascii="宋体" w:hAnsi="宋体" w:eastAsia="宋体" w:cs="宋体"/>
                <w:spacing w:val="8"/>
                <w:sz w:val="20"/>
                <w:szCs w:val="20"/>
              </w:rPr>
              <w:t>水的重复利用率，发展节水型工业。</w:t>
            </w:r>
          </w:p>
        </w:tc>
        <w:tc>
          <w:tcPr>
            <w:tcW w:w="2163" w:type="dxa"/>
            <w:vAlign w:val="top"/>
          </w:tcPr>
          <w:p w14:paraId="04606579">
            <w:pPr>
              <w:spacing w:before="37" w:line="228" w:lineRule="auto"/>
              <w:ind w:left="116"/>
              <w:rPr>
                <w:rFonts w:ascii="宋体" w:hAnsi="宋体" w:eastAsia="宋体" w:cs="宋体"/>
                <w:sz w:val="20"/>
                <w:szCs w:val="20"/>
              </w:rPr>
            </w:pPr>
            <w:r>
              <w:rPr>
                <w:rFonts w:ascii="宋体" w:hAnsi="宋体" w:eastAsia="宋体" w:cs="宋体"/>
                <w:spacing w:val="8"/>
                <w:sz w:val="20"/>
                <w:szCs w:val="20"/>
              </w:rPr>
              <w:t>流排水体制，雨水经</w:t>
            </w:r>
          </w:p>
          <w:p w14:paraId="262A4517">
            <w:pPr>
              <w:spacing w:before="160" w:line="228" w:lineRule="auto"/>
              <w:ind w:left="118"/>
              <w:rPr>
                <w:rFonts w:ascii="宋体" w:hAnsi="宋体" w:eastAsia="宋体" w:cs="宋体"/>
                <w:sz w:val="20"/>
                <w:szCs w:val="20"/>
              </w:rPr>
            </w:pPr>
            <w:r>
              <w:rPr>
                <w:rFonts w:ascii="宋体" w:hAnsi="宋体" w:eastAsia="宋体" w:cs="宋体"/>
                <w:spacing w:val="8"/>
                <w:sz w:val="20"/>
                <w:szCs w:val="20"/>
              </w:rPr>
              <w:t>厂区雨水沟收集后排</w:t>
            </w:r>
          </w:p>
          <w:p w14:paraId="2FD11DA4">
            <w:pPr>
              <w:spacing w:before="161" w:line="228" w:lineRule="auto"/>
              <w:ind w:left="114"/>
              <w:rPr>
                <w:rFonts w:ascii="宋体" w:hAnsi="宋体" w:eastAsia="宋体" w:cs="宋体"/>
                <w:sz w:val="20"/>
                <w:szCs w:val="20"/>
              </w:rPr>
            </w:pPr>
            <w:r>
              <w:rPr>
                <w:rFonts w:ascii="宋体" w:hAnsi="宋体" w:eastAsia="宋体" w:cs="宋体"/>
                <w:spacing w:val="7"/>
                <w:sz w:val="20"/>
                <w:szCs w:val="20"/>
              </w:rPr>
              <w:t>入园区雨水管网；</w:t>
            </w:r>
          </w:p>
          <w:p w14:paraId="29618B91">
            <w:pPr>
              <w:spacing w:before="162" w:line="377" w:lineRule="auto"/>
              <w:ind w:left="116" w:right="100" w:hanging="5"/>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27"/>
                <w:sz w:val="20"/>
                <w:szCs w:val="20"/>
              </w:rPr>
              <w:t xml:space="preserve"> </w:t>
            </w:r>
            <w:r>
              <w:rPr>
                <w:rFonts w:ascii="宋体" w:hAnsi="宋体" w:eastAsia="宋体" w:cs="宋体"/>
                <w:spacing w:val="6"/>
                <w:sz w:val="20"/>
                <w:szCs w:val="20"/>
              </w:rPr>
              <w:t>、本项目为扩建项</w:t>
            </w:r>
            <w:r>
              <w:rPr>
                <w:rFonts w:ascii="宋体" w:hAnsi="宋体" w:eastAsia="宋体" w:cs="宋体"/>
                <w:spacing w:val="-4"/>
                <w:sz w:val="20"/>
                <w:szCs w:val="20"/>
              </w:rPr>
              <w:t>目，在已建厂房新增</w:t>
            </w:r>
            <w:r>
              <w:rPr>
                <w:rFonts w:ascii="宋体" w:hAnsi="宋体" w:eastAsia="宋体" w:cs="宋体"/>
                <w:spacing w:val="-21"/>
                <w:sz w:val="20"/>
                <w:szCs w:val="20"/>
              </w:rPr>
              <w:t xml:space="preserve"> </w:t>
            </w:r>
            <w:r>
              <w:rPr>
                <w:rFonts w:ascii="Times New Roman" w:hAnsi="Times New Roman" w:eastAsia="Times New Roman" w:cs="Times New Roman"/>
                <w:spacing w:val="-4"/>
                <w:sz w:val="20"/>
                <w:szCs w:val="20"/>
              </w:rPr>
              <w:t>1</w:t>
            </w:r>
            <w:r>
              <w:rPr>
                <w:rFonts w:ascii="宋体" w:hAnsi="宋体" w:eastAsia="宋体" w:cs="宋体"/>
                <w:spacing w:val="8"/>
                <w:sz w:val="20"/>
                <w:szCs w:val="20"/>
              </w:rPr>
              <w:t>条塑料筐生产线，无生产废水，生活污水经化粪池</w:t>
            </w:r>
            <w:r>
              <w:rPr>
                <w:rFonts w:ascii="Times New Roman" w:hAnsi="Times New Roman" w:eastAsia="Times New Roman" w:cs="Times New Roman"/>
                <w:spacing w:val="8"/>
                <w:sz w:val="20"/>
                <w:szCs w:val="20"/>
              </w:rPr>
              <w:t>+</w:t>
            </w:r>
            <w:r>
              <w:rPr>
                <w:rFonts w:ascii="宋体" w:hAnsi="宋体" w:eastAsia="宋体" w:cs="宋体"/>
                <w:spacing w:val="8"/>
                <w:sz w:val="20"/>
                <w:szCs w:val="20"/>
              </w:rPr>
              <w:t>一体化污水处理设施处理后回用于绿化，不改变废</w:t>
            </w:r>
            <w:r>
              <w:rPr>
                <w:rFonts w:ascii="宋体" w:hAnsi="宋体" w:eastAsia="宋体" w:cs="宋体"/>
                <w:spacing w:val="6"/>
                <w:sz w:val="20"/>
                <w:szCs w:val="20"/>
              </w:rPr>
              <w:t>水治理措施。</w:t>
            </w:r>
          </w:p>
          <w:p w14:paraId="23E5F7AC">
            <w:pPr>
              <w:spacing w:before="1" w:line="377" w:lineRule="auto"/>
              <w:ind w:left="117" w:right="106" w:hanging="1"/>
              <w:rPr>
                <w:rFonts w:ascii="宋体" w:hAnsi="宋体" w:eastAsia="宋体" w:cs="宋体"/>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pacing w:val="-27"/>
                <w:sz w:val="20"/>
                <w:szCs w:val="20"/>
              </w:rPr>
              <w:t xml:space="preserve"> </w:t>
            </w:r>
            <w:r>
              <w:rPr>
                <w:rFonts w:ascii="宋体" w:hAnsi="宋体" w:eastAsia="宋体" w:cs="宋体"/>
                <w:spacing w:val="1"/>
                <w:sz w:val="20"/>
                <w:szCs w:val="20"/>
              </w:rPr>
              <w:t>、项目用水量较小，</w:t>
            </w:r>
            <w:r>
              <w:rPr>
                <w:rFonts w:ascii="宋体" w:hAnsi="宋体" w:eastAsia="宋体" w:cs="宋体"/>
                <w:spacing w:val="8"/>
                <w:sz w:val="20"/>
                <w:szCs w:val="20"/>
              </w:rPr>
              <w:t>水资源利用率高，无</w:t>
            </w:r>
            <w:r>
              <w:rPr>
                <w:rFonts w:ascii="宋体" w:hAnsi="宋体" w:eastAsia="宋体" w:cs="宋体"/>
                <w:spacing w:val="6"/>
                <w:sz w:val="20"/>
                <w:szCs w:val="20"/>
              </w:rPr>
              <w:t>生产废水排放。</w:t>
            </w:r>
          </w:p>
        </w:tc>
        <w:tc>
          <w:tcPr>
            <w:tcW w:w="628" w:type="dxa"/>
            <w:vAlign w:val="top"/>
          </w:tcPr>
          <w:p w14:paraId="2F681997">
            <w:pPr>
              <w:rPr>
                <w:rFonts w:ascii="Arial"/>
                <w:sz w:val="21"/>
              </w:rPr>
            </w:pPr>
          </w:p>
        </w:tc>
        <w:tc>
          <w:tcPr>
            <w:tcW w:w="124" w:type="dxa"/>
            <w:vMerge w:val="restart"/>
            <w:tcBorders>
              <w:top w:val="single" w:color="000000" w:sz="6" w:space="0"/>
              <w:bottom w:val="nil"/>
              <w:right w:val="single" w:color="000000" w:sz="6" w:space="0"/>
            </w:tcBorders>
            <w:vAlign w:val="top"/>
          </w:tcPr>
          <w:p w14:paraId="5CDA9B3E">
            <w:pPr>
              <w:rPr>
                <w:rFonts w:ascii="Arial"/>
                <w:sz w:val="21"/>
              </w:rPr>
            </w:pPr>
          </w:p>
        </w:tc>
      </w:tr>
      <w:tr w14:paraId="3E0D3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3" w:hRule="atLeast"/>
        </w:trPr>
        <w:tc>
          <w:tcPr>
            <w:tcW w:w="1161" w:type="dxa"/>
            <w:vMerge w:val="continue"/>
            <w:tcBorders>
              <w:top w:val="nil"/>
              <w:left w:val="single" w:color="000000" w:sz="6" w:space="0"/>
              <w:bottom w:val="single" w:color="000000" w:sz="6" w:space="0"/>
            </w:tcBorders>
            <w:vAlign w:val="top"/>
          </w:tcPr>
          <w:p w14:paraId="606D4DEC">
            <w:pPr>
              <w:rPr>
                <w:rFonts w:ascii="Arial"/>
                <w:sz w:val="21"/>
              </w:rPr>
            </w:pPr>
          </w:p>
        </w:tc>
        <w:tc>
          <w:tcPr>
            <w:tcW w:w="114" w:type="dxa"/>
            <w:tcBorders>
              <w:top w:val="nil"/>
              <w:bottom w:val="single" w:color="000000" w:sz="6" w:space="0"/>
            </w:tcBorders>
            <w:vAlign w:val="top"/>
          </w:tcPr>
          <w:p w14:paraId="3F21542D">
            <w:pPr>
              <w:rPr>
                <w:rFonts w:ascii="Arial"/>
                <w:sz w:val="21"/>
              </w:rPr>
            </w:pPr>
          </w:p>
        </w:tc>
        <w:tc>
          <w:tcPr>
            <w:tcW w:w="631" w:type="dxa"/>
            <w:textDirection w:val="tbRlV"/>
            <w:vAlign w:val="top"/>
          </w:tcPr>
          <w:p w14:paraId="200BDB78">
            <w:pPr>
              <w:spacing w:before="213" w:line="216" w:lineRule="auto"/>
              <w:ind w:left="44"/>
              <w:rPr>
                <w:rFonts w:ascii="宋体" w:hAnsi="宋体" w:eastAsia="宋体" w:cs="宋体"/>
                <w:sz w:val="20"/>
                <w:szCs w:val="20"/>
              </w:rPr>
            </w:pPr>
            <w:r>
              <w:rPr>
                <w:rFonts w:ascii="宋体" w:hAnsi="宋体" w:eastAsia="宋体" w:cs="宋体"/>
                <w:spacing w:val="8"/>
                <w:sz w:val="20"/>
                <w:szCs w:val="20"/>
              </w:rPr>
              <w:t>大</w:t>
            </w:r>
            <w:r>
              <w:rPr>
                <w:rFonts w:ascii="宋体" w:hAnsi="宋体" w:eastAsia="宋体" w:cs="宋体"/>
                <w:spacing w:val="104"/>
                <w:sz w:val="20"/>
                <w:szCs w:val="20"/>
              </w:rPr>
              <w:t xml:space="preserve"> </w:t>
            </w:r>
            <w:r>
              <w:rPr>
                <w:rFonts w:ascii="宋体" w:hAnsi="宋体" w:eastAsia="宋体" w:cs="宋体"/>
                <w:spacing w:val="8"/>
                <w:sz w:val="20"/>
                <w:szCs w:val="20"/>
              </w:rPr>
              <w:t>气</w:t>
            </w:r>
            <w:r>
              <w:rPr>
                <w:rFonts w:ascii="宋体" w:hAnsi="宋体" w:eastAsia="宋体" w:cs="宋体"/>
                <w:spacing w:val="99"/>
                <w:sz w:val="20"/>
                <w:szCs w:val="20"/>
              </w:rPr>
              <w:t xml:space="preserve"> </w:t>
            </w:r>
            <w:r>
              <w:rPr>
                <w:rFonts w:ascii="宋体" w:hAnsi="宋体" w:eastAsia="宋体" w:cs="宋体"/>
                <w:spacing w:val="8"/>
                <w:sz w:val="20"/>
                <w:szCs w:val="20"/>
              </w:rPr>
              <w:t>环</w:t>
            </w:r>
            <w:r>
              <w:rPr>
                <w:rFonts w:ascii="宋体" w:hAnsi="宋体" w:eastAsia="宋体" w:cs="宋体"/>
                <w:spacing w:val="99"/>
                <w:sz w:val="20"/>
                <w:szCs w:val="20"/>
              </w:rPr>
              <w:t xml:space="preserve"> </w:t>
            </w:r>
            <w:r>
              <w:rPr>
                <w:rFonts w:ascii="宋体" w:hAnsi="宋体" w:eastAsia="宋体" w:cs="宋体"/>
                <w:spacing w:val="8"/>
                <w:sz w:val="20"/>
                <w:szCs w:val="20"/>
              </w:rPr>
              <w:t>境</w:t>
            </w:r>
            <w:r>
              <w:rPr>
                <w:rFonts w:ascii="宋体" w:hAnsi="宋体" w:eastAsia="宋体" w:cs="宋体"/>
                <w:spacing w:val="1"/>
                <w:sz w:val="20"/>
                <w:szCs w:val="20"/>
              </w:rPr>
              <w:t xml:space="preserve">  </w:t>
            </w:r>
            <w:r>
              <w:rPr>
                <w:rFonts w:ascii="宋体" w:hAnsi="宋体" w:eastAsia="宋体" w:cs="宋体"/>
                <w:spacing w:val="8"/>
                <w:sz w:val="20"/>
                <w:szCs w:val="20"/>
              </w:rPr>
              <w:t>影</w:t>
            </w:r>
            <w:r>
              <w:rPr>
                <w:rFonts w:ascii="宋体" w:hAnsi="宋体" w:eastAsia="宋体" w:cs="宋体"/>
                <w:spacing w:val="99"/>
                <w:sz w:val="20"/>
                <w:szCs w:val="20"/>
              </w:rPr>
              <w:t xml:space="preserve"> </w:t>
            </w:r>
            <w:r>
              <w:rPr>
                <w:rFonts w:ascii="宋体" w:hAnsi="宋体" w:eastAsia="宋体" w:cs="宋体"/>
                <w:spacing w:val="8"/>
                <w:sz w:val="20"/>
                <w:szCs w:val="20"/>
              </w:rPr>
              <w:t>响</w:t>
            </w:r>
            <w:r>
              <w:rPr>
                <w:rFonts w:ascii="宋体" w:hAnsi="宋体" w:eastAsia="宋体" w:cs="宋体"/>
                <w:spacing w:val="99"/>
                <w:sz w:val="20"/>
                <w:szCs w:val="20"/>
              </w:rPr>
              <w:t xml:space="preserve"> </w:t>
            </w:r>
            <w:r>
              <w:rPr>
                <w:rFonts w:ascii="宋体" w:hAnsi="宋体" w:eastAsia="宋体" w:cs="宋体"/>
                <w:spacing w:val="8"/>
                <w:sz w:val="20"/>
                <w:szCs w:val="20"/>
              </w:rPr>
              <w:t>减</w:t>
            </w:r>
            <w:r>
              <w:rPr>
                <w:rFonts w:ascii="宋体" w:hAnsi="宋体" w:eastAsia="宋体" w:cs="宋体"/>
                <w:spacing w:val="100"/>
                <w:sz w:val="20"/>
                <w:szCs w:val="20"/>
              </w:rPr>
              <w:t xml:space="preserve"> </w:t>
            </w:r>
            <w:r>
              <w:rPr>
                <w:rFonts w:ascii="宋体" w:hAnsi="宋体" w:eastAsia="宋体" w:cs="宋体"/>
                <w:spacing w:val="8"/>
                <w:sz w:val="20"/>
                <w:szCs w:val="20"/>
              </w:rPr>
              <w:t>缓</w:t>
            </w:r>
          </w:p>
        </w:tc>
        <w:tc>
          <w:tcPr>
            <w:tcW w:w="4051" w:type="dxa"/>
            <w:vAlign w:val="top"/>
          </w:tcPr>
          <w:p w14:paraId="064DF589">
            <w:pPr>
              <w:spacing w:before="42" w:line="377" w:lineRule="auto"/>
              <w:ind w:left="109" w:right="165" w:hanging="2"/>
              <w:rPr>
                <w:rFonts w:ascii="宋体" w:hAnsi="宋体" w:eastAsia="宋体" w:cs="宋体"/>
                <w:sz w:val="20"/>
                <w:szCs w:val="20"/>
              </w:rPr>
            </w:pPr>
            <w:r>
              <w:rPr>
                <w:rFonts w:ascii="宋体" w:hAnsi="宋体" w:eastAsia="宋体" w:cs="宋体"/>
                <w:spacing w:val="9"/>
                <w:sz w:val="20"/>
                <w:szCs w:val="20"/>
              </w:rPr>
              <w:t>①按规划及其他相关要求规划区工业及民用均使用清洁能源。对严重污染大气环境</w:t>
            </w:r>
            <w:r>
              <w:rPr>
                <w:rFonts w:ascii="宋体" w:hAnsi="宋体" w:eastAsia="宋体" w:cs="宋体"/>
                <w:spacing w:val="8"/>
                <w:sz w:val="20"/>
                <w:szCs w:val="20"/>
              </w:rPr>
              <w:t>的工艺、设备和产品实行淘汰制度；</w:t>
            </w:r>
          </w:p>
          <w:p w14:paraId="71C62B29">
            <w:pPr>
              <w:spacing w:line="370" w:lineRule="auto"/>
              <w:ind w:left="107" w:right="165" w:hanging="1"/>
              <w:rPr>
                <w:rFonts w:ascii="宋体" w:hAnsi="宋体" w:eastAsia="宋体" w:cs="宋体"/>
                <w:sz w:val="20"/>
                <w:szCs w:val="20"/>
              </w:rPr>
            </w:pPr>
            <w:r>
              <w:rPr>
                <w:rFonts w:ascii="宋体" w:hAnsi="宋体" w:eastAsia="宋体" w:cs="宋体"/>
                <w:spacing w:val="9"/>
                <w:sz w:val="20"/>
                <w:szCs w:val="20"/>
              </w:rPr>
              <w:t>②入驻的有大气污染源排放的项目环境影响评价文件中应将大气环境影响评价作为重点之一，深入分析项目入驻对区域大气环境的影响，明确环境空气污染防治措施并严格落实，要求作出明确的环境是否可</w:t>
            </w:r>
          </w:p>
        </w:tc>
        <w:tc>
          <w:tcPr>
            <w:tcW w:w="2163" w:type="dxa"/>
            <w:vAlign w:val="top"/>
          </w:tcPr>
          <w:p w14:paraId="556E43FF">
            <w:pPr>
              <w:spacing w:before="43" w:line="377" w:lineRule="auto"/>
              <w:ind w:left="116" w:right="161" w:firstLine="15"/>
              <w:rPr>
                <w:rFonts w:ascii="宋体" w:hAnsi="宋体" w:eastAsia="宋体" w:cs="宋体"/>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0"/>
                <w:sz w:val="20"/>
                <w:szCs w:val="20"/>
              </w:rPr>
              <w:t xml:space="preserve"> </w:t>
            </w:r>
            <w:r>
              <w:rPr>
                <w:rFonts w:ascii="宋体" w:hAnsi="宋体" w:eastAsia="宋体" w:cs="宋体"/>
                <w:spacing w:val="3"/>
                <w:sz w:val="20"/>
                <w:szCs w:val="20"/>
              </w:rPr>
              <w:t>、项目使用电能作</w:t>
            </w:r>
            <w:r>
              <w:rPr>
                <w:rFonts w:ascii="宋体" w:hAnsi="宋体" w:eastAsia="宋体" w:cs="宋体"/>
                <w:spacing w:val="8"/>
                <w:sz w:val="20"/>
                <w:szCs w:val="20"/>
              </w:rPr>
              <w:t>为能源为清洁能源，项目设备工艺及产品也不属于《部分工业行业淘汰落后生产工艺装备和产品指导目</w:t>
            </w:r>
            <w:r>
              <w:rPr>
                <w:rFonts w:ascii="宋体" w:hAnsi="宋体" w:eastAsia="宋体" w:cs="宋体"/>
                <w:spacing w:val="2"/>
                <w:sz w:val="20"/>
                <w:szCs w:val="20"/>
              </w:rPr>
              <w:t>录（</w:t>
            </w:r>
            <w:r>
              <w:rPr>
                <w:rFonts w:ascii="Times New Roman" w:hAnsi="Times New Roman" w:eastAsia="Times New Roman" w:cs="Times New Roman"/>
                <w:spacing w:val="2"/>
                <w:sz w:val="20"/>
                <w:szCs w:val="20"/>
              </w:rPr>
              <w:t xml:space="preserve">2010 </w:t>
            </w:r>
            <w:r>
              <w:rPr>
                <w:rFonts w:ascii="宋体" w:hAnsi="宋体" w:eastAsia="宋体" w:cs="宋体"/>
                <w:spacing w:val="2"/>
                <w:sz w:val="20"/>
                <w:szCs w:val="20"/>
              </w:rPr>
              <w:t>年本）》；</w:t>
            </w:r>
          </w:p>
          <w:p w14:paraId="1A2E51CD">
            <w:pPr>
              <w:spacing w:line="227" w:lineRule="auto"/>
              <w:ind w:left="111"/>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27"/>
                <w:sz w:val="20"/>
                <w:szCs w:val="20"/>
              </w:rPr>
              <w:t xml:space="preserve"> </w:t>
            </w:r>
            <w:r>
              <w:rPr>
                <w:rFonts w:ascii="宋体" w:hAnsi="宋体" w:eastAsia="宋体" w:cs="宋体"/>
                <w:spacing w:val="6"/>
                <w:sz w:val="20"/>
                <w:szCs w:val="20"/>
              </w:rPr>
              <w:t>、项目废气经集气</w:t>
            </w:r>
          </w:p>
        </w:tc>
        <w:tc>
          <w:tcPr>
            <w:tcW w:w="628" w:type="dxa"/>
            <w:textDirection w:val="tbRlV"/>
            <w:vAlign w:val="top"/>
          </w:tcPr>
          <w:p w14:paraId="1D333499">
            <w:pPr>
              <w:spacing w:before="201" w:line="215" w:lineRule="auto"/>
              <w:ind w:left="1268"/>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4" w:type="dxa"/>
            <w:vMerge w:val="continue"/>
            <w:tcBorders>
              <w:top w:val="nil"/>
              <w:bottom w:val="single" w:color="000000" w:sz="6" w:space="0"/>
              <w:right w:val="single" w:color="000000" w:sz="6" w:space="0"/>
            </w:tcBorders>
            <w:vAlign w:val="top"/>
          </w:tcPr>
          <w:p w14:paraId="436BEFF0">
            <w:pPr>
              <w:rPr>
                <w:rFonts w:ascii="Arial"/>
                <w:sz w:val="21"/>
              </w:rPr>
            </w:pPr>
          </w:p>
        </w:tc>
      </w:tr>
    </w:tbl>
    <w:p w14:paraId="47474A34">
      <w:pPr>
        <w:pStyle w:val="2"/>
      </w:pPr>
    </w:p>
    <w:p w14:paraId="2A82C67A">
      <w:pPr>
        <w:sectPr>
          <w:footerReference r:id="rId12" w:type="default"/>
          <w:pgSz w:w="11906" w:h="16839"/>
          <w:pgMar w:top="400" w:right="1509" w:bottom="1326" w:left="1509" w:header="0" w:footer="1113" w:gutter="0"/>
          <w:cols w:space="720" w:num="1"/>
        </w:sectPr>
      </w:pPr>
    </w:p>
    <w:p w14:paraId="7C1DFC3D">
      <w:pPr>
        <w:spacing w:before="19"/>
      </w:pPr>
    </w:p>
    <w:p w14:paraId="4B95CBFB">
      <w:pPr>
        <w:spacing w:before="19"/>
      </w:pPr>
    </w:p>
    <w:p w14:paraId="7B945013">
      <w:pPr>
        <w:spacing w:before="19"/>
      </w:pPr>
    </w:p>
    <w:p w14:paraId="7F27B689">
      <w:pPr>
        <w:spacing w:before="18"/>
      </w:pPr>
    </w:p>
    <w:p w14:paraId="6F18D7F2">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4"/>
        <w:gridCol w:w="631"/>
        <w:gridCol w:w="4051"/>
        <w:gridCol w:w="2163"/>
        <w:gridCol w:w="628"/>
        <w:gridCol w:w="124"/>
      </w:tblGrid>
      <w:tr w14:paraId="23B1E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3" w:hRule="atLeast"/>
        </w:trPr>
        <w:tc>
          <w:tcPr>
            <w:tcW w:w="1161" w:type="dxa"/>
            <w:vMerge w:val="restart"/>
            <w:tcBorders>
              <w:top w:val="single" w:color="000000" w:sz="6" w:space="0"/>
              <w:left w:val="single" w:color="000000" w:sz="6" w:space="0"/>
              <w:bottom w:val="nil"/>
            </w:tcBorders>
            <w:vAlign w:val="top"/>
          </w:tcPr>
          <w:p w14:paraId="0AC03F6F">
            <w:pPr>
              <w:rPr>
                <w:rFonts w:ascii="Arial"/>
                <w:sz w:val="21"/>
              </w:rPr>
            </w:pPr>
          </w:p>
        </w:tc>
        <w:tc>
          <w:tcPr>
            <w:tcW w:w="114" w:type="dxa"/>
            <w:tcBorders>
              <w:top w:val="single" w:color="000000" w:sz="6" w:space="0"/>
              <w:bottom w:val="nil"/>
            </w:tcBorders>
            <w:vAlign w:val="top"/>
          </w:tcPr>
          <w:p w14:paraId="0746B61C">
            <w:pPr>
              <w:rPr>
                <w:rFonts w:ascii="Arial"/>
                <w:sz w:val="21"/>
              </w:rPr>
            </w:pPr>
          </w:p>
        </w:tc>
        <w:tc>
          <w:tcPr>
            <w:tcW w:w="631" w:type="dxa"/>
            <w:textDirection w:val="tbRlV"/>
            <w:vAlign w:val="top"/>
          </w:tcPr>
          <w:p w14:paraId="3D90EFAC">
            <w:pPr>
              <w:spacing w:before="213" w:line="217" w:lineRule="auto"/>
              <w:ind w:left="37"/>
              <w:rPr>
                <w:rFonts w:ascii="宋体" w:hAnsi="宋体" w:eastAsia="宋体" w:cs="宋体"/>
                <w:sz w:val="20"/>
                <w:szCs w:val="20"/>
              </w:rPr>
            </w:pPr>
            <w:r>
              <w:rPr>
                <w:rFonts w:ascii="宋体" w:hAnsi="宋体" w:eastAsia="宋体" w:cs="宋体"/>
                <w:spacing w:val="8"/>
                <w:sz w:val="20"/>
                <w:szCs w:val="20"/>
              </w:rPr>
              <w:t>措</w:t>
            </w:r>
            <w:r>
              <w:rPr>
                <w:rFonts w:ascii="宋体" w:hAnsi="宋体" w:eastAsia="宋体" w:cs="宋体"/>
                <w:spacing w:val="99"/>
                <w:sz w:val="20"/>
                <w:szCs w:val="20"/>
              </w:rPr>
              <w:t xml:space="preserve"> </w:t>
            </w:r>
            <w:r>
              <w:rPr>
                <w:rFonts w:ascii="宋体" w:hAnsi="宋体" w:eastAsia="宋体" w:cs="宋体"/>
                <w:spacing w:val="8"/>
                <w:sz w:val="20"/>
                <w:szCs w:val="20"/>
              </w:rPr>
              <w:t>施</w:t>
            </w:r>
          </w:p>
        </w:tc>
        <w:tc>
          <w:tcPr>
            <w:tcW w:w="4051" w:type="dxa"/>
            <w:vAlign w:val="top"/>
          </w:tcPr>
          <w:p w14:paraId="1D001367">
            <w:pPr>
              <w:spacing w:before="37" w:line="228" w:lineRule="auto"/>
              <w:ind w:left="111"/>
              <w:rPr>
                <w:rFonts w:ascii="宋体" w:hAnsi="宋体" w:eastAsia="宋体" w:cs="宋体"/>
                <w:sz w:val="20"/>
                <w:szCs w:val="20"/>
              </w:rPr>
            </w:pPr>
            <w:r>
              <w:rPr>
                <w:rFonts w:ascii="宋体" w:hAnsi="宋体" w:eastAsia="宋体" w:cs="宋体"/>
                <w:spacing w:val="5"/>
                <w:sz w:val="20"/>
                <w:szCs w:val="20"/>
              </w:rPr>
              <w:t>行的结论；</w:t>
            </w:r>
          </w:p>
          <w:p w14:paraId="5CC3C028">
            <w:pPr>
              <w:spacing w:before="161" w:line="377" w:lineRule="auto"/>
              <w:ind w:left="106" w:right="165"/>
              <w:rPr>
                <w:rFonts w:ascii="宋体" w:hAnsi="宋体" w:eastAsia="宋体" w:cs="宋体"/>
                <w:sz w:val="20"/>
                <w:szCs w:val="20"/>
              </w:rPr>
            </w:pPr>
            <w:r>
              <w:rPr>
                <w:rFonts w:ascii="宋体" w:hAnsi="宋体" w:eastAsia="宋体" w:cs="宋体"/>
                <w:spacing w:val="9"/>
                <w:sz w:val="20"/>
                <w:szCs w:val="20"/>
              </w:rPr>
              <w:t>③推行清洁能源，建议考虑集中供热，实施循环经济，并对大气污染物实行总量控制；入驻企业必须采取新工艺、新技术，提高综合利用，禁止高耗能、重污染的企业入驻，要求规划区企业采用清洁生产工艺，加强源头治理，控制或者逐步削减大气污染物的排放量，严格控制废气污染物的排放，杜绝超标排放，推行清洁生产，</w:t>
            </w:r>
            <w:r>
              <w:rPr>
                <w:rFonts w:ascii="宋体" w:hAnsi="宋体" w:eastAsia="宋体" w:cs="宋体"/>
                <w:spacing w:val="6"/>
                <w:sz w:val="20"/>
                <w:szCs w:val="20"/>
              </w:rPr>
              <w:t>减小能耗；</w:t>
            </w:r>
          </w:p>
          <w:p w14:paraId="279C83A7">
            <w:pPr>
              <w:spacing w:before="2" w:line="377" w:lineRule="auto"/>
              <w:ind w:left="107" w:right="165" w:hanging="1"/>
              <w:rPr>
                <w:rFonts w:ascii="宋体" w:hAnsi="宋体" w:eastAsia="宋体" w:cs="宋体"/>
                <w:sz w:val="20"/>
                <w:szCs w:val="20"/>
              </w:rPr>
            </w:pPr>
            <w:r>
              <w:rPr>
                <w:rFonts w:ascii="宋体" w:hAnsi="宋体" w:eastAsia="宋体" w:cs="宋体"/>
                <w:spacing w:val="9"/>
                <w:sz w:val="20"/>
                <w:szCs w:val="20"/>
              </w:rPr>
              <w:t>④规划区企业事业单位和其他生产经营者应当按照国家有关规定和监测规范，对其排放的工业废气和有毒有害大气污染物进行监测。其中，重点排污单位应当安装、使用大气污染物排放自动监测设备，与环境保护主管部门的监控设备联网，保证监</w:t>
            </w:r>
            <w:r>
              <w:rPr>
                <w:rFonts w:ascii="宋体" w:hAnsi="宋体" w:eastAsia="宋体" w:cs="宋体"/>
                <w:spacing w:val="8"/>
                <w:sz w:val="20"/>
                <w:szCs w:val="20"/>
              </w:rPr>
              <w:t>测设备正常运行并依法公开排放信息。</w:t>
            </w:r>
          </w:p>
        </w:tc>
        <w:tc>
          <w:tcPr>
            <w:tcW w:w="2163" w:type="dxa"/>
            <w:vAlign w:val="top"/>
          </w:tcPr>
          <w:p w14:paraId="1C7B741B">
            <w:pPr>
              <w:spacing w:before="37" w:line="227" w:lineRule="auto"/>
              <w:ind w:left="115"/>
              <w:rPr>
                <w:rFonts w:ascii="宋体" w:hAnsi="宋体" w:eastAsia="宋体" w:cs="宋体"/>
                <w:sz w:val="20"/>
                <w:szCs w:val="20"/>
              </w:rPr>
            </w:pPr>
            <w:r>
              <w:rPr>
                <w:rFonts w:ascii="宋体" w:hAnsi="宋体" w:eastAsia="宋体" w:cs="宋体"/>
                <w:spacing w:val="8"/>
                <w:sz w:val="20"/>
                <w:szCs w:val="20"/>
              </w:rPr>
              <w:t>罩</w:t>
            </w:r>
            <w:r>
              <w:rPr>
                <w:rFonts w:ascii="Times New Roman" w:hAnsi="Times New Roman" w:eastAsia="Times New Roman" w:cs="Times New Roman"/>
                <w:spacing w:val="8"/>
                <w:sz w:val="20"/>
                <w:szCs w:val="20"/>
              </w:rPr>
              <w:t>+</w:t>
            </w:r>
            <w:r>
              <w:rPr>
                <w:rFonts w:ascii="宋体" w:hAnsi="宋体" w:eastAsia="宋体" w:cs="宋体"/>
                <w:spacing w:val="8"/>
                <w:sz w:val="20"/>
                <w:szCs w:val="20"/>
              </w:rPr>
              <w:t>三级活性炭吸附</w:t>
            </w:r>
          </w:p>
          <w:p w14:paraId="600596C8">
            <w:pPr>
              <w:spacing w:before="161" w:line="228" w:lineRule="auto"/>
              <w:ind w:left="111"/>
              <w:rPr>
                <w:rFonts w:ascii="宋体" w:hAnsi="宋体" w:eastAsia="宋体" w:cs="宋体"/>
                <w:sz w:val="20"/>
                <w:szCs w:val="20"/>
              </w:rPr>
            </w:pPr>
            <w:r>
              <w:rPr>
                <w:rFonts w:ascii="Times New Roman" w:hAnsi="Times New Roman" w:eastAsia="Times New Roman" w:cs="Times New Roman"/>
                <w:spacing w:val="6"/>
                <w:sz w:val="20"/>
                <w:szCs w:val="20"/>
              </w:rPr>
              <w:t xml:space="preserve">+15m </w:t>
            </w:r>
            <w:r>
              <w:rPr>
                <w:rFonts w:ascii="宋体" w:hAnsi="宋体" w:eastAsia="宋体" w:cs="宋体"/>
                <w:spacing w:val="6"/>
                <w:sz w:val="20"/>
                <w:szCs w:val="20"/>
              </w:rPr>
              <w:t>排气筒</w:t>
            </w:r>
          </w:p>
          <w:p w14:paraId="16B3A3E5">
            <w:pPr>
              <w:spacing w:before="161" w:line="228" w:lineRule="auto"/>
              <w:ind w:left="125"/>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z w:val="20"/>
                <w:szCs w:val="20"/>
              </w:rPr>
              <w:t>DA</w:t>
            </w:r>
            <w:r>
              <w:rPr>
                <w:rFonts w:ascii="Times New Roman" w:hAnsi="Times New Roman" w:eastAsia="Times New Roman" w:cs="Times New Roman"/>
                <w:spacing w:val="7"/>
                <w:sz w:val="20"/>
                <w:szCs w:val="20"/>
              </w:rPr>
              <w:t>005</w:t>
            </w:r>
            <w:r>
              <w:rPr>
                <w:rFonts w:ascii="宋体" w:hAnsi="宋体" w:eastAsia="宋体" w:cs="宋体"/>
                <w:spacing w:val="7"/>
                <w:sz w:val="20"/>
                <w:szCs w:val="20"/>
              </w:rPr>
              <w:t>）处理后可</w:t>
            </w:r>
          </w:p>
          <w:p w14:paraId="33EE1822">
            <w:pPr>
              <w:spacing w:before="160" w:line="228" w:lineRule="auto"/>
              <w:ind w:left="114"/>
              <w:rPr>
                <w:rFonts w:ascii="宋体" w:hAnsi="宋体" w:eastAsia="宋体" w:cs="宋体"/>
                <w:sz w:val="20"/>
                <w:szCs w:val="20"/>
              </w:rPr>
            </w:pPr>
            <w:r>
              <w:rPr>
                <w:rFonts w:ascii="宋体" w:hAnsi="宋体" w:eastAsia="宋体" w:cs="宋体"/>
                <w:spacing w:val="8"/>
                <w:sz w:val="20"/>
                <w:szCs w:val="20"/>
              </w:rPr>
              <w:t>达标排放，厂区将按</w:t>
            </w:r>
          </w:p>
          <w:p w14:paraId="0506AF99">
            <w:pPr>
              <w:spacing w:before="161" w:line="228" w:lineRule="auto"/>
              <w:ind w:left="122"/>
              <w:rPr>
                <w:rFonts w:ascii="宋体" w:hAnsi="宋体" w:eastAsia="宋体" w:cs="宋体"/>
                <w:sz w:val="20"/>
                <w:szCs w:val="20"/>
              </w:rPr>
            </w:pPr>
            <w:r>
              <w:rPr>
                <w:rFonts w:ascii="宋体" w:hAnsi="宋体" w:eastAsia="宋体" w:cs="宋体"/>
                <w:spacing w:val="8"/>
                <w:sz w:val="20"/>
                <w:szCs w:val="20"/>
              </w:rPr>
              <w:t>照国家有关规定进行</w:t>
            </w:r>
          </w:p>
          <w:p w14:paraId="76FB98D0">
            <w:pPr>
              <w:spacing w:before="161" w:line="229" w:lineRule="auto"/>
              <w:ind w:left="116"/>
              <w:rPr>
                <w:rFonts w:ascii="宋体" w:hAnsi="宋体" w:eastAsia="宋体" w:cs="宋体"/>
                <w:sz w:val="20"/>
                <w:szCs w:val="20"/>
              </w:rPr>
            </w:pPr>
            <w:r>
              <w:rPr>
                <w:rFonts w:ascii="宋体" w:hAnsi="宋体" w:eastAsia="宋体" w:cs="宋体"/>
                <w:spacing w:val="2"/>
                <w:sz w:val="20"/>
                <w:szCs w:val="20"/>
              </w:rPr>
              <w:t>监测。</w:t>
            </w:r>
          </w:p>
          <w:p w14:paraId="0B285714">
            <w:pPr>
              <w:spacing w:before="162" w:line="377" w:lineRule="auto"/>
              <w:ind w:left="111" w:right="161" w:firstLine="4"/>
              <w:rPr>
                <w:rFonts w:ascii="宋体" w:hAnsi="宋体" w:eastAsia="宋体" w:cs="宋体"/>
                <w:sz w:val="20"/>
                <w:szCs w:val="20"/>
              </w:rPr>
            </w:pPr>
            <w:r>
              <w:rPr>
                <w:rFonts w:ascii="Times New Roman" w:hAnsi="Times New Roman" w:eastAsia="Times New Roman" w:cs="Times New Roman"/>
                <w:spacing w:val="5"/>
                <w:sz w:val="20"/>
                <w:szCs w:val="20"/>
              </w:rPr>
              <w:t>3</w:t>
            </w:r>
            <w:r>
              <w:rPr>
                <w:rFonts w:ascii="Times New Roman" w:hAnsi="Times New Roman" w:eastAsia="Times New Roman" w:cs="Times New Roman"/>
                <w:spacing w:val="-22"/>
                <w:sz w:val="20"/>
                <w:szCs w:val="20"/>
              </w:rPr>
              <w:t xml:space="preserve"> </w:t>
            </w:r>
            <w:r>
              <w:rPr>
                <w:rFonts w:ascii="宋体" w:hAnsi="宋体" w:eastAsia="宋体" w:cs="宋体"/>
                <w:spacing w:val="5"/>
                <w:sz w:val="20"/>
                <w:szCs w:val="20"/>
              </w:rPr>
              <w:t>、项目使用清洁能</w:t>
            </w:r>
            <w:r>
              <w:rPr>
                <w:rFonts w:ascii="宋体" w:hAnsi="宋体" w:eastAsia="宋体" w:cs="宋体"/>
                <w:spacing w:val="9"/>
                <w:sz w:val="20"/>
                <w:szCs w:val="20"/>
              </w:rPr>
              <w:t>源电能，项目不属于高耗能、重污染的企业，项目废气经集气罩</w:t>
            </w:r>
            <w:r>
              <w:rPr>
                <w:rFonts w:ascii="Times New Roman" w:hAnsi="Times New Roman" w:eastAsia="Times New Roman" w:cs="Times New Roman"/>
                <w:spacing w:val="9"/>
                <w:sz w:val="20"/>
                <w:szCs w:val="20"/>
              </w:rPr>
              <w:t>+</w:t>
            </w:r>
            <w:r>
              <w:rPr>
                <w:rFonts w:ascii="宋体" w:hAnsi="宋体" w:eastAsia="宋体" w:cs="宋体"/>
                <w:spacing w:val="9"/>
                <w:sz w:val="20"/>
                <w:szCs w:val="20"/>
              </w:rPr>
              <w:t>三级活性炭吸附</w:t>
            </w:r>
            <w:r>
              <w:rPr>
                <w:rFonts w:ascii="Times New Roman" w:hAnsi="Times New Roman" w:eastAsia="Times New Roman" w:cs="Times New Roman"/>
                <w:spacing w:val="6"/>
                <w:sz w:val="20"/>
                <w:szCs w:val="20"/>
              </w:rPr>
              <w:t xml:space="preserve">+15m </w:t>
            </w:r>
            <w:r>
              <w:rPr>
                <w:rFonts w:ascii="宋体" w:hAnsi="宋体" w:eastAsia="宋体" w:cs="宋体"/>
                <w:spacing w:val="6"/>
                <w:sz w:val="20"/>
                <w:szCs w:val="20"/>
              </w:rPr>
              <w:t>排气筒</w:t>
            </w:r>
          </w:p>
          <w:p w14:paraId="61062960">
            <w:pPr>
              <w:spacing w:before="2" w:line="376" w:lineRule="auto"/>
              <w:ind w:left="114" w:right="173" w:firstLine="10"/>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z w:val="20"/>
                <w:szCs w:val="20"/>
              </w:rPr>
              <w:t>DA</w:t>
            </w:r>
            <w:r>
              <w:rPr>
                <w:rFonts w:ascii="Times New Roman" w:hAnsi="Times New Roman" w:eastAsia="Times New Roman" w:cs="Times New Roman"/>
                <w:spacing w:val="7"/>
                <w:sz w:val="20"/>
                <w:szCs w:val="20"/>
              </w:rPr>
              <w:t>005</w:t>
            </w:r>
            <w:r>
              <w:rPr>
                <w:rFonts w:ascii="宋体" w:hAnsi="宋体" w:eastAsia="宋体" w:cs="宋体"/>
                <w:spacing w:val="7"/>
                <w:sz w:val="20"/>
                <w:szCs w:val="20"/>
              </w:rPr>
              <w:t>）处理后可</w:t>
            </w:r>
            <w:r>
              <w:rPr>
                <w:rFonts w:ascii="宋体" w:hAnsi="宋体" w:eastAsia="宋体" w:cs="宋体"/>
                <w:spacing w:val="6"/>
                <w:sz w:val="20"/>
                <w:szCs w:val="20"/>
              </w:rPr>
              <w:t>达标排放。</w:t>
            </w:r>
          </w:p>
          <w:p w14:paraId="68ECB321">
            <w:pPr>
              <w:spacing w:before="5" w:line="368" w:lineRule="auto"/>
              <w:ind w:left="115" w:right="161" w:hanging="5"/>
              <w:rPr>
                <w:rFonts w:ascii="宋体" w:hAnsi="宋体" w:eastAsia="宋体" w:cs="宋体"/>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26"/>
                <w:sz w:val="20"/>
                <w:szCs w:val="20"/>
              </w:rPr>
              <w:t xml:space="preserve"> </w:t>
            </w:r>
            <w:r>
              <w:rPr>
                <w:rFonts w:ascii="宋体" w:hAnsi="宋体" w:eastAsia="宋体" w:cs="宋体"/>
                <w:spacing w:val="6"/>
                <w:sz w:val="20"/>
                <w:szCs w:val="20"/>
              </w:rPr>
              <w:t>、厂区将按照国家</w:t>
            </w:r>
            <w:r>
              <w:rPr>
                <w:rFonts w:ascii="宋体" w:hAnsi="宋体" w:eastAsia="宋体" w:cs="宋体"/>
                <w:spacing w:val="8"/>
                <w:sz w:val="20"/>
                <w:szCs w:val="20"/>
              </w:rPr>
              <w:t>有关规定进行监测，项目不涉及有毒有害大气污染物，不属于</w:t>
            </w:r>
            <w:r>
              <w:rPr>
                <w:rFonts w:ascii="宋体" w:hAnsi="宋体" w:eastAsia="宋体" w:cs="宋体"/>
                <w:spacing w:val="6"/>
                <w:sz w:val="20"/>
                <w:szCs w:val="20"/>
              </w:rPr>
              <w:t>重点排污单位。</w:t>
            </w:r>
          </w:p>
        </w:tc>
        <w:tc>
          <w:tcPr>
            <w:tcW w:w="628" w:type="dxa"/>
            <w:vAlign w:val="top"/>
          </w:tcPr>
          <w:p w14:paraId="137E9543">
            <w:pPr>
              <w:rPr>
                <w:rFonts w:ascii="Arial"/>
                <w:sz w:val="21"/>
              </w:rPr>
            </w:pPr>
          </w:p>
        </w:tc>
        <w:tc>
          <w:tcPr>
            <w:tcW w:w="124" w:type="dxa"/>
            <w:vMerge w:val="restart"/>
            <w:tcBorders>
              <w:top w:val="single" w:color="000000" w:sz="6" w:space="0"/>
              <w:bottom w:val="nil"/>
              <w:right w:val="single" w:color="000000" w:sz="6" w:space="0"/>
            </w:tcBorders>
            <w:vAlign w:val="top"/>
          </w:tcPr>
          <w:p w14:paraId="54C5FF8A">
            <w:pPr>
              <w:rPr>
                <w:rFonts w:ascii="Arial"/>
                <w:sz w:val="21"/>
              </w:rPr>
            </w:pPr>
          </w:p>
        </w:tc>
      </w:tr>
      <w:tr w14:paraId="07323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2" w:hRule="atLeast"/>
        </w:trPr>
        <w:tc>
          <w:tcPr>
            <w:tcW w:w="1161" w:type="dxa"/>
            <w:vMerge w:val="continue"/>
            <w:tcBorders>
              <w:top w:val="nil"/>
              <w:left w:val="single" w:color="000000" w:sz="6" w:space="0"/>
              <w:bottom w:val="single" w:color="000000" w:sz="6" w:space="0"/>
            </w:tcBorders>
            <w:vAlign w:val="top"/>
          </w:tcPr>
          <w:p w14:paraId="2B0D8B59">
            <w:pPr>
              <w:rPr>
                <w:rFonts w:ascii="Arial"/>
                <w:sz w:val="21"/>
              </w:rPr>
            </w:pPr>
          </w:p>
        </w:tc>
        <w:tc>
          <w:tcPr>
            <w:tcW w:w="114" w:type="dxa"/>
            <w:tcBorders>
              <w:top w:val="nil"/>
              <w:bottom w:val="single" w:color="000000" w:sz="6" w:space="0"/>
            </w:tcBorders>
            <w:vAlign w:val="top"/>
          </w:tcPr>
          <w:p w14:paraId="1EC1D2C6">
            <w:pPr>
              <w:rPr>
                <w:rFonts w:ascii="Arial"/>
                <w:sz w:val="21"/>
              </w:rPr>
            </w:pPr>
          </w:p>
        </w:tc>
        <w:tc>
          <w:tcPr>
            <w:tcW w:w="631" w:type="dxa"/>
            <w:textDirection w:val="tbRlV"/>
            <w:vAlign w:val="top"/>
          </w:tcPr>
          <w:p w14:paraId="2D7A27B2">
            <w:pPr>
              <w:spacing w:before="214" w:line="216" w:lineRule="auto"/>
              <w:ind w:left="446"/>
              <w:rPr>
                <w:rFonts w:ascii="宋体" w:hAnsi="宋体" w:eastAsia="宋体" w:cs="宋体"/>
                <w:sz w:val="20"/>
                <w:szCs w:val="20"/>
              </w:rPr>
            </w:pPr>
            <w:r>
              <w:rPr>
                <w:rFonts w:ascii="宋体" w:hAnsi="宋体" w:eastAsia="宋体" w:cs="宋体"/>
                <w:spacing w:val="8"/>
                <w:sz w:val="20"/>
                <w:szCs w:val="20"/>
              </w:rPr>
              <w:t>地</w:t>
            </w:r>
            <w:r>
              <w:rPr>
                <w:rFonts w:ascii="宋体" w:hAnsi="宋体" w:eastAsia="宋体" w:cs="宋体"/>
                <w:spacing w:val="106"/>
                <w:sz w:val="20"/>
                <w:szCs w:val="20"/>
              </w:rPr>
              <w:t xml:space="preserve"> </w:t>
            </w:r>
            <w:r>
              <w:rPr>
                <w:rFonts w:ascii="宋体" w:hAnsi="宋体" w:eastAsia="宋体" w:cs="宋体"/>
                <w:spacing w:val="8"/>
                <w:sz w:val="20"/>
                <w:szCs w:val="20"/>
              </w:rPr>
              <w:t>下</w:t>
            </w:r>
            <w:r>
              <w:rPr>
                <w:rFonts w:ascii="宋体" w:hAnsi="宋体" w:eastAsia="宋体" w:cs="宋体"/>
                <w:spacing w:val="1"/>
                <w:sz w:val="20"/>
                <w:szCs w:val="20"/>
              </w:rPr>
              <w:t xml:space="preserve">  </w:t>
            </w:r>
            <w:r>
              <w:rPr>
                <w:rFonts w:ascii="宋体" w:hAnsi="宋体" w:eastAsia="宋体" w:cs="宋体"/>
                <w:spacing w:val="8"/>
                <w:sz w:val="20"/>
                <w:szCs w:val="20"/>
              </w:rPr>
              <w:t>水</w:t>
            </w:r>
            <w:r>
              <w:rPr>
                <w:rFonts w:ascii="宋体" w:hAnsi="宋体" w:eastAsia="宋体" w:cs="宋体"/>
                <w:spacing w:val="99"/>
                <w:sz w:val="20"/>
                <w:szCs w:val="20"/>
              </w:rPr>
              <w:t xml:space="preserve"> </w:t>
            </w:r>
            <w:r>
              <w:rPr>
                <w:rFonts w:ascii="宋体" w:hAnsi="宋体" w:eastAsia="宋体" w:cs="宋体"/>
                <w:spacing w:val="8"/>
                <w:sz w:val="20"/>
                <w:szCs w:val="20"/>
              </w:rPr>
              <w:t>环</w:t>
            </w:r>
            <w:r>
              <w:rPr>
                <w:rFonts w:ascii="宋体" w:hAnsi="宋体" w:eastAsia="宋体" w:cs="宋体"/>
                <w:spacing w:val="99"/>
                <w:sz w:val="20"/>
                <w:szCs w:val="20"/>
              </w:rPr>
              <w:t xml:space="preserve"> </w:t>
            </w:r>
            <w:r>
              <w:rPr>
                <w:rFonts w:ascii="宋体" w:hAnsi="宋体" w:eastAsia="宋体" w:cs="宋体"/>
                <w:spacing w:val="8"/>
                <w:sz w:val="20"/>
                <w:szCs w:val="20"/>
              </w:rPr>
              <w:t>境</w:t>
            </w:r>
            <w:r>
              <w:rPr>
                <w:rFonts w:ascii="宋体" w:hAnsi="宋体" w:eastAsia="宋体" w:cs="宋体"/>
                <w:spacing w:val="100"/>
                <w:sz w:val="20"/>
                <w:szCs w:val="20"/>
              </w:rPr>
              <w:t xml:space="preserve"> </w:t>
            </w:r>
            <w:r>
              <w:rPr>
                <w:rFonts w:ascii="宋体" w:hAnsi="宋体" w:eastAsia="宋体" w:cs="宋体"/>
                <w:spacing w:val="8"/>
                <w:sz w:val="20"/>
                <w:szCs w:val="20"/>
              </w:rPr>
              <w:t>影</w:t>
            </w:r>
            <w:r>
              <w:rPr>
                <w:rFonts w:ascii="宋体" w:hAnsi="宋体" w:eastAsia="宋体" w:cs="宋体"/>
                <w:sz w:val="20"/>
                <w:szCs w:val="20"/>
              </w:rPr>
              <w:t xml:space="preserve">  </w:t>
            </w:r>
            <w:r>
              <w:rPr>
                <w:rFonts w:ascii="宋体" w:hAnsi="宋体" w:eastAsia="宋体" w:cs="宋体"/>
                <w:spacing w:val="8"/>
                <w:sz w:val="20"/>
                <w:szCs w:val="20"/>
              </w:rPr>
              <w:t>响</w:t>
            </w:r>
            <w:r>
              <w:rPr>
                <w:rFonts w:ascii="宋体" w:hAnsi="宋体" w:eastAsia="宋体" w:cs="宋体"/>
                <w:spacing w:val="100"/>
                <w:sz w:val="20"/>
                <w:szCs w:val="20"/>
              </w:rPr>
              <w:t xml:space="preserve"> </w:t>
            </w:r>
            <w:r>
              <w:rPr>
                <w:rFonts w:ascii="宋体" w:hAnsi="宋体" w:eastAsia="宋体" w:cs="宋体"/>
                <w:spacing w:val="8"/>
                <w:sz w:val="20"/>
                <w:szCs w:val="20"/>
              </w:rPr>
              <w:t>减</w:t>
            </w:r>
            <w:r>
              <w:rPr>
                <w:rFonts w:ascii="宋体" w:hAnsi="宋体" w:eastAsia="宋体" w:cs="宋体"/>
                <w:spacing w:val="100"/>
                <w:sz w:val="20"/>
                <w:szCs w:val="20"/>
              </w:rPr>
              <w:t xml:space="preserve"> </w:t>
            </w:r>
            <w:r>
              <w:rPr>
                <w:rFonts w:ascii="宋体" w:hAnsi="宋体" w:eastAsia="宋体" w:cs="宋体"/>
                <w:spacing w:val="8"/>
                <w:sz w:val="20"/>
                <w:szCs w:val="20"/>
              </w:rPr>
              <w:t>缓</w:t>
            </w:r>
            <w:r>
              <w:rPr>
                <w:rFonts w:ascii="宋体" w:hAnsi="宋体" w:eastAsia="宋体" w:cs="宋体"/>
                <w:spacing w:val="99"/>
                <w:sz w:val="20"/>
                <w:szCs w:val="20"/>
              </w:rPr>
              <w:t xml:space="preserve"> </w:t>
            </w:r>
            <w:r>
              <w:rPr>
                <w:rFonts w:ascii="宋体" w:hAnsi="宋体" w:eastAsia="宋体" w:cs="宋体"/>
                <w:spacing w:val="8"/>
                <w:sz w:val="20"/>
                <w:szCs w:val="20"/>
              </w:rPr>
              <w:t>措</w:t>
            </w:r>
            <w:r>
              <w:rPr>
                <w:rFonts w:ascii="宋体" w:hAnsi="宋体" w:eastAsia="宋体" w:cs="宋体"/>
                <w:sz w:val="20"/>
                <w:szCs w:val="20"/>
              </w:rPr>
              <w:t xml:space="preserve">  </w:t>
            </w:r>
            <w:r>
              <w:rPr>
                <w:rFonts w:ascii="宋体" w:hAnsi="宋体" w:eastAsia="宋体" w:cs="宋体"/>
                <w:spacing w:val="8"/>
                <w:sz w:val="20"/>
                <w:szCs w:val="20"/>
              </w:rPr>
              <w:t>施</w:t>
            </w:r>
          </w:p>
        </w:tc>
        <w:tc>
          <w:tcPr>
            <w:tcW w:w="4051" w:type="dxa"/>
            <w:vAlign w:val="top"/>
          </w:tcPr>
          <w:p w14:paraId="7F01C63C">
            <w:pPr>
              <w:spacing w:before="38" w:line="377" w:lineRule="auto"/>
              <w:ind w:left="107" w:right="34" w:firstLine="17"/>
              <w:rPr>
                <w:rFonts w:ascii="宋体" w:hAnsi="宋体" w:eastAsia="宋体" w:cs="宋体"/>
                <w:sz w:val="20"/>
                <w:szCs w:val="20"/>
              </w:rPr>
            </w:pPr>
            <w:r>
              <w:rPr>
                <w:rFonts w:ascii="宋体" w:hAnsi="宋体" w:eastAsia="宋体" w:cs="宋体"/>
                <w:spacing w:val="8"/>
                <w:sz w:val="20"/>
                <w:szCs w:val="20"/>
              </w:rPr>
              <w:t>园区重点危险废水暂存区参照执行《危险</w:t>
            </w:r>
            <w:r>
              <w:rPr>
                <w:rFonts w:ascii="宋体" w:hAnsi="宋体" w:eastAsia="宋体" w:cs="宋体"/>
                <w:spacing w:val="-6"/>
                <w:sz w:val="20"/>
                <w:szCs w:val="20"/>
              </w:rPr>
              <w:t>废物贮存污染控制标准》（</w:t>
            </w:r>
            <w:r>
              <w:rPr>
                <w:rFonts w:ascii="Times New Roman" w:hAnsi="Times New Roman" w:eastAsia="Times New Roman" w:cs="Times New Roman"/>
                <w:spacing w:val="-6"/>
                <w:sz w:val="20"/>
                <w:szCs w:val="20"/>
              </w:rPr>
              <w:t>GB18597-2023</w:t>
            </w:r>
            <w:r>
              <w:rPr>
                <w:rFonts w:ascii="宋体" w:hAnsi="宋体" w:eastAsia="宋体" w:cs="宋体"/>
                <w:spacing w:val="-6"/>
                <w:sz w:val="20"/>
                <w:szCs w:val="20"/>
              </w:rPr>
              <w:t>）、</w:t>
            </w:r>
            <w:r>
              <w:rPr>
                <w:rFonts w:ascii="宋体" w:hAnsi="宋体" w:eastAsia="宋体" w:cs="宋体"/>
                <w:spacing w:val="1"/>
                <w:sz w:val="20"/>
                <w:szCs w:val="20"/>
              </w:rPr>
              <w:t>危险化学品、油库等储罐区域参照执行《石</w:t>
            </w:r>
            <w:r>
              <w:rPr>
                <w:rFonts w:ascii="宋体" w:hAnsi="宋体" w:eastAsia="宋体" w:cs="宋体"/>
                <w:spacing w:val="8"/>
                <w:sz w:val="20"/>
                <w:szCs w:val="20"/>
              </w:rPr>
              <w:t>油化工企业防渗技术规范》</w:t>
            </w:r>
          </w:p>
          <w:p w14:paraId="46F7084A">
            <w:pPr>
              <w:spacing w:before="1" w:line="377" w:lineRule="auto"/>
              <w:ind w:left="111" w:right="34" w:firstLine="6"/>
              <w:rPr>
                <w:rFonts w:ascii="宋体" w:hAnsi="宋体" w:eastAsia="宋体" w:cs="宋体"/>
                <w:sz w:val="20"/>
                <w:szCs w:val="20"/>
              </w:rPr>
            </w:pPr>
            <w:r>
              <w:rPr>
                <w:rFonts w:ascii="宋体" w:hAnsi="宋体" w:eastAsia="宋体" w:cs="宋体"/>
                <w:spacing w:val="3"/>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3"/>
                <w:sz w:val="20"/>
                <w:szCs w:val="20"/>
              </w:rPr>
              <w:t>/T50934-2013</w:t>
            </w:r>
            <w:r>
              <w:rPr>
                <w:rFonts w:ascii="宋体" w:hAnsi="宋体" w:eastAsia="宋体" w:cs="宋体"/>
                <w:spacing w:val="3"/>
                <w:sz w:val="20"/>
                <w:szCs w:val="20"/>
              </w:rPr>
              <w:t>）等相关要求进行</w:t>
            </w:r>
            <w:r>
              <w:rPr>
                <w:rFonts w:ascii="宋体" w:hAnsi="宋体" w:eastAsia="宋体" w:cs="宋体"/>
                <w:spacing w:val="2"/>
                <w:sz w:val="20"/>
                <w:szCs w:val="20"/>
              </w:rPr>
              <w:t>分析。</w:t>
            </w:r>
            <w:r>
              <w:rPr>
                <w:rFonts w:ascii="宋体" w:hAnsi="宋体" w:eastAsia="宋体" w:cs="宋体"/>
                <w:spacing w:val="9"/>
                <w:sz w:val="20"/>
                <w:szCs w:val="20"/>
              </w:rPr>
              <w:t>没有国家标准或行业防渗技术规范的企</w:t>
            </w:r>
          </w:p>
          <w:p w14:paraId="5D9775A5">
            <w:pPr>
              <w:spacing w:line="377" w:lineRule="auto"/>
              <w:ind w:left="107" w:right="34"/>
              <w:rPr>
                <w:rFonts w:ascii="宋体" w:hAnsi="宋体" w:eastAsia="宋体" w:cs="宋体"/>
                <w:sz w:val="20"/>
                <w:szCs w:val="20"/>
              </w:rPr>
            </w:pPr>
            <w:r>
              <w:rPr>
                <w:rFonts w:ascii="宋体" w:hAnsi="宋体" w:eastAsia="宋体" w:cs="宋体"/>
                <w:spacing w:val="6"/>
                <w:sz w:val="20"/>
                <w:szCs w:val="20"/>
              </w:rPr>
              <w:t>业，参照执行《环境影响评价技术导则 地</w:t>
            </w:r>
            <w:r>
              <w:rPr>
                <w:rFonts w:ascii="宋体" w:hAnsi="宋体" w:eastAsia="宋体" w:cs="宋体"/>
                <w:spacing w:val="5"/>
                <w:sz w:val="20"/>
                <w:szCs w:val="20"/>
              </w:rPr>
              <w:t>下水》（</w:t>
            </w:r>
            <w:r>
              <w:rPr>
                <w:rFonts w:ascii="Times New Roman" w:hAnsi="Times New Roman" w:eastAsia="Times New Roman" w:cs="Times New Roman"/>
                <w:sz w:val="20"/>
                <w:szCs w:val="20"/>
              </w:rPr>
              <w:t>HJ</w:t>
            </w:r>
            <w:r>
              <w:rPr>
                <w:rFonts w:ascii="Times New Roman" w:hAnsi="Times New Roman" w:eastAsia="Times New Roman" w:cs="Times New Roman"/>
                <w:spacing w:val="5"/>
                <w:sz w:val="20"/>
                <w:szCs w:val="20"/>
              </w:rPr>
              <w:t>6102016</w:t>
            </w:r>
            <w:r>
              <w:rPr>
                <w:rFonts w:ascii="宋体" w:hAnsi="宋体" w:eastAsia="宋体" w:cs="宋体"/>
                <w:spacing w:val="5"/>
                <w:sz w:val="20"/>
                <w:szCs w:val="20"/>
              </w:rPr>
              <w:t>）中各防渗区要求。工业固废堆存按照《一般工业固体废物贮存、</w:t>
            </w:r>
            <w:r>
              <w:rPr>
                <w:rFonts w:ascii="宋体" w:hAnsi="宋体" w:eastAsia="宋体" w:cs="宋体"/>
                <w:spacing w:val="7"/>
                <w:sz w:val="20"/>
                <w:szCs w:val="20"/>
              </w:rPr>
              <w:t>处置污染控制标准》（</w:t>
            </w:r>
            <w:r>
              <w:rPr>
                <w:rFonts w:ascii="Times New Roman" w:hAnsi="Times New Roman" w:eastAsia="Times New Roman" w:cs="Times New Roman"/>
                <w:spacing w:val="7"/>
                <w:sz w:val="20"/>
                <w:szCs w:val="20"/>
              </w:rPr>
              <w:t>18599-2001</w:t>
            </w:r>
            <w:r>
              <w:rPr>
                <w:rFonts w:ascii="宋体" w:hAnsi="宋体" w:eastAsia="宋体" w:cs="宋体"/>
                <w:spacing w:val="7"/>
                <w:sz w:val="20"/>
                <w:szCs w:val="20"/>
              </w:rPr>
              <w:t>）要求选址及防渗设计。</w:t>
            </w:r>
          </w:p>
          <w:p w14:paraId="51643E86">
            <w:pPr>
              <w:spacing w:line="359" w:lineRule="auto"/>
              <w:ind w:left="108" w:right="165" w:hanging="1"/>
              <w:rPr>
                <w:rFonts w:ascii="宋体" w:hAnsi="宋体" w:eastAsia="宋体" w:cs="宋体"/>
                <w:sz w:val="20"/>
                <w:szCs w:val="20"/>
              </w:rPr>
            </w:pPr>
            <w:r>
              <w:rPr>
                <w:rFonts w:ascii="宋体" w:hAnsi="宋体" w:eastAsia="宋体" w:cs="宋体"/>
                <w:spacing w:val="9"/>
                <w:sz w:val="20"/>
                <w:szCs w:val="20"/>
              </w:rPr>
              <w:t>①杜绝高污染，高排水和淘汰落后工艺性</w:t>
            </w:r>
            <w:r>
              <w:rPr>
                <w:rFonts w:ascii="宋体" w:hAnsi="宋体" w:eastAsia="宋体" w:cs="宋体"/>
                <w:spacing w:val="7"/>
                <w:sz w:val="20"/>
                <w:szCs w:val="20"/>
              </w:rPr>
              <w:t>质企业入园</w:t>
            </w:r>
          </w:p>
        </w:tc>
        <w:tc>
          <w:tcPr>
            <w:tcW w:w="2163" w:type="dxa"/>
            <w:vAlign w:val="top"/>
          </w:tcPr>
          <w:p w14:paraId="5CD58A97">
            <w:pPr>
              <w:spacing w:before="38" w:line="227" w:lineRule="auto"/>
              <w:ind w:left="116"/>
              <w:rPr>
                <w:rFonts w:ascii="宋体" w:hAnsi="宋体" w:eastAsia="宋体" w:cs="宋体"/>
                <w:sz w:val="20"/>
                <w:szCs w:val="20"/>
              </w:rPr>
            </w:pPr>
            <w:r>
              <w:rPr>
                <w:rFonts w:ascii="宋体" w:hAnsi="宋体" w:eastAsia="宋体" w:cs="宋体"/>
                <w:spacing w:val="8"/>
                <w:sz w:val="20"/>
                <w:szCs w:val="20"/>
              </w:rPr>
              <w:t>本项目为塑料筐生产</w:t>
            </w:r>
          </w:p>
          <w:p w14:paraId="58372631">
            <w:pPr>
              <w:spacing w:before="161" w:line="228" w:lineRule="auto"/>
              <w:ind w:left="119"/>
              <w:rPr>
                <w:rFonts w:ascii="宋体" w:hAnsi="宋体" w:eastAsia="宋体" w:cs="宋体"/>
                <w:sz w:val="20"/>
                <w:szCs w:val="20"/>
              </w:rPr>
            </w:pPr>
            <w:r>
              <w:rPr>
                <w:rFonts w:ascii="宋体" w:hAnsi="宋体" w:eastAsia="宋体" w:cs="宋体"/>
                <w:spacing w:val="8"/>
                <w:sz w:val="20"/>
                <w:szCs w:val="20"/>
              </w:rPr>
              <w:t>项目，无危险废水产</w:t>
            </w:r>
          </w:p>
          <w:p w14:paraId="019A10A8">
            <w:pPr>
              <w:spacing w:before="164" w:line="228" w:lineRule="auto"/>
              <w:ind w:left="117"/>
              <w:rPr>
                <w:rFonts w:ascii="宋体" w:hAnsi="宋体" w:eastAsia="宋体" w:cs="宋体"/>
                <w:sz w:val="20"/>
                <w:szCs w:val="20"/>
              </w:rPr>
            </w:pPr>
            <w:r>
              <w:rPr>
                <w:rFonts w:ascii="宋体" w:hAnsi="宋体" w:eastAsia="宋体" w:cs="宋体"/>
                <w:spacing w:val="8"/>
                <w:sz w:val="20"/>
                <w:szCs w:val="20"/>
              </w:rPr>
              <w:t>生，项目危险废物废</w:t>
            </w:r>
          </w:p>
          <w:p w14:paraId="2B27D638">
            <w:pPr>
              <w:spacing w:before="160" w:line="227" w:lineRule="auto"/>
              <w:ind w:left="114"/>
              <w:rPr>
                <w:rFonts w:ascii="宋体" w:hAnsi="宋体" w:eastAsia="宋体" w:cs="宋体"/>
                <w:sz w:val="20"/>
                <w:szCs w:val="20"/>
              </w:rPr>
            </w:pPr>
            <w:r>
              <w:rPr>
                <w:rFonts w:ascii="宋体" w:hAnsi="宋体" w:eastAsia="宋体" w:cs="宋体"/>
                <w:spacing w:val="9"/>
                <w:sz w:val="20"/>
                <w:szCs w:val="20"/>
              </w:rPr>
              <w:t>机油和废旧活性炭分</w:t>
            </w:r>
          </w:p>
          <w:p w14:paraId="001823AA">
            <w:pPr>
              <w:spacing w:before="161" w:line="228" w:lineRule="auto"/>
              <w:ind w:left="115"/>
              <w:rPr>
                <w:rFonts w:ascii="宋体" w:hAnsi="宋体" w:eastAsia="宋体" w:cs="宋体"/>
                <w:sz w:val="20"/>
                <w:szCs w:val="20"/>
              </w:rPr>
            </w:pPr>
            <w:r>
              <w:rPr>
                <w:rFonts w:ascii="宋体" w:hAnsi="宋体" w:eastAsia="宋体" w:cs="宋体"/>
                <w:spacing w:val="8"/>
                <w:sz w:val="20"/>
                <w:szCs w:val="20"/>
              </w:rPr>
              <w:t>类暂存于厂区按照</w:t>
            </w:r>
          </w:p>
          <w:p w14:paraId="3F329D7F">
            <w:pPr>
              <w:spacing w:before="161" w:line="228" w:lineRule="auto"/>
              <w:ind w:left="121"/>
              <w:rPr>
                <w:rFonts w:ascii="宋体" w:hAnsi="宋体" w:eastAsia="宋体" w:cs="宋体"/>
                <w:sz w:val="20"/>
                <w:szCs w:val="20"/>
              </w:rPr>
            </w:pPr>
            <w:r>
              <w:rPr>
                <w:rFonts w:ascii="宋体" w:hAnsi="宋体" w:eastAsia="宋体" w:cs="宋体"/>
                <w:spacing w:val="8"/>
                <w:sz w:val="20"/>
                <w:szCs w:val="20"/>
              </w:rPr>
              <w:t>《危险废物贮存污染</w:t>
            </w:r>
          </w:p>
          <w:p w14:paraId="36A368E3">
            <w:pPr>
              <w:spacing w:before="164" w:line="228" w:lineRule="auto"/>
              <w:ind w:left="114"/>
              <w:rPr>
                <w:rFonts w:ascii="宋体" w:hAnsi="宋体" w:eastAsia="宋体" w:cs="宋体"/>
                <w:sz w:val="20"/>
                <w:szCs w:val="20"/>
              </w:rPr>
            </w:pPr>
            <w:r>
              <w:rPr>
                <w:rFonts w:ascii="宋体" w:hAnsi="宋体" w:eastAsia="宋体" w:cs="宋体"/>
                <w:spacing w:val="6"/>
                <w:sz w:val="20"/>
                <w:szCs w:val="20"/>
              </w:rPr>
              <w:t>控制标准》</w:t>
            </w:r>
          </w:p>
          <w:p w14:paraId="71F3DB7B">
            <w:pPr>
              <w:spacing w:before="160" w:line="231" w:lineRule="auto"/>
              <w:ind w:left="125"/>
              <w:rPr>
                <w:rFonts w:ascii="宋体" w:hAnsi="宋体" w:eastAsia="宋体" w:cs="宋体"/>
                <w:sz w:val="20"/>
                <w:szCs w:val="20"/>
              </w:rPr>
            </w:pPr>
            <w:r>
              <w:rPr>
                <w:rFonts w:ascii="宋体" w:hAnsi="宋体" w:eastAsia="宋体" w:cs="宋体"/>
                <w:spacing w:val="5"/>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18597-2023</w:t>
            </w:r>
            <w:r>
              <w:rPr>
                <w:rFonts w:ascii="宋体" w:hAnsi="宋体" w:eastAsia="宋体" w:cs="宋体"/>
                <w:spacing w:val="5"/>
                <w:sz w:val="20"/>
                <w:szCs w:val="20"/>
              </w:rPr>
              <w:t>）要</w:t>
            </w:r>
          </w:p>
          <w:p w14:paraId="65862096">
            <w:pPr>
              <w:spacing w:before="158" w:line="228" w:lineRule="auto"/>
              <w:ind w:left="117"/>
              <w:rPr>
                <w:rFonts w:ascii="宋体" w:hAnsi="宋体" w:eastAsia="宋体" w:cs="宋体"/>
                <w:sz w:val="20"/>
                <w:szCs w:val="20"/>
              </w:rPr>
            </w:pPr>
            <w:r>
              <w:rPr>
                <w:rFonts w:ascii="宋体" w:hAnsi="宋体" w:eastAsia="宋体" w:cs="宋体"/>
                <w:spacing w:val="8"/>
                <w:sz w:val="20"/>
                <w:szCs w:val="20"/>
              </w:rPr>
              <w:t>求已建的危废暂存间</w:t>
            </w:r>
          </w:p>
          <w:p w14:paraId="3458631C">
            <w:pPr>
              <w:spacing w:before="161" w:line="227" w:lineRule="auto"/>
              <w:ind w:left="135"/>
              <w:rPr>
                <w:rFonts w:ascii="宋体" w:hAnsi="宋体" w:eastAsia="宋体" w:cs="宋体"/>
                <w:sz w:val="20"/>
                <w:szCs w:val="20"/>
              </w:rPr>
            </w:pPr>
            <w:r>
              <w:rPr>
                <w:rFonts w:ascii="宋体" w:hAnsi="宋体" w:eastAsia="宋体" w:cs="宋体"/>
                <w:spacing w:val="3"/>
                <w:sz w:val="20"/>
                <w:szCs w:val="20"/>
              </w:rPr>
              <w:t>中，采用</w:t>
            </w:r>
            <w:r>
              <w:rPr>
                <w:rFonts w:ascii="Times New Roman" w:hAnsi="Times New Roman" w:eastAsia="Times New Roman" w:cs="Times New Roman"/>
                <w:spacing w:val="3"/>
                <w:sz w:val="20"/>
                <w:szCs w:val="20"/>
              </w:rPr>
              <w:t>“</w:t>
            </w:r>
            <w:r>
              <w:rPr>
                <w:rFonts w:ascii="宋体" w:hAnsi="宋体" w:eastAsia="宋体" w:cs="宋体"/>
                <w:spacing w:val="3"/>
                <w:sz w:val="20"/>
                <w:szCs w:val="20"/>
              </w:rPr>
              <w:t>混凝土硬化</w:t>
            </w:r>
          </w:p>
          <w:p w14:paraId="3A096F97">
            <w:pPr>
              <w:spacing w:before="165" w:line="228" w:lineRule="auto"/>
              <w:ind w:left="111"/>
              <w:rPr>
                <w:rFonts w:ascii="宋体" w:hAnsi="宋体" w:eastAsia="宋体" w:cs="宋体"/>
                <w:sz w:val="20"/>
                <w:szCs w:val="20"/>
              </w:rPr>
            </w:pPr>
            <w:r>
              <w:rPr>
                <w:rFonts w:ascii="Times New Roman" w:hAnsi="Times New Roman" w:eastAsia="Times New Roman" w:cs="Times New Roman"/>
                <w:spacing w:val="8"/>
                <w:sz w:val="20"/>
                <w:szCs w:val="20"/>
              </w:rPr>
              <w:t>+</w:t>
            </w:r>
            <w:r>
              <w:rPr>
                <w:rFonts w:ascii="宋体" w:hAnsi="宋体" w:eastAsia="宋体" w:cs="宋体"/>
                <w:spacing w:val="8"/>
                <w:sz w:val="20"/>
                <w:szCs w:val="20"/>
              </w:rPr>
              <w:t>对墙面地面涂刷环</w:t>
            </w:r>
          </w:p>
          <w:p w14:paraId="2C30D2C5">
            <w:pPr>
              <w:spacing w:before="161" w:line="227" w:lineRule="auto"/>
              <w:ind w:left="116"/>
              <w:rPr>
                <w:rFonts w:ascii="宋体" w:hAnsi="宋体" w:eastAsia="宋体" w:cs="宋体"/>
                <w:sz w:val="20"/>
                <w:szCs w:val="20"/>
              </w:rPr>
            </w:pPr>
            <w:r>
              <w:rPr>
                <w:rFonts w:ascii="宋体" w:hAnsi="宋体" w:eastAsia="宋体" w:cs="宋体"/>
                <w:spacing w:val="8"/>
                <w:sz w:val="20"/>
                <w:szCs w:val="20"/>
              </w:rPr>
              <w:t>氧树脂涂料</w:t>
            </w:r>
            <w:r>
              <w:rPr>
                <w:rFonts w:ascii="Times New Roman" w:hAnsi="Times New Roman" w:eastAsia="Times New Roman" w:cs="Times New Roman"/>
                <w:spacing w:val="8"/>
                <w:sz w:val="20"/>
                <w:szCs w:val="20"/>
              </w:rPr>
              <w:t>”</w:t>
            </w:r>
            <w:r>
              <w:rPr>
                <w:rFonts w:ascii="宋体" w:hAnsi="宋体" w:eastAsia="宋体" w:cs="宋体"/>
                <w:spacing w:val="8"/>
                <w:sz w:val="20"/>
                <w:szCs w:val="20"/>
              </w:rPr>
              <w:t>进行重</w:t>
            </w:r>
          </w:p>
          <w:p w14:paraId="199D8FB9">
            <w:pPr>
              <w:spacing w:before="162" w:line="228" w:lineRule="auto"/>
              <w:ind w:left="126"/>
              <w:rPr>
                <w:rFonts w:ascii="宋体" w:hAnsi="宋体" w:eastAsia="宋体" w:cs="宋体"/>
                <w:sz w:val="20"/>
                <w:szCs w:val="20"/>
              </w:rPr>
            </w:pPr>
            <w:r>
              <w:rPr>
                <w:rFonts w:ascii="宋体" w:hAnsi="宋体" w:eastAsia="宋体" w:cs="宋体"/>
                <w:spacing w:val="7"/>
                <w:sz w:val="20"/>
                <w:szCs w:val="20"/>
              </w:rPr>
              <w:t>点防渗处理，渗透系</w:t>
            </w:r>
          </w:p>
        </w:tc>
        <w:tc>
          <w:tcPr>
            <w:tcW w:w="628" w:type="dxa"/>
            <w:textDirection w:val="tbRlV"/>
            <w:vAlign w:val="top"/>
          </w:tcPr>
          <w:p w14:paraId="19568256">
            <w:pPr>
              <w:spacing w:before="201" w:line="215" w:lineRule="auto"/>
              <w:ind w:left="2284"/>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4" w:type="dxa"/>
            <w:vMerge w:val="continue"/>
            <w:tcBorders>
              <w:top w:val="nil"/>
              <w:bottom w:val="single" w:color="000000" w:sz="6" w:space="0"/>
              <w:right w:val="single" w:color="000000" w:sz="6" w:space="0"/>
            </w:tcBorders>
            <w:vAlign w:val="top"/>
          </w:tcPr>
          <w:p w14:paraId="22CF641D">
            <w:pPr>
              <w:rPr>
                <w:rFonts w:ascii="Arial"/>
                <w:sz w:val="21"/>
              </w:rPr>
            </w:pPr>
          </w:p>
        </w:tc>
      </w:tr>
    </w:tbl>
    <w:p w14:paraId="03E88E6C">
      <w:pPr>
        <w:pStyle w:val="2"/>
      </w:pPr>
    </w:p>
    <w:p w14:paraId="761F473B">
      <w:pPr>
        <w:sectPr>
          <w:footerReference r:id="rId13" w:type="default"/>
          <w:pgSz w:w="11906" w:h="16839"/>
          <w:pgMar w:top="400" w:right="1509" w:bottom="1329" w:left="1509" w:header="0" w:footer="1113" w:gutter="0"/>
          <w:cols w:space="720" w:num="1"/>
        </w:sectPr>
      </w:pPr>
    </w:p>
    <w:p w14:paraId="3070F887">
      <w:pPr>
        <w:spacing w:before="19"/>
      </w:pPr>
    </w:p>
    <w:p w14:paraId="3DE76290">
      <w:pPr>
        <w:spacing w:before="19"/>
      </w:pPr>
    </w:p>
    <w:p w14:paraId="71575EC9">
      <w:pPr>
        <w:spacing w:before="19"/>
      </w:pPr>
    </w:p>
    <w:p w14:paraId="1BBB26F6">
      <w:pPr>
        <w:spacing w:before="18"/>
      </w:pPr>
    </w:p>
    <w:p w14:paraId="5FBF39CF">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4"/>
        <w:gridCol w:w="631"/>
        <w:gridCol w:w="4051"/>
        <w:gridCol w:w="2163"/>
        <w:gridCol w:w="628"/>
        <w:gridCol w:w="124"/>
      </w:tblGrid>
      <w:tr w14:paraId="62BA7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80" w:hRule="atLeast"/>
        </w:trPr>
        <w:tc>
          <w:tcPr>
            <w:tcW w:w="1161" w:type="dxa"/>
            <w:tcBorders>
              <w:top w:val="single" w:color="000000" w:sz="6" w:space="0"/>
              <w:left w:val="single" w:color="000000" w:sz="6" w:space="0"/>
              <w:bottom w:val="single" w:color="000000" w:sz="6" w:space="0"/>
            </w:tcBorders>
            <w:vAlign w:val="top"/>
          </w:tcPr>
          <w:p w14:paraId="70264954">
            <w:pPr>
              <w:rPr>
                <w:rFonts w:ascii="Arial"/>
                <w:sz w:val="21"/>
              </w:rPr>
            </w:pPr>
          </w:p>
        </w:tc>
        <w:tc>
          <w:tcPr>
            <w:tcW w:w="114" w:type="dxa"/>
            <w:tcBorders>
              <w:top w:val="single" w:color="000000" w:sz="6" w:space="0"/>
              <w:bottom w:val="single" w:color="000000" w:sz="6" w:space="0"/>
            </w:tcBorders>
            <w:vAlign w:val="top"/>
          </w:tcPr>
          <w:p w14:paraId="4DD3B4B0">
            <w:pPr>
              <w:rPr>
                <w:rFonts w:ascii="Arial"/>
                <w:sz w:val="21"/>
              </w:rPr>
            </w:pPr>
          </w:p>
        </w:tc>
        <w:tc>
          <w:tcPr>
            <w:tcW w:w="631" w:type="dxa"/>
            <w:vAlign w:val="top"/>
          </w:tcPr>
          <w:p w14:paraId="4652151A">
            <w:pPr>
              <w:rPr>
                <w:rFonts w:ascii="Arial"/>
                <w:sz w:val="21"/>
              </w:rPr>
            </w:pPr>
          </w:p>
        </w:tc>
        <w:tc>
          <w:tcPr>
            <w:tcW w:w="4051" w:type="dxa"/>
            <w:vAlign w:val="top"/>
          </w:tcPr>
          <w:p w14:paraId="3C584AA7">
            <w:pPr>
              <w:spacing w:before="36" w:line="377" w:lineRule="auto"/>
              <w:ind w:left="111" w:right="165" w:hanging="5"/>
              <w:rPr>
                <w:rFonts w:ascii="宋体" w:hAnsi="宋体" w:eastAsia="宋体" w:cs="宋体"/>
                <w:sz w:val="20"/>
                <w:szCs w:val="20"/>
              </w:rPr>
            </w:pPr>
            <w:r>
              <w:rPr>
                <w:rFonts w:ascii="宋体" w:hAnsi="宋体" w:eastAsia="宋体" w:cs="宋体"/>
                <w:spacing w:val="9"/>
                <w:sz w:val="20"/>
                <w:szCs w:val="20"/>
              </w:rPr>
              <w:t>②严禁入驻企业抽取地下水作为生产、生</w:t>
            </w:r>
            <w:r>
              <w:rPr>
                <w:rFonts w:ascii="宋体" w:hAnsi="宋体" w:eastAsia="宋体" w:cs="宋体"/>
                <w:spacing w:val="4"/>
                <w:sz w:val="20"/>
                <w:szCs w:val="20"/>
              </w:rPr>
              <w:t>活用水。</w:t>
            </w:r>
          </w:p>
          <w:p w14:paraId="163C5246">
            <w:pPr>
              <w:spacing w:before="2" w:line="376" w:lineRule="auto"/>
              <w:ind w:left="123" w:right="165" w:hanging="17"/>
              <w:rPr>
                <w:rFonts w:ascii="宋体" w:hAnsi="宋体" w:eastAsia="宋体" w:cs="宋体"/>
                <w:sz w:val="20"/>
                <w:szCs w:val="20"/>
              </w:rPr>
            </w:pPr>
            <w:r>
              <w:rPr>
                <w:rFonts w:ascii="宋体" w:hAnsi="宋体" w:eastAsia="宋体" w:cs="宋体"/>
                <w:spacing w:val="9"/>
                <w:sz w:val="20"/>
                <w:szCs w:val="20"/>
              </w:rPr>
              <w:t>③规范各入驻企业废水处理设施、生产车</w:t>
            </w:r>
            <w:r>
              <w:rPr>
                <w:rFonts w:ascii="宋体" w:hAnsi="宋体" w:eastAsia="宋体" w:cs="宋体"/>
                <w:spacing w:val="8"/>
                <w:sz w:val="20"/>
                <w:szCs w:val="20"/>
              </w:rPr>
              <w:t>间产污工段的地面应为硬化防渗地面，厂</w:t>
            </w:r>
            <w:r>
              <w:rPr>
                <w:rFonts w:ascii="宋体" w:hAnsi="宋体" w:eastAsia="宋体" w:cs="宋体"/>
                <w:spacing w:val="7"/>
                <w:sz w:val="20"/>
                <w:szCs w:val="20"/>
              </w:rPr>
              <w:t>内污水沟应有相应防渗措施。</w:t>
            </w:r>
          </w:p>
          <w:p w14:paraId="6EA12E20">
            <w:pPr>
              <w:spacing w:before="1" w:line="377" w:lineRule="auto"/>
              <w:ind w:left="106" w:right="165"/>
              <w:rPr>
                <w:rFonts w:ascii="宋体" w:hAnsi="宋体" w:eastAsia="宋体" w:cs="宋体"/>
                <w:sz w:val="20"/>
                <w:szCs w:val="20"/>
              </w:rPr>
            </w:pPr>
            <w:r>
              <w:rPr>
                <w:rFonts w:ascii="宋体" w:hAnsi="宋体" w:eastAsia="宋体" w:cs="宋体"/>
                <w:spacing w:val="9"/>
                <w:sz w:val="20"/>
                <w:szCs w:val="20"/>
              </w:rPr>
              <w:t>④生活垃圾临时堆存点和厂内固废临时堆</w:t>
            </w:r>
            <w:r>
              <w:rPr>
                <w:rFonts w:ascii="宋体" w:hAnsi="宋体" w:eastAsia="宋体" w:cs="宋体"/>
                <w:spacing w:val="8"/>
                <w:sz w:val="20"/>
                <w:szCs w:val="20"/>
              </w:rPr>
              <w:t>存点，必须具有防风、防雨、防渗措施，</w:t>
            </w:r>
          </w:p>
          <w:p w14:paraId="1FF8A265">
            <w:pPr>
              <w:spacing w:before="1" w:line="377" w:lineRule="auto"/>
              <w:ind w:left="107" w:right="34" w:firstLine="1"/>
              <w:rPr>
                <w:rFonts w:ascii="宋体" w:hAnsi="宋体" w:eastAsia="宋体" w:cs="宋体"/>
                <w:sz w:val="20"/>
                <w:szCs w:val="20"/>
              </w:rPr>
            </w:pPr>
            <w:r>
              <w:rPr>
                <w:rFonts w:ascii="宋体" w:hAnsi="宋体" w:eastAsia="宋体" w:cs="宋体"/>
                <w:spacing w:val="5"/>
                <w:sz w:val="20"/>
                <w:szCs w:val="20"/>
              </w:rPr>
              <w:t>严禁露天乱堆放。堆存点应做到上有雨棚、</w:t>
            </w:r>
            <w:r>
              <w:rPr>
                <w:rFonts w:ascii="宋体" w:hAnsi="宋体" w:eastAsia="宋体" w:cs="宋体"/>
                <w:spacing w:val="3"/>
                <w:sz w:val="20"/>
                <w:szCs w:val="20"/>
              </w:rPr>
              <w:t>底有混凝土层防渗，周边至少有</w:t>
            </w:r>
            <w:r>
              <w:rPr>
                <w:rFonts w:ascii="宋体" w:hAnsi="宋体" w:eastAsia="宋体" w:cs="宋体"/>
                <w:spacing w:val="-10"/>
                <w:sz w:val="20"/>
                <w:szCs w:val="20"/>
              </w:rPr>
              <w:t xml:space="preserve"> </w:t>
            </w:r>
            <w:r>
              <w:rPr>
                <w:rFonts w:ascii="Times New Roman" w:hAnsi="Times New Roman" w:eastAsia="Times New Roman" w:cs="Times New Roman"/>
                <w:spacing w:val="3"/>
                <w:sz w:val="20"/>
                <w:szCs w:val="20"/>
              </w:rPr>
              <w:t>1.5~2m</w:t>
            </w:r>
            <w:r>
              <w:rPr>
                <w:rFonts w:ascii="Times New Roman" w:hAnsi="Times New Roman" w:eastAsia="Times New Roman" w:cs="Times New Roman"/>
                <w:spacing w:val="15"/>
                <w:sz w:val="20"/>
                <w:szCs w:val="20"/>
              </w:rPr>
              <w:t xml:space="preserve"> </w:t>
            </w:r>
            <w:r>
              <w:rPr>
                <w:rFonts w:ascii="宋体" w:hAnsi="宋体" w:eastAsia="宋体" w:cs="宋体"/>
                <w:spacing w:val="3"/>
                <w:sz w:val="20"/>
                <w:szCs w:val="20"/>
              </w:rPr>
              <w:t>高</w:t>
            </w:r>
            <w:r>
              <w:rPr>
                <w:rFonts w:ascii="宋体" w:hAnsi="宋体" w:eastAsia="宋体" w:cs="宋体"/>
                <w:spacing w:val="8"/>
                <w:sz w:val="20"/>
                <w:szCs w:val="20"/>
              </w:rPr>
              <w:t>的挡墙和环形截雨沟。</w:t>
            </w:r>
          </w:p>
          <w:p w14:paraId="2A8BC25D">
            <w:pPr>
              <w:spacing w:before="1" w:line="376" w:lineRule="auto"/>
              <w:ind w:left="106" w:right="168"/>
              <w:rPr>
                <w:rFonts w:ascii="宋体" w:hAnsi="宋体" w:eastAsia="宋体" w:cs="宋体"/>
                <w:sz w:val="20"/>
                <w:szCs w:val="20"/>
              </w:rPr>
            </w:pPr>
            <w:r>
              <w:rPr>
                <w:rFonts w:ascii="宋体" w:hAnsi="宋体" w:eastAsia="宋体" w:cs="宋体"/>
                <w:spacing w:val="8"/>
                <w:sz w:val="20"/>
                <w:szCs w:val="20"/>
              </w:rPr>
              <w:t>⑤浸出毒性是</w:t>
            </w:r>
            <w:r>
              <w:rPr>
                <w:rFonts w:ascii="宋体" w:hAnsi="宋体" w:eastAsia="宋体" w:cs="宋体"/>
                <w:spacing w:val="-32"/>
                <w:sz w:val="20"/>
                <w:szCs w:val="20"/>
              </w:rPr>
              <w:t xml:space="preserve"> </w:t>
            </w:r>
            <w:r>
              <w:rPr>
                <w:rFonts w:ascii="Times New Roman" w:hAnsi="Times New Roman" w:eastAsia="Times New Roman" w:cs="Times New Roman"/>
                <w:spacing w:val="8"/>
                <w:sz w:val="20"/>
                <w:szCs w:val="20"/>
              </w:rPr>
              <w:t xml:space="preserve">I </w:t>
            </w:r>
            <w:r>
              <w:rPr>
                <w:rFonts w:ascii="宋体" w:hAnsi="宋体" w:eastAsia="宋体" w:cs="宋体"/>
                <w:spacing w:val="8"/>
                <w:sz w:val="20"/>
                <w:szCs w:val="20"/>
              </w:rPr>
              <w:t>类一般工业固废和危险固</w:t>
            </w:r>
            <w:r>
              <w:rPr>
                <w:rFonts w:ascii="宋体" w:hAnsi="宋体" w:eastAsia="宋体" w:cs="宋体"/>
                <w:spacing w:val="9"/>
                <w:sz w:val="20"/>
                <w:szCs w:val="20"/>
              </w:rPr>
              <w:t>废则需严格按国家有关规定、规范处理处</w:t>
            </w:r>
            <w:r>
              <w:rPr>
                <w:rFonts w:ascii="宋体" w:hAnsi="宋体" w:eastAsia="宋体" w:cs="宋体"/>
                <w:spacing w:val="8"/>
                <w:sz w:val="20"/>
                <w:szCs w:val="20"/>
              </w:rPr>
              <w:t>置，杜绝乱堆放或混堆现象。</w:t>
            </w:r>
          </w:p>
          <w:p w14:paraId="1C487729">
            <w:pPr>
              <w:spacing w:before="1" w:line="377" w:lineRule="auto"/>
              <w:ind w:left="108" w:right="165" w:hanging="2"/>
              <w:rPr>
                <w:rFonts w:ascii="宋体" w:hAnsi="宋体" w:eastAsia="宋体" w:cs="宋体"/>
                <w:sz w:val="20"/>
                <w:szCs w:val="20"/>
              </w:rPr>
            </w:pPr>
            <w:r>
              <w:rPr>
                <w:rFonts w:ascii="宋体" w:hAnsi="宋体" w:eastAsia="宋体" w:cs="宋体"/>
                <w:spacing w:val="9"/>
                <w:sz w:val="20"/>
                <w:szCs w:val="20"/>
              </w:rPr>
              <w:t>⑥严禁入园企业向地下渗坑、岩溶洼地排水、落水洞排污。严禁入驻企业在园区内新建永久性固废处置场，危险废物委托有</w:t>
            </w:r>
            <w:r>
              <w:rPr>
                <w:rFonts w:ascii="宋体" w:hAnsi="宋体" w:eastAsia="宋体" w:cs="宋体"/>
                <w:spacing w:val="8"/>
                <w:sz w:val="20"/>
                <w:szCs w:val="20"/>
              </w:rPr>
              <w:t>资质单位进行清运处置。</w:t>
            </w:r>
          </w:p>
          <w:p w14:paraId="289E1AF8">
            <w:pPr>
              <w:spacing w:before="3" w:line="373" w:lineRule="auto"/>
              <w:ind w:left="106" w:right="34"/>
              <w:rPr>
                <w:rFonts w:ascii="宋体" w:hAnsi="宋体" w:eastAsia="宋体" w:cs="宋体"/>
                <w:sz w:val="20"/>
                <w:szCs w:val="20"/>
              </w:rPr>
            </w:pPr>
            <w:r>
              <w:rPr>
                <w:rFonts w:ascii="宋体" w:hAnsi="宋体" w:eastAsia="宋体" w:cs="宋体"/>
                <w:spacing w:val="5"/>
                <w:sz w:val="20"/>
                <w:szCs w:val="20"/>
              </w:rPr>
              <w:t>⑦杜绝各企业生产废水、生活污水及废油、</w:t>
            </w:r>
            <w:r>
              <w:rPr>
                <w:rFonts w:ascii="宋体" w:hAnsi="宋体" w:eastAsia="宋体" w:cs="宋体"/>
                <w:spacing w:val="8"/>
                <w:sz w:val="20"/>
                <w:szCs w:val="20"/>
              </w:rPr>
              <w:t>废酸、固体废弃物任意乱排放进入岩溶</w:t>
            </w:r>
            <w:r>
              <w:rPr>
                <w:rFonts w:ascii="Times New Roman" w:hAnsi="Times New Roman" w:eastAsia="Times New Roman" w:cs="Times New Roman"/>
                <w:spacing w:val="8"/>
                <w:sz w:val="20"/>
                <w:szCs w:val="20"/>
              </w:rPr>
              <w:t>(</w:t>
            </w:r>
            <w:r>
              <w:rPr>
                <w:rFonts w:ascii="宋体" w:hAnsi="宋体" w:eastAsia="宋体" w:cs="宋体"/>
                <w:spacing w:val="8"/>
                <w:sz w:val="20"/>
                <w:szCs w:val="20"/>
              </w:rPr>
              <w:t>洼地、落水洞</w:t>
            </w:r>
            <w:r>
              <w:rPr>
                <w:rFonts w:ascii="Times New Roman" w:hAnsi="Times New Roman" w:eastAsia="Times New Roman" w:cs="Times New Roman"/>
                <w:spacing w:val="8"/>
                <w:sz w:val="20"/>
                <w:szCs w:val="20"/>
              </w:rPr>
              <w:t>)</w:t>
            </w:r>
            <w:r>
              <w:rPr>
                <w:rFonts w:ascii="宋体" w:hAnsi="宋体" w:eastAsia="宋体" w:cs="宋体"/>
                <w:spacing w:val="8"/>
                <w:sz w:val="20"/>
                <w:szCs w:val="20"/>
              </w:rPr>
              <w:t>环境或农田、水体中，保护地</w:t>
            </w:r>
            <w:r>
              <w:rPr>
                <w:rFonts w:ascii="宋体" w:hAnsi="宋体" w:eastAsia="宋体" w:cs="宋体"/>
                <w:spacing w:val="7"/>
                <w:sz w:val="20"/>
                <w:szCs w:val="20"/>
              </w:rPr>
              <w:t>下水环境免受污染。</w:t>
            </w:r>
          </w:p>
          <w:p w14:paraId="3BE268B5">
            <w:pPr>
              <w:spacing w:before="15" w:line="377" w:lineRule="auto"/>
              <w:ind w:left="107" w:right="165" w:hanging="1"/>
              <w:rPr>
                <w:rFonts w:ascii="宋体" w:hAnsi="宋体" w:eastAsia="宋体" w:cs="宋体"/>
                <w:sz w:val="20"/>
                <w:szCs w:val="20"/>
              </w:rPr>
            </w:pPr>
            <w:r>
              <w:rPr>
                <w:rFonts w:ascii="宋体" w:hAnsi="宋体" w:eastAsia="宋体" w:cs="宋体"/>
                <w:spacing w:val="9"/>
                <w:sz w:val="20"/>
                <w:szCs w:val="20"/>
              </w:rPr>
              <w:t>⑧工程建设前应进行厂区岩土工程地质详细勘察和进一步的详细水文地质勘察，查明厂区所在处及其附近的断裂构造详情、地下水位埋深及水位动态变化等情况，取得更加详细的工程地质及水文地质资料，</w:t>
            </w:r>
            <w:r>
              <w:rPr>
                <w:rFonts w:ascii="宋体" w:hAnsi="宋体" w:eastAsia="宋体" w:cs="宋体"/>
                <w:spacing w:val="8"/>
                <w:sz w:val="20"/>
                <w:szCs w:val="20"/>
              </w:rPr>
              <w:t>为工程设计提供资料。</w:t>
            </w:r>
          </w:p>
          <w:p w14:paraId="436ED2E5">
            <w:pPr>
              <w:spacing w:line="370" w:lineRule="auto"/>
              <w:ind w:left="109" w:right="168"/>
              <w:jc w:val="both"/>
              <w:rPr>
                <w:rFonts w:ascii="宋体" w:hAnsi="宋体" w:eastAsia="宋体" w:cs="宋体"/>
                <w:sz w:val="20"/>
                <w:szCs w:val="20"/>
              </w:rPr>
            </w:pPr>
            <w:r>
              <w:rPr>
                <w:rFonts w:ascii="宋体" w:hAnsi="宋体" w:eastAsia="宋体" w:cs="宋体"/>
                <w:spacing w:val="9"/>
                <w:sz w:val="20"/>
                <w:szCs w:val="20"/>
              </w:rPr>
              <w:t>涉及重金属及危险化学品的企业在平面布局时需考虑场地地下水含水层分布情况，尽量使重大风险源、废水收集治理等可能出现渗漏风险的设施设置于泥岩隔水层之</w:t>
            </w:r>
            <w:r>
              <w:rPr>
                <w:rFonts w:ascii="宋体" w:hAnsi="宋体" w:eastAsia="宋体" w:cs="宋体"/>
                <w:sz w:val="20"/>
                <w:szCs w:val="20"/>
              </w:rPr>
              <w:t>上。</w:t>
            </w:r>
          </w:p>
        </w:tc>
        <w:tc>
          <w:tcPr>
            <w:tcW w:w="2163" w:type="dxa"/>
            <w:vAlign w:val="top"/>
          </w:tcPr>
          <w:p w14:paraId="71485003">
            <w:pPr>
              <w:spacing w:before="37" w:line="377" w:lineRule="auto"/>
              <w:ind w:left="115" w:right="101" w:firstLine="1"/>
              <w:jc w:val="both"/>
              <w:rPr>
                <w:rFonts w:ascii="宋体" w:hAnsi="宋体" w:eastAsia="宋体" w:cs="宋体"/>
                <w:sz w:val="20"/>
                <w:szCs w:val="20"/>
              </w:rPr>
            </w:pPr>
            <w:r>
              <w:rPr>
                <w:rFonts w:ascii="宋体" w:hAnsi="宋体" w:eastAsia="宋体" w:cs="宋体"/>
                <w:spacing w:val="-1"/>
                <w:sz w:val="20"/>
                <w:szCs w:val="20"/>
              </w:rPr>
              <w:t>数</w:t>
            </w:r>
            <w:r>
              <w:rPr>
                <w:rFonts w:ascii="宋体" w:hAnsi="宋体" w:eastAsia="宋体" w:cs="宋体"/>
                <w:spacing w:val="-20"/>
                <w:sz w:val="20"/>
                <w:szCs w:val="20"/>
              </w:rPr>
              <w:t xml:space="preserve"> </w:t>
            </w:r>
            <w:r>
              <w:rPr>
                <w:rFonts w:ascii="Times New Roman" w:hAnsi="Times New Roman" w:eastAsia="Times New Roman" w:cs="Times New Roman"/>
                <w:spacing w:val="-1"/>
                <w:sz w:val="20"/>
                <w:szCs w:val="20"/>
              </w:rPr>
              <w:t>1×≤10</w:t>
            </w:r>
            <w:r>
              <w:rPr>
                <w:rFonts w:ascii="Times New Roman" w:hAnsi="Times New Roman" w:eastAsia="Times New Roman" w:cs="Times New Roman"/>
                <w:spacing w:val="-1"/>
                <w:position w:val="6"/>
                <w:sz w:val="13"/>
                <w:szCs w:val="13"/>
              </w:rPr>
              <w:t>-10</w:t>
            </w:r>
            <w:r>
              <w:rPr>
                <w:rFonts w:ascii="Times New Roman" w:hAnsi="Times New Roman" w:eastAsia="Times New Roman" w:cs="Times New Roman"/>
                <w:spacing w:val="-1"/>
                <w:sz w:val="20"/>
                <w:szCs w:val="20"/>
              </w:rPr>
              <w:t>cm/s</w:t>
            </w:r>
            <w:r>
              <w:rPr>
                <w:rFonts w:ascii="宋体" w:hAnsi="宋体" w:eastAsia="宋体" w:cs="宋体"/>
                <w:spacing w:val="-1"/>
                <w:sz w:val="20"/>
                <w:szCs w:val="20"/>
              </w:rPr>
              <w:t>。本项</w:t>
            </w:r>
            <w:r>
              <w:rPr>
                <w:rFonts w:ascii="宋体" w:hAnsi="宋体" w:eastAsia="宋体" w:cs="宋体"/>
                <w:spacing w:val="8"/>
                <w:sz w:val="20"/>
                <w:szCs w:val="20"/>
              </w:rPr>
              <w:t>目不属于高污染、高排水及淘汰落后的生产工艺，用水为市政</w:t>
            </w:r>
            <w:r>
              <w:rPr>
                <w:rFonts w:ascii="宋体" w:hAnsi="宋体" w:eastAsia="宋体" w:cs="宋体"/>
                <w:spacing w:val="5"/>
                <w:sz w:val="20"/>
                <w:szCs w:val="20"/>
              </w:rPr>
              <w:t>管网供水。</w:t>
            </w:r>
          </w:p>
        </w:tc>
        <w:tc>
          <w:tcPr>
            <w:tcW w:w="628" w:type="dxa"/>
            <w:vAlign w:val="top"/>
          </w:tcPr>
          <w:p w14:paraId="6B1BA1C0">
            <w:pPr>
              <w:rPr>
                <w:rFonts w:ascii="Arial"/>
                <w:sz w:val="21"/>
              </w:rPr>
            </w:pPr>
          </w:p>
        </w:tc>
        <w:tc>
          <w:tcPr>
            <w:tcW w:w="124" w:type="dxa"/>
            <w:tcBorders>
              <w:top w:val="single" w:color="000000" w:sz="6" w:space="0"/>
              <w:bottom w:val="single" w:color="000000" w:sz="6" w:space="0"/>
              <w:right w:val="single" w:color="000000" w:sz="6" w:space="0"/>
            </w:tcBorders>
            <w:vAlign w:val="top"/>
          </w:tcPr>
          <w:p w14:paraId="650C08D6">
            <w:pPr>
              <w:rPr>
                <w:rFonts w:ascii="Arial"/>
                <w:sz w:val="21"/>
              </w:rPr>
            </w:pPr>
          </w:p>
        </w:tc>
      </w:tr>
    </w:tbl>
    <w:p w14:paraId="4FCDEFF9">
      <w:pPr>
        <w:pStyle w:val="2"/>
      </w:pPr>
    </w:p>
    <w:p w14:paraId="45812394">
      <w:pPr>
        <w:sectPr>
          <w:footerReference r:id="rId14" w:type="default"/>
          <w:pgSz w:w="11906" w:h="16839"/>
          <w:pgMar w:top="400" w:right="1509" w:bottom="1326" w:left="1509" w:header="0" w:footer="1113" w:gutter="0"/>
          <w:cols w:space="720" w:num="1"/>
        </w:sectPr>
      </w:pPr>
    </w:p>
    <w:p w14:paraId="711E3D15">
      <w:pPr>
        <w:spacing w:before="19"/>
      </w:pPr>
    </w:p>
    <w:p w14:paraId="2EEB6748">
      <w:pPr>
        <w:spacing w:before="19"/>
      </w:pPr>
    </w:p>
    <w:p w14:paraId="2B2D1B59">
      <w:pPr>
        <w:spacing w:before="19"/>
      </w:pPr>
    </w:p>
    <w:p w14:paraId="7B5CE1BD">
      <w:pPr>
        <w:spacing w:before="18"/>
      </w:pPr>
    </w:p>
    <w:p w14:paraId="4FD5ACCE">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4"/>
        <w:gridCol w:w="631"/>
        <w:gridCol w:w="4051"/>
        <w:gridCol w:w="2163"/>
        <w:gridCol w:w="628"/>
        <w:gridCol w:w="124"/>
      </w:tblGrid>
      <w:tr w14:paraId="29647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4" w:hRule="atLeast"/>
        </w:trPr>
        <w:tc>
          <w:tcPr>
            <w:tcW w:w="1161" w:type="dxa"/>
            <w:vMerge w:val="restart"/>
            <w:tcBorders>
              <w:top w:val="single" w:color="000000" w:sz="6" w:space="0"/>
              <w:left w:val="single" w:color="000000" w:sz="6" w:space="0"/>
              <w:bottom w:val="nil"/>
            </w:tcBorders>
            <w:vAlign w:val="top"/>
          </w:tcPr>
          <w:p w14:paraId="01A0DEFC">
            <w:pPr>
              <w:rPr>
                <w:rFonts w:ascii="Arial"/>
                <w:sz w:val="21"/>
              </w:rPr>
            </w:pPr>
          </w:p>
        </w:tc>
        <w:tc>
          <w:tcPr>
            <w:tcW w:w="114" w:type="dxa"/>
            <w:tcBorders>
              <w:top w:val="single" w:color="000000" w:sz="6" w:space="0"/>
              <w:bottom w:val="nil"/>
            </w:tcBorders>
            <w:vAlign w:val="top"/>
          </w:tcPr>
          <w:p w14:paraId="1397FEAC">
            <w:pPr>
              <w:rPr>
                <w:rFonts w:ascii="Arial"/>
                <w:sz w:val="21"/>
              </w:rPr>
            </w:pPr>
          </w:p>
        </w:tc>
        <w:tc>
          <w:tcPr>
            <w:tcW w:w="631" w:type="dxa"/>
            <w:vAlign w:val="top"/>
          </w:tcPr>
          <w:p w14:paraId="62F46C32">
            <w:pPr>
              <w:rPr>
                <w:rFonts w:ascii="Arial"/>
                <w:sz w:val="21"/>
              </w:rPr>
            </w:pPr>
          </w:p>
        </w:tc>
        <w:tc>
          <w:tcPr>
            <w:tcW w:w="4051" w:type="dxa"/>
            <w:vAlign w:val="top"/>
          </w:tcPr>
          <w:p w14:paraId="2D34284E">
            <w:pPr>
              <w:spacing w:before="40" w:line="372" w:lineRule="auto"/>
              <w:ind w:left="106" w:right="141"/>
              <w:jc w:val="both"/>
              <w:rPr>
                <w:rFonts w:ascii="宋体" w:hAnsi="宋体" w:eastAsia="宋体" w:cs="宋体"/>
                <w:sz w:val="20"/>
                <w:szCs w:val="20"/>
              </w:rPr>
            </w:pPr>
            <w:r>
              <w:rPr>
                <w:rFonts w:ascii="宋体" w:hAnsi="宋体" w:eastAsia="宋体" w:cs="宋体"/>
                <w:spacing w:val="9"/>
                <w:sz w:val="20"/>
                <w:szCs w:val="20"/>
              </w:rPr>
              <w:t>⑨企业场地、各生产车间及原料、废渣临时堆放场地、污水处理设施等区域按照国家标准或行业防渗技术规范、《环境影响</w:t>
            </w:r>
            <w:r>
              <w:rPr>
                <w:rFonts w:ascii="宋体" w:hAnsi="宋体" w:eastAsia="宋体" w:cs="宋体"/>
                <w:spacing w:val="7"/>
                <w:sz w:val="20"/>
                <w:szCs w:val="20"/>
              </w:rPr>
              <w:t>评价技术导则 地下水环境》</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HJ</w:t>
            </w:r>
            <w:r>
              <w:rPr>
                <w:rFonts w:ascii="Times New Roman" w:hAnsi="Times New Roman" w:eastAsia="Times New Roman" w:cs="Times New Roman"/>
                <w:spacing w:val="7"/>
                <w:sz w:val="20"/>
                <w:szCs w:val="20"/>
              </w:rPr>
              <w:t>610-2016)</w:t>
            </w:r>
            <w:r>
              <w:rPr>
                <w:rFonts w:ascii="宋体" w:hAnsi="宋体" w:eastAsia="宋体" w:cs="宋体"/>
                <w:spacing w:val="9"/>
                <w:sz w:val="20"/>
                <w:szCs w:val="20"/>
              </w:rPr>
              <w:t>中的防渗要求进行防渗设计，固废处置应符合相关法规和技术规范要求，渗滤液不得任意外排，避免渗滤液下渗污染地下水</w:t>
            </w:r>
            <w:r>
              <w:rPr>
                <w:rFonts w:ascii="宋体" w:hAnsi="宋体" w:eastAsia="宋体" w:cs="宋体"/>
                <w:spacing w:val="3"/>
                <w:sz w:val="20"/>
                <w:szCs w:val="20"/>
              </w:rPr>
              <w:t>环境。</w:t>
            </w:r>
          </w:p>
        </w:tc>
        <w:tc>
          <w:tcPr>
            <w:tcW w:w="2163" w:type="dxa"/>
            <w:vAlign w:val="top"/>
          </w:tcPr>
          <w:p w14:paraId="06B96F5C">
            <w:pPr>
              <w:rPr>
                <w:rFonts w:ascii="Arial"/>
                <w:sz w:val="21"/>
              </w:rPr>
            </w:pPr>
          </w:p>
        </w:tc>
        <w:tc>
          <w:tcPr>
            <w:tcW w:w="628" w:type="dxa"/>
            <w:vAlign w:val="top"/>
          </w:tcPr>
          <w:p w14:paraId="5B9DA7B9">
            <w:pPr>
              <w:rPr>
                <w:rFonts w:ascii="Arial"/>
                <w:sz w:val="21"/>
              </w:rPr>
            </w:pPr>
          </w:p>
        </w:tc>
        <w:tc>
          <w:tcPr>
            <w:tcW w:w="124" w:type="dxa"/>
            <w:vMerge w:val="restart"/>
            <w:tcBorders>
              <w:top w:val="single" w:color="000000" w:sz="6" w:space="0"/>
              <w:bottom w:val="nil"/>
              <w:right w:val="single" w:color="000000" w:sz="6" w:space="0"/>
            </w:tcBorders>
            <w:vAlign w:val="top"/>
          </w:tcPr>
          <w:p w14:paraId="287785C1">
            <w:pPr>
              <w:rPr>
                <w:rFonts w:ascii="Arial"/>
                <w:sz w:val="21"/>
              </w:rPr>
            </w:pPr>
          </w:p>
        </w:tc>
      </w:tr>
      <w:tr w14:paraId="1E277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1" w:hRule="atLeast"/>
        </w:trPr>
        <w:tc>
          <w:tcPr>
            <w:tcW w:w="1161" w:type="dxa"/>
            <w:vMerge w:val="continue"/>
            <w:tcBorders>
              <w:top w:val="nil"/>
              <w:left w:val="single" w:color="000000" w:sz="6" w:space="0"/>
              <w:bottom w:val="single" w:color="000000" w:sz="6" w:space="0"/>
            </w:tcBorders>
            <w:vAlign w:val="top"/>
          </w:tcPr>
          <w:p w14:paraId="0A75394A">
            <w:pPr>
              <w:rPr>
                <w:rFonts w:ascii="Arial"/>
                <w:sz w:val="21"/>
              </w:rPr>
            </w:pPr>
          </w:p>
        </w:tc>
        <w:tc>
          <w:tcPr>
            <w:tcW w:w="114" w:type="dxa"/>
            <w:tcBorders>
              <w:top w:val="nil"/>
              <w:bottom w:val="single" w:color="000000" w:sz="6" w:space="0"/>
            </w:tcBorders>
            <w:vAlign w:val="top"/>
          </w:tcPr>
          <w:p w14:paraId="34BB93B2">
            <w:pPr>
              <w:rPr>
                <w:rFonts w:ascii="Arial"/>
                <w:sz w:val="21"/>
              </w:rPr>
            </w:pPr>
          </w:p>
        </w:tc>
        <w:tc>
          <w:tcPr>
            <w:tcW w:w="631" w:type="dxa"/>
            <w:textDirection w:val="tbRlV"/>
            <w:vAlign w:val="top"/>
          </w:tcPr>
          <w:p w14:paraId="72EF78A5">
            <w:pPr>
              <w:spacing w:before="214" w:line="216" w:lineRule="auto"/>
              <w:ind w:left="2895"/>
              <w:rPr>
                <w:rFonts w:ascii="宋体" w:hAnsi="宋体" w:eastAsia="宋体" w:cs="宋体"/>
                <w:sz w:val="20"/>
                <w:szCs w:val="20"/>
              </w:rPr>
            </w:pPr>
            <w:r>
              <w:rPr>
                <w:rFonts w:ascii="宋体" w:hAnsi="宋体" w:eastAsia="宋体" w:cs="宋体"/>
                <w:spacing w:val="8"/>
                <w:sz w:val="20"/>
                <w:szCs w:val="20"/>
              </w:rPr>
              <w:t>土</w:t>
            </w:r>
            <w:r>
              <w:rPr>
                <w:rFonts w:ascii="宋体" w:hAnsi="宋体" w:eastAsia="宋体" w:cs="宋体"/>
                <w:spacing w:val="106"/>
                <w:sz w:val="20"/>
                <w:szCs w:val="20"/>
              </w:rPr>
              <w:t xml:space="preserve"> </w:t>
            </w:r>
            <w:r>
              <w:rPr>
                <w:rFonts w:ascii="宋体" w:hAnsi="宋体" w:eastAsia="宋体" w:cs="宋体"/>
                <w:spacing w:val="8"/>
                <w:sz w:val="20"/>
                <w:szCs w:val="20"/>
              </w:rPr>
              <w:t>壤</w:t>
            </w:r>
            <w:r>
              <w:rPr>
                <w:rFonts w:ascii="宋体" w:hAnsi="宋体" w:eastAsia="宋体" w:cs="宋体"/>
                <w:spacing w:val="99"/>
                <w:sz w:val="20"/>
                <w:szCs w:val="20"/>
              </w:rPr>
              <w:t xml:space="preserve"> </w:t>
            </w:r>
            <w:r>
              <w:rPr>
                <w:rFonts w:ascii="宋体" w:hAnsi="宋体" w:eastAsia="宋体" w:cs="宋体"/>
                <w:spacing w:val="8"/>
                <w:sz w:val="20"/>
                <w:szCs w:val="20"/>
              </w:rPr>
              <w:t>环</w:t>
            </w:r>
            <w:r>
              <w:rPr>
                <w:rFonts w:ascii="宋体" w:hAnsi="宋体" w:eastAsia="宋体" w:cs="宋体"/>
                <w:spacing w:val="99"/>
                <w:sz w:val="20"/>
                <w:szCs w:val="20"/>
              </w:rPr>
              <w:t xml:space="preserve"> </w:t>
            </w:r>
            <w:r>
              <w:rPr>
                <w:rFonts w:ascii="宋体" w:hAnsi="宋体" w:eastAsia="宋体" w:cs="宋体"/>
                <w:spacing w:val="8"/>
                <w:sz w:val="20"/>
                <w:szCs w:val="20"/>
              </w:rPr>
              <w:t>境</w:t>
            </w:r>
            <w:r>
              <w:rPr>
                <w:rFonts w:ascii="宋体" w:hAnsi="宋体" w:eastAsia="宋体" w:cs="宋体"/>
                <w:spacing w:val="99"/>
                <w:sz w:val="20"/>
                <w:szCs w:val="20"/>
              </w:rPr>
              <w:t xml:space="preserve"> </w:t>
            </w:r>
            <w:r>
              <w:rPr>
                <w:rFonts w:ascii="宋体" w:hAnsi="宋体" w:eastAsia="宋体" w:cs="宋体"/>
                <w:spacing w:val="8"/>
                <w:sz w:val="20"/>
                <w:szCs w:val="20"/>
              </w:rPr>
              <w:t>影</w:t>
            </w:r>
            <w:r>
              <w:rPr>
                <w:rFonts w:ascii="宋体" w:hAnsi="宋体" w:eastAsia="宋体" w:cs="宋体"/>
                <w:spacing w:val="99"/>
                <w:sz w:val="20"/>
                <w:szCs w:val="20"/>
              </w:rPr>
              <w:t xml:space="preserve"> </w:t>
            </w:r>
            <w:r>
              <w:rPr>
                <w:rFonts w:ascii="宋体" w:hAnsi="宋体" w:eastAsia="宋体" w:cs="宋体"/>
                <w:spacing w:val="8"/>
                <w:sz w:val="20"/>
                <w:szCs w:val="20"/>
              </w:rPr>
              <w:t>响</w:t>
            </w:r>
            <w:r>
              <w:rPr>
                <w:rFonts w:ascii="宋体" w:hAnsi="宋体" w:eastAsia="宋体" w:cs="宋体"/>
                <w:spacing w:val="1"/>
                <w:sz w:val="20"/>
                <w:szCs w:val="20"/>
              </w:rPr>
              <w:t xml:space="preserve">  </w:t>
            </w:r>
            <w:r>
              <w:rPr>
                <w:rFonts w:ascii="宋体" w:hAnsi="宋体" w:eastAsia="宋体" w:cs="宋体"/>
                <w:spacing w:val="8"/>
                <w:sz w:val="20"/>
                <w:szCs w:val="20"/>
              </w:rPr>
              <w:t>减</w:t>
            </w:r>
            <w:r>
              <w:rPr>
                <w:rFonts w:ascii="宋体" w:hAnsi="宋体" w:eastAsia="宋体" w:cs="宋体"/>
                <w:spacing w:val="99"/>
                <w:sz w:val="20"/>
                <w:szCs w:val="20"/>
              </w:rPr>
              <w:t xml:space="preserve"> </w:t>
            </w:r>
            <w:r>
              <w:rPr>
                <w:rFonts w:ascii="宋体" w:hAnsi="宋体" w:eastAsia="宋体" w:cs="宋体"/>
                <w:spacing w:val="8"/>
                <w:sz w:val="20"/>
                <w:szCs w:val="20"/>
              </w:rPr>
              <w:t>缓</w:t>
            </w:r>
            <w:r>
              <w:rPr>
                <w:rFonts w:ascii="宋体" w:hAnsi="宋体" w:eastAsia="宋体" w:cs="宋体"/>
                <w:spacing w:val="99"/>
                <w:sz w:val="20"/>
                <w:szCs w:val="20"/>
              </w:rPr>
              <w:t xml:space="preserve"> </w:t>
            </w:r>
            <w:r>
              <w:rPr>
                <w:rFonts w:ascii="宋体" w:hAnsi="宋体" w:eastAsia="宋体" w:cs="宋体"/>
                <w:spacing w:val="8"/>
                <w:sz w:val="20"/>
                <w:szCs w:val="20"/>
              </w:rPr>
              <w:t>措</w:t>
            </w:r>
            <w:r>
              <w:rPr>
                <w:rFonts w:ascii="宋体" w:hAnsi="宋体" w:eastAsia="宋体" w:cs="宋体"/>
                <w:spacing w:val="100"/>
                <w:sz w:val="20"/>
                <w:szCs w:val="20"/>
              </w:rPr>
              <w:t xml:space="preserve"> </w:t>
            </w:r>
            <w:r>
              <w:rPr>
                <w:rFonts w:ascii="宋体" w:hAnsi="宋体" w:eastAsia="宋体" w:cs="宋体"/>
                <w:spacing w:val="8"/>
                <w:sz w:val="20"/>
                <w:szCs w:val="20"/>
              </w:rPr>
              <w:t>施</w:t>
            </w:r>
          </w:p>
        </w:tc>
        <w:tc>
          <w:tcPr>
            <w:tcW w:w="4051" w:type="dxa"/>
            <w:vAlign w:val="top"/>
          </w:tcPr>
          <w:p w14:paraId="722BC3B9">
            <w:pPr>
              <w:spacing w:line="278" w:lineRule="auto"/>
              <w:rPr>
                <w:rFonts w:ascii="Arial"/>
                <w:sz w:val="21"/>
              </w:rPr>
            </w:pPr>
          </w:p>
          <w:p w14:paraId="65FD91F7">
            <w:pPr>
              <w:spacing w:line="278" w:lineRule="auto"/>
              <w:rPr>
                <w:rFonts w:ascii="Arial"/>
                <w:sz w:val="21"/>
              </w:rPr>
            </w:pPr>
          </w:p>
          <w:p w14:paraId="35B459D0">
            <w:pPr>
              <w:spacing w:line="278" w:lineRule="auto"/>
              <w:rPr>
                <w:rFonts w:ascii="Arial"/>
                <w:sz w:val="21"/>
              </w:rPr>
            </w:pPr>
          </w:p>
          <w:p w14:paraId="7F86C01D">
            <w:pPr>
              <w:spacing w:line="278" w:lineRule="auto"/>
              <w:rPr>
                <w:rFonts w:ascii="Arial"/>
                <w:sz w:val="21"/>
              </w:rPr>
            </w:pPr>
          </w:p>
          <w:p w14:paraId="067FDF19">
            <w:pPr>
              <w:spacing w:line="278" w:lineRule="auto"/>
              <w:rPr>
                <w:rFonts w:ascii="Arial"/>
                <w:sz w:val="21"/>
              </w:rPr>
            </w:pPr>
          </w:p>
          <w:p w14:paraId="5D42D363">
            <w:pPr>
              <w:spacing w:before="65" w:line="377" w:lineRule="auto"/>
              <w:ind w:left="110" w:right="216" w:hanging="3"/>
              <w:rPr>
                <w:rFonts w:ascii="宋体" w:hAnsi="宋体" w:eastAsia="宋体" w:cs="宋体"/>
                <w:sz w:val="20"/>
                <w:szCs w:val="20"/>
              </w:rPr>
            </w:pPr>
            <w:r>
              <w:rPr>
                <w:rFonts w:ascii="宋体" w:hAnsi="宋体" w:eastAsia="宋体" w:cs="宋体"/>
                <w:spacing w:val="6"/>
                <w:sz w:val="20"/>
                <w:szCs w:val="20"/>
              </w:rPr>
              <w:t>①源头控制措施：选用合格的生产原料，</w:t>
            </w:r>
            <w:r>
              <w:rPr>
                <w:rFonts w:ascii="宋体" w:hAnsi="宋体" w:eastAsia="宋体" w:cs="宋体"/>
                <w:spacing w:val="8"/>
                <w:sz w:val="20"/>
                <w:szCs w:val="20"/>
              </w:rPr>
              <w:t>从源头上控制污染物的产生。</w:t>
            </w:r>
          </w:p>
          <w:p w14:paraId="414EC669">
            <w:pPr>
              <w:spacing w:before="1" w:line="377" w:lineRule="auto"/>
              <w:ind w:left="108" w:right="165" w:hanging="2"/>
              <w:rPr>
                <w:rFonts w:ascii="宋体" w:hAnsi="宋体" w:eastAsia="宋体" w:cs="宋体"/>
                <w:sz w:val="20"/>
                <w:szCs w:val="20"/>
              </w:rPr>
            </w:pPr>
            <w:r>
              <w:rPr>
                <w:rFonts w:ascii="宋体" w:hAnsi="宋体" w:eastAsia="宋体" w:cs="宋体"/>
                <w:spacing w:val="9"/>
                <w:sz w:val="20"/>
                <w:szCs w:val="20"/>
              </w:rPr>
              <w:t>②末端控制措施：废气经处理后外排，减</w:t>
            </w:r>
            <w:r>
              <w:rPr>
                <w:rFonts w:ascii="宋体" w:hAnsi="宋体" w:eastAsia="宋体" w:cs="宋体"/>
                <w:spacing w:val="8"/>
                <w:sz w:val="20"/>
                <w:szCs w:val="20"/>
              </w:rPr>
              <w:t>少废气中的污染物排放。</w:t>
            </w:r>
          </w:p>
          <w:p w14:paraId="30AC6667">
            <w:pPr>
              <w:spacing w:before="1" w:line="376" w:lineRule="auto"/>
              <w:ind w:left="109" w:right="34" w:hanging="3"/>
              <w:rPr>
                <w:rFonts w:ascii="宋体" w:hAnsi="宋体" w:eastAsia="宋体" w:cs="宋体"/>
                <w:sz w:val="20"/>
                <w:szCs w:val="20"/>
              </w:rPr>
            </w:pPr>
            <w:r>
              <w:rPr>
                <w:rFonts w:ascii="宋体" w:hAnsi="宋体" w:eastAsia="宋体" w:cs="宋体"/>
                <w:spacing w:val="9"/>
                <w:sz w:val="20"/>
                <w:szCs w:val="20"/>
              </w:rPr>
              <w:t>③污染监控体系：实施覆盖生产区的土壤</w:t>
            </w:r>
            <w:r>
              <w:rPr>
                <w:rFonts w:ascii="宋体" w:hAnsi="宋体" w:eastAsia="宋体" w:cs="宋体"/>
                <w:spacing w:val="5"/>
                <w:sz w:val="20"/>
                <w:szCs w:val="20"/>
              </w:rPr>
              <w:t>污染监控系统，及时发现污染、及时控制。</w:t>
            </w:r>
          </w:p>
          <w:p w14:paraId="204A8237">
            <w:pPr>
              <w:spacing w:before="2" w:line="376" w:lineRule="auto"/>
              <w:ind w:left="112" w:right="51" w:hanging="6"/>
              <w:rPr>
                <w:rFonts w:ascii="宋体" w:hAnsi="宋体" w:eastAsia="宋体" w:cs="宋体"/>
                <w:sz w:val="20"/>
                <w:szCs w:val="20"/>
              </w:rPr>
            </w:pPr>
            <w:r>
              <w:rPr>
                <w:rFonts w:ascii="宋体" w:hAnsi="宋体" w:eastAsia="宋体" w:cs="宋体"/>
                <w:spacing w:val="9"/>
                <w:sz w:val="20"/>
                <w:szCs w:val="20"/>
              </w:rPr>
              <w:t>④应急响应措施：一旦发现污染事故，立</w:t>
            </w:r>
            <w:r>
              <w:rPr>
                <w:rFonts w:ascii="宋体" w:hAnsi="宋体" w:eastAsia="宋体" w:cs="宋体"/>
                <w:spacing w:val="4"/>
                <w:sz w:val="20"/>
                <w:szCs w:val="20"/>
              </w:rPr>
              <w:t>即启动应急预案、采取应急措施控制土壤，</w:t>
            </w:r>
            <w:r>
              <w:rPr>
                <w:rFonts w:ascii="宋体" w:hAnsi="宋体" w:eastAsia="宋体" w:cs="宋体"/>
                <w:spacing w:val="7"/>
                <w:sz w:val="20"/>
                <w:szCs w:val="20"/>
              </w:rPr>
              <w:t>并使污染的到治理。</w:t>
            </w:r>
          </w:p>
          <w:p w14:paraId="7F209FD4">
            <w:pPr>
              <w:spacing w:before="1" w:line="377" w:lineRule="auto"/>
              <w:ind w:left="107" w:right="51" w:hanging="1"/>
              <w:rPr>
                <w:rFonts w:ascii="宋体" w:hAnsi="宋体" w:eastAsia="宋体" w:cs="宋体"/>
                <w:sz w:val="20"/>
                <w:szCs w:val="20"/>
              </w:rPr>
            </w:pPr>
            <w:r>
              <w:rPr>
                <w:rFonts w:ascii="宋体" w:hAnsi="宋体" w:eastAsia="宋体" w:cs="宋体"/>
                <w:spacing w:val="4"/>
                <w:sz w:val="20"/>
                <w:szCs w:val="20"/>
              </w:rPr>
              <w:t>⑤绿化措施：合理利用项目区的空余空间，</w:t>
            </w:r>
            <w:r>
              <w:rPr>
                <w:rFonts w:ascii="宋体" w:hAnsi="宋体" w:eastAsia="宋体" w:cs="宋体"/>
                <w:spacing w:val="7"/>
                <w:sz w:val="20"/>
                <w:szCs w:val="20"/>
              </w:rPr>
              <w:t>加强项目区的绿化。</w:t>
            </w:r>
          </w:p>
          <w:p w14:paraId="4D1BB009">
            <w:pPr>
              <w:spacing w:before="1" w:line="377" w:lineRule="auto"/>
              <w:ind w:left="106" w:right="168"/>
              <w:rPr>
                <w:rFonts w:ascii="宋体" w:hAnsi="宋体" w:eastAsia="宋体" w:cs="宋体"/>
                <w:sz w:val="20"/>
                <w:szCs w:val="20"/>
              </w:rPr>
            </w:pPr>
            <w:r>
              <w:rPr>
                <w:rFonts w:ascii="宋体" w:hAnsi="宋体" w:eastAsia="宋体" w:cs="宋体"/>
                <w:spacing w:val="9"/>
                <w:sz w:val="20"/>
                <w:szCs w:val="20"/>
              </w:rPr>
              <w:t>⑥加强对厂区周围土壤环境的定期监测，建立土壤环境质量动态监测系统，及时反</w:t>
            </w:r>
            <w:r>
              <w:rPr>
                <w:rFonts w:ascii="宋体" w:hAnsi="宋体" w:eastAsia="宋体" w:cs="宋体"/>
                <w:spacing w:val="7"/>
                <w:sz w:val="20"/>
                <w:szCs w:val="20"/>
              </w:rPr>
              <w:t>馈污染控制信息。</w:t>
            </w:r>
          </w:p>
          <w:p w14:paraId="05709FB7">
            <w:pPr>
              <w:spacing w:before="1" w:line="377" w:lineRule="auto"/>
              <w:ind w:left="106" w:right="165"/>
              <w:rPr>
                <w:rFonts w:ascii="宋体" w:hAnsi="宋体" w:eastAsia="宋体" w:cs="宋体"/>
                <w:sz w:val="20"/>
                <w:szCs w:val="20"/>
              </w:rPr>
            </w:pPr>
            <w:r>
              <w:rPr>
                <w:rFonts w:ascii="宋体" w:hAnsi="宋体" w:eastAsia="宋体" w:cs="宋体"/>
                <w:spacing w:val="9"/>
                <w:sz w:val="20"/>
                <w:szCs w:val="20"/>
              </w:rPr>
              <w:t>⑦严格固体废物运输管理，避免在运输过程中的散落。一旦发生散落事件，及时清</w:t>
            </w:r>
            <w:r>
              <w:rPr>
                <w:rFonts w:ascii="宋体" w:hAnsi="宋体" w:eastAsia="宋体" w:cs="宋体"/>
                <w:spacing w:val="8"/>
                <w:sz w:val="20"/>
                <w:szCs w:val="20"/>
              </w:rPr>
              <w:t>理收集，防止进入农田。</w:t>
            </w:r>
          </w:p>
        </w:tc>
        <w:tc>
          <w:tcPr>
            <w:tcW w:w="2163" w:type="dxa"/>
            <w:vAlign w:val="top"/>
          </w:tcPr>
          <w:p w14:paraId="1B97F7A6">
            <w:pPr>
              <w:spacing w:before="35" w:line="377" w:lineRule="auto"/>
              <w:ind w:left="111" w:right="161" w:firstLine="20"/>
              <w:rPr>
                <w:rFonts w:ascii="宋体" w:hAnsi="宋体" w:eastAsia="宋体" w:cs="宋体"/>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20"/>
                <w:sz w:val="20"/>
                <w:szCs w:val="20"/>
              </w:rPr>
              <w:t xml:space="preserve"> </w:t>
            </w:r>
            <w:r>
              <w:rPr>
                <w:rFonts w:ascii="宋体" w:hAnsi="宋体" w:eastAsia="宋体" w:cs="宋体"/>
                <w:spacing w:val="3"/>
                <w:sz w:val="20"/>
                <w:szCs w:val="20"/>
              </w:rPr>
              <w:t>、本项目为扩建项</w:t>
            </w:r>
            <w:r>
              <w:rPr>
                <w:rFonts w:ascii="宋体" w:hAnsi="宋体" w:eastAsia="宋体" w:cs="宋体"/>
                <w:spacing w:val="9"/>
                <w:sz w:val="20"/>
                <w:szCs w:val="20"/>
              </w:rPr>
              <w:t>目，使用的生产原料</w:t>
            </w:r>
            <w:r>
              <w:rPr>
                <w:rFonts w:ascii="Times New Roman" w:hAnsi="Times New Roman" w:eastAsia="Times New Roman" w:cs="Times New Roman"/>
                <w:sz w:val="20"/>
                <w:szCs w:val="20"/>
              </w:rPr>
              <w:t>PP</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均为合格品；</w:t>
            </w:r>
          </w:p>
          <w:p w14:paraId="1A4695DA">
            <w:pPr>
              <w:spacing w:line="377" w:lineRule="auto"/>
              <w:ind w:left="114" w:right="149" w:hanging="3"/>
              <w:rPr>
                <w:rFonts w:ascii="宋体" w:hAnsi="宋体" w:eastAsia="宋体" w:cs="宋体"/>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18"/>
                <w:sz w:val="20"/>
                <w:szCs w:val="20"/>
              </w:rPr>
              <w:t xml:space="preserve"> </w:t>
            </w:r>
            <w:r>
              <w:rPr>
                <w:rFonts w:ascii="宋体" w:hAnsi="宋体" w:eastAsia="宋体" w:cs="宋体"/>
                <w:spacing w:val="5"/>
                <w:sz w:val="20"/>
                <w:szCs w:val="20"/>
              </w:rPr>
              <w:t>、废气经集气罩</w:t>
            </w:r>
            <w:r>
              <w:rPr>
                <w:rFonts w:ascii="Times New Roman" w:hAnsi="Times New Roman" w:eastAsia="Times New Roman" w:cs="Times New Roman"/>
                <w:spacing w:val="5"/>
                <w:sz w:val="20"/>
                <w:szCs w:val="20"/>
              </w:rPr>
              <w:t>+</w:t>
            </w:r>
            <w:r>
              <w:rPr>
                <w:rFonts w:ascii="宋体" w:hAnsi="宋体" w:eastAsia="宋体" w:cs="宋体"/>
                <w:spacing w:val="5"/>
                <w:sz w:val="20"/>
                <w:szCs w:val="20"/>
              </w:rPr>
              <w:t>三</w:t>
            </w:r>
            <w:r>
              <w:rPr>
                <w:rFonts w:ascii="宋体" w:hAnsi="宋体" w:eastAsia="宋体" w:cs="宋体"/>
                <w:spacing w:val="7"/>
                <w:sz w:val="20"/>
                <w:szCs w:val="20"/>
              </w:rPr>
              <w:t>级活性炭吸附</w:t>
            </w:r>
            <w:r>
              <w:rPr>
                <w:rFonts w:ascii="Times New Roman" w:hAnsi="Times New Roman" w:eastAsia="Times New Roman" w:cs="Times New Roman"/>
                <w:spacing w:val="7"/>
                <w:sz w:val="20"/>
                <w:szCs w:val="20"/>
              </w:rPr>
              <w:t>+15m</w:t>
            </w:r>
            <w:r>
              <w:rPr>
                <w:rFonts w:ascii="宋体" w:hAnsi="宋体" w:eastAsia="宋体" w:cs="宋体"/>
                <w:spacing w:val="8"/>
                <w:sz w:val="20"/>
                <w:szCs w:val="20"/>
              </w:rPr>
              <w:t>排气筒（</w:t>
            </w: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005</w:t>
            </w:r>
            <w:r>
              <w:rPr>
                <w:rFonts w:ascii="宋体" w:hAnsi="宋体" w:eastAsia="宋体" w:cs="宋体"/>
                <w:spacing w:val="8"/>
                <w:sz w:val="20"/>
                <w:szCs w:val="20"/>
              </w:rPr>
              <w:t>）处</w:t>
            </w:r>
            <w:r>
              <w:rPr>
                <w:rFonts w:ascii="宋体" w:hAnsi="宋体" w:eastAsia="宋体" w:cs="宋体"/>
                <w:spacing w:val="7"/>
                <w:sz w:val="20"/>
                <w:szCs w:val="20"/>
              </w:rPr>
              <w:t>理后可达标排放；</w:t>
            </w:r>
          </w:p>
          <w:p w14:paraId="7ACA0C90">
            <w:pPr>
              <w:spacing w:before="2" w:line="376" w:lineRule="auto"/>
              <w:ind w:left="114" w:right="161" w:firstLine="1"/>
              <w:rPr>
                <w:rFonts w:ascii="宋体" w:hAnsi="宋体" w:eastAsia="宋体" w:cs="宋体"/>
                <w:sz w:val="20"/>
                <w:szCs w:val="20"/>
              </w:rPr>
            </w:pPr>
            <w:r>
              <w:rPr>
                <w:rFonts w:ascii="Times New Roman" w:hAnsi="Times New Roman" w:eastAsia="Times New Roman" w:cs="Times New Roman"/>
                <w:spacing w:val="5"/>
                <w:sz w:val="20"/>
                <w:szCs w:val="20"/>
              </w:rPr>
              <w:t>3</w:t>
            </w:r>
            <w:r>
              <w:rPr>
                <w:rFonts w:ascii="Times New Roman" w:hAnsi="Times New Roman" w:eastAsia="Times New Roman" w:cs="Times New Roman"/>
                <w:spacing w:val="-22"/>
                <w:sz w:val="20"/>
                <w:szCs w:val="20"/>
              </w:rPr>
              <w:t xml:space="preserve"> </w:t>
            </w:r>
            <w:r>
              <w:rPr>
                <w:rFonts w:ascii="宋体" w:hAnsi="宋体" w:eastAsia="宋体" w:cs="宋体"/>
                <w:spacing w:val="5"/>
                <w:sz w:val="20"/>
                <w:szCs w:val="20"/>
              </w:rPr>
              <w:t>、废机油和废旧活</w:t>
            </w:r>
            <w:r>
              <w:rPr>
                <w:rFonts w:ascii="宋体" w:hAnsi="宋体" w:eastAsia="宋体" w:cs="宋体"/>
                <w:spacing w:val="9"/>
                <w:sz w:val="20"/>
                <w:szCs w:val="20"/>
              </w:rPr>
              <w:t>性炭分类暂存危废暂存间中，委托有资质</w:t>
            </w:r>
            <w:r>
              <w:rPr>
                <w:rFonts w:ascii="宋体" w:hAnsi="宋体" w:eastAsia="宋体" w:cs="宋体"/>
                <w:spacing w:val="7"/>
                <w:sz w:val="20"/>
                <w:szCs w:val="20"/>
              </w:rPr>
              <w:t>单位定期清运处置，</w:t>
            </w:r>
          </w:p>
          <w:p w14:paraId="3A191B73">
            <w:pPr>
              <w:spacing w:before="1" w:line="377" w:lineRule="auto"/>
              <w:ind w:left="114" w:right="101" w:firstLine="4"/>
              <w:rPr>
                <w:rFonts w:ascii="宋体" w:hAnsi="宋体" w:eastAsia="宋体" w:cs="宋体"/>
                <w:sz w:val="20"/>
                <w:szCs w:val="20"/>
              </w:rPr>
            </w:pPr>
            <w:r>
              <w:rPr>
                <w:rFonts w:ascii="宋体" w:hAnsi="宋体" w:eastAsia="宋体" w:cs="宋体"/>
                <w:spacing w:val="8"/>
                <w:sz w:val="20"/>
                <w:szCs w:val="20"/>
              </w:rPr>
              <w:t>厂区已建的危废暂存</w:t>
            </w:r>
            <w:r>
              <w:rPr>
                <w:rFonts w:ascii="宋体" w:hAnsi="宋体" w:eastAsia="宋体" w:cs="宋体"/>
                <w:spacing w:val="9"/>
                <w:sz w:val="20"/>
                <w:szCs w:val="20"/>
              </w:rPr>
              <w:t>间已按照《危险废物</w:t>
            </w:r>
            <w:r>
              <w:rPr>
                <w:rFonts w:ascii="宋体" w:hAnsi="宋体" w:eastAsia="宋体" w:cs="宋体"/>
                <w:spacing w:val="7"/>
                <w:sz w:val="20"/>
                <w:szCs w:val="20"/>
              </w:rPr>
              <w:t>贮存污染控制标准》</w:t>
            </w:r>
            <w:r>
              <w:rPr>
                <w:rFonts w:ascii="宋体" w:hAnsi="宋体" w:eastAsia="宋体" w:cs="宋体"/>
                <w:spacing w:val="5"/>
                <w:sz w:val="20"/>
                <w:szCs w:val="20"/>
              </w:rPr>
              <w:t xml:space="preserve"> </w:t>
            </w:r>
            <w:r>
              <w:rPr>
                <w:rFonts w:ascii="宋体" w:hAnsi="宋体" w:eastAsia="宋体" w:cs="宋体"/>
                <w:spacing w:val="6"/>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6"/>
                <w:sz w:val="20"/>
                <w:szCs w:val="20"/>
              </w:rPr>
              <w:t>18597-2023</w:t>
            </w:r>
            <w:r>
              <w:rPr>
                <w:rFonts w:ascii="宋体" w:hAnsi="宋体" w:eastAsia="宋体" w:cs="宋体"/>
                <w:spacing w:val="6"/>
                <w:sz w:val="20"/>
                <w:szCs w:val="20"/>
              </w:rPr>
              <w:t>）要</w:t>
            </w:r>
            <w:r>
              <w:rPr>
                <w:rFonts w:ascii="宋体" w:hAnsi="宋体" w:eastAsia="宋体" w:cs="宋体"/>
                <w:spacing w:val="5"/>
                <w:sz w:val="20"/>
                <w:szCs w:val="20"/>
              </w:rPr>
              <w:t>求建设，已采用</w:t>
            </w:r>
            <w:r>
              <w:rPr>
                <w:rFonts w:ascii="Times New Roman" w:hAnsi="Times New Roman" w:eastAsia="Times New Roman" w:cs="Times New Roman"/>
                <w:spacing w:val="5"/>
                <w:sz w:val="20"/>
                <w:szCs w:val="20"/>
              </w:rPr>
              <w:t>“</w:t>
            </w:r>
            <w:r>
              <w:rPr>
                <w:rFonts w:ascii="宋体" w:hAnsi="宋体" w:eastAsia="宋体" w:cs="宋体"/>
                <w:spacing w:val="5"/>
                <w:sz w:val="20"/>
                <w:szCs w:val="20"/>
              </w:rPr>
              <w:t>混凝</w:t>
            </w:r>
            <w:r>
              <w:rPr>
                <w:rFonts w:ascii="宋体" w:hAnsi="宋体" w:eastAsia="宋体" w:cs="宋体"/>
                <w:spacing w:val="8"/>
                <w:sz w:val="20"/>
                <w:szCs w:val="20"/>
              </w:rPr>
              <w:t>土硬化</w:t>
            </w:r>
            <w:r>
              <w:rPr>
                <w:rFonts w:ascii="Times New Roman" w:hAnsi="Times New Roman" w:eastAsia="Times New Roman" w:cs="Times New Roman"/>
                <w:spacing w:val="8"/>
                <w:sz w:val="20"/>
                <w:szCs w:val="20"/>
              </w:rPr>
              <w:t>+</w:t>
            </w:r>
            <w:r>
              <w:rPr>
                <w:rFonts w:ascii="宋体" w:hAnsi="宋体" w:eastAsia="宋体" w:cs="宋体"/>
                <w:spacing w:val="8"/>
                <w:sz w:val="20"/>
                <w:szCs w:val="20"/>
              </w:rPr>
              <w:t>对墙面地面</w:t>
            </w:r>
            <w:r>
              <w:rPr>
                <w:rFonts w:ascii="宋体" w:hAnsi="宋体" w:eastAsia="宋体" w:cs="宋体"/>
                <w:spacing w:val="13"/>
                <w:sz w:val="20"/>
                <w:szCs w:val="20"/>
              </w:rPr>
              <w:t>涂刷环氧树脂涂料</w:t>
            </w:r>
            <w:r>
              <w:rPr>
                <w:rFonts w:ascii="Times New Roman" w:hAnsi="Times New Roman" w:eastAsia="Times New Roman" w:cs="Times New Roman"/>
                <w:spacing w:val="13"/>
                <w:sz w:val="20"/>
                <w:szCs w:val="20"/>
              </w:rPr>
              <w:t>”</w:t>
            </w:r>
            <w:r>
              <w:rPr>
                <w:rFonts w:ascii="宋体" w:hAnsi="宋体" w:eastAsia="宋体" w:cs="宋体"/>
                <w:spacing w:val="7"/>
                <w:sz w:val="20"/>
                <w:szCs w:val="20"/>
              </w:rPr>
              <w:t>进行重点防渗处理，</w:t>
            </w:r>
          </w:p>
          <w:p w14:paraId="07EC87CB">
            <w:pPr>
              <w:spacing w:before="1" w:line="227" w:lineRule="auto"/>
              <w:ind w:left="116"/>
              <w:rPr>
                <w:rFonts w:ascii="宋体" w:hAnsi="宋体" w:eastAsia="宋体" w:cs="宋体"/>
                <w:sz w:val="20"/>
                <w:szCs w:val="20"/>
              </w:rPr>
            </w:pPr>
            <w:r>
              <w:rPr>
                <w:rFonts w:ascii="宋体" w:hAnsi="宋体" w:eastAsia="宋体" w:cs="宋体"/>
                <w:spacing w:val="7"/>
                <w:sz w:val="20"/>
                <w:szCs w:val="20"/>
              </w:rPr>
              <w:t>渗透系数</w:t>
            </w:r>
          </w:p>
          <w:p w14:paraId="5BE6323D">
            <w:pPr>
              <w:spacing w:before="163" w:line="228" w:lineRule="auto"/>
              <w:ind w:left="132"/>
              <w:rPr>
                <w:rFonts w:ascii="宋体" w:hAnsi="宋体" w:eastAsia="宋体" w:cs="宋体"/>
                <w:sz w:val="20"/>
                <w:szCs w:val="20"/>
              </w:rPr>
            </w:pPr>
            <w:r>
              <w:rPr>
                <w:rFonts w:ascii="Times New Roman" w:hAnsi="Times New Roman" w:eastAsia="Times New Roman" w:cs="Times New Roman"/>
                <w:spacing w:val="1"/>
                <w:sz w:val="20"/>
                <w:szCs w:val="20"/>
              </w:rPr>
              <w:t>1×≤10</w:t>
            </w:r>
            <w:r>
              <w:rPr>
                <w:rFonts w:ascii="Times New Roman" w:hAnsi="Times New Roman" w:eastAsia="Times New Roman" w:cs="Times New Roman"/>
                <w:spacing w:val="1"/>
                <w:position w:val="6"/>
                <w:sz w:val="13"/>
                <w:szCs w:val="13"/>
              </w:rPr>
              <w:t>-10</w:t>
            </w:r>
            <w:r>
              <w:rPr>
                <w:rFonts w:ascii="Times New Roman" w:hAnsi="Times New Roman" w:eastAsia="Times New Roman" w:cs="Times New Roman"/>
                <w:sz w:val="20"/>
                <w:szCs w:val="20"/>
              </w:rPr>
              <w:t>cm</w:t>
            </w:r>
            <w:r>
              <w:rPr>
                <w:rFonts w:ascii="Times New Roman" w:hAnsi="Times New Roman" w:eastAsia="Times New Roman" w:cs="Times New Roman"/>
                <w:spacing w:val="1"/>
                <w:sz w:val="20"/>
                <w:szCs w:val="20"/>
              </w:rPr>
              <w:t>/s</w:t>
            </w:r>
            <w:r>
              <w:rPr>
                <w:rFonts w:ascii="Times New Roman" w:hAnsi="Times New Roman" w:eastAsia="Times New Roman" w:cs="Times New Roman"/>
                <w:spacing w:val="-15"/>
                <w:sz w:val="20"/>
                <w:szCs w:val="20"/>
              </w:rPr>
              <w:t xml:space="preserve"> </w:t>
            </w:r>
            <w:r>
              <w:rPr>
                <w:rFonts w:ascii="宋体" w:hAnsi="宋体" w:eastAsia="宋体" w:cs="宋体"/>
                <w:spacing w:val="1"/>
                <w:sz w:val="20"/>
                <w:szCs w:val="20"/>
              </w:rPr>
              <w:t>，并设置</w:t>
            </w:r>
          </w:p>
          <w:p w14:paraId="1EF2B7CC">
            <w:pPr>
              <w:spacing w:before="161" w:line="228" w:lineRule="auto"/>
              <w:ind w:left="134"/>
              <w:rPr>
                <w:rFonts w:ascii="宋体" w:hAnsi="宋体" w:eastAsia="宋体" w:cs="宋体"/>
                <w:sz w:val="20"/>
                <w:szCs w:val="20"/>
              </w:rPr>
            </w:pPr>
            <w:r>
              <w:rPr>
                <w:rFonts w:ascii="宋体" w:hAnsi="宋体" w:eastAsia="宋体" w:cs="宋体"/>
                <w:spacing w:val="7"/>
                <w:sz w:val="20"/>
                <w:szCs w:val="20"/>
              </w:rPr>
              <w:t>围堰等应急设施；厂</w:t>
            </w:r>
          </w:p>
          <w:p w14:paraId="7A0E74D2">
            <w:pPr>
              <w:spacing w:before="161" w:line="227" w:lineRule="auto"/>
              <w:ind w:left="131"/>
              <w:rPr>
                <w:rFonts w:ascii="宋体" w:hAnsi="宋体" w:eastAsia="宋体" w:cs="宋体"/>
                <w:sz w:val="20"/>
                <w:szCs w:val="20"/>
              </w:rPr>
            </w:pPr>
            <w:r>
              <w:rPr>
                <w:rFonts w:ascii="宋体" w:hAnsi="宋体" w:eastAsia="宋体" w:cs="宋体"/>
                <w:spacing w:val="7"/>
                <w:sz w:val="20"/>
                <w:szCs w:val="20"/>
              </w:rPr>
              <w:t>区设置事故池，采取</w:t>
            </w:r>
          </w:p>
          <w:p w14:paraId="3E090529">
            <w:pPr>
              <w:spacing w:before="163" w:line="228" w:lineRule="auto"/>
              <w:ind w:left="134"/>
              <w:rPr>
                <w:rFonts w:ascii="宋体" w:hAnsi="宋体" w:eastAsia="宋体" w:cs="宋体"/>
                <w:sz w:val="20"/>
                <w:szCs w:val="20"/>
              </w:rPr>
            </w:pPr>
            <w:r>
              <w:rPr>
                <w:rFonts w:ascii="宋体" w:hAnsi="宋体" w:eastAsia="宋体" w:cs="宋体"/>
                <w:spacing w:val="6"/>
                <w:sz w:val="20"/>
                <w:szCs w:val="20"/>
              </w:rPr>
              <w:t>了土壤污染防控措</w:t>
            </w:r>
          </w:p>
        </w:tc>
        <w:tc>
          <w:tcPr>
            <w:tcW w:w="628" w:type="dxa"/>
            <w:textDirection w:val="tbRlV"/>
            <w:vAlign w:val="top"/>
          </w:tcPr>
          <w:p w14:paraId="2D1C0911">
            <w:pPr>
              <w:spacing w:before="201" w:line="215" w:lineRule="auto"/>
              <w:ind w:left="4527"/>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4" w:type="dxa"/>
            <w:vMerge w:val="continue"/>
            <w:tcBorders>
              <w:top w:val="nil"/>
              <w:bottom w:val="single" w:color="000000" w:sz="6" w:space="0"/>
              <w:right w:val="single" w:color="000000" w:sz="6" w:space="0"/>
            </w:tcBorders>
            <w:vAlign w:val="top"/>
          </w:tcPr>
          <w:p w14:paraId="13E33A9E">
            <w:pPr>
              <w:rPr>
                <w:rFonts w:ascii="Arial"/>
                <w:sz w:val="21"/>
              </w:rPr>
            </w:pPr>
          </w:p>
        </w:tc>
      </w:tr>
    </w:tbl>
    <w:p w14:paraId="5F4F9CB4">
      <w:pPr>
        <w:pStyle w:val="2"/>
      </w:pPr>
    </w:p>
    <w:p w14:paraId="48E9A390">
      <w:pPr>
        <w:sectPr>
          <w:footerReference r:id="rId15" w:type="default"/>
          <w:pgSz w:w="11906" w:h="16839"/>
          <w:pgMar w:top="400" w:right="1509" w:bottom="1329" w:left="1509" w:header="0" w:footer="1113" w:gutter="0"/>
          <w:cols w:space="720" w:num="1"/>
        </w:sectPr>
      </w:pPr>
    </w:p>
    <w:p w14:paraId="68FA5DB7">
      <w:pPr>
        <w:spacing w:before="19"/>
      </w:pPr>
    </w:p>
    <w:p w14:paraId="47D8B6F4">
      <w:pPr>
        <w:spacing w:before="19"/>
      </w:pPr>
    </w:p>
    <w:p w14:paraId="59BDE6B7">
      <w:pPr>
        <w:spacing w:before="19"/>
      </w:pPr>
    </w:p>
    <w:p w14:paraId="1EFF3CD8">
      <w:pPr>
        <w:spacing w:before="18"/>
      </w:pPr>
    </w:p>
    <w:p w14:paraId="2E05C5D1">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4"/>
        <w:gridCol w:w="631"/>
        <w:gridCol w:w="4051"/>
        <w:gridCol w:w="2163"/>
        <w:gridCol w:w="628"/>
        <w:gridCol w:w="124"/>
      </w:tblGrid>
      <w:tr w14:paraId="171C7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161" w:type="dxa"/>
            <w:vMerge w:val="restart"/>
            <w:tcBorders>
              <w:top w:val="single" w:color="000000" w:sz="6" w:space="0"/>
              <w:left w:val="single" w:color="000000" w:sz="6" w:space="0"/>
              <w:bottom w:val="nil"/>
            </w:tcBorders>
            <w:vAlign w:val="top"/>
          </w:tcPr>
          <w:p w14:paraId="4C4A9661">
            <w:pPr>
              <w:rPr>
                <w:rFonts w:ascii="Arial"/>
                <w:sz w:val="21"/>
              </w:rPr>
            </w:pPr>
          </w:p>
        </w:tc>
        <w:tc>
          <w:tcPr>
            <w:tcW w:w="114" w:type="dxa"/>
            <w:tcBorders>
              <w:top w:val="single" w:color="000000" w:sz="6" w:space="0"/>
              <w:bottom w:val="nil"/>
            </w:tcBorders>
            <w:vAlign w:val="top"/>
          </w:tcPr>
          <w:p w14:paraId="70F55546">
            <w:pPr>
              <w:rPr>
                <w:rFonts w:ascii="Arial"/>
                <w:sz w:val="21"/>
              </w:rPr>
            </w:pPr>
          </w:p>
        </w:tc>
        <w:tc>
          <w:tcPr>
            <w:tcW w:w="631" w:type="dxa"/>
            <w:vAlign w:val="top"/>
          </w:tcPr>
          <w:p w14:paraId="0EC73437">
            <w:pPr>
              <w:rPr>
                <w:rFonts w:ascii="Arial"/>
                <w:sz w:val="21"/>
              </w:rPr>
            </w:pPr>
          </w:p>
        </w:tc>
        <w:tc>
          <w:tcPr>
            <w:tcW w:w="4051" w:type="dxa"/>
            <w:vAlign w:val="top"/>
          </w:tcPr>
          <w:p w14:paraId="3F9B3E92">
            <w:pPr>
              <w:rPr>
                <w:rFonts w:ascii="Arial"/>
                <w:sz w:val="21"/>
              </w:rPr>
            </w:pPr>
          </w:p>
        </w:tc>
        <w:tc>
          <w:tcPr>
            <w:tcW w:w="2163" w:type="dxa"/>
            <w:vAlign w:val="top"/>
          </w:tcPr>
          <w:p w14:paraId="61EECD05">
            <w:pPr>
              <w:spacing w:before="36" w:line="231" w:lineRule="auto"/>
              <w:ind w:left="114"/>
              <w:rPr>
                <w:rFonts w:ascii="宋体" w:hAnsi="宋体" w:eastAsia="宋体" w:cs="宋体"/>
                <w:sz w:val="20"/>
                <w:szCs w:val="20"/>
              </w:rPr>
            </w:pPr>
            <w:r>
              <w:rPr>
                <w:rFonts w:ascii="宋体" w:hAnsi="宋体" w:eastAsia="宋体" w:cs="宋体"/>
                <w:sz w:val="20"/>
                <w:szCs w:val="20"/>
              </w:rPr>
              <w:t>施。</w:t>
            </w:r>
          </w:p>
        </w:tc>
        <w:tc>
          <w:tcPr>
            <w:tcW w:w="628" w:type="dxa"/>
            <w:vAlign w:val="top"/>
          </w:tcPr>
          <w:p w14:paraId="070998C9">
            <w:pPr>
              <w:rPr>
                <w:rFonts w:ascii="Arial"/>
                <w:sz w:val="21"/>
              </w:rPr>
            </w:pPr>
          </w:p>
        </w:tc>
        <w:tc>
          <w:tcPr>
            <w:tcW w:w="124" w:type="dxa"/>
            <w:vMerge w:val="restart"/>
            <w:tcBorders>
              <w:top w:val="single" w:color="000000" w:sz="6" w:space="0"/>
              <w:bottom w:val="nil"/>
              <w:right w:val="single" w:color="000000" w:sz="6" w:space="0"/>
            </w:tcBorders>
            <w:vAlign w:val="top"/>
          </w:tcPr>
          <w:p w14:paraId="0B989AD8">
            <w:pPr>
              <w:rPr>
                <w:rFonts w:ascii="Arial"/>
                <w:sz w:val="21"/>
              </w:rPr>
            </w:pPr>
          </w:p>
        </w:tc>
      </w:tr>
      <w:tr w14:paraId="6432F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4" w:hRule="atLeast"/>
        </w:trPr>
        <w:tc>
          <w:tcPr>
            <w:tcW w:w="1161" w:type="dxa"/>
            <w:vMerge w:val="continue"/>
            <w:tcBorders>
              <w:top w:val="nil"/>
              <w:left w:val="single" w:color="000000" w:sz="6" w:space="0"/>
              <w:bottom w:val="nil"/>
            </w:tcBorders>
            <w:vAlign w:val="top"/>
          </w:tcPr>
          <w:p w14:paraId="43117F2E">
            <w:pPr>
              <w:rPr>
                <w:rFonts w:ascii="Arial"/>
                <w:sz w:val="21"/>
              </w:rPr>
            </w:pPr>
          </w:p>
        </w:tc>
        <w:tc>
          <w:tcPr>
            <w:tcW w:w="114" w:type="dxa"/>
            <w:tcBorders>
              <w:top w:val="nil"/>
              <w:bottom w:val="nil"/>
            </w:tcBorders>
            <w:vAlign w:val="top"/>
          </w:tcPr>
          <w:p w14:paraId="329D1178">
            <w:pPr>
              <w:rPr>
                <w:rFonts w:ascii="Arial"/>
                <w:sz w:val="21"/>
              </w:rPr>
            </w:pPr>
          </w:p>
        </w:tc>
        <w:tc>
          <w:tcPr>
            <w:tcW w:w="631" w:type="dxa"/>
            <w:textDirection w:val="tbRlV"/>
            <w:vAlign w:val="top"/>
          </w:tcPr>
          <w:p w14:paraId="35592AA4">
            <w:pPr>
              <w:spacing w:before="214" w:line="216" w:lineRule="auto"/>
              <w:ind w:left="1664"/>
              <w:rPr>
                <w:rFonts w:ascii="宋体" w:hAnsi="宋体" w:eastAsia="宋体" w:cs="宋体"/>
                <w:sz w:val="20"/>
                <w:szCs w:val="20"/>
              </w:rPr>
            </w:pPr>
            <w:r>
              <w:rPr>
                <w:rFonts w:ascii="宋体" w:hAnsi="宋体" w:eastAsia="宋体" w:cs="宋体"/>
                <w:spacing w:val="8"/>
                <w:sz w:val="20"/>
                <w:szCs w:val="20"/>
              </w:rPr>
              <w:t>噪</w:t>
            </w:r>
            <w:r>
              <w:rPr>
                <w:rFonts w:ascii="宋体" w:hAnsi="宋体" w:eastAsia="宋体" w:cs="宋体"/>
                <w:spacing w:val="104"/>
                <w:sz w:val="20"/>
                <w:szCs w:val="20"/>
              </w:rPr>
              <w:t xml:space="preserve"> </w:t>
            </w:r>
            <w:r>
              <w:rPr>
                <w:rFonts w:ascii="宋体" w:hAnsi="宋体" w:eastAsia="宋体" w:cs="宋体"/>
                <w:spacing w:val="8"/>
                <w:sz w:val="20"/>
                <w:szCs w:val="20"/>
              </w:rPr>
              <w:t>声</w:t>
            </w:r>
            <w:r>
              <w:rPr>
                <w:rFonts w:ascii="宋体" w:hAnsi="宋体" w:eastAsia="宋体" w:cs="宋体"/>
                <w:spacing w:val="1"/>
                <w:sz w:val="20"/>
                <w:szCs w:val="20"/>
              </w:rPr>
              <w:t xml:space="preserve">  </w:t>
            </w:r>
            <w:r>
              <w:rPr>
                <w:rFonts w:ascii="宋体" w:hAnsi="宋体" w:eastAsia="宋体" w:cs="宋体"/>
                <w:spacing w:val="8"/>
                <w:sz w:val="20"/>
                <w:szCs w:val="20"/>
              </w:rPr>
              <w:t>影</w:t>
            </w:r>
            <w:r>
              <w:rPr>
                <w:rFonts w:ascii="宋体" w:hAnsi="宋体" w:eastAsia="宋体" w:cs="宋体"/>
                <w:spacing w:val="99"/>
                <w:sz w:val="20"/>
                <w:szCs w:val="20"/>
              </w:rPr>
              <w:t xml:space="preserve"> </w:t>
            </w:r>
            <w:r>
              <w:rPr>
                <w:rFonts w:ascii="宋体" w:hAnsi="宋体" w:eastAsia="宋体" w:cs="宋体"/>
                <w:spacing w:val="8"/>
                <w:sz w:val="20"/>
                <w:szCs w:val="20"/>
              </w:rPr>
              <w:t>响</w:t>
            </w:r>
            <w:r>
              <w:rPr>
                <w:rFonts w:ascii="宋体" w:hAnsi="宋体" w:eastAsia="宋体" w:cs="宋体"/>
                <w:spacing w:val="99"/>
                <w:sz w:val="20"/>
                <w:szCs w:val="20"/>
              </w:rPr>
              <w:t xml:space="preserve"> </w:t>
            </w:r>
            <w:r>
              <w:rPr>
                <w:rFonts w:ascii="宋体" w:hAnsi="宋体" w:eastAsia="宋体" w:cs="宋体"/>
                <w:spacing w:val="8"/>
                <w:sz w:val="20"/>
                <w:szCs w:val="20"/>
              </w:rPr>
              <w:t>减</w:t>
            </w:r>
            <w:r>
              <w:rPr>
                <w:rFonts w:ascii="宋体" w:hAnsi="宋体" w:eastAsia="宋体" w:cs="宋体"/>
                <w:spacing w:val="99"/>
                <w:sz w:val="20"/>
                <w:szCs w:val="20"/>
              </w:rPr>
              <w:t xml:space="preserve"> </w:t>
            </w:r>
            <w:r>
              <w:rPr>
                <w:rFonts w:ascii="宋体" w:hAnsi="宋体" w:eastAsia="宋体" w:cs="宋体"/>
                <w:spacing w:val="8"/>
                <w:sz w:val="20"/>
                <w:szCs w:val="20"/>
              </w:rPr>
              <w:t>缓</w:t>
            </w:r>
            <w:r>
              <w:rPr>
                <w:rFonts w:ascii="宋体" w:hAnsi="宋体" w:eastAsia="宋体" w:cs="宋体"/>
                <w:spacing w:val="99"/>
                <w:sz w:val="20"/>
                <w:szCs w:val="20"/>
              </w:rPr>
              <w:t xml:space="preserve"> </w:t>
            </w:r>
            <w:r>
              <w:rPr>
                <w:rFonts w:ascii="宋体" w:hAnsi="宋体" w:eastAsia="宋体" w:cs="宋体"/>
                <w:spacing w:val="8"/>
                <w:sz w:val="20"/>
                <w:szCs w:val="20"/>
              </w:rPr>
              <w:t>措</w:t>
            </w:r>
            <w:r>
              <w:rPr>
                <w:rFonts w:ascii="宋体" w:hAnsi="宋体" w:eastAsia="宋体" w:cs="宋体"/>
                <w:spacing w:val="100"/>
                <w:sz w:val="20"/>
                <w:szCs w:val="20"/>
              </w:rPr>
              <w:t xml:space="preserve"> </w:t>
            </w:r>
            <w:r>
              <w:rPr>
                <w:rFonts w:ascii="宋体" w:hAnsi="宋体" w:eastAsia="宋体" w:cs="宋体"/>
                <w:spacing w:val="8"/>
                <w:sz w:val="20"/>
                <w:szCs w:val="20"/>
              </w:rPr>
              <w:t>施</w:t>
            </w:r>
          </w:p>
        </w:tc>
        <w:tc>
          <w:tcPr>
            <w:tcW w:w="4051" w:type="dxa"/>
            <w:vAlign w:val="top"/>
          </w:tcPr>
          <w:p w14:paraId="10C9172C">
            <w:pPr>
              <w:spacing w:before="31" w:line="377" w:lineRule="auto"/>
              <w:ind w:left="108" w:right="216" w:hanging="1"/>
              <w:rPr>
                <w:rFonts w:ascii="宋体" w:hAnsi="宋体" w:eastAsia="宋体" w:cs="宋体"/>
                <w:sz w:val="20"/>
                <w:szCs w:val="20"/>
              </w:rPr>
            </w:pPr>
            <w:r>
              <w:rPr>
                <w:rFonts w:ascii="宋体" w:hAnsi="宋体" w:eastAsia="宋体" w:cs="宋体"/>
                <w:spacing w:val="6"/>
                <w:sz w:val="20"/>
                <w:szCs w:val="20"/>
              </w:rPr>
              <w:t>①根据规划实施后对声环境的影响分析，</w:t>
            </w:r>
            <w:r>
              <w:rPr>
                <w:rFonts w:ascii="宋体" w:hAnsi="宋体" w:eastAsia="宋体" w:cs="宋体"/>
                <w:spacing w:val="9"/>
                <w:sz w:val="20"/>
                <w:szCs w:val="20"/>
              </w:rPr>
              <w:t>本评价提出规划区应合理布局各企业位</w:t>
            </w:r>
          </w:p>
          <w:p w14:paraId="3D1E41CD">
            <w:pPr>
              <w:spacing w:before="1" w:line="377" w:lineRule="auto"/>
              <w:ind w:left="109" w:right="168" w:hanging="3"/>
              <w:rPr>
                <w:rFonts w:ascii="宋体" w:hAnsi="宋体" w:eastAsia="宋体" w:cs="宋体"/>
                <w:sz w:val="20"/>
                <w:szCs w:val="20"/>
              </w:rPr>
            </w:pPr>
            <w:r>
              <w:rPr>
                <w:rFonts w:ascii="宋体" w:hAnsi="宋体" w:eastAsia="宋体" w:cs="宋体"/>
                <w:spacing w:val="9"/>
                <w:sz w:val="20"/>
                <w:szCs w:val="20"/>
              </w:rPr>
              <w:t>置，要将工业用地、公共设施用地等噪声污染较高的用地与住宅等需要安静的用地分隔开来，居住区应尽最离开交通干线</w:t>
            </w:r>
          </w:p>
          <w:p w14:paraId="718567B4">
            <w:pPr>
              <w:spacing w:before="1" w:line="376" w:lineRule="auto"/>
              <w:ind w:left="106" w:right="51" w:hanging="3"/>
              <w:rPr>
                <w:rFonts w:ascii="宋体" w:hAnsi="宋体" w:eastAsia="宋体" w:cs="宋体"/>
                <w:sz w:val="20"/>
                <w:szCs w:val="20"/>
              </w:rPr>
            </w:pPr>
            <w:r>
              <w:rPr>
                <w:rFonts w:ascii="Times New Roman" w:hAnsi="Times New Roman" w:eastAsia="Times New Roman" w:cs="Times New Roman"/>
                <w:spacing w:val="2"/>
                <w:sz w:val="20"/>
                <w:szCs w:val="20"/>
              </w:rPr>
              <w:t>40m</w:t>
            </w:r>
            <w:r>
              <w:rPr>
                <w:rFonts w:ascii="Times New Roman" w:hAnsi="Times New Roman" w:eastAsia="Times New Roman" w:cs="Times New Roman"/>
                <w:spacing w:val="44"/>
                <w:w w:val="101"/>
                <w:sz w:val="20"/>
                <w:szCs w:val="20"/>
              </w:rPr>
              <w:t xml:space="preserve"> </w:t>
            </w:r>
            <w:r>
              <w:rPr>
                <w:rFonts w:ascii="宋体" w:hAnsi="宋体" w:eastAsia="宋体" w:cs="宋体"/>
                <w:spacing w:val="2"/>
                <w:sz w:val="20"/>
                <w:szCs w:val="20"/>
              </w:rPr>
              <w:t>以上，将仓储用地放于交通干道两侧，</w:t>
            </w:r>
            <w:r>
              <w:rPr>
                <w:rFonts w:ascii="宋体" w:hAnsi="宋体" w:eastAsia="宋体" w:cs="宋体"/>
                <w:spacing w:val="9"/>
                <w:sz w:val="20"/>
                <w:szCs w:val="20"/>
              </w:rPr>
              <w:t>入园企业也要注意将生产区与办公区分离</w:t>
            </w:r>
            <w:r>
              <w:rPr>
                <w:rFonts w:ascii="宋体" w:hAnsi="宋体" w:eastAsia="宋体" w:cs="宋体"/>
                <w:spacing w:val="3"/>
                <w:sz w:val="20"/>
                <w:szCs w:val="20"/>
              </w:rPr>
              <w:t>开来；</w:t>
            </w:r>
          </w:p>
          <w:p w14:paraId="6E9AE822">
            <w:pPr>
              <w:spacing w:before="1" w:line="377" w:lineRule="auto"/>
              <w:ind w:left="106" w:right="165"/>
              <w:rPr>
                <w:rFonts w:ascii="宋体" w:hAnsi="宋体" w:eastAsia="宋体" w:cs="宋体"/>
                <w:sz w:val="20"/>
                <w:szCs w:val="20"/>
              </w:rPr>
            </w:pPr>
            <w:r>
              <w:rPr>
                <w:rFonts w:ascii="宋体" w:hAnsi="宋体" w:eastAsia="宋体" w:cs="宋体"/>
                <w:spacing w:val="9"/>
                <w:sz w:val="20"/>
                <w:szCs w:val="20"/>
              </w:rPr>
              <w:t>②道路建设设计应预留绿化带，加强园区</w:t>
            </w:r>
            <w:r>
              <w:rPr>
                <w:rFonts w:ascii="宋体" w:hAnsi="宋体" w:eastAsia="宋体" w:cs="宋体"/>
                <w:spacing w:val="8"/>
                <w:sz w:val="20"/>
                <w:szCs w:val="20"/>
              </w:rPr>
              <w:t>道路修缮工作以及交通管理；</w:t>
            </w:r>
          </w:p>
          <w:p w14:paraId="5E5615E9">
            <w:pPr>
              <w:spacing w:before="2" w:line="370" w:lineRule="auto"/>
              <w:ind w:left="106" w:right="105"/>
              <w:rPr>
                <w:rFonts w:ascii="宋体" w:hAnsi="宋体" w:eastAsia="宋体" w:cs="宋体"/>
                <w:sz w:val="20"/>
                <w:szCs w:val="20"/>
              </w:rPr>
            </w:pPr>
            <w:r>
              <w:rPr>
                <w:rFonts w:ascii="宋体" w:hAnsi="宋体" w:eastAsia="宋体" w:cs="宋体"/>
                <w:spacing w:val="9"/>
                <w:sz w:val="20"/>
                <w:szCs w:val="20"/>
              </w:rPr>
              <w:t>③入园企业如果使用一些高噪声设备如风机、空压机、冷却塔、发电机等，应做好消音降噪措施，建设过程中一定要对高噪</w:t>
            </w:r>
            <w:r>
              <w:rPr>
                <w:rFonts w:ascii="宋体" w:hAnsi="宋体" w:eastAsia="宋体" w:cs="宋体"/>
                <w:spacing w:val="6"/>
                <w:sz w:val="20"/>
                <w:szCs w:val="20"/>
              </w:rPr>
              <w:t>声设备实行</w:t>
            </w:r>
            <w:r>
              <w:rPr>
                <w:rFonts w:ascii="Times New Roman" w:hAnsi="Times New Roman" w:eastAsia="Times New Roman" w:cs="Times New Roman"/>
                <w:spacing w:val="6"/>
                <w:sz w:val="20"/>
                <w:szCs w:val="20"/>
              </w:rPr>
              <w:t>“</w:t>
            </w:r>
            <w:r>
              <w:rPr>
                <w:rFonts w:ascii="Times New Roman" w:hAnsi="Times New Roman" w:eastAsia="Times New Roman" w:cs="Times New Roman"/>
                <w:spacing w:val="-21"/>
                <w:sz w:val="20"/>
                <w:szCs w:val="20"/>
              </w:rPr>
              <w:t xml:space="preserve"> </w:t>
            </w:r>
            <w:r>
              <w:rPr>
                <w:rFonts w:ascii="宋体" w:hAnsi="宋体" w:eastAsia="宋体" w:cs="宋体"/>
                <w:spacing w:val="6"/>
                <w:sz w:val="20"/>
                <w:szCs w:val="20"/>
              </w:rPr>
              <w:t>同时设计、同时施工、同时验</w:t>
            </w:r>
            <w:r>
              <w:rPr>
                <w:rFonts w:ascii="宋体" w:hAnsi="宋体" w:eastAsia="宋体" w:cs="宋体"/>
                <w:spacing w:val="7"/>
                <w:sz w:val="20"/>
                <w:szCs w:val="20"/>
              </w:rPr>
              <w:t>收</w:t>
            </w:r>
            <w:r>
              <w:rPr>
                <w:rFonts w:ascii="Times New Roman" w:hAnsi="Times New Roman" w:eastAsia="Times New Roman" w:cs="Times New Roman"/>
                <w:spacing w:val="7"/>
                <w:sz w:val="20"/>
                <w:szCs w:val="20"/>
              </w:rPr>
              <w:t>”</w:t>
            </w:r>
            <w:r>
              <w:rPr>
                <w:rFonts w:ascii="Times New Roman" w:hAnsi="Times New Roman" w:eastAsia="Times New Roman" w:cs="Times New Roman"/>
                <w:spacing w:val="-13"/>
                <w:sz w:val="20"/>
                <w:szCs w:val="20"/>
              </w:rPr>
              <w:t xml:space="preserve"> </w:t>
            </w:r>
            <w:r>
              <w:rPr>
                <w:rFonts w:ascii="宋体" w:hAnsi="宋体" w:eastAsia="宋体" w:cs="宋体"/>
                <w:spacing w:val="7"/>
                <w:sz w:val="20"/>
                <w:szCs w:val="20"/>
              </w:rPr>
              <w:t>的原则，杜绝先污染后治理的现象出</w:t>
            </w:r>
            <w:r>
              <w:rPr>
                <w:rFonts w:ascii="宋体" w:hAnsi="宋体" w:eastAsia="宋体" w:cs="宋体"/>
                <w:sz w:val="20"/>
                <w:szCs w:val="20"/>
              </w:rPr>
              <w:t>现。</w:t>
            </w:r>
          </w:p>
        </w:tc>
        <w:tc>
          <w:tcPr>
            <w:tcW w:w="2163" w:type="dxa"/>
            <w:vAlign w:val="top"/>
          </w:tcPr>
          <w:p w14:paraId="62D6D711">
            <w:pPr>
              <w:spacing w:line="277" w:lineRule="auto"/>
              <w:rPr>
                <w:rFonts w:ascii="Arial"/>
                <w:sz w:val="21"/>
              </w:rPr>
            </w:pPr>
          </w:p>
          <w:p w14:paraId="5FA100D8">
            <w:pPr>
              <w:spacing w:line="277" w:lineRule="auto"/>
              <w:rPr>
                <w:rFonts w:ascii="Arial"/>
                <w:sz w:val="21"/>
              </w:rPr>
            </w:pPr>
          </w:p>
          <w:p w14:paraId="3F05142F">
            <w:pPr>
              <w:spacing w:line="277" w:lineRule="auto"/>
              <w:rPr>
                <w:rFonts w:ascii="Arial"/>
                <w:sz w:val="21"/>
              </w:rPr>
            </w:pPr>
          </w:p>
          <w:p w14:paraId="1F60A34B">
            <w:pPr>
              <w:spacing w:line="277" w:lineRule="auto"/>
              <w:rPr>
                <w:rFonts w:ascii="Arial"/>
                <w:sz w:val="21"/>
              </w:rPr>
            </w:pPr>
          </w:p>
          <w:p w14:paraId="00B96A36">
            <w:pPr>
              <w:spacing w:line="278" w:lineRule="auto"/>
              <w:rPr>
                <w:rFonts w:ascii="Arial"/>
                <w:sz w:val="21"/>
              </w:rPr>
            </w:pPr>
          </w:p>
          <w:p w14:paraId="1D2858B9">
            <w:pPr>
              <w:spacing w:before="65" w:line="226" w:lineRule="auto"/>
              <w:ind w:right="7"/>
              <w:jc w:val="right"/>
              <w:rPr>
                <w:rFonts w:ascii="宋体" w:hAnsi="宋体" w:eastAsia="宋体" w:cs="宋体"/>
                <w:sz w:val="20"/>
                <w:szCs w:val="20"/>
              </w:rPr>
            </w:pPr>
            <w:r>
              <w:rPr>
                <w:rFonts w:ascii="宋体" w:hAnsi="宋体" w:eastAsia="宋体" w:cs="宋体"/>
                <w:spacing w:val="3"/>
                <w:sz w:val="20"/>
                <w:szCs w:val="20"/>
              </w:rPr>
              <w:t>根据《验收监测报告》</w:t>
            </w:r>
          </w:p>
          <w:p w14:paraId="6B5871CB">
            <w:pPr>
              <w:spacing w:before="162" w:line="228" w:lineRule="auto"/>
              <w:ind w:left="118"/>
              <w:rPr>
                <w:rFonts w:ascii="宋体" w:hAnsi="宋体" w:eastAsia="宋体" w:cs="宋体"/>
                <w:sz w:val="20"/>
                <w:szCs w:val="20"/>
              </w:rPr>
            </w:pPr>
            <w:r>
              <w:rPr>
                <w:rFonts w:ascii="宋体" w:hAnsi="宋体" w:eastAsia="宋体" w:cs="宋体"/>
                <w:spacing w:val="8"/>
                <w:sz w:val="20"/>
                <w:szCs w:val="20"/>
              </w:rPr>
              <w:t>厂界噪声均可满足</w:t>
            </w:r>
          </w:p>
          <w:p w14:paraId="60D76997">
            <w:pPr>
              <w:spacing w:before="164" w:line="228" w:lineRule="auto"/>
              <w:ind w:left="121"/>
              <w:rPr>
                <w:rFonts w:ascii="宋体" w:hAnsi="宋体" w:eastAsia="宋体" w:cs="宋体"/>
                <w:sz w:val="20"/>
                <w:szCs w:val="20"/>
              </w:rPr>
            </w:pPr>
            <w:r>
              <w:rPr>
                <w:rFonts w:ascii="宋体" w:hAnsi="宋体" w:eastAsia="宋体" w:cs="宋体"/>
                <w:spacing w:val="8"/>
                <w:sz w:val="20"/>
                <w:szCs w:val="20"/>
              </w:rPr>
              <w:t>《工业企业厂界环境</w:t>
            </w:r>
          </w:p>
          <w:p w14:paraId="79F1AFE1">
            <w:pPr>
              <w:spacing w:before="161" w:line="228" w:lineRule="auto"/>
              <w:ind w:left="125"/>
              <w:rPr>
                <w:rFonts w:ascii="宋体" w:hAnsi="宋体" w:eastAsia="宋体" w:cs="宋体"/>
                <w:sz w:val="20"/>
                <w:szCs w:val="20"/>
              </w:rPr>
            </w:pPr>
            <w:r>
              <w:rPr>
                <w:rFonts w:ascii="宋体" w:hAnsi="宋体" w:eastAsia="宋体" w:cs="宋体"/>
                <w:spacing w:val="5"/>
                <w:sz w:val="20"/>
                <w:szCs w:val="20"/>
              </w:rPr>
              <w:t>噪声排放标准》</w:t>
            </w:r>
          </w:p>
          <w:p w14:paraId="64F7D5C6">
            <w:pPr>
              <w:spacing w:before="160"/>
              <w:ind w:left="125"/>
              <w:rPr>
                <w:rFonts w:ascii="Times New Roman" w:hAnsi="Times New Roman" w:eastAsia="Times New Roman" w:cs="Times New Roman"/>
                <w:sz w:val="20"/>
                <w:szCs w:val="20"/>
              </w:rPr>
            </w:pPr>
            <w:r>
              <w:rPr>
                <w:rFonts w:ascii="宋体" w:hAnsi="宋体" w:eastAsia="宋体" w:cs="宋体"/>
                <w:spacing w:val="5"/>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12348-2008</w:t>
            </w:r>
            <w:r>
              <w:rPr>
                <w:rFonts w:ascii="宋体" w:hAnsi="宋体" w:eastAsia="宋体" w:cs="宋体"/>
                <w:spacing w:val="5"/>
                <w:sz w:val="20"/>
                <w:szCs w:val="20"/>
              </w:rPr>
              <w:t>）</w:t>
            </w:r>
            <w:r>
              <w:rPr>
                <w:rFonts w:ascii="Times New Roman" w:hAnsi="Times New Roman" w:eastAsia="Times New Roman" w:cs="Times New Roman"/>
                <w:spacing w:val="5"/>
                <w:sz w:val="20"/>
                <w:szCs w:val="20"/>
              </w:rPr>
              <w:t>3</w:t>
            </w:r>
          </w:p>
          <w:p w14:paraId="67C23F31">
            <w:pPr>
              <w:spacing w:before="147" w:line="228" w:lineRule="auto"/>
              <w:ind w:left="115"/>
              <w:rPr>
                <w:rFonts w:ascii="宋体" w:hAnsi="宋体" w:eastAsia="宋体" w:cs="宋体"/>
                <w:sz w:val="20"/>
                <w:szCs w:val="20"/>
              </w:rPr>
            </w:pPr>
            <w:r>
              <w:rPr>
                <w:rFonts w:ascii="宋体" w:hAnsi="宋体" w:eastAsia="宋体" w:cs="宋体"/>
                <w:spacing w:val="8"/>
                <w:sz w:val="20"/>
                <w:szCs w:val="20"/>
              </w:rPr>
              <w:t>类要求。项目周边</w:t>
            </w:r>
          </w:p>
          <w:p w14:paraId="277476D5">
            <w:pPr>
              <w:spacing w:before="161" w:line="228" w:lineRule="auto"/>
              <w:ind w:left="117"/>
              <w:rPr>
                <w:rFonts w:ascii="宋体" w:hAnsi="宋体" w:eastAsia="宋体" w:cs="宋体"/>
                <w:sz w:val="20"/>
                <w:szCs w:val="20"/>
              </w:rPr>
            </w:pPr>
            <w:r>
              <w:rPr>
                <w:rFonts w:ascii="Times New Roman" w:hAnsi="Times New Roman" w:eastAsia="Times New Roman" w:cs="Times New Roman"/>
                <w:spacing w:val="7"/>
                <w:sz w:val="20"/>
                <w:szCs w:val="20"/>
              </w:rPr>
              <w:t xml:space="preserve">50m </w:t>
            </w:r>
            <w:r>
              <w:rPr>
                <w:rFonts w:ascii="宋体" w:hAnsi="宋体" w:eastAsia="宋体" w:cs="宋体"/>
                <w:spacing w:val="7"/>
                <w:sz w:val="20"/>
                <w:szCs w:val="20"/>
              </w:rPr>
              <w:t>范围无声环境敏</w:t>
            </w:r>
          </w:p>
          <w:p w14:paraId="0324C995">
            <w:pPr>
              <w:spacing w:before="161" w:line="227" w:lineRule="auto"/>
              <w:ind w:left="116"/>
              <w:rPr>
                <w:rFonts w:ascii="宋体" w:hAnsi="宋体" w:eastAsia="宋体" w:cs="宋体"/>
                <w:sz w:val="20"/>
                <w:szCs w:val="20"/>
              </w:rPr>
            </w:pPr>
            <w:r>
              <w:rPr>
                <w:rFonts w:ascii="宋体" w:hAnsi="宋体" w:eastAsia="宋体" w:cs="宋体"/>
                <w:spacing w:val="8"/>
                <w:sz w:val="20"/>
                <w:szCs w:val="20"/>
              </w:rPr>
              <w:t>感目标，不会降低区</w:t>
            </w:r>
          </w:p>
          <w:p w14:paraId="453E1CE9">
            <w:pPr>
              <w:spacing w:before="165" w:line="228" w:lineRule="auto"/>
              <w:ind w:left="116"/>
              <w:rPr>
                <w:rFonts w:ascii="宋体" w:hAnsi="宋体" w:eastAsia="宋体" w:cs="宋体"/>
                <w:sz w:val="20"/>
                <w:szCs w:val="20"/>
              </w:rPr>
            </w:pPr>
            <w:r>
              <w:rPr>
                <w:rFonts w:ascii="宋体" w:hAnsi="宋体" w:eastAsia="宋体" w:cs="宋体"/>
                <w:spacing w:val="7"/>
                <w:sz w:val="20"/>
                <w:szCs w:val="20"/>
              </w:rPr>
              <w:t>域声环境质量现状。</w:t>
            </w:r>
          </w:p>
        </w:tc>
        <w:tc>
          <w:tcPr>
            <w:tcW w:w="628" w:type="dxa"/>
            <w:textDirection w:val="tbRlV"/>
            <w:vAlign w:val="top"/>
          </w:tcPr>
          <w:p w14:paraId="562FB8BE">
            <w:pPr>
              <w:spacing w:before="201" w:line="215" w:lineRule="auto"/>
              <w:ind w:left="2890"/>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4" w:type="dxa"/>
            <w:vMerge w:val="continue"/>
            <w:tcBorders>
              <w:top w:val="nil"/>
              <w:bottom w:val="nil"/>
              <w:right w:val="single" w:color="000000" w:sz="6" w:space="0"/>
            </w:tcBorders>
            <w:vAlign w:val="top"/>
          </w:tcPr>
          <w:p w14:paraId="627BA4CE">
            <w:pPr>
              <w:rPr>
                <w:rFonts w:ascii="Arial"/>
                <w:sz w:val="21"/>
              </w:rPr>
            </w:pPr>
          </w:p>
        </w:tc>
      </w:tr>
      <w:tr w14:paraId="55BAB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8" w:hRule="atLeast"/>
        </w:trPr>
        <w:tc>
          <w:tcPr>
            <w:tcW w:w="1161" w:type="dxa"/>
            <w:vMerge w:val="continue"/>
            <w:tcBorders>
              <w:top w:val="nil"/>
              <w:left w:val="single" w:color="000000" w:sz="6" w:space="0"/>
              <w:bottom w:val="single" w:color="000000" w:sz="6" w:space="0"/>
            </w:tcBorders>
            <w:vAlign w:val="top"/>
          </w:tcPr>
          <w:p w14:paraId="5CB370DE">
            <w:pPr>
              <w:rPr>
                <w:rFonts w:ascii="Arial"/>
                <w:sz w:val="21"/>
              </w:rPr>
            </w:pPr>
          </w:p>
        </w:tc>
        <w:tc>
          <w:tcPr>
            <w:tcW w:w="114" w:type="dxa"/>
            <w:tcBorders>
              <w:top w:val="nil"/>
              <w:bottom w:val="single" w:color="000000" w:sz="6" w:space="0"/>
            </w:tcBorders>
            <w:vAlign w:val="top"/>
          </w:tcPr>
          <w:p w14:paraId="3F5BC738">
            <w:pPr>
              <w:rPr>
                <w:rFonts w:ascii="Arial"/>
                <w:sz w:val="21"/>
              </w:rPr>
            </w:pPr>
          </w:p>
        </w:tc>
        <w:tc>
          <w:tcPr>
            <w:tcW w:w="631" w:type="dxa"/>
            <w:textDirection w:val="tbRlV"/>
            <w:vAlign w:val="top"/>
          </w:tcPr>
          <w:p w14:paraId="5EAED456">
            <w:pPr>
              <w:spacing w:before="213" w:line="217" w:lineRule="auto"/>
              <w:ind w:left="1057"/>
              <w:rPr>
                <w:rFonts w:ascii="宋体" w:hAnsi="宋体" w:eastAsia="宋体" w:cs="宋体"/>
                <w:sz w:val="20"/>
                <w:szCs w:val="20"/>
              </w:rPr>
            </w:pPr>
            <w:r>
              <w:rPr>
                <w:rFonts w:ascii="宋体" w:hAnsi="宋体" w:eastAsia="宋体" w:cs="宋体"/>
                <w:spacing w:val="8"/>
                <w:sz w:val="20"/>
                <w:szCs w:val="20"/>
              </w:rPr>
              <w:t>固</w:t>
            </w:r>
            <w:r>
              <w:rPr>
                <w:rFonts w:ascii="宋体" w:hAnsi="宋体" w:eastAsia="宋体" w:cs="宋体"/>
                <w:spacing w:val="106"/>
                <w:sz w:val="20"/>
                <w:szCs w:val="20"/>
              </w:rPr>
              <w:t xml:space="preserve"> </w:t>
            </w:r>
            <w:r>
              <w:rPr>
                <w:rFonts w:ascii="宋体" w:hAnsi="宋体" w:eastAsia="宋体" w:cs="宋体"/>
                <w:spacing w:val="8"/>
                <w:sz w:val="20"/>
                <w:szCs w:val="20"/>
              </w:rPr>
              <w:t>体</w:t>
            </w:r>
            <w:r>
              <w:rPr>
                <w:rFonts w:ascii="宋体" w:hAnsi="宋体" w:eastAsia="宋体" w:cs="宋体"/>
                <w:sz w:val="20"/>
                <w:szCs w:val="20"/>
              </w:rPr>
              <w:t xml:space="preserve">  </w:t>
            </w:r>
            <w:r>
              <w:rPr>
                <w:rFonts w:ascii="宋体" w:hAnsi="宋体" w:eastAsia="宋体" w:cs="宋体"/>
                <w:spacing w:val="8"/>
                <w:sz w:val="20"/>
                <w:szCs w:val="20"/>
              </w:rPr>
              <w:t>废</w:t>
            </w:r>
            <w:r>
              <w:rPr>
                <w:rFonts w:ascii="宋体" w:hAnsi="宋体" w:eastAsia="宋体" w:cs="宋体"/>
                <w:spacing w:val="100"/>
                <w:sz w:val="20"/>
                <w:szCs w:val="20"/>
              </w:rPr>
              <w:t xml:space="preserve"> </w:t>
            </w:r>
            <w:r>
              <w:rPr>
                <w:rFonts w:ascii="宋体" w:hAnsi="宋体" w:eastAsia="宋体" w:cs="宋体"/>
                <w:spacing w:val="8"/>
                <w:sz w:val="20"/>
                <w:szCs w:val="20"/>
              </w:rPr>
              <w:t>物</w:t>
            </w:r>
            <w:r>
              <w:rPr>
                <w:rFonts w:ascii="宋体" w:hAnsi="宋体" w:eastAsia="宋体" w:cs="宋体"/>
                <w:spacing w:val="100"/>
                <w:sz w:val="20"/>
                <w:szCs w:val="20"/>
              </w:rPr>
              <w:t xml:space="preserve"> </w:t>
            </w:r>
            <w:r>
              <w:rPr>
                <w:rFonts w:ascii="宋体" w:hAnsi="宋体" w:eastAsia="宋体" w:cs="宋体"/>
                <w:spacing w:val="8"/>
                <w:sz w:val="20"/>
                <w:szCs w:val="20"/>
              </w:rPr>
              <w:t>污</w:t>
            </w:r>
            <w:r>
              <w:rPr>
                <w:rFonts w:ascii="宋体" w:hAnsi="宋体" w:eastAsia="宋体" w:cs="宋体"/>
                <w:spacing w:val="99"/>
                <w:sz w:val="20"/>
                <w:szCs w:val="20"/>
              </w:rPr>
              <w:t xml:space="preserve"> </w:t>
            </w:r>
            <w:r>
              <w:rPr>
                <w:rFonts w:ascii="宋体" w:hAnsi="宋体" w:eastAsia="宋体" w:cs="宋体"/>
                <w:spacing w:val="8"/>
                <w:sz w:val="20"/>
                <w:szCs w:val="20"/>
              </w:rPr>
              <w:t>染</w:t>
            </w:r>
            <w:r>
              <w:rPr>
                <w:rFonts w:ascii="宋体" w:hAnsi="宋体" w:eastAsia="宋体" w:cs="宋体"/>
                <w:spacing w:val="99"/>
                <w:sz w:val="20"/>
                <w:szCs w:val="20"/>
              </w:rPr>
              <w:t xml:space="preserve"> </w:t>
            </w:r>
            <w:r>
              <w:rPr>
                <w:rFonts w:ascii="宋体" w:hAnsi="宋体" w:eastAsia="宋体" w:cs="宋体"/>
                <w:spacing w:val="8"/>
                <w:sz w:val="20"/>
                <w:szCs w:val="20"/>
              </w:rPr>
              <w:t>防</w:t>
            </w:r>
            <w:r>
              <w:rPr>
                <w:rFonts w:ascii="宋体" w:hAnsi="宋体" w:eastAsia="宋体" w:cs="宋体"/>
                <w:spacing w:val="99"/>
                <w:sz w:val="20"/>
                <w:szCs w:val="20"/>
              </w:rPr>
              <w:t xml:space="preserve"> </w:t>
            </w:r>
            <w:r>
              <w:rPr>
                <w:rFonts w:ascii="宋体" w:hAnsi="宋体" w:eastAsia="宋体" w:cs="宋体"/>
                <w:spacing w:val="8"/>
                <w:sz w:val="20"/>
                <w:szCs w:val="20"/>
              </w:rPr>
              <w:t>治</w:t>
            </w:r>
            <w:r>
              <w:rPr>
                <w:rFonts w:ascii="宋体" w:hAnsi="宋体" w:eastAsia="宋体" w:cs="宋体"/>
                <w:spacing w:val="1"/>
                <w:sz w:val="20"/>
                <w:szCs w:val="20"/>
              </w:rPr>
              <w:t xml:space="preserve">  </w:t>
            </w:r>
            <w:r>
              <w:rPr>
                <w:rFonts w:ascii="宋体" w:hAnsi="宋体" w:eastAsia="宋体" w:cs="宋体"/>
                <w:spacing w:val="8"/>
                <w:sz w:val="20"/>
                <w:szCs w:val="20"/>
              </w:rPr>
              <w:t>措</w:t>
            </w:r>
            <w:r>
              <w:rPr>
                <w:rFonts w:ascii="宋体" w:hAnsi="宋体" w:eastAsia="宋体" w:cs="宋体"/>
                <w:spacing w:val="99"/>
                <w:sz w:val="20"/>
                <w:szCs w:val="20"/>
              </w:rPr>
              <w:t xml:space="preserve"> </w:t>
            </w:r>
            <w:r>
              <w:rPr>
                <w:rFonts w:ascii="宋体" w:hAnsi="宋体" w:eastAsia="宋体" w:cs="宋体"/>
                <w:spacing w:val="8"/>
                <w:sz w:val="20"/>
                <w:szCs w:val="20"/>
              </w:rPr>
              <w:t>施</w:t>
            </w:r>
          </w:p>
        </w:tc>
        <w:tc>
          <w:tcPr>
            <w:tcW w:w="4051" w:type="dxa"/>
            <w:vAlign w:val="top"/>
          </w:tcPr>
          <w:p w14:paraId="314DA567">
            <w:pPr>
              <w:spacing w:before="38" w:line="377" w:lineRule="auto"/>
              <w:ind w:left="107" w:right="165"/>
              <w:rPr>
                <w:rFonts w:ascii="宋体" w:hAnsi="宋体" w:eastAsia="宋体" w:cs="宋体"/>
                <w:sz w:val="20"/>
                <w:szCs w:val="20"/>
              </w:rPr>
            </w:pPr>
            <w:r>
              <w:rPr>
                <w:rFonts w:ascii="宋体" w:hAnsi="宋体" w:eastAsia="宋体" w:cs="宋体"/>
                <w:spacing w:val="9"/>
                <w:sz w:val="20"/>
                <w:szCs w:val="20"/>
              </w:rPr>
              <w:t>①园区不统一设置渣场，现有企业及未来入驻企业，禁止在园区内新建永久性固废处置渣场。临时渣场建设应严格按照《一般工业固体废物贮存和填埋污染控制标</w:t>
            </w:r>
          </w:p>
          <w:p w14:paraId="325D48FB">
            <w:pPr>
              <w:spacing w:before="1" w:line="366" w:lineRule="auto"/>
              <w:ind w:left="110" w:right="51"/>
              <w:rPr>
                <w:rFonts w:ascii="宋体" w:hAnsi="宋体" w:eastAsia="宋体" w:cs="宋体"/>
                <w:sz w:val="20"/>
                <w:szCs w:val="20"/>
              </w:rPr>
            </w:pPr>
            <w:r>
              <w:rPr>
                <w:rFonts w:ascii="宋体" w:hAnsi="宋体" w:eastAsia="宋体" w:cs="宋体"/>
                <w:spacing w:val="4"/>
                <w:sz w:val="20"/>
                <w:szCs w:val="20"/>
              </w:rPr>
              <w:t>准》</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4"/>
                <w:sz w:val="20"/>
                <w:szCs w:val="20"/>
              </w:rPr>
              <w:t>18599-2020)</w:t>
            </w:r>
            <w:r>
              <w:rPr>
                <w:rFonts w:ascii="宋体" w:hAnsi="宋体" w:eastAsia="宋体" w:cs="宋体"/>
                <w:spacing w:val="4"/>
                <w:sz w:val="20"/>
                <w:szCs w:val="20"/>
              </w:rPr>
              <w:t>的相关规定进行设置，</w:t>
            </w:r>
            <w:r>
              <w:rPr>
                <w:rFonts w:ascii="宋体" w:hAnsi="宋体" w:eastAsia="宋体" w:cs="宋体"/>
                <w:spacing w:val="8"/>
                <w:sz w:val="20"/>
                <w:szCs w:val="20"/>
              </w:rPr>
              <w:t>充分采取防渗，防雨淋等措施；</w:t>
            </w:r>
          </w:p>
          <w:p w14:paraId="008ADFCF">
            <w:pPr>
              <w:spacing w:before="21" w:line="377" w:lineRule="auto"/>
              <w:ind w:left="106" w:right="34"/>
              <w:rPr>
                <w:rFonts w:ascii="宋体" w:hAnsi="宋体" w:eastAsia="宋体" w:cs="宋体"/>
                <w:sz w:val="20"/>
                <w:szCs w:val="20"/>
              </w:rPr>
            </w:pPr>
            <w:r>
              <w:rPr>
                <w:rFonts w:ascii="宋体" w:hAnsi="宋体" w:eastAsia="宋体" w:cs="宋体"/>
                <w:spacing w:val="9"/>
                <w:sz w:val="20"/>
                <w:szCs w:val="20"/>
              </w:rPr>
              <w:t>②对工业固体废物中可以回收利用的进行</w:t>
            </w:r>
            <w:r>
              <w:rPr>
                <w:rFonts w:ascii="宋体" w:hAnsi="宋体" w:eastAsia="宋体" w:cs="宋体"/>
                <w:spacing w:val="5"/>
                <w:sz w:val="20"/>
                <w:szCs w:val="20"/>
              </w:rPr>
              <w:t>充分综合利用，立足于在园区内加以消化。</w:t>
            </w:r>
            <w:r>
              <w:rPr>
                <w:rFonts w:ascii="宋体" w:hAnsi="宋体" w:eastAsia="宋体" w:cs="宋体"/>
                <w:spacing w:val="7"/>
                <w:sz w:val="20"/>
                <w:szCs w:val="20"/>
              </w:rPr>
              <w:t>园区应加强工业固废管理，按</w:t>
            </w:r>
            <w:r>
              <w:rPr>
                <w:rFonts w:ascii="Times New Roman" w:hAnsi="Times New Roman" w:eastAsia="Times New Roman" w:cs="Times New Roman"/>
                <w:spacing w:val="7"/>
                <w:sz w:val="20"/>
                <w:szCs w:val="20"/>
              </w:rPr>
              <w:t>“</w:t>
            </w:r>
            <w:r>
              <w:rPr>
                <w:rFonts w:ascii="宋体" w:hAnsi="宋体" w:eastAsia="宋体" w:cs="宋体"/>
                <w:spacing w:val="7"/>
                <w:sz w:val="20"/>
                <w:szCs w:val="20"/>
              </w:rPr>
              <w:t>谁产生、谁负责</w:t>
            </w:r>
            <w:r>
              <w:rPr>
                <w:rFonts w:ascii="Times New Roman" w:hAnsi="Times New Roman" w:eastAsia="Times New Roman" w:cs="Times New Roman"/>
                <w:spacing w:val="7"/>
                <w:sz w:val="20"/>
                <w:szCs w:val="20"/>
              </w:rPr>
              <w:t>”</w:t>
            </w:r>
            <w:r>
              <w:rPr>
                <w:rFonts w:ascii="宋体" w:hAnsi="宋体" w:eastAsia="宋体" w:cs="宋体"/>
                <w:spacing w:val="7"/>
                <w:sz w:val="20"/>
                <w:szCs w:val="20"/>
              </w:rPr>
              <w:t>原则，要求园区企业对产生固体废物</w:t>
            </w:r>
            <w:r>
              <w:rPr>
                <w:rFonts w:ascii="宋体" w:hAnsi="宋体" w:eastAsia="宋体" w:cs="宋体"/>
                <w:spacing w:val="9"/>
                <w:sz w:val="20"/>
                <w:szCs w:val="20"/>
              </w:rPr>
              <w:t>进行处置、储存，应将固体废物的性质、</w:t>
            </w:r>
          </w:p>
          <w:p w14:paraId="023024E2">
            <w:pPr>
              <w:spacing w:before="2" w:line="368" w:lineRule="auto"/>
              <w:ind w:left="108" w:right="51"/>
              <w:rPr>
                <w:rFonts w:ascii="宋体" w:hAnsi="宋体" w:eastAsia="宋体" w:cs="宋体"/>
                <w:sz w:val="20"/>
                <w:szCs w:val="20"/>
              </w:rPr>
            </w:pPr>
            <w:r>
              <w:rPr>
                <w:rFonts w:ascii="宋体" w:hAnsi="宋体" w:eastAsia="宋体" w:cs="宋体"/>
                <w:spacing w:val="9"/>
                <w:sz w:val="20"/>
                <w:szCs w:val="20"/>
              </w:rPr>
              <w:t>产生量、处置去向等向环保主管部门进行</w:t>
            </w:r>
            <w:r>
              <w:rPr>
                <w:rFonts w:ascii="宋体" w:hAnsi="宋体" w:eastAsia="宋体" w:cs="宋体"/>
                <w:spacing w:val="4"/>
                <w:sz w:val="20"/>
                <w:szCs w:val="20"/>
              </w:rPr>
              <w:t>申报登记，严禁随意倾倒。调整产业结构，</w:t>
            </w:r>
            <w:r>
              <w:rPr>
                <w:rFonts w:ascii="宋体" w:hAnsi="宋体" w:eastAsia="宋体" w:cs="宋体"/>
                <w:spacing w:val="9"/>
                <w:sz w:val="20"/>
                <w:szCs w:val="20"/>
              </w:rPr>
              <w:t>减少高资源消耗、高能耗企业，减少固废的产生。从清洁生产、循环经济角度控制</w:t>
            </w:r>
          </w:p>
        </w:tc>
        <w:tc>
          <w:tcPr>
            <w:tcW w:w="2163" w:type="dxa"/>
            <w:vAlign w:val="top"/>
          </w:tcPr>
          <w:p w14:paraId="037BADD2">
            <w:pPr>
              <w:spacing w:line="278" w:lineRule="auto"/>
              <w:rPr>
                <w:rFonts w:ascii="Arial"/>
                <w:sz w:val="21"/>
              </w:rPr>
            </w:pPr>
          </w:p>
          <w:p w14:paraId="45D22481">
            <w:pPr>
              <w:spacing w:line="279" w:lineRule="auto"/>
              <w:rPr>
                <w:rFonts w:ascii="Arial"/>
                <w:sz w:val="21"/>
              </w:rPr>
            </w:pPr>
          </w:p>
          <w:p w14:paraId="5A09B7B2">
            <w:pPr>
              <w:spacing w:line="279" w:lineRule="auto"/>
              <w:rPr>
                <w:rFonts w:ascii="Arial"/>
                <w:sz w:val="21"/>
              </w:rPr>
            </w:pPr>
          </w:p>
          <w:p w14:paraId="3A24B1E5">
            <w:pPr>
              <w:spacing w:line="279" w:lineRule="auto"/>
              <w:rPr>
                <w:rFonts w:ascii="Arial"/>
                <w:sz w:val="21"/>
              </w:rPr>
            </w:pPr>
          </w:p>
          <w:p w14:paraId="4CB0EDF5">
            <w:pPr>
              <w:spacing w:line="279" w:lineRule="auto"/>
              <w:rPr>
                <w:rFonts w:ascii="Arial"/>
                <w:sz w:val="21"/>
              </w:rPr>
            </w:pPr>
          </w:p>
          <w:p w14:paraId="4C6FB0F7">
            <w:pPr>
              <w:spacing w:before="65" w:line="227" w:lineRule="auto"/>
              <w:ind w:left="116"/>
              <w:rPr>
                <w:rFonts w:ascii="宋体" w:hAnsi="宋体" w:eastAsia="宋体" w:cs="宋体"/>
                <w:sz w:val="20"/>
                <w:szCs w:val="20"/>
              </w:rPr>
            </w:pPr>
            <w:r>
              <w:rPr>
                <w:rFonts w:ascii="宋体" w:hAnsi="宋体" w:eastAsia="宋体" w:cs="宋体"/>
                <w:spacing w:val="8"/>
                <w:sz w:val="20"/>
                <w:szCs w:val="20"/>
              </w:rPr>
              <w:t>本项目固体废弃物为</w:t>
            </w:r>
          </w:p>
          <w:p w14:paraId="7144484C">
            <w:pPr>
              <w:spacing w:before="162" w:line="227" w:lineRule="auto"/>
              <w:ind w:left="114"/>
              <w:rPr>
                <w:rFonts w:ascii="宋体" w:hAnsi="宋体" w:eastAsia="宋体" w:cs="宋体"/>
                <w:sz w:val="20"/>
                <w:szCs w:val="20"/>
              </w:rPr>
            </w:pPr>
            <w:r>
              <w:rPr>
                <w:rFonts w:ascii="宋体" w:hAnsi="宋体" w:eastAsia="宋体" w:cs="宋体"/>
                <w:spacing w:val="9"/>
                <w:sz w:val="20"/>
                <w:szCs w:val="20"/>
              </w:rPr>
              <w:t>废弃包装材料、边角</w:t>
            </w:r>
          </w:p>
          <w:p w14:paraId="2EB308E6">
            <w:pPr>
              <w:spacing w:before="161" w:line="228" w:lineRule="auto"/>
              <w:ind w:left="115"/>
              <w:rPr>
                <w:rFonts w:ascii="宋体" w:hAnsi="宋体" w:eastAsia="宋体" w:cs="宋体"/>
                <w:sz w:val="20"/>
                <w:szCs w:val="20"/>
              </w:rPr>
            </w:pPr>
            <w:r>
              <w:rPr>
                <w:rFonts w:ascii="宋体" w:hAnsi="宋体" w:eastAsia="宋体" w:cs="宋体"/>
                <w:spacing w:val="8"/>
                <w:sz w:val="20"/>
                <w:szCs w:val="20"/>
              </w:rPr>
              <w:t>料、不合格产品收集</w:t>
            </w:r>
          </w:p>
          <w:p w14:paraId="7C59F167">
            <w:pPr>
              <w:spacing w:before="161" w:line="227" w:lineRule="auto"/>
              <w:ind w:left="117"/>
              <w:rPr>
                <w:rFonts w:ascii="宋体" w:hAnsi="宋体" w:eastAsia="宋体" w:cs="宋体"/>
                <w:sz w:val="20"/>
                <w:szCs w:val="20"/>
              </w:rPr>
            </w:pPr>
            <w:r>
              <w:rPr>
                <w:rFonts w:ascii="宋体" w:hAnsi="宋体" w:eastAsia="宋体" w:cs="宋体"/>
                <w:spacing w:val="8"/>
                <w:sz w:val="20"/>
                <w:szCs w:val="20"/>
              </w:rPr>
              <w:t>后外售；废机油和废</w:t>
            </w:r>
          </w:p>
          <w:p w14:paraId="5E06992A">
            <w:pPr>
              <w:spacing w:before="162" w:line="228" w:lineRule="auto"/>
              <w:ind w:left="139"/>
              <w:rPr>
                <w:rFonts w:ascii="宋体" w:hAnsi="宋体" w:eastAsia="宋体" w:cs="宋体"/>
                <w:sz w:val="20"/>
                <w:szCs w:val="20"/>
              </w:rPr>
            </w:pPr>
            <w:r>
              <w:rPr>
                <w:rFonts w:ascii="宋体" w:hAnsi="宋体" w:eastAsia="宋体" w:cs="宋体"/>
                <w:spacing w:val="6"/>
                <w:sz w:val="20"/>
                <w:szCs w:val="20"/>
              </w:rPr>
              <w:t>旧活性炭，委托有资</w:t>
            </w:r>
          </w:p>
          <w:p w14:paraId="67E70A36">
            <w:pPr>
              <w:spacing w:before="161" w:line="228" w:lineRule="auto"/>
              <w:ind w:left="116"/>
              <w:rPr>
                <w:rFonts w:ascii="宋体" w:hAnsi="宋体" w:eastAsia="宋体" w:cs="宋体"/>
                <w:sz w:val="20"/>
                <w:szCs w:val="20"/>
              </w:rPr>
            </w:pPr>
            <w:r>
              <w:rPr>
                <w:rFonts w:ascii="宋体" w:hAnsi="宋体" w:eastAsia="宋体" w:cs="宋体"/>
                <w:spacing w:val="8"/>
                <w:sz w:val="20"/>
                <w:szCs w:val="20"/>
              </w:rPr>
              <w:t>质单位定期清运处</w:t>
            </w:r>
          </w:p>
          <w:p w14:paraId="1D6DF6B9">
            <w:pPr>
              <w:spacing w:before="162" w:line="228" w:lineRule="auto"/>
              <w:ind w:left="114"/>
              <w:rPr>
                <w:rFonts w:ascii="宋体" w:hAnsi="宋体" w:eastAsia="宋体" w:cs="宋体"/>
                <w:sz w:val="20"/>
                <w:szCs w:val="20"/>
              </w:rPr>
            </w:pPr>
            <w:r>
              <w:rPr>
                <w:rFonts w:ascii="宋体" w:hAnsi="宋体" w:eastAsia="宋体" w:cs="宋体"/>
                <w:spacing w:val="9"/>
                <w:sz w:val="20"/>
                <w:szCs w:val="20"/>
              </w:rPr>
              <w:t>置，项目固废处置率</w:t>
            </w:r>
          </w:p>
          <w:p w14:paraId="5BB5C4D0">
            <w:pPr>
              <w:spacing w:before="198" w:line="186" w:lineRule="auto"/>
              <w:ind w:left="132"/>
              <w:rPr>
                <w:rFonts w:ascii="宋体" w:hAnsi="宋体" w:eastAsia="宋体" w:cs="宋体"/>
                <w:sz w:val="20"/>
                <w:szCs w:val="20"/>
              </w:rPr>
            </w:pPr>
            <w:r>
              <w:rPr>
                <w:rFonts w:ascii="Times New Roman" w:hAnsi="Times New Roman" w:eastAsia="Times New Roman" w:cs="Times New Roman"/>
                <w:spacing w:val="-1"/>
                <w:sz w:val="20"/>
                <w:szCs w:val="20"/>
              </w:rPr>
              <w:t>100%</w:t>
            </w:r>
            <w:r>
              <w:rPr>
                <w:rFonts w:ascii="宋体" w:hAnsi="宋体" w:eastAsia="宋体" w:cs="宋体"/>
                <w:spacing w:val="-1"/>
                <w:sz w:val="20"/>
                <w:szCs w:val="20"/>
              </w:rPr>
              <w:t>。</w:t>
            </w:r>
          </w:p>
        </w:tc>
        <w:tc>
          <w:tcPr>
            <w:tcW w:w="628" w:type="dxa"/>
            <w:textDirection w:val="tbRlV"/>
            <w:vAlign w:val="top"/>
          </w:tcPr>
          <w:p w14:paraId="14F1667B">
            <w:pPr>
              <w:spacing w:before="201" w:line="215" w:lineRule="auto"/>
              <w:ind w:left="2692"/>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4" w:type="dxa"/>
            <w:vMerge w:val="continue"/>
            <w:tcBorders>
              <w:top w:val="nil"/>
              <w:bottom w:val="single" w:color="000000" w:sz="6" w:space="0"/>
              <w:right w:val="single" w:color="000000" w:sz="6" w:space="0"/>
            </w:tcBorders>
            <w:vAlign w:val="top"/>
          </w:tcPr>
          <w:p w14:paraId="00661BCA">
            <w:pPr>
              <w:rPr>
                <w:rFonts w:ascii="Arial"/>
                <w:sz w:val="21"/>
              </w:rPr>
            </w:pPr>
          </w:p>
        </w:tc>
      </w:tr>
    </w:tbl>
    <w:p w14:paraId="20513652">
      <w:pPr>
        <w:pStyle w:val="2"/>
      </w:pPr>
    </w:p>
    <w:p w14:paraId="064C9E27">
      <w:pPr>
        <w:sectPr>
          <w:footerReference r:id="rId16" w:type="default"/>
          <w:pgSz w:w="11906" w:h="16839"/>
          <w:pgMar w:top="400" w:right="1509" w:bottom="1329" w:left="1509" w:header="0" w:footer="1113" w:gutter="0"/>
          <w:cols w:space="720" w:num="1"/>
        </w:sectPr>
      </w:pPr>
    </w:p>
    <w:p w14:paraId="4D702ADA">
      <w:pPr>
        <w:spacing w:before="19"/>
      </w:pPr>
    </w:p>
    <w:p w14:paraId="3EFF54D0">
      <w:pPr>
        <w:spacing w:before="19"/>
      </w:pPr>
    </w:p>
    <w:p w14:paraId="2D7C9907">
      <w:pPr>
        <w:spacing w:before="19"/>
      </w:pPr>
    </w:p>
    <w:p w14:paraId="38004D41">
      <w:pPr>
        <w:spacing w:before="18"/>
      </w:pPr>
    </w:p>
    <w:p w14:paraId="5010D327">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4"/>
        <w:gridCol w:w="631"/>
        <w:gridCol w:w="4051"/>
        <w:gridCol w:w="2163"/>
        <w:gridCol w:w="628"/>
        <w:gridCol w:w="124"/>
      </w:tblGrid>
      <w:tr w14:paraId="534F9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11" w:hRule="atLeast"/>
        </w:trPr>
        <w:tc>
          <w:tcPr>
            <w:tcW w:w="1161" w:type="dxa"/>
            <w:vMerge w:val="restart"/>
            <w:tcBorders>
              <w:top w:val="single" w:color="000000" w:sz="6" w:space="0"/>
              <w:left w:val="single" w:color="000000" w:sz="6" w:space="0"/>
              <w:bottom w:val="nil"/>
            </w:tcBorders>
            <w:vAlign w:val="top"/>
          </w:tcPr>
          <w:p w14:paraId="0412AD5C">
            <w:pPr>
              <w:rPr>
                <w:rFonts w:ascii="Arial"/>
                <w:sz w:val="21"/>
              </w:rPr>
            </w:pPr>
          </w:p>
        </w:tc>
        <w:tc>
          <w:tcPr>
            <w:tcW w:w="114" w:type="dxa"/>
            <w:tcBorders>
              <w:top w:val="single" w:color="000000" w:sz="6" w:space="0"/>
              <w:bottom w:val="nil"/>
            </w:tcBorders>
            <w:vAlign w:val="top"/>
          </w:tcPr>
          <w:p w14:paraId="700EA638">
            <w:pPr>
              <w:rPr>
                <w:rFonts w:ascii="Arial"/>
                <w:sz w:val="21"/>
              </w:rPr>
            </w:pPr>
          </w:p>
        </w:tc>
        <w:tc>
          <w:tcPr>
            <w:tcW w:w="631" w:type="dxa"/>
            <w:vAlign w:val="top"/>
          </w:tcPr>
          <w:p w14:paraId="79872D2C">
            <w:pPr>
              <w:rPr>
                <w:rFonts w:ascii="Arial"/>
                <w:sz w:val="21"/>
              </w:rPr>
            </w:pPr>
          </w:p>
        </w:tc>
        <w:tc>
          <w:tcPr>
            <w:tcW w:w="4051" w:type="dxa"/>
            <w:vAlign w:val="top"/>
          </w:tcPr>
          <w:p w14:paraId="0267C5DA">
            <w:pPr>
              <w:spacing w:before="37" w:line="377" w:lineRule="auto"/>
              <w:ind w:left="107" w:right="168" w:firstLine="3"/>
              <w:jc w:val="both"/>
              <w:rPr>
                <w:rFonts w:ascii="宋体" w:hAnsi="宋体" w:eastAsia="宋体" w:cs="宋体"/>
                <w:sz w:val="20"/>
                <w:szCs w:val="20"/>
              </w:rPr>
            </w:pPr>
            <w:r>
              <w:rPr>
                <w:rFonts w:ascii="宋体" w:hAnsi="宋体" w:eastAsia="宋体" w:cs="宋体"/>
                <w:spacing w:val="9"/>
                <w:sz w:val="20"/>
                <w:szCs w:val="20"/>
              </w:rPr>
              <w:t>工业固体废物产生量，引导企业系统内部减量化和循环利用，降低单位产品固体废物产量。提高综合利用率，加大工业固体废物综合利用技术的开发力度，促进固体废物重新进入生产循环系统，实现固体废</w:t>
            </w:r>
            <w:r>
              <w:rPr>
                <w:rFonts w:ascii="宋体" w:hAnsi="宋体" w:eastAsia="宋体" w:cs="宋体"/>
                <w:spacing w:val="8"/>
                <w:sz w:val="20"/>
                <w:szCs w:val="20"/>
              </w:rPr>
              <w:t>物的回收、循环、利用及资源。</w:t>
            </w:r>
          </w:p>
          <w:p w14:paraId="4BCC83BE">
            <w:pPr>
              <w:spacing w:before="7" w:line="376" w:lineRule="auto"/>
              <w:ind w:left="107" w:right="165" w:hanging="1"/>
              <w:rPr>
                <w:rFonts w:ascii="宋体" w:hAnsi="宋体" w:eastAsia="宋体" w:cs="宋体"/>
                <w:sz w:val="20"/>
                <w:szCs w:val="20"/>
              </w:rPr>
            </w:pPr>
            <w:r>
              <w:rPr>
                <w:rFonts w:ascii="宋体" w:hAnsi="宋体" w:eastAsia="宋体" w:cs="宋体"/>
                <w:spacing w:val="9"/>
                <w:sz w:val="20"/>
                <w:szCs w:val="20"/>
              </w:rPr>
              <w:t>③对于危险固废，需要按《危险废物贮存</w:t>
            </w:r>
            <w:r>
              <w:rPr>
                <w:rFonts w:ascii="宋体" w:hAnsi="宋体" w:eastAsia="宋体" w:cs="宋体"/>
                <w:spacing w:val="7"/>
                <w:sz w:val="20"/>
                <w:szCs w:val="20"/>
              </w:rPr>
              <w:t>污染控制标准》</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7"/>
                <w:sz w:val="20"/>
                <w:szCs w:val="20"/>
              </w:rPr>
              <w:t>18597-2023)</w:t>
            </w:r>
            <w:r>
              <w:rPr>
                <w:rFonts w:ascii="宋体" w:hAnsi="宋体" w:eastAsia="宋体" w:cs="宋体"/>
                <w:spacing w:val="7"/>
                <w:sz w:val="20"/>
                <w:szCs w:val="20"/>
              </w:rPr>
              <w:t>的要求进</w:t>
            </w:r>
            <w:r>
              <w:rPr>
                <w:rFonts w:ascii="宋体" w:hAnsi="宋体" w:eastAsia="宋体" w:cs="宋体"/>
                <w:spacing w:val="6"/>
                <w:sz w:val="20"/>
                <w:szCs w:val="20"/>
              </w:rPr>
              <w:t>行贮存，委托危险废物中心处理；</w:t>
            </w:r>
            <w:r>
              <w:rPr>
                <w:rFonts w:ascii="宋体" w:hAnsi="宋体" w:eastAsia="宋体" w:cs="宋体"/>
                <w:spacing w:val="-40"/>
                <w:sz w:val="20"/>
                <w:szCs w:val="20"/>
              </w:rPr>
              <w:t xml:space="preserve"> </w:t>
            </w:r>
            <w:r>
              <w:rPr>
                <w:rFonts w:ascii="宋体" w:hAnsi="宋体" w:eastAsia="宋体" w:cs="宋体"/>
                <w:spacing w:val="6"/>
                <w:sz w:val="20"/>
                <w:szCs w:val="20"/>
              </w:rPr>
              <w:t>目前不</w:t>
            </w:r>
            <w:r>
              <w:rPr>
                <w:rFonts w:ascii="宋体" w:hAnsi="宋体" w:eastAsia="宋体" w:cs="宋体"/>
                <w:spacing w:val="9"/>
                <w:sz w:val="20"/>
                <w:szCs w:val="20"/>
              </w:rPr>
              <w:t>能处置的废物，应在项目内妥善贮存。严格按照《中华人民共和国固体废物污染环境防治法》对危险废物污染环境污染防治的特别规定，做好危险废物的申报登记、</w:t>
            </w:r>
            <w:r>
              <w:rPr>
                <w:rFonts w:ascii="宋体" w:hAnsi="宋体" w:eastAsia="宋体" w:cs="宋体"/>
                <w:spacing w:val="8"/>
                <w:sz w:val="20"/>
                <w:szCs w:val="20"/>
              </w:rPr>
              <w:t>处置和管理。强化危险废物管理。</w:t>
            </w:r>
          </w:p>
          <w:p w14:paraId="20D3BD9D">
            <w:pPr>
              <w:spacing w:before="2" w:line="377" w:lineRule="auto"/>
              <w:ind w:left="106" w:right="165"/>
              <w:rPr>
                <w:rFonts w:ascii="宋体" w:hAnsi="宋体" w:eastAsia="宋体" w:cs="宋体"/>
                <w:sz w:val="20"/>
                <w:szCs w:val="20"/>
              </w:rPr>
            </w:pPr>
            <w:r>
              <w:rPr>
                <w:rFonts w:ascii="宋体" w:hAnsi="宋体" w:eastAsia="宋体" w:cs="宋体"/>
                <w:spacing w:val="9"/>
                <w:sz w:val="20"/>
                <w:szCs w:val="20"/>
              </w:rPr>
              <w:t>④规划区产生的生活垃圾则委托环卫部门统一收集并运至城市生活垃圾卫生填埋场进行处置；制定地方商品进入和消费的指导性政策，限制过度包装商品的进入，建立消费品包装物回收体系，逐步取缔一次性餐具类商品的销售和使用。鼓励净菜类产业和相关服务体系的发展，减少厨房残</w:t>
            </w:r>
            <w:r>
              <w:rPr>
                <w:rFonts w:ascii="宋体" w:hAnsi="宋体" w:eastAsia="宋体" w:cs="宋体"/>
                <w:spacing w:val="7"/>
                <w:sz w:val="20"/>
                <w:szCs w:val="20"/>
              </w:rPr>
              <w:t>余垃圾产生量；</w:t>
            </w:r>
          </w:p>
          <w:p w14:paraId="1E8F1BC5">
            <w:pPr>
              <w:spacing w:before="1" w:line="362" w:lineRule="auto"/>
              <w:ind w:left="108" w:right="165" w:hanging="2"/>
              <w:rPr>
                <w:rFonts w:ascii="宋体" w:hAnsi="宋体" w:eastAsia="宋体" w:cs="宋体"/>
                <w:sz w:val="20"/>
                <w:szCs w:val="20"/>
              </w:rPr>
            </w:pPr>
            <w:r>
              <w:rPr>
                <w:rFonts w:ascii="宋体" w:hAnsi="宋体" w:eastAsia="宋体" w:cs="宋体"/>
                <w:spacing w:val="9"/>
                <w:sz w:val="20"/>
                <w:szCs w:val="20"/>
              </w:rPr>
              <w:t>⑤工程开挖土石方、建筑垃圾和施工人员</w:t>
            </w:r>
            <w:r>
              <w:rPr>
                <w:rFonts w:ascii="宋体" w:hAnsi="宋体" w:eastAsia="宋体" w:cs="宋体"/>
                <w:spacing w:val="7"/>
                <w:sz w:val="20"/>
                <w:szCs w:val="20"/>
              </w:rPr>
              <w:t>生活垃圾要及时清运，</w:t>
            </w:r>
            <w:r>
              <w:rPr>
                <w:rFonts w:ascii="宋体" w:hAnsi="宋体" w:eastAsia="宋体" w:cs="宋体"/>
                <w:spacing w:val="-59"/>
                <w:sz w:val="20"/>
                <w:szCs w:val="20"/>
              </w:rPr>
              <w:t xml:space="preserve"> </w:t>
            </w:r>
            <w:r>
              <w:rPr>
                <w:rFonts w:ascii="宋体" w:hAnsi="宋体" w:eastAsia="宋体" w:cs="宋体"/>
                <w:spacing w:val="7"/>
                <w:sz w:val="20"/>
                <w:szCs w:val="20"/>
              </w:rPr>
              <w:t>以免给周围环境带</w:t>
            </w:r>
            <w:r>
              <w:rPr>
                <w:rFonts w:ascii="宋体" w:hAnsi="宋体" w:eastAsia="宋体" w:cs="宋体"/>
                <w:spacing w:val="4"/>
                <w:sz w:val="20"/>
                <w:szCs w:val="20"/>
              </w:rPr>
              <w:t>来影响。</w:t>
            </w:r>
          </w:p>
        </w:tc>
        <w:tc>
          <w:tcPr>
            <w:tcW w:w="2163" w:type="dxa"/>
            <w:vAlign w:val="top"/>
          </w:tcPr>
          <w:p w14:paraId="1C43A18A">
            <w:pPr>
              <w:rPr>
                <w:rFonts w:ascii="Arial"/>
                <w:sz w:val="21"/>
              </w:rPr>
            </w:pPr>
          </w:p>
        </w:tc>
        <w:tc>
          <w:tcPr>
            <w:tcW w:w="628" w:type="dxa"/>
            <w:vAlign w:val="top"/>
          </w:tcPr>
          <w:p w14:paraId="5A2C7024">
            <w:pPr>
              <w:rPr>
                <w:rFonts w:ascii="Arial"/>
                <w:sz w:val="21"/>
              </w:rPr>
            </w:pPr>
          </w:p>
        </w:tc>
        <w:tc>
          <w:tcPr>
            <w:tcW w:w="124" w:type="dxa"/>
            <w:vMerge w:val="restart"/>
            <w:tcBorders>
              <w:top w:val="single" w:color="000000" w:sz="6" w:space="0"/>
              <w:bottom w:val="nil"/>
              <w:right w:val="single" w:color="000000" w:sz="6" w:space="0"/>
            </w:tcBorders>
            <w:vAlign w:val="top"/>
          </w:tcPr>
          <w:p w14:paraId="4201795C">
            <w:pPr>
              <w:rPr>
                <w:rFonts w:ascii="Arial"/>
                <w:sz w:val="21"/>
              </w:rPr>
            </w:pPr>
          </w:p>
        </w:tc>
      </w:tr>
      <w:tr w14:paraId="21884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4" w:hRule="atLeast"/>
        </w:trPr>
        <w:tc>
          <w:tcPr>
            <w:tcW w:w="1161" w:type="dxa"/>
            <w:vMerge w:val="continue"/>
            <w:tcBorders>
              <w:top w:val="nil"/>
              <w:left w:val="single" w:color="000000" w:sz="6" w:space="0"/>
              <w:bottom w:val="single" w:color="000000" w:sz="6" w:space="0"/>
            </w:tcBorders>
            <w:vAlign w:val="top"/>
          </w:tcPr>
          <w:p w14:paraId="4BB2365B">
            <w:pPr>
              <w:rPr>
                <w:rFonts w:ascii="Arial"/>
                <w:sz w:val="21"/>
              </w:rPr>
            </w:pPr>
          </w:p>
        </w:tc>
        <w:tc>
          <w:tcPr>
            <w:tcW w:w="114" w:type="dxa"/>
            <w:tcBorders>
              <w:top w:val="nil"/>
              <w:bottom w:val="single" w:color="000000" w:sz="6" w:space="0"/>
            </w:tcBorders>
            <w:vAlign w:val="top"/>
          </w:tcPr>
          <w:p w14:paraId="27BA7696">
            <w:pPr>
              <w:rPr>
                <w:rFonts w:ascii="Arial"/>
                <w:sz w:val="21"/>
              </w:rPr>
            </w:pPr>
          </w:p>
        </w:tc>
        <w:tc>
          <w:tcPr>
            <w:tcW w:w="631" w:type="dxa"/>
            <w:textDirection w:val="tbRlV"/>
            <w:vAlign w:val="top"/>
          </w:tcPr>
          <w:p w14:paraId="5BBA0C64">
            <w:pPr>
              <w:spacing w:before="214" w:line="216" w:lineRule="auto"/>
              <w:ind w:left="43"/>
              <w:rPr>
                <w:rFonts w:ascii="宋体" w:hAnsi="宋体" w:eastAsia="宋体" w:cs="宋体"/>
                <w:sz w:val="20"/>
                <w:szCs w:val="20"/>
              </w:rPr>
            </w:pPr>
            <w:r>
              <w:rPr>
                <w:rFonts w:ascii="宋体" w:hAnsi="宋体" w:eastAsia="宋体" w:cs="宋体"/>
                <w:spacing w:val="8"/>
                <w:sz w:val="20"/>
                <w:szCs w:val="20"/>
              </w:rPr>
              <w:t>生</w:t>
            </w:r>
            <w:r>
              <w:rPr>
                <w:rFonts w:ascii="宋体" w:hAnsi="宋体" w:eastAsia="宋体" w:cs="宋体"/>
                <w:spacing w:val="103"/>
                <w:sz w:val="20"/>
                <w:szCs w:val="20"/>
              </w:rPr>
              <w:t xml:space="preserve"> </w:t>
            </w:r>
            <w:r>
              <w:rPr>
                <w:rFonts w:ascii="宋体" w:hAnsi="宋体" w:eastAsia="宋体" w:cs="宋体"/>
                <w:spacing w:val="8"/>
                <w:sz w:val="20"/>
                <w:szCs w:val="20"/>
              </w:rPr>
              <w:t>态</w:t>
            </w:r>
            <w:r>
              <w:rPr>
                <w:rFonts w:ascii="宋体" w:hAnsi="宋体" w:eastAsia="宋体" w:cs="宋体"/>
                <w:spacing w:val="99"/>
                <w:sz w:val="20"/>
                <w:szCs w:val="20"/>
              </w:rPr>
              <w:t xml:space="preserve"> </w:t>
            </w:r>
            <w:r>
              <w:rPr>
                <w:rFonts w:ascii="宋体" w:hAnsi="宋体" w:eastAsia="宋体" w:cs="宋体"/>
                <w:spacing w:val="8"/>
                <w:sz w:val="20"/>
                <w:szCs w:val="20"/>
              </w:rPr>
              <w:t>环</w:t>
            </w:r>
            <w:r>
              <w:rPr>
                <w:rFonts w:ascii="宋体" w:hAnsi="宋体" w:eastAsia="宋体" w:cs="宋体"/>
                <w:spacing w:val="100"/>
                <w:sz w:val="20"/>
                <w:szCs w:val="20"/>
              </w:rPr>
              <w:t xml:space="preserve"> </w:t>
            </w:r>
            <w:r>
              <w:rPr>
                <w:rFonts w:ascii="宋体" w:hAnsi="宋体" w:eastAsia="宋体" w:cs="宋体"/>
                <w:spacing w:val="8"/>
                <w:sz w:val="20"/>
                <w:szCs w:val="20"/>
              </w:rPr>
              <w:t>境</w:t>
            </w:r>
            <w:r>
              <w:rPr>
                <w:rFonts w:ascii="宋体" w:hAnsi="宋体" w:eastAsia="宋体" w:cs="宋体"/>
                <w:sz w:val="20"/>
                <w:szCs w:val="20"/>
              </w:rPr>
              <w:t xml:space="preserve">  </w:t>
            </w:r>
            <w:r>
              <w:rPr>
                <w:rFonts w:ascii="宋体" w:hAnsi="宋体" w:eastAsia="宋体" w:cs="宋体"/>
                <w:spacing w:val="8"/>
                <w:sz w:val="20"/>
                <w:szCs w:val="20"/>
              </w:rPr>
              <w:t>影</w:t>
            </w:r>
            <w:r>
              <w:rPr>
                <w:rFonts w:ascii="宋体" w:hAnsi="宋体" w:eastAsia="宋体" w:cs="宋体"/>
                <w:spacing w:val="100"/>
                <w:sz w:val="20"/>
                <w:szCs w:val="20"/>
              </w:rPr>
              <w:t xml:space="preserve"> </w:t>
            </w:r>
            <w:r>
              <w:rPr>
                <w:rFonts w:ascii="宋体" w:hAnsi="宋体" w:eastAsia="宋体" w:cs="宋体"/>
                <w:spacing w:val="8"/>
                <w:sz w:val="20"/>
                <w:szCs w:val="20"/>
              </w:rPr>
              <w:t>响</w:t>
            </w:r>
            <w:r>
              <w:rPr>
                <w:rFonts w:ascii="宋体" w:hAnsi="宋体" w:eastAsia="宋体" w:cs="宋体"/>
                <w:spacing w:val="100"/>
                <w:sz w:val="20"/>
                <w:szCs w:val="20"/>
              </w:rPr>
              <w:t xml:space="preserve"> </w:t>
            </w:r>
            <w:r>
              <w:rPr>
                <w:rFonts w:ascii="宋体" w:hAnsi="宋体" w:eastAsia="宋体" w:cs="宋体"/>
                <w:spacing w:val="8"/>
                <w:sz w:val="20"/>
                <w:szCs w:val="20"/>
              </w:rPr>
              <w:t>减</w:t>
            </w:r>
          </w:p>
        </w:tc>
        <w:tc>
          <w:tcPr>
            <w:tcW w:w="4051" w:type="dxa"/>
            <w:vAlign w:val="top"/>
          </w:tcPr>
          <w:p w14:paraId="22DC128A">
            <w:pPr>
              <w:spacing w:before="42" w:line="377" w:lineRule="auto"/>
              <w:ind w:left="108" w:right="376" w:hanging="1"/>
              <w:rPr>
                <w:rFonts w:ascii="宋体" w:hAnsi="宋体" w:eastAsia="宋体" w:cs="宋体"/>
                <w:sz w:val="20"/>
                <w:szCs w:val="20"/>
              </w:rPr>
            </w:pPr>
            <w:r>
              <w:rPr>
                <w:rFonts w:ascii="宋体" w:hAnsi="宋体" w:eastAsia="宋体" w:cs="宋体"/>
                <w:spacing w:val="9"/>
                <w:sz w:val="20"/>
                <w:szCs w:val="20"/>
              </w:rPr>
              <w:t>①强化规划区内项目建设施工期生态保</w:t>
            </w:r>
            <w:r>
              <w:rPr>
                <w:rFonts w:ascii="宋体" w:hAnsi="宋体" w:eastAsia="宋体" w:cs="宋体"/>
                <w:sz w:val="20"/>
                <w:szCs w:val="20"/>
              </w:rPr>
              <w:t>护；</w:t>
            </w:r>
          </w:p>
          <w:p w14:paraId="70AB9FE0">
            <w:pPr>
              <w:spacing w:line="225" w:lineRule="auto"/>
              <w:ind w:left="106"/>
              <w:rPr>
                <w:rFonts w:ascii="宋体" w:hAnsi="宋体" w:eastAsia="宋体" w:cs="宋体"/>
                <w:sz w:val="20"/>
                <w:szCs w:val="20"/>
              </w:rPr>
            </w:pPr>
            <w:r>
              <w:rPr>
                <w:rFonts w:ascii="宋体" w:hAnsi="宋体" w:eastAsia="宋体" w:cs="宋体"/>
                <w:spacing w:val="8"/>
                <w:sz w:val="20"/>
                <w:szCs w:val="20"/>
              </w:rPr>
              <w:t>②优先进行生态基础施建设；</w:t>
            </w:r>
          </w:p>
          <w:p w14:paraId="7446BDA8">
            <w:pPr>
              <w:spacing w:before="161" w:line="369" w:lineRule="auto"/>
              <w:ind w:left="106" w:right="165"/>
              <w:rPr>
                <w:rFonts w:ascii="宋体" w:hAnsi="宋体" w:eastAsia="宋体" w:cs="宋体"/>
                <w:sz w:val="20"/>
                <w:szCs w:val="20"/>
              </w:rPr>
            </w:pPr>
            <w:r>
              <w:rPr>
                <w:rFonts w:ascii="宋体" w:hAnsi="宋体" w:eastAsia="宋体" w:cs="宋体"/>
                <w:spacing w:val="9"/>
                <w:sz w:val="20"/>
                <w:szCs w:val="20"/>
              </w:rPr>
              <w:t>③建立长效而稳定的生态保护和生态建设机制，强化城乡建设、土地利用、环境保护、文物保护、林地保护、综合交通、水资源、文化旅游、社会事业等各类规划的</w:t>
            </w:r>
          </w:p>
        </w:tc>
        <w:tc>
          <w:tcPr>
            <w:tcW w:w="2163" w:type="dxa"/>
            <w:vAlign w:val="top"/>
          </w:tcPr>
          <w:p w14:paraId="0EA9DBE2">
            <w:pPr>
              <w:spacing w:before="245" w:line="228" w:lineRule="auto"/>
              <w:ind w:left="119"/>
              <w:rPr>
                <w:rFonts w:ascii="宋体" w:hAnsi="宋体" w:eastAsia="宋体" w:cs="宋体"/>
                <w:sz w:val="20"/>
                <w:szCs w:val="20"/>
              </w:rPr>
            </w:pPr>
            <w:r>
              <w:rPr>
                <w:rFonts w:ascii="宋体" w:hAnsi="宋体" w:eastAsia="宋体" w:cs="宋体"/>
                <w:spacing w:val="8"/>
                <w:sz w:val="20"/>
                <w:szCs w:val="20"/>
              </w:rPr>
              <w:t>项目为扩建项目，在</w:t>
            </w:r>
          </w:p>
          <w:p w14:paraId="70468176">
            <w:pPr>
              <w:spacing w:before="160" w:line="228" w:lineRule="auto"/>
              <w:ind w:left="138"/>
              <w:rPr>
                <w:rFonts w:ascii="宋体" w:hAnsi="宋体" w:eastAsia="宋体" w:cs="宋体"/>
                <w:sz w:val="20"/>
                <w:szCs w:val="20"/>
              </w:rPr>
            </w:pPr>
            <w:r>
              <w:rPr>
                <w:rFonts w:ascii="宋体" w:hAnsi="宋体" w:eastAsia="宋体" w:cs="宋体"/>
                <w:spacing w:val="2"/>
                <w:sz w:val="20"/>
                <w:szCs w:val="20"/>
              </w:rPr>
              <w:t>已建厂房设置</w:t>
            </w:r>
            <w:r>
              <w:rPr>
                <w:rFonts w:ascii="宋体" w:hAnsi="宋体" w:eastAsia="宋体" w:cs="宋体"/>
                <w:spacing w:val="-16"/>
                <w:sz w:val="20"/>
                <w:szCs w:val="20"/>
              </w:rPr>
              <w:t xml:space="preserve"> </w:t>
            </w: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条年</w:t>
            </w:r>
          </w:p>
          <w:p w14:paraId="632C4CED">
            <w:pPr>
              <w:spacing w:before="163" w:line="228" w:lineRule="auto"/>
              <w:ind w:left="115"/>
              <w:rPr>
                <w:rFonts w:ascii="宋体" w:hAnsi="宋体" w:eastAsia="宋体" w:cs="宋体"/>
                <w:sz w:val="20"/>
                <w:szCs w:val="20"/>
              </w:rPr>
            </w:pPr>
            <w:r>
              <w:rPr>
                <w:rFonts w:ascii="宋体" w:hAnsi="宋体" w:eastAsia="宋体" w:cs="宋体"/>
                <w:spacing w:val="3"/>
                <w:sz w:val="20"/>
                <w:szCs w:val="20"/>
              </w:rPr>
              <w:t>产</w:t>
            </w:r>
            <w:r>
              <w:rPr>
                <w:rFonts w:ascii="宋体" w:hAnsi="宋体" w:eastAsia="宋体" w:cs="宋体"/>
                <w:spacing w:val="-18"/>
                <w:sz w:val="20"/>
                <w:szCs w:val="20"/>
              </w:rPr>
              <w:t xml:space="preserve"> </w:t>
            </w:r>
            <w:r>
              <w:rPr>
                <w:rFonts w:ascii="Times New Roman" w:hAnsi="Times New Roman" w:eastAsia="Times New Roman" w:cs="Times New Roman"/>
                <w:spacing w:val="3"/>
                <w:sz w:val="20"/>
                <w:szCs w:val="20"/>
              </w:rPr>
              <w:t>100</w:t>
            </w:r>
            <w:r>
              <w:rPr>
                <w:rFonts w:ascii="Times New Roman" w:hAnsi="Times New Roman" w:eastAsia="Times New Roman" w:cs="Times New Roman"/>
                <w:spacing w:val="15"/>
                <w:sz w:val="20"/>
                <w:szCs w:val="20"/>
              </w:rPr>
              <w:t xml:space="preserve"> </w:t>
            </w:r>
            <w:r>
              <w:rPr>
                <w:rFonts w:ascii="宋体" w:hAnsi="宋体" w:eastAsia="宋体" w:cs="宋体"/>
                <w:spacing w:val="3"/>
                <w:sz w:val="20"/>
                <w:szCs w:val="20"/>
              </w:rPr>
              <w:t>万个塑料筐生</w:t>
            </w:r>
          </w:p>
          <w:p w14:paraId="712C7655">
            <w:pPr>
              <w:spacing w:before="160" w:line="228" w:lineRule="auto"/>
              <w:ind w:left="115"/>
              <w:rPr>
                <w:rFonts w:ascii="宋体" w:hAnsi="宋体" w:eastAsia="宋体" w:cs="宋体"/>
                <w:sz w:val="20"/>
                <w:szCs w:val="20"/>
              </w:rPr>
            </w:pPr>
            <w:r>
              <w:rPr>
                <w:rFonts w:ascii="宋体" w:hAnsi="宋体" w:eastAsia="宋体" w:cs="宋体"/>
                <w:spacing w:val="7"/>
                <w:sz w:val="20"/>
                <w:szCs w:val="20"/>
              </w:rPr>
              <w:t>产线，无土建工程，</w:t>
            </w:r>
          </w:p>
          <w:p w14:paraId="350FF3D9">
            <w:pPr>
              <w:spacing w:before="161" w:line="228" w:lineRule="auto"/>
              <w:ind w:left="119"/>
              <w:rPr>
                <w:rFonts w:ascii="宋体" w:hAnsi="宋体" w:eastAsia="宋体" w:cs="宋体"/>
                <w:sz w:val="20"/>
                <w:szCs w:val="20"/>
              </w:rPr>
            </w:pPr>
            <w:r>
              <w:rPr>
                <w:rFonts w:ascii="宋体" w:hAnsi="宋体" w:eastAsia="宋体" w:cs="宋体"/>
                <w:spacing w:val="8"/>
                <w:sz w:val="20"/>
                <w:szCs w:val="20"/>
              </w:rPr>
              <w:t>不涉及植被破坏和水</w:t>
            </w:r>
          </w:p>
          <w:p w14:paraId="7A9CCD04">
            <w:pPr>
              <w:spacing w:before="161" w:line="228" w:lineRule="auto"/>
              <w:ind w:left="116"/>
              <w:rPr>
                <w:rFonts w:ascii="宋体" w:hAnsi="宋体" w:eastAsia="宋体" w:cs="宋体"/>
                <w:sz w:val="20"/>
                <w:szCs w:val="20"/>
              </w:rPr>
            </w:pPr>
            <w:r>
              <w:rPr>
                <w:rFonts w:ascii="宋体" w:hAnsi="宋体" w:eastAsia="宋体" w:cs="宋体"/>
                <w:spacing w:val="7"/>
                <w:sz w:val="20"/>
                <w:szCs w:val="20"/>
              </w:rPr>
              <w:t>土流失等生态影响。</w:t>
            </w:r>
          </w:p>
        </w:tc>
        <w:tc>
          <w:tcPr>
            <w:tcW w:w="628" w:type="dxa"/>
            <w:textDirection w:val="tbRlV"/>
            <w:vAlign w:val="top"/>
          </w:tcPr>
          <w:p w14:paraId="013A4D68">
            <w:pPr>
              <w:spacing w:before="201" w:line="215" w:lineRule="auto"/>
              <w:ind w:left="1063"/>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4" w:type="dxa"/>
            <w:vMerge w:val="continue"/>
            <w:tcBorders>
              <w:top w:val="nil"/>
              <w:bottom w:val="single" w:color="000000" w:sz="6" w:space="0"/>
              <w:right w:val="single" w:color="000000" w:sz="6" w:space="0"/>
            </w:tcBorders>
            <w:vAlign w:val="top"/>
          </w:tcPr>
          <w:p w14:paraId="27772F44">
            <w:pPr>
              <w:rPr>
                <w:rFonts w:ascii="Arial"/>
                <w:sz w:val="21"/>
              </w:rPr>
            </w:pPr>
          </w:p>
        </w:tc>
      </w:tr>
    </w:tbl>
    <w:p w14:paraId="7D3E0533">
      <w:pPr>
        <w:pStyle w:val="2"/>
      </w:pPr>
    </w:p>
    <w:p w14:paraId="1792AE5E">
      <w:pPr>
        <w:sectPr>
          <w:footerReference r:id="rId17" w:type="default"/>
          <w:pgSz w:w="11906" w:h="16839"/>
          <w:pgMar w:top="400" w:right="1509" w:bottom="1329" w:left="1509" w:header="0" w:footer="1113" w:gutter="0"/>
          <w:cols w:space="720" w:num="1"/>
        </w:sectPr>
      </w:pPr>
    </w:p>
    <w:p w14:paraId="123E7470">
      <w:pPr>
        <w:spacing w:before="19"/>
      </w:pPr>
    </w:p>
    <w:p w14:paraId="36A06BEB">
      <w:pPr>
        <w:spacing w:before="19"/>
      </w:pPr>
    </w:p>
    <w:p w14:paraId="149AB636">
      <w:pPr>
        <w:spacing w:before="19"/>
      </w:pPr>
    </w:p>
    <w:p w14:paraId="11682E75">
      <w:pPr>
        <w:spacing w:before="18"/>
      </w:pPr>
    </w:p>
    <w:p w14:paraId="31BD189F">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4"/>
        <w:gridCol w:w="631"/>
        <w:gridCol w:w="4051"/>
        <w:gridCol w:w="2163"/>
        <w:gridCol w:w="628"/>
        <w:gridCol w:w="124"/>
      </w:tblGrid>
      <w:tr w14:paraId="796F3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5" w:hRule="atLeast"/>
        </w:trPr>
        <w:tc>
          <w:tcPr>
            <w:tcW w:w="1161" w:type="dxa"/>
            <w:vMerge w:val="restart"/>
            <w:tcBorders>
              <w:top w:val="single" w:color="000000" w:sz="6" w:space="0"/>
              <w:left w:val="single" w:color="000000" w:sz="6" w:space="0"/>
              <w:bottom w:val="nil"/>
            </w:tcBorders>
            <w:vAlign w:val="top"/>
          </w:tcPr>
          <w:p w14:paraId="1E3E4862">
            <w:pPr>
              <w:rPr>
                <w:rFonts w:ascii="Arial"/>
                <w:sz w:val="21"/>
              </w:rPr>
            </w:pPr>
          </w:p>
        </w:tc>
        <w:tc>
          <w:tcPr>
            <w:tcW w:w="114" w:type="dxa"/>
            <w:tcBorders>
              <w:top w:val="single" w:color="000000" w:sz="6" w:space="0"/>
              <w:bottom w:val="nil"/>
            </w:tcBorders>
            <w:vAlign w:val="top"/>
          </w:tcPr>
          <w:p w14:paraId="54897114">
            <w:pPr>
              <w:rPr>
                <w:rFonts w:ascii="Arial"/>
                <w:sz w:val="21"/>
              </w:rPr>
            </w:pPr>
          </w:p>
        </w:tc>
        <w:tc>
          <w:tcPr>
            <w:tcW w:w="631" w:type="dxa"/>
            <w:textDirection w:val="tbRlV"/>
            <w:vAlign w:val="top"/>
          </w:tcPr>
          <w:p w14:paraId="1F8978FA">
            <w:pPr>
              <w:spacing w:before="214" w:line="216" w:lineRule="auto"/>
              <w:ind w:left="37"/>
              <w:rPr>
                <w:rFonts w:ascii="宋体" w:hAnsi="宋体" w:eastAsia="宋体" w:cs="宋体"/>
                <w:sz w:val="20"/>
                <w:szCs w:val="20"/>
              </w:rPr>
            </w:pPr>
            <w:r>
              <w:rPr>
                <w:rFonts w:ascii="宋体" w:hAnsi="宋体" w:eastAsia="宋体" w:cs="宋体"/>
                <w:spacing w:val="8"/>
                <w:sz w:val="20"/>
                <w:szCs w:val="20"/>
              </w:rPr>
              <w:t>缓</w:t>
            </w:r>
            <w:r>
              <w:rPr>
                <w:rFonts w:ascii="宋体" w:hAnsi="宋体" w:eastAsia="宋体" w:cs="宋体"/>
                <w:spacing w:val="100"/>
                <w:sz w:val="20"/>
                <w:szCs w:val="20"/>
              </w:rPr>
              <w:t xml:space="preserve"> </w:t>
            </w:r>
            <w:r>
              <w:rPr>
                <w:rFonts w:ascii="宋体" w:hAnsi="宋体" w:eastAsia="宋体" w:cs="宋体"/>
                <w:spacing w:val="8"/>
                <w:sz w:val="20"/>
                <w:szCs w:val="20"/>
              </w:rPr>
              <w:t>措</w:t>
            </w:r>
            <w:r>
              <w:rPr>
                <w:rFonts w:ascii="宋体" w:hAnsi="宋体" w:eastAsia="宋体" w:cs="宋体"/>
                <w:spacing w:val="99"/>
                <w:sz w:val="20"/>
                <w:szCs w:val="20"/>
              </w:rPr>
              <w:t xml:space="preserve"> </w:t>
            </w:r>
            <w:r>
              <w:rPr>
                <w:rFonts w:ascii="宋体" w:hAnsi="宋体" w:eastAsia="宋体" w:cs="宋体"/>
                <w:spacing w:val="8"/>
                <w:sz w:val="20"/>
                <w:szCs w:val="20"/>
              </w:rPr>
              <w:t>施</w:t>
            </w:r>
          </w:p>
        </w:tc>
        <w:tc>
          <w:tcPr>
            <w:tcW w:w="4051" w:type="dxa"/>
            <w:vAlign w:val="top"/>
          </w:tcPr>
          <w:p w14:paraId="5C1CBE39">
            <w:pPr>
              <w:spacing w:before="36" w:line="377" w:lineRule="auto"/>
              <w:ind w:left="113" w:right="168" w:hanging="4"/>
              <w:rPr>
                <w:rFonts w:ascii="宋体" w:hAnsi="宋体" w:eastAsia="宋体" w:cs="宋体"/>
                <w:sz w:val="20"/>
                <w:szCs w:val="20"/>
              </w:rPr>
            </w:pPr>
            <w:r>
              <w:rPr>
                <w:rFonts w:ascii="宋体" w:hAnsi="宋体" w:eastAsia="宋体" w:cs="宋体"/>
                <w:spacing w:val="9"/>
                <w:sz w:val="20"/>
                <w:szCs w:val="20"/>
              </w:rPr>
              <w:t>衔接，确保产业园区的保护空间、开发边</w:t>
            </w:r>
            <w:r>
              <w:rPr>
                <w:rFonts w:ascii="宋体" w:hAnsi="宋体" w:eastAsia="宋体" w:cs="宋体"/>
                <w:spacing w:val="8"/>
                <w:sz w:val="20"/>
                <w:szCs w:val="20"/>
              </w:rPr>
              <w:t>界、建设规模等重要参数一致；</w:t>
            </w:r>
          </w:p>
          <w:p w14:paraId="6EE1C019">
            <w:pPr>
              <w:spacing w:line="225" w:lineRule="auto"/>
              <w:ind w:left="106"/>
              <w:rPr>
                <w:rFonts w:ascii="宋体" w:hAnsi="宋体" w:eastAsia="宋体" w:cs="宋体"/>
                <w:sz w:val="20"/>
                <w:szCs w:val="20"/>
              </w:rPr>
            </w:pPr>
            <w:r>
              <w:rPr>
                <w:rFonts w:ascii="宋体" w:hAnsi="宋体" w:eastAsia="宋体" w:cs="宋体"/>
                <w:spacing w:val="9"/>
                <w:sz w:val="20"/>
                <w:szCs w:val="20"/>
              </w:rPr>
              <w:t>④注重生态环境保护的管理和宣传教育；</w:t>
            </w:r>
          </w:p>
          <w:p w14:paraId="7CC504CF">
            <w:pPr>
              <w:spacing w:before="164" w:line="377" w:lineRule="auto"/>
              <w:ind w:left="106" w:right="168"/>
              <w:rPr>
                <w:rFonts w:ascii="宋体" w:hAnsi="宋体" w:eastAsia="宋体" w:cs="宋体"/>
                <w:sz w:val="20"/>
                <w:szCs w:val="20"/>
              </w:rPr>
            </w:pPr>
            <w:r>
              <w:rPr>
                <w:rFonts w:ascii="宋体" w:hAnsi="宋体" w:eastAsia="宋体" w:cs="宋体"/>
                <w:spacing w:val="9"/>
                <w:sz w:val="20"/>
                <w:szCs w:val="20"/>
              </w:rPr>
              <w:t>⑤规划实施建设活动时应尽量避开耕地、林地，尽量选择在灌草丛、荒地等植被较差或未开发利用的区域，以减少对植被的</w:t>
            </w:r>
            <w:r>
              <w:rPr>
                <w:rFonts w:ascii="宋体" w:hAnsi="宋体" w:eastAsia="宋体" w:cs="宋体"/>
                <w:spacing w:val="3"/>
                <w:sz w:val="20"/>
                <w:szCs w:val="20"/>
              </w:rPr>
              <w:t>破坏，</w:t>
            </w:r>
          </w:p>
          <w:p w14:paraId="0837F80C">
            <w:pPr>
              <w:spacing w:line="377" w:lineRule="auto"/>
              <w:ind w:left="106" w:right="34"/>
              <w:rPr>
                <w:rFonts w:ascii="宋体" w:hAnsi="宋体" w:eastAsia="宋体" w:cs="宋体"/>
                <w:sz w:val="20"/>
                <w:szCs w:val="20"/>
              </w:rPr>
            </w:pPr>
            <w:r>
              <w:rPr>
                <w:rFonts w:ascii="宋体" w:hAnsi="宋体" w:eastAsia="宋体" w:cs="宋体"/>
                <w:spacing w:val="9"/>
                <w:sz w:val="20"/>
                <w:szCs w:val="20"/>
              </w:rPr>
              <w:t>⑥在保证质量的情况下尽量缩短工期，从而尽量减少对占地范围环境的扰动；施工结束后，对施工现场进行迹地清理，尽早开展植被恢复和复垦，植被的恢复必须按</w:t>
            </w:r>
            <w:r>
              <w:rPr>
                <w:rFonts w:ascii="宋体" w:hAnsi="宋体" w:eastAsia="宋体" w:cs="宋体"/>
                <w:spacing w:val="5"/>
                <w:sz w:val="20"/>
                <w:szCs w:val="20"/>
              </w:rPr>
              <w:t>照当地的实际情况，针对不同的土壤条件、</w:t>
            </w:r>
            <w:r>
              <w:rPr>
                <w:rFonts w:ascii="宋体" w:hAnsi="宋体" w:eastAsia="宋体" w:cs="宋体"/>
                <w:spacing w:val="9"/>
                <w:sz w:val="20"/>
                <w:szCs w:val="20"/>
              </w:rPr>
              <w:t>气候条件以及坡度、海拔等条件进行乔灌草的合理配置，建立起植被与生境水分条件相符合的群落生态关系，优先选用乡土物种进行植被恢复，禁止引入外来入侵物</w:t>
            </w:r>
            <w:r>
              <w:rPr>
                <w:rFonts w:ascii="宋体" w:hAnsi="宋体" w:eastAsia="宋体" w:cs="宋体"/>
                <w:sz w:val="20"/>
                <w:szCs w:val="20"/>
              </w:rPr>
              <w:t>种。</w:t>
            </w:r>
          </w:p>
          <w:p w14:paraId="27838483">
            <w:pPr>
              <w:spacing w:before="11" w:line="372" w:lineRule="auto"/>
              <w:ind w:left="107" w:right="105" w:hanging="1"/>
              <w:rPr>
                <w:rFonts w:ascii="宋体" w:hAnsi="宋体" w:eastAsia="宋体" w:cs="宋体"/>
                <w:sz w:val="20"/>
                <w:szCs w:val="20"/>
              </w:rPr>
            </w:pPr>
            <w:r>
              <w:rPr>
                <w:rFonts w:ascii="宋体" w:hAnsi="宋体" w:eastAsia="宋体" w:cs="宋体"/>
                <w:spacing w:val="9"/>
                <w:sz w:val="20"/>
                <w:szCs w:val="20"/>
              </w:rPr>
              <w:t>⑦工程施工应分散分区进行，开挖面要及时种上草皮，缩短裸露面的暴露时间，减少水土流失。在施工过程中，控制地表破坏程度，尽量保护周围的土壤和植被，要严格按照施工规划尽可能少占地。合理布设施工场地，减少土地占用。施工单位要做好相应的施工组织与管理工作，尽量缩短工期。及时清理施工现场，不得遗留任</w:t>
            </w:r>
            <w:r>
              <w:rPr>
                <w:rFonts w:ascii="宋体" w:hAnsi="宋体" w:eastAsia="宋体" w:cs="宋体"/>
                <w:spacing w:val="4"/>
                <w:sz w:val="20"/>
                <w:szCs w:val="20"/>
              </w:rPr>
              <w:t>何固体废物、建</w:t>
            </w:r>
            <w:r>
              <w:rPr>
                <w:rFonts w:ascii="Times New Roman" w:hAnsi="Times New Roman" w:eastAsia="Times New Roman" w:cs="Times New Roman"/>
                <w:spacing w:val="4"/>
                <w:sz w:val="20"/>
                <w:szCs w:val="20"/>
              </w:rPr>
              <w:t>(</w:t>
            </w:r>
            <w:r>
              <w:rPr>
                <w:rFonts w:ascii="宋体" w:hAnsi="宋体" w:eastAsia="宋体" w:cs="宋体"/>
                <w:spacing w:val="4"/>
                <w:sz w:val="20"/>
                <w:szCs w:val="20"/>
              </w:rPr>
              <w:t>构</w:t>
            </w:r>
            <w:r>
              <w:rPr>
                <w:rFonts w:ascii="Times New Roman" w:hAnsi="Times New Roman" w:eastAsia="Times New Roman" w:cs="Times New Roman"/>
                <w:spacing w:val="4"/>
                <w:sz w:val="20"/>
                <w:szCs w:val="20"/>
              </w:rPr>
              <w:t>)</w:t>
            </w:r>
            <w:r>
              <w:rPr>
                <w:rFonts w:ascii="宋体" w:hAnsi="宋体" w:eastAsia="宋体" w:cs="宋体"/>
                <w:spacing w:val="4"/>
                <w:sz w:val="20"/>
                <w:szCs w:val="20"/>
              </w:rPr>
              <w:t>筑物的残体、生活垃圾和</w:t>
            </w:r>
            <w:r>
              <w:rPr>
                <w:rFonts w:ascii="Times New Roman" w:hAnsi="Times New Roman" w:eastAsia="Times New Roman" w:cs="Times New Roman"/>
                <w:spacing w:val="4"/>
                <w:sz w:val="20"/>
                <w:szCs w:val="20"/>
              </w:rPr>
              <w:t>(</w:t>
            </w:r>
            <w:r>
              <w:rPr>
                <w:rFonts w:ascii="宋体" w:hAnsi="宋体" w:eastAsia="宋体" w:cs="宋体"/>
                <w:spacing w:val="4"/>
                <w:sz w:val="20"/>
                <w:szCs w:val="20"/>
              </w:rPr>
              <w:t>石</w:t>
            </w:r>
            <w:r>
              <w:rPr>
                <w:rFonts w:ascii="Times New Roman" w:hAnsi="Times New Roman" w:eastAsia="Times New Roman" w:cs="Times New Roman"/>
                <w:spacing w:val="4"/>
                <w:sz w:val="20"/>
                <w:szCs w:val="20"/>
              </w:rPr>
              <w:t>)</w:t>
            </w:r>
            <w:r>
              <w:rPr>
                <w:rFonts w:ascii="宋体" w:hAnsi="宋体" w:eastAsia="宋体" w:cs="宋体"/>
                <w:spacing w:val="4"/>
                <w:sz w:val="20"/>
                <w:szCs w:val="20"/>
              </w:rPr>
              <w:t>方等，某些关键节点采取临时围挡进</w:t>
            </w:r>
            <w:r>
              <w:rPr>
                <w:rFonts w:ascii="宋体" w:hAnsi="宋体" w:eastAsia="宋体" w:cs="宋体"/>
                <w:spacing w:val="6"/>
                <w:sz w:val="20"/>
                <w:szCs w:val="20"/>
              </w:rPr>
              <w:t>行封闭施工。</w:t>
            </w:r>
          </w:p>
        </w:tc>
        <w:tc>
          <w:tcPr>
            <w:tcW w:w="2163" w:type="dxa"/>
            <w:vAlign w:val="top"/>
          </w:tcPr>
          <w:p w14:paraId="056DEF32">
            <w:pPr>
              <w:rPr>
                <w:rFonts w:ascii="Arial"/>
                <w:sz w:val="21"/>
              </w:rPr>
            </w:pPr>
          </w:p>
        </w:tc>
        <w:tc>
          <w:tcPr>
            <w:tcW w:w="628" w:type="dxa"/>
            <w:vAlign w:val="top"/>
          </w:tcPr>
          <w:p w14:paraId="234C0A37">
            <w:pPr>
              <w:rPr>
                <w:rFonts w:ascii="Arial"/>
                <w:sz w:val="21"/>
              </w:rPr>
            </w:pPr>
          </w:p>
        </w:tc>
        <w:tc>
          <w:tcPr>
            <w:tcW w:w="124" w:type="dxa"/>
            <w:vMerge w:val="restart"/>
            <w:tcBorders>
              <w:top w:val="single" w:color="000000" w:sz="6" w:space="0"/>
              <w:bottom w:val="nil"/>
              <w:right w:val="single" w:color="000000" w:sz="6" w:space="0"/>
            </w:tcBorders>
            <w:vAlign w:val="top"/>
          </w:tcPr>
          <w:p w14:paraId="6FB5066F">
            <w:pPr>
              <w:rPr>
                <w:rFonts w:ascii="Arial"/>
                <w:sz w:val="21"/>
              </w:rPr>
            </w:pPr>
          </w:p>
        </w:tc>
      </w:tr>
      <w:tr w14:paraId="7927F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0" w:hRule="atLeast"/>
        </w:trPr>
        <w:tc>
          <w:tcPr>
            <w:tcW w:w="1161" w:type="dxa"/>
            <w:vMerge w:val="continue"/>
            <w:tcBorders>
              <w:top w:val="nil"/>
              <w:left w:val="single" w:color="000000" w:sz="6" w:space="0"/>
              <w:bottom w:val="single" w:color="000000" w:sz="6" w:space="0"/>
            </w:tcBorders>
            <w:vAlign w:val="top"/>
          </w:tcPr>
          <w:p w14:paraId="5C60CD8A">
            <w:pPr>
              <w:rPr>
                <w:rFonts w:ascii="Arial"/>
                <w:sz w:val="21"/>
              </w:rPr>
            </w:pPr>
          </w:p>
        </w:tc>
        <w:tc>
          <w:tcPr>
            <w:tcW w:w="114" w:type="dxa"/>
            <w:tcBorders>
              <w:top w:val="nil"/>
              <w:bottom w:val="single" w:color="000000" w:sz="6" w:space="0"/>
            </w:tcBorders>
            <w:vAlign w:val="top"/>
          </w:tcPr>
          <w:p w14:paraId="1B3D29A5">
            <w:pPr>
              <w:rPr>
                <w:rFonts w:ascii="Arial"/>
                <w:sz w:val="21"/>
              </w:rPr>
            </w:pPr>
          </w:p>
        </w:tc>
        <w:tc>
          <w:tcPr>
            <w:tcW w:w="631" w:type="dxa"/>
            <w:textDirection w:val="tbRlV"/>
            <w:vAlign w:val="top"/>
          </w:tcPr>
          <w:p w14:paraId="4AFCC9CF">
            <w:pPr>
              <w:spacing w:before="213" w:line="217" w:lineRule="auto"/>
              <w:ind w:left="45"/>
              <w:rPr>
                <w:rFonts w:ascii="宋体" w:hAnsi="宋体" w:eastAsia="宋体" w:cs="宋体"/>
                <w:sz w:val="20"/>
                <w:szCs w:val="20"/>
              </w:rPr>
            </w:pPr>
            <w:r>
              <w:rPr>
                <w:rFonts w:ascii="宋体" w:hAnsi="宋体" w:eastAsia="宋体" w:cs="宋体"/>
                <w:spacing w:val="8"/>
                <w:sz w:val="20"/>
                <w:szCs w:val="20"/>
              </w:rPr>
              <w:t>事</w:t>
            </w:r>
            <w:r>
              <w:rPr>
                <w:rFonts w:ascii="宋体" w:hAnsi="宋体" w:eastAsia="宋体" w:cs="宋体"/>
                <w:spacing w:val="101"/>
                <w:sz w:val="20"/>
                <w:szCs w:val="20"/>
              </w:rPr>
              <w:t xml:space="preserve"> </w:t>
            </w:r>
            <w:r>
              <w:rPr>
                <w:rFonts w:ascii="宋体" w:hAnsi="宋体" w:eastAsia="宋体" w:cs="宋体"/>
                <w:spacing w:val="8"/>
                <w:sz w:val="20"/>
                <w:szCs w:val="20"/>
              </w:rPr>
              <w:t>故</w:t>
            </w:r>
            <w:r>
              <w:rPr>
                <w:rFonts w:ascii="宋体" w:hAnsi="宋体" w:eastAsia="宋体" w:cs="宋体"/>
                <w:spacing w:val="99"/>
                <w:sz w:val="20"/>
                <w:szCs w:val="20"/>
              </w:rPr>
              <w:t xml:space="preserve"> </w:t>
            </w:r>
            <w:r>
              <w:rPr>
                <w:rFonts w:ascii="宋体" w:hAnsi="宋体" w:eastAsia="宋体" w:cs="宋体"/>
                <w:spacing w:val="8"/>
                <w:sz w:val="20"/>
                <w:szCs w:val="20"/>
              </w:rPr>
              <w:t>及</w:t>
            </w:r>
            <w:r>
              <w:rPr>
                <w:rFonts w:ascii="宋体" w:hAnsi="宋体" w:eastAsia="宋体" w:cs="宋体"/>
                <w:spacing w:val="99"/>
                <w:sz w:val="20"/>
                <w:szCs w:val="20"/>
              </w:rPr>
              <w:t xml:space="preserve"> </w:t>
            </w:r>
            <w:r>
              <w:rPr>
                <w:rFonts w:ascii="宋体" w:hAnsi="宋体" w:eastAsia="宋体" w:cs="宋体"/>
                <w:spacing w:val="8"/>
                <w:sz w:val="20"/>
                <w:szCs w:val="20"/>
              </w:rPr>
              <w:t>风</w:t>
            </w:r>
          </w:p>
        </w:tc>
        <w:tc>
          <w:tcPr>
            <w:tcW w:w="4051" w:type="dxa"/>
            <w:vAlign w:val="top"/>
          </w:tcPr>
          <w:p w14:paraId="29868E35">
            <w:pPr>
              <w:spacing w:before="44" w:line="377" w:lineRule="auto"/>
              <w:ind w:left="110" w:right="165" w:hanging="3"/>
              <w:rPr>
                <w:rFonts w:ascii="宋体" w:hAnsi="宋体" w:eastAsia="宋体" w:cs="宋体"/>
                <w:sz w:val="20"/>
                <w:szCs w:val="20"/>
              </w:rPr>
            </w:pPr>
            <w:r>
              <w:rPr>
                <w:rFonts w:ascii="宋体" w:hAnsi="宋体" w:eastAsia="宋体" w:cs="宋体"/>
                <w:spacing w:val="9"/>
                <w:sz w:val="20"/>
                <w:szCs w:val="20"/>
              </w:rPr>
              <w:t>①园区管委会应建立完善的安全、环保管</w:t>
            </w:r>
            <w:r>
              <w:rPr>
                <w:rFonts w:ascii="宋体" w:hAnsi="宋体" w:eastAsia="宋体" w:cs="宋体"/>
                <w:spacing w:val="4"/>
                <w:sz w:val="20"/>
                <w:szCs w:val="20"/>
              </w:rPr>
              <w:t>理体制。</w:t>
            </w:r>
          </w:p>
          <w:p w14:paraId="07004849">
            <w:pPr>
              <w:spacing w:line="225" w:lineRule="auto"/>
              <w:ind w:left="106"/>
              <w:rPr>
                <w:rFonts w:ascii="宋体" w:hAnsi="宋体" w:eastAsia="宋体" w:cs="宋体"/>
                <w:sz w:val="20"/>
                <w:szCs w:val="20"/>
              </w:rPr>
            </w:pPr>
            <w:r>
              <w:rPr>
                <w:rFonts w:ascii="宋体" w:hAnsi="宋体" w:eastAsia="宋体" w:cs="宋体"/>
                <w:spacing w:val="8"/>
                <w:sz w:val="20"/>
                <w:szCs w:val="20"/>
              </w:rPr>
              <w:t>②加强园区内企业的环境监督管理。</w:t>
            </w:r>
          </w:p>
          <w:p w14:paraId="511BE541">
            <w:pPr>
              <w:spacing w:before="164" w:line="225" w:lineRule="auto"/>
              <w:ind w:left="106"/>
              <w:rPr>
                <w:rFonts w:ascii="宋体" w:hAnsi="宋体" w:eastAsia="宋体" w:cs="宋体"/>
                <w:sz w:val="20"/>
                <w:szCs w:val="20"/>
              </w:rPr>
            </w:pPr>
            <w:r>
              <w:rPr>
                <w:rFonts w:ascii="宋体" w:hAnsi="宋体" w:eastAsia="宋体" w:cs="宋体"/>
                <w:spacing w:val="9"/>
                <w:sz w:val="20"/>
                <w:szCs w:val="20"/>
              </w:rPr>
              <w:t>③规划实施过程中，园区管委会和环保部</w:t>
            </w:r>
          </w:p>
        </w:tc>
        <w:tc>
          <w:tcPr>
            <w:tcW w:w="2163" w:type="dxa"/>
            <w:vAlign w:val="top"/>
          </w:tcPr>
          <w:p w14:paraId="4EEC2B2A">
            <w:pPr>
              <w:spacing w:before="46" w:line="370" w:lineRule="auto"/>
              <w:ind w:left="115" w:right="161"/>
              <w:jc w:val="both"/>
              <w:rPr>
                <w:rFonts w:ascii="宋体" w:hAnsi="宋体" w:eastAsia="宋体" w:cs="宋体"/>
                <w:sz w:val="20"/>
                <w:szCs w:val="20"/>
              </w:rPr>
            </w:pPr>
            <w:r>
              <w:rPr>
                <w:rFonts w:ascii="宋体" w:hAnsi="宋体" w:eastAsia="宋体" w:cs="宋体"/>
                <w:spacing w:val="8"/>
                <w:sz w:val="20"/>
                <w:szCs w:val="20"/>
              </w:rPr>
              <w:t>本项目建设完成后按照要求修编突发环境事件应急预案，并报昆明市生态环境局寻</w:t>
            </w:r>
          </w:p>
        </w:tc>
        <w:tc>
          <w:tcPr>
            <w:tcW w:w="628" w:type="dxa"/>
            <w:textDirection w:val="tbRlV"/>
            <w:vAlign w:val="top"/>
          </w:tcPr>
          <w:p w14:paraId="343EBD5B">
            <w:pPr>
              <w:spacing w:before="201" w:line="215" w:lineRule="auto"/>
              <w:ind w:left="453"/>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4" w:type="dxa"/>
            <w:vMerge w:val="continue"/>
            <w:tcBorders>
              <w:top w:val="nil"/>
              <w:bottom w:val="single" w:color="000000" w:sz="6" w:space="0"/>
              <w:right w:val="single" w:color="000000" w:sz="6" w:space="0"/>
            </w:tcBorders>
            <w:vAlign w:val="top"/>
          </w:tcPr>
          <w:p w14:paraId="477B8B94">
            <w:pPr>
              <w:rPr>
                <w:rFonts w:ascii="Arial"/>
                <w:sz w:val="21"/>
              </w:rPr>
            </w:pPr>
          </w:p>
        </w:tc>
      </w:tr>
    </w:tbl>
    <w:p w14:paraId="7735D597">
      <w:pPr>
        <w:pStyle w:val="2"/>
      </w:pPr>
    </w:p>
    <w:p w14:paraId="5AC65C0B">
      <w:pPr>
        <w:sectPr>
          <w:footerReference r:id="rId18" w:type="default"/>
          <w:pgSz w:w="11906" w:h="16839"/>
          <w:pgMar w:top="400" w:right="1509" w:bottom="1329" w:left="1509" w:header="0" w:footer="1113" w:gutter="0"/>
          <w:cols w:space="720" w:num="1"/>
        </w:sectPr>
      </w:pPr>
    </w:p>
    <w:p w14:paraId="305C530E">
      <w:pPr>
        <w:spacing w:before="19"/>
      </w:pPr>
    </w:p>
    <w:p w14:paraId="41039388">
      <w:pPr>
        <w:spacing w:before="19"/>
      </w:pPr>
    </w:p>
    <w:p w14:paraId="22548257">
      <w:pPr>
        <w:spacing w:before="19"/>
      </w:pPr>
    </w:p>
    <w:p w14:paraId="75E0DF1D">
      <w:pPr>
        <w:spacing w:before="18"/>
      </w:pPr>
    </w:p>
    <w:p w14:paraId="5597EEAD">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4"/>
        <w:gridCol w:w="631"/>
        <w:gridCol w:w="3494"/>
        <w:gridCol w:w="557"/>
        <w:gridCol w:w="2163"/>
        <w:gridCol w:w="71"/>
        <w:gridCol w:w="557"/>
        <w:gridCol w:w="124"/>
      </w:tblGrid>
      <w:tr w14:paraId="71E9E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3" w:hRule="atLeast"/>
        </w:trPr>
        <w:tc>
          <w:tcPr>
            <w:tcW w:w="1161" w:type="dxa"/>
            <w:vMerge w:val="restart"/>
            <w:tcBorders>
              <w:top w:val="single" w:color="000000" w:sz="6" w:space="0"/>
              <w:left w:val="single" w:color="000000" w:sz="6" w:space="0"/>
              <w:bottom w:val="nil"/>
            </w:tcBorders>
            <w:vAlign w:val="top"/>
          </w:tcPr>
          <w:p w14:paraId="77E71407">
            <w:pPr>
              <w:rPr>
                <w:rFonts w:ascii="Arial"/>
                <w:sz w:val="21"/>
              </w:rPr>
            </w:pPr>
          </w:p>
        </w:tc>
        <w:tc>
          <w:tcPr>
            <w:tcW w:w="114" w:type="dxa"/>
            <w:tcBorders>
              <w:top w:val="single" w:color="000000" w:sz="6" w:space="0"/>
              <w:bottom w:val="nil"/>
            </w:tcBorders>
            <w:vAlign w:val="top"/>
          </w:tcPr>
          <w:p w14:paraId="72D95E64">
            <w:pPr>
              <w:rPr>
                <w:rFonts w:ascii="Arial"/>
                <w:sz w:val="21"/>
              </w:rPr>
            </w:pPr>
          </w:p>
        </w:tc>
        <w:tc>
          <w:tcPr>
            <w:tcW w:w="631" w:type="dxa"/>
            <w:tcBorders>
              <w:top w:val="single" w:color="000000" w:sz="6" w:space="0"/>
            </w:tcBorders>
            <w:textDirection w:val="tbRlV"/>
            <w:vAlign w:val="top"/>
          </w:tcPr>
          <w:p w14:paraId="5EBEF8A1">
            <w:pPr>
              <w:spacing w:before="213" w:line="217" w:lineRule="auto"/>
              <w:ind w:left="37"/>
              <w:rPr>
                <w:rFonts w:ascii="宋体" w:hAnsi="宋体" w:eastAsia="宋体" w:cs="宋体"/>
                <w:sz w:val="20"/>
                <w:szCs w:val="20"/>
              </w:rPr>
            </w:pPr>
            <w:r>
              <w:rPr>
                <w:rFonts w:ascii="宋体" w:hAnsi="宋体" w:eastAsia="宋体" w:cs="宋体"/>
                <w:spacing w:val="8"/>
                <w:sz w:val="20"/>
                <w:szCs w:val="20"/>
              </w:rPr>
              <w:t>险</w:t>
            </w:r>
            <w:r>
              <w:rPr>
                <w:rFonts w:ascii="宋体" w:hAnsi="宋体" w:eastAsia="宋体" w:cs="宋体"/>
                <w:spacing w:val="102"/>
                <w:sz w:val="20"/>
                <w:szCs w:val="20"/>
              </w:rPr>
              <w:t xml:space="preserve"> </w:t>
            </w:r>
            <w:r>
              <w:rPr>
                <w:rFonts w:ascii="宋体" w:hAnsi="宋体" w:eastAsia="宋体" w:cs="宋体"/>
                <w:spacing w:val="8"/>
                <w:sz w:val="20"/>
                <w:szCs w:val="20"/>
              </w:rPr>
              <w:t>防</w:t>
            </w:r>
            <w:r>
              <w:rPr>
                <w:rFonts w:ascii="宋体" w:hAnsi="宋体" w:eastAsia="宋体" w:cs="宋体"/>
                <w:spacing w:val="99"/>
                <w:sz w:val="20"/>
                <w:szCs w:val="20"/>
              </w:rPr>
              <w:t xml:space="preserve"> </w:t>
            </w:r>
            <w:r>
              <w:rPr>
                <w:rFonts w:ascii="宋体" w:hAnsi="宋体" w:eastAsia="宋体" w:cs="宋体"/>
                <w:spacing w:val="8"/>
                <w:sz w:val="20"/>
                <w:szCs w:val="20"/>
              </w:rPr>
              <w:t>范</w:t>
            </w:r>
            <w:r>
              <w:rPr>
                <w:rFonts w:ascii="宋体" w:hAnsi="宋体" w:eastAsia="宋体" w:cs="宋体"/>
                <w:spacing w:val="99"/>
                <w:sz w:val="20"/>
                <w:szCs w:val="20"/>
              </w:rPr>
              <w:t xml:space="preserve"> </w:t>
            </w:r>
            <w:r>
              <w:rPr>
                <w:rFonts w:ascii="宋体" w:hAnsi="宋体" w:eastAsia="宋体" w:cs="宋体"/>
                <w:spacing w:val="8"/>
                <w:sz w:val="20"/>
                <w:szCs w:val="20"/>
              </w:rPr>
              <w:t>措</w:t>
            </w:r>
            <w:r>
              <w:rPr>
                <w:rFonts w:ascii="宋体" w:hAnsi="宋体" w:eastAsia="宋体" w:cs="宋体"/>
                <w:spacing w:val="99"/>
                <w:sz w:val="20"/>
                <w:szCs w:val="20"/>
              </w:rPr>
              <w:t xml:space="preserve"> </w:t>
            </w:r>
            <w:r>
              <w:rPr>
                <w:rFonts w:ascii="宋体" w:hAnsi="宋体" w:eastAsia="宋体" w:cs="宋体"/>
                <w:spacing w:val="8"/>
                <w:sz w:val="20"/>
                <w:szCs w:val="20"/>
              </w:rPr>
              <w:t>施</w:t>
            </w:r>
          </w:p>
        </w:tc>
        <w:tc>
          <w:tcPr>
            <w:tcW w:w="4051" w:type="dxa"/>
            <w:gridSpan w:val="2"/>
            <w:tcBorders>
              <w:top w:val="single" w:color="000000" w:sz="6" w:space="0"/>
            </w:tcBorders>
            <w:vAlign w:val="top"/>
          </w:tcPr>
          <w:p w14:paraId="2164F1D3">
            <w:pPr>
              <w:spacing w:before="36" w:line="377" w:lineRule="auto"/>
              <w:ind w:left="123" w:right="34" w:firstLine="8"/>
              <w:rPr>
                <w:rFonts w:ascii="宋体" w:hAnsi="宋体" w:eastAsia="宋体" w:cs="宋体"/>
                <w:sz w:val="20"/>
                <w:szCs w:val="20"/>
              </w:rPr>
            </w:pPr>
            <w:r>
              <w:rPr>
                <w:rFonts w:ascii="宋体" w:hAnsi="宋体" w:eastAsia="宋体" w:cs="宋体"/>
                <w:spacing w:val="8"/>
                <w:sz w:val="20"/>
                <w:szCs w:val="20"/>
              </w:rPr>
              <w:t>门对进驻园区企业进行风险排查，掌握园</w:t>
            </w:r>
            <w:r>
              <w:rPr>
                <w:rFonts w:ascii="宋体" w:hAnsi="宋体" w:eastAsia="宋体" w:cs="宋体"/>
                <w:spacing w:val="4"/>
                <w:sz w:val="20"/>
                <w:szCs w:val="20"/>
              </w:rPr>
              <w:t>区企业危险化学品使用、贮存和生产情况。</w:t>
            </w:r>
          </w:p>
          <w:p w14:paraId="62B3FA52">
            <w:pPr>
              <w:spacing w:before="6" w:line="376" w:lineRule="auto"/>
              <w:ind w:left="108" w:right="148" w:hanging="2"/>
              <w:rPr>
                <w:rFonts w:ascii="宋体" w:hAnsi="宋体" w:eastAsia="宋体" w:cs="宋体"/>
                <w:sz w:val="20"/>
                <w:szCs w:val="20"/>
              </w:rPr>
            </w:pPr>
            <w:r>
              <w:rPr>
                <w:rFonts w:ascii="宋体" w:hAnsi="宋体" w:eastAsia="宋体" w:cs="宋体"/>
                <w:spacing w:val="9"/>
                <w:sz w:val="20"/>
                <w:szCs w:val="20"/>
              </w:rPr>
              <w:t>④企业进驻园区时，根据进驻企业的生产规模、产品方案、工艺流程以及危险化学品使用、贮存和生产情况，对进驻企业按</w:t>
            </w:r>
            <w:r>
              <w:rPr>
                <w:rFonts w:ascii="宋体" w:hAnsi="宋体" w:eastAsia="宋体" w:cs="宋体"/>
                <w:spacing w:val="7"/>
                <w:sz w:val="20"/>
                <w:szCs w:val="20"/>
              </w:rPr>
              <w:t>照</w:t>
            </w:r>
            <w:r>
              <w:rPr>
                <w:rFonts w:ascii="宋体" w:hAnsi="宋体" w:eastAsia="宋体" w:cs="宋体"/>
                <w:spacing w:val="-34"/>
                <w:sz w:val="20"/>
                <w:szCs w:val="20"/>
              </w:rPr>
              <w:t xml:space="preserve"> </w:t>
            </w:r>
            <w:r>
              <w:rPr>
                <w:rFonts w:ascii="Times New Roman" w:hAnsi="Times New Roman" w:eastAsia="Times New Roman" w:cs="Times New Roman"/>
                <w:sz w:val="20"/>
                <w:szCs w:val="20"/>
              </w:rPr>
              <w:t>HJ</w:t>
            </w:r>
            <w:r>
              <w:rPr>
                <w:rFonts w:ascii="Times New Roman" w:hAnsi="Times New Roman" w:eastAsia="Times New Roman" w:cs="Times New Roman"/>
                <w:spacing w:val="7"/>
                <w:sz w:val="20"/>
                <w:szCs w:val="20"/>
              </w:rPr>
              <w:t>/T169-2018</w:t>
            </w:r>
            <w:r>
              <w:rPr>
                <w:rFonts w:ascii="宋体" w:hAnsi="宋体" w:eastAsia="宋体" w:cs="宋体"/>
                <w:spacing w:val="7"/>
                <w:sz w:val="20"/>
                <w:szCs w:val="20"/>
              </w:rPr>
              <w:t>《建设项目环境风险评价</w:t>
            </w:r>
            <w:r>
              <w:rPr>
                <w:rFonts w:ascii="宋体" w:hAnsi="宋体" w:eastAsia="宋体" w:cs="宋体"/>
                <w:spacing w:val="9"/>
                <w:sz w:val="20"/>
                <w:szCs w:val="20"/>
              </w:rPr>
              <w:t>技术导则》的要求进行环境风险评价，提出各项目的环境风险防范措施和应急预</w:t>
            </w:r>
          </w:p>
          <w:p w14:paraId="51A63E58">
            <w:pPr>
              <w:spacing w:line="228" w:lineRule="auto"/>
              <w:ind w:left="110"/>
              <w:rPr>
                <w:rFonts w:ascii="宋体" w:hAnsi="宋体" w:eastAsia="宋体" w:cs="宋体"/>
                <w:sz w:val="20"/>
                <w:szCs w:val="20"/>
              </w:rPr>
            </w:pPr>
            <w:r>
              <w:rPr>
                <w:rFonts w:ascii="宋体" w:hAnsi="宋体" w:eastAsia="宋体" w:cs="宋体"/>
                <w:spacing w:val="8"/>
                <w:sz w:val="20"/>
                <w:szCs w:val="20"/>
              </w:rPr>
              <w:t>案，确定各项目的安全防护距离。</w:t>
            </w:r>
          </w:p>
          <w:p w14:paraId="7B07CBEE">
            <w:pPr>
              <w:spacing w:before="161" w:line="377" w:lineRule="auto"/>
              <w:ind w:left="106" w:right="51"/>
              <w:rPr>
                <w:rFonts w:ascii="宋体" w:hAnsi="宋体" w:eastAsia="宋体" w:cs="宋体"/>
                <w:sz w:val="20"/>
                <w:szCs w:val="20"/>
              </w:rPr>
            </w:pPr>
            <w:r>
              <w:rPr>
                <w:rFonts w:ascii="宋体" w:hAnsi="宋体" w:eastAsia="宋体" w:cs="宋体"/>
                <w:spacing w:val="9"/>
                <w:sz w:val="20"/>
                <w:szCs w:val="20"/>
              </w:rPr>
              <w:t>⑤根据进驻项目可能发生的风险事故和清</w:t>
            </w:r>
            <w:r>
              <w:rPr>
                <w:rFonts w:ascii="宋体" w:hAnsi="宋体" w:eastAsia="宋体" w:cs="宋体"/>
                <w:spacing w:val="10"/>
                <w:sz w:val="20"/>
                <w:szCs w:val="20"/>
              </w:rPr>
              <w:t>消废水产生量，对存在环境风险的项目，</w:t>
            </w:r>
            <w:r>
              <w:rPr>
                <w:rFonts w:ascii="宋体" w:hAnsi="宋体" w:eastAsia="宋体" w:cs="宋体"/>
                <w:spacing w:val="4"/>
                <w:sz w:val="20"/>
                <w:szCs w:val="20"/>
              </w:rPr>
              <w:t>在进行设计施工时，设置清消废水收集池，</w:t>
            </w:r>
            <w:r>
              <w:rPr>
                <w:rFonts w:ascii="宋体" w:hAnsi="宋体" w:eastAsia="宋体" w:cs="宋体"/>
                <w:spacing w:val="8"/>
                <w:sz w:val="20"/>
                <w:szCs w:val="20"/>
              </w:rPr>
              <w:t>清消废水经收集处理达标后才能外排。</w:t>
            </w:r>
          </w:p>
          <w:p w14:paraId="5EEF17C7">
            <w:pPr>
              <w:spacing w:before="1" w:line="377" w:lineRule="auto"/>
              <w:ind w:left="106" w:right="165"/>
              <w:rPr>
                <w:rFonts w:ascii="宋体" w:hAnsi="宋体" w:eastAsia="宋体" w:cs="宋体"/>
                <w:sz w:val="20"/>
                <w:szCs w:val="20"/>
              </w:rPr>
            </w:pPr>
            <w:r>
              <w:rPr>
                <w:rFonts w:ascii="宋体" w:hAnsi="宋体" w:eastAsia="宋体" w:cs="宋体"/>
                <w:spacing w:val="9"/>
                <w:sz w:val="20"/>
                <w:szCs w:val="20"/>
              </w:rPr>
              <w:t>⑥对于涉及使用易燃易爆危险化学品的企业进驻园区时，园区管委会应要求企业做好该距离范围内的火灾、爆炸防护工作，通过对进驻企业进行安全或风险评价，提出合理的防护距离，在该距离范围内，不得堆放易燃、易爆、有毒有害等危险化学</w:t>
            </w:r>
            <w:r>
              <w:rPr>
                <w:rFonts w:ascii="宋体" w:hAnsi="宋体" w:eastAsia="宋体" w:cs="宋体"/>
                <w:spacing w:val="8"/>
                <w:sz w:val="20"/>
                <w:szCs w:val="20"/>
              </w:rPr>
              <w:t>品，并预留消防通道。</w:t>
            </w:r>
          </w:p>
          <w:p w14:paraId="011EC161">
            <w:pPr>
              <w:spacing w:before="4" w:line="365" w:lineRule="auto"/>
              <w:ind w:left="107" w:right="148" w:hanging="1"/>
              <w:rPr>
                <w:rFonts w:ascii="宋体" w:hAnsi="宋体" w:eastAsia="宋体" w:cs="宋体"/>
                <w:sz w:val="20"/>
                <w:szCs w:val="20"/>
              </w:rPr>
            </w:pPr>
            <w:r>
              <w:rPr>
                <w:rFonts w:ascii="宋体" w:hAnsi="宋体" w:eastAsia="宋体" w:cs="宋体"/>
                <w:spacing w:val="9"/>
                <w:sz w:val="20"/>
                <w:szCs w:val="20"/>
              </w:rPr>
              <w:t>⑦园区周围环境目标众多，环境敏感程度</w:t>
            </w:r>
            <w:r>
              <w:rPr>
                <w:rFonts w:ascii="宋体" w:hAnsi="宋体" w:eastAsia="宋体" w:cs="宋体"/>
                <w:spacing w:val="7"/>
                <w:sz w:val="20"/>
                <w:szCs w:val="20"/>
              </w:rPr>
              <w:t>较高，限制根据</w:t>
            </w:r>
            <w:r>
              <w:rPr>
                <w:rFonts w:ascii="宋体" w:hAnsi="宋体" w:eastAsia="宋体" w:cs="宋体"/>
                <w:spacing w:val="-33"/>
                <w:sz w:val="20"/>
                <w:szCs w:val="20"/>
              </w:rPr>
              <w:t xml:space="preserve"> </w:t>
            </w:r>
            <w:r>
              <w:rPr>
                <w:rFonts w:ascii="Times New Roman" w:hAnsi="Times New Roman" w:eastAsia="Times New Roman" w:cs="Times New Roman"/>
                <w:sz w:val="20"/>
                <w:szCs w:val="20"/>
              </w:rPr>
              <w:t>HJ</w:t>
            </w:r>
            <w:r>
              <w:rPr>
                <w:rFonts w:ascii="Times New Roman" w:hAnsi="Times New Roman" w:eastAsia="Times New Roman" w:cs="Times New Roman"/>
                <w:spacing w:val="7"/>
                <w:sz w:val="20"/>
                <w:szCs w:val="20"/>
              </w:rPr>
              <w:t>/T169-2018</w:t>
            </w:r>
            <w:r>
              <w:rPr>
                <w:rFonts w:ascii="宋体" w:hAnsi="宋体" w:eastAsia="宋体" w:cs="宋体"/>
                <w:spacing w:val="7"/>
                <w:sz w:val="20"/>
                <w:szCs w:val="20"/>
              </w:rPr>
              <w:t>《建设项目</w:t>
            </w:r>
            <w:r>
              <w:rPr>
                <w:rFonts w:ascii="宋体" w:hAnsi="宋体" w:eastAsia="宋体" w:cs="宋体"/>
                <w:spacing w:val="9"/>
                <w:sz w:val="20"/>
                <w:szCs w:val="20"/>
              </w:rPr>
              <w:t>环境风险评价技术导则》判定的极高危害</w:t>
            </w:r>
            <w:r>
              <w:rPr>
                <w:rFonts w:ascii="宋体" w:hAnsi="宋体" w:eastAsia="宋体" w:cs="宋体"/>
                <w:spacing w:val="5"/>
                <w:sz w:val="20"/>
                <w:szCs w:val="20"/>
              </w:rPr>
              <w:t>企业</w:t>
            </w:r>
            <w:r>
              <w:rPr>
                <w:rFonts w:ascii="Times New Roman" w:hAnsi="Times New Roman" w:eastAsia="Times New Roman" w:cs="Times New Roman"/>
                <w:spacing w:val="5"/>
                <w:sz w:val="20"/>
                <w:szCs w:val="20"/>
              </w:rPr>
              <w:t>(P1)</w:t>
            </w:r>
            <w:r>
              <w:rPr>
                <w:rFonts w:ascii="宋体" w:hAnsi="宋体" w:eastAsia="宋体" w:cs="宋体"/>
                <w:spacing w:val="5"/>
                <w:sz w:val="20"/>
                <w:szCs w:val="20"/>
              </w:rPr>
              <w:t>入驻。</w:t>
            </w:r>
          </w:p>
        </w:tc>
        <w:tc>
          <w:tcPr>
            <w:tcW w:w="2163" w:type="dxa"/>
            <w:tcBorders>
              <w:top w:val="single" w:color="000000" w:sz="6" w:space="0"/>
            </w:tcBorders>
            <w:vAlign w:val="top"/>
          </w:tcPr>
          <w:p w14:paraId="44CD5BED">
            <w:pPr>
              <w:spacing w:before="37" w:line="228" w:lineRule="auto"/>
              <w:ind w:left="120"/>
              <w:rPr>
                <w:rFonts w:ascii="宋体" w:hAnsi="宋体" w:eastAsia="宋体" w:cs="宋体"/>
                <w:sz w:val="20"/>
                <w:szCs w:val="20"/>
              </w:rPr>
            </w:pPr>
            <w:r>
              <w:rPr>
                <w:rFonts w:ascii="宋体" w:hAnsi="宋体" w:eastAsia="宋体" w:cs="宋体"/>
                <w:spacing w:val="5"/>
                <w:sz w:val="20"/>
                <w:szCs w:val="20"/>
              </w:rPr>
              <w:t>甸分局备案。</w:t>
            </w:r>
          </w:p>
        </w:tc>
        <w:tc>
          <w:tcPr>
            <w:tcW w:w="628" w:type="dxa"/>
            <w:gridSpan w:val="2"/>
            <w:tcBorders>
              <w:top w:val="single" w:color="000000" w:sz="6" w:space="0"/>
            </w:tcBorders>
            <w:vAlign w:val="top"/>
          </w:tcPr>
          <w:p w14:paraId="6DF4A4C4">
            <w:pPr>
              <w:rPr>
                <w:rFonts w:ascii="Arial"/>
                <w:sz w:val="21"/>
              </w:rPr>
            </w:pPr>
          </w:p>
        </w:tc>
        <w:tc>
          <w:tcPr>
            <w:tcW w:w="124" w:type="dxa"/>
            <w:tcBorders>
              <w:top w:val="single" w:color="000000" w:sz="6" w:space="0"/>
              <w:bottom w:val="nil"/>
              <w:right w:val="single" w:color="000000" w:sz="6" w:space="0"/>
            </w:tcBorders>
            <w:vAlign w:val="top"/>
          </w:tcPr>
          <w:p w14:paraId="7C3137DB">
            <w:pPr>
              <w:rPr>
                <w:rFonts w:ascii="Arial"/>
                <w:sz w:val="21"/>
              </w:rPr>
            </w:pPr>
          </w:p>
        </w:tc>
      </w:tr>
      <w:tr w14:paraId="494BE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9" w:hRule="atLeast"/>
        </w:trPr>
        <w:tc>
          <w:tcPr>
            <w:tcW w:w="1161" w:type="dxa"/>
            <w:vMerge w:val="continue"/>
            <w:tcBorders>
              <w:top w:val="nil"/>
              <w:left w:val="single" w:color="000000" w:sz="6" w:space="0"/>
              <w:bottom w:val="nil"/>
            </w:tcBorders>
            <w:vAlign w:val="top"/>
          </w:tcPr>
          <w:p w14:paraId="5B0876B1">
            <w:pPr>
              <w:rPr>
                <w:rFonts w:ascii="Arial"/>
                <w:sz w:val="21"/>
              </w:rPr>
            </w:pPr>
          </w:p>
        </w:tc>
        <w:tc>
          <w:tcPr>
            <w:tcW w:w="7711" w:type="dxa"/>
            <w:gridSpan w:val="8"/>
            <w:tcBorders>
              <w:right w:val="single" w:color="000000" w:sz="6" w:space="0"/>
            </w:tcBorders>
            <w:vAlign w:val="top"/>
          </w:tcPr>
          <w:p w14:paraId="3E0134BC">
            <w:pPr>
              <w:spacing w:before="47" w:line="359" w:lineRule="auto"/>
              <w:ind w:left="109" w:right="102" w:firstLine="481"/>
              <w:rPr>
                <w:rFonts w:ascii="宋体" w:hAnsi="宋体" w:eastAsia="宋体" w:cs="宋体"/>
                <w:sz w:val="24"/>
                <w:szCs w:val="24"/>
              </w:rPr>
            </w:pPr>
            <w:r>
              <w:rPr>
                <w:rFonts w:ascii="宋体" w:hAnsi="宋体" w:eastAsia="宋体" w:cs="宋体"/>
                <w:spacing w:val="-1"/>
                <w:sz w:val="24"/>
                <w:szCs w:val="24"/>
              </w:rPr>
              <w:t>综上，项目符合《云南寻甸产业园区总体规划修编（</w:t>
            </w:r>
            <w:r>
              <w:rPr>
                <w:rFonts w:ascii="Times New Roman" w:hAnsi="Times New Roman" w:eastAsia="Times New Roman" w:cs="Times New Roman"/>
                <w:spacing w:val="-1"/>
                <w:sz w:val="24"/>
                <w:szCs w:val="24"/>
              </w:rPr>
              <w:t>2021-2035</w:t>
            </w:r>
            <w:r>
              <w:rPr>
                <w:rFonts w:ascii="宋体" w:hAnsi="宋体" w:eastAsia="宋体" w:cs="宋体"/>
                <w:spacing w:val="-1"/>
                <w:sz w:val="24"/>
                <w:szCs w:val="24"/>
              </w:rPr>
              <w:t>）环境影响报告书》中的环境影响减缓措施相关要求。</w:t>
            </w:r>
          </w:p>
          <w:p w14:paraId="6ED2EDD1">
            <w:pPr>
              <w:spacing w:line="219" w:lineRule="auto"/>
              <w:ind w:left="599"/>
              <w:rPr>
                <w:rFonts w:ascii="宋体" w:hAnsi="宋体" w:eastAsia="宋体" w:cs="宋体"/>
                <w:sz w:val="24"/>
                <w:szCs w:val="24"/>
              </w:rPr>
            </w:pPr>
            <w:r>
              <w:rPr>
                <w:rFonts w:ascii="宋体" w:hAnsi="宋体" w:eastAsia="宋体" w:cs="宋体"/>
                <w:b/>
                <w:bCs/>
                <w:spacing w:val="-3"/>
                <w:sz w:val="24"/>
                <w:szCs w:val="24"/>
              </w:rPr>
              <w:t>（</w:t>
            </w:r>
            <w:r>
              <w:rPr>
                <w:rFonts w:ascii="Times New Roman" w:hAnsi="Times New Roman" w:eastAsia="Times New Roman" w:cs="Times New Roman"/>
                <w:b/>
                <w:bCs/>
                <w:spacing w:val="-3"/>
                <w:sz w:val="24"/>
                <w:szCs w:val="24"/>
              </w:rPr>
              <w:t>2</w:t>
            </w:r>
            <w:r>
              <w:rPr>
                <w:rFonts w:ascii="宋体" w:hAnsi="宋体" w:eastAsia="宋体" w:cs="宋体"/>
                <w:b/>
                <w:bCs/>
                <w:spacing w:val="-3"/>
                <w:sz w:val="24"/>
                <w:szCs w:val="24"/>
              </w:rPr>
              <w:t>）园区准入负面清单符合性分析</w:t>
            </w:r>
          </w:p>
          <w:p w14:paraId="7F3C2AB6">
            <w:pPr>
              <w:spacing w:before="181" w:line="357" w:lineRule="auto"/>
              <w:ind w:left="112" w:right="102" w:firstLine="475"/>
              <w:rPr>
                <w:rFonts w:ascii="宋体" w:hAnsi="宋体" w:eastAsia="宋体" w:cs="宋体"/>
                <w:sz w:val="24"/>
                <w:szCs w:val="24"/>
              </w:rPr>
            </w:pPr>
            <w:r>
              <w:rPr>
                <w:rFonts w:ascii="宋体" w:hAnsi="宋体" w:eastAsia="宋体" w:cs="宋体"/>
                <w:spacing w:val="-1"/>
                <w:sz w:val="24"/>
                <w:szCs w:val="24"/>
              </w:rPr>
              <w:t>根据《云南寻甸产业园区总体规划修编（</w:t>
            </w:r>
            <w:r>
              <w:rPr>
                <w:rFonts w:ascii="Times New Roman" w:hAnsi="Times New Roman" w:eastAsia="Times New Roman" w:cs="Times New Roman"/>
                <w:spacing w:val="-1"/>
                <w:sz w:val="24"/>
                <w:szCs w:val="24"/>
              </w:rPr>
              <w:t>2021-2035</w:t>
            </w:r>
            <w:r>
              <w:rPr>
                <w:rFonts w:ascii="宋体" w:hAnsi="宋体" w:eastAsia="宋体" w:cs="宋体"/>
                <w:spacing w:val="-1"/>
                <w:sz w:val="24"/>
                <w:szCs w:val="24"/>
              </w:rPr>
              <w:t>）环境影响报告书》，园区环境准入负面清单及对照情况如下：</w:t>
            </w:r>
          </w:p>
          <w:p w14:paraId="3507F301">
            <w:pPr>
              <w:spacing w:before="1" w:line="205" w:lineRule="auto"/>
              <w:ind w:left="2318"/>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26"/>
                <w:sz w:val="20"/>
                <w:szCs w:val="20"/>
              </w:rPr>
              <w:t xml:space="preserve"> </w:t>
            </w:r>
            <w:r>
              <w:rPr>
                <w:rFonts w:ascii="Times New Roman" w:hAnsi="Times New Roman" w:eastAsia="Times New Roman" w:cs="Times New Roman"/>
                <w:b/>
                <w:bCs/>
                <w:spacing w:val="5"/>
                <w:sz w:val="20"/>
                <w:szCs w:val="20"/>
              </w:rPr>
              <w:t xml:space="preserve">1-3    </w:t>
            </w:r>
            <w:r>
              <w:rPr>
                <w:rFonts w:ascii="宋体" w:hAnsi="宋体" w:eastAsia="宋体" w:cs="宋体"/>
                <w:b/>
                <w:bCs/>
                <w:spacing w:val="5"/>
                <w:sz w:val="20"/>
                <w:szCs w:val="20"/>
              </w:rPr>
              <w:t>准入负面清单对照情况表</w:t>
            </w:r>
          </w:p>
        </w:tc>
      </w:tr>
      <w:tr w14:paraId="34486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1161" w:type="dxa"/>
            <w:vMerge w:val="continue"/>
            <w:tcBorders>
              <w:top w:val="nil"/>
              <w:left w:val="single" w:color="000000" w:sz="6" w:space="0"/>
              <w:bottom w:val="single" w:color="000000" w:sz="6" w:space="0"/>
            </w:tcBorders>
            <w:vAlign w:val="top"/>
          </w:tcPr>
          <w:p w14:paraId="34F69852">
            <w:pPr>
              <w:rPr>
                <w:rFonts w:ascii="Arial"/>
                <w:sz w:val="21"/>
              </w:rPr>
            </w:pPr>
          </w:p>
        </w:tc>
        <w:tc>
          <w:tcPr>
            <w:tcW w:w="114" w:type="dxa"/>
            <w:tcBorders>
              <w:bottom w:val="single" w:color="000000" w:sz="6" w:space="0"/>
            </w:tcBorders>
            <w:vAlign w:val="top"/>
          </w:tcPr>
          <w:p w14:paraId="1F569279">
            <w:pPr>
              <w:rPr>
                <w:rFonts w:ascii="Arial"/>
                <w:sz w:val="21"/>
              </w:rPr>
            </w:pPr>
          </w:p>
        </w:tc>
        <w:tc>
          <w:tcPr>
            <w:tcW w:w="4125" w:type="dxa"/>
            <w:gridSpan w:val="2"/>
            <w:tcBorders>
              <w:bottom w:val="single" w:color="000000" w:sz="6" w:space="0"/>
            </w:tcBorders>
            <w:vAlign w:val="top"/>
          </w:tcPr>
          <w:p w14:paraId="4C8E80A4">
            <w:pPr>
              <w:spacing w:before="248" w:line="228" w:lineRule="auto"/>
              <w:ind w:left="708"/>
              <w:rPr>
                <w:rFonts w:ascii="宋体" w:hAnsi="宋体" w:eastAsia="宋体" w:cs="宋体"/>
                <w:sz w:val="20"/>
                <w:szCs w:val="20"/>
              </w:rPr>
            </w:pPr>
            <w:r>
              <w:rPr>
                <w:rFonts w:ascii="宋体" w:hAnsi="宋体" w:eastAsia="宋体" w:cs="宋体"/>
                <w:b/>
                <w:bCs/>
                <w:spacing w:val="6"/>
                <w:sz w:val="20"/>
                <w:szCs w:val="20"/>
              </w:rPr>
              <w:t>限制和禁止引进的项目和行业</w:t>
            </w:r>
          </w:p>
        </w:tc>
        <w:tc>
          <w:tcPr>
            <w:tcW w:w="2791" w:type="dxa"/>
            <w:gridSpan w:val="3"/>
            <w:tcBorders>
              <w:bottom w:val="single" w:color="000000" w:sz="6" w:space="0"/>
            </w:tcBorders>
            <w:vAlign w:val="top"/>
          </w:tcPr>
          <w:p w14:paraId="010285B0">
            <w:pPr>
              <w:spacing w:before="248" w:line="227" w:lineRule="auto"/>
              <w:ind w:left="877"/>
              <w:rPr>
                <w:rFonts w:ascii="宋体" w:hAnsi="宋体" w:eastAsia="宋体" w:cs="宋体"/>
                <w:sz w:val="20"/>
                <w:szCs w:val="20"/>
              </w:rPr>
            </w:pPr>
            <w:r>
              <w:rPr>
                <w:rFonts w:ascii="宋体" w:hAnsi="宋体" w:eastAsia="宋体" w:cs="宋体"/>
                <w:b/>
                <w:bCs/>
                <w:spacing w:val="6"/>
                <w:sz w:val="20"/>
                <w:szCs w:val="20"/>
              </w:rPr>
              <w:t>本项目情况</w:t>
            </w:r>
          </w:p>
        </w:tc>
        <w:tc>
          <w:tcPr>
            <w:tcW w:w="557" w:type="dxa"/>
            <w:tcBorders>
              <w:bottom w:val="single" w:color="000000" w:sz="6" w:space="0"/>
            </w:tcBorders>
            <w:textDirection w:val="tbRlV"/>
            <w:vAlign w:val="top"/>
          </w:tcPr>
          <w:p w14:paraId="0A534EA8">
            <w:pPr>
              <w:spacing w:before="165" w:line="215" w:lineRule="auto"/>
              <w:ind w:left="45"/>
              <w:rPr>
                <w:rFonts w:ascii="宋体" w:hAnsi="宋体" w:eastAsia="宋体" w:cs="宋体"/>
                <w:sz w:val="20"/>
                <w:szCs w:val="20"/>
              </w:rPr>
            </w:pPr>
            <w:r>
              <w:rPr>
                <w:rFonts w:ascii="宋体" w:hAnsi="宋体" w:eastAsia="宋体" w:cs="宋体"/>
                <w:b/>
                <w:bCs/>
                <w:spacing w:val="6"/>
                <w:sz w:val="20"/>
                <w:szCs w:val="20"/>
              </w:rPr>
              <w:t>符</w:t>
            </w:r>
            <w:r>
              <w:rPr>
                <w:rFonts w:ascii="宋体" w:hAnsi="宋体" w:eastAsia="宋体" w:cs="宋体"/>
                <w:spacing w:val="99"/>
                <w:sz w:val="20"/>
                <w:szCs w:val="20"/>
              </w:rPr>
              <w:t xml:space="preserve"> </w:t>
            </w:r>
            <w:r>
              <w:rPr>
                <w:rFonts w:ascii="宋体" w:hAnsi="宋体" w:eastAsia="宋体" w:cs="宋体"/>
                <w:b/>
                <w:bCs/>
                <w:spacing w:val="6"/>
                <w:sz w:val="20"/>
                <w:szCs w:val="20"/>
              </w:rPr>
              <w:t>合</w:t>
            </w:r>
          </w:p>
        </w:tc>
        <w:tc>
          <w:tcPr>
            <w:tcW w:w="124" w:type="dxa"/>
            <w:tcBorders>
              <w:top w:val="nil"/>
              <w:bottom w:val="single" w:color="000000" w:sz="6" w:space="0"/>
              <w:right w:val="single" w:color="000000" w:sz="6" w:space="0"/>
            </w:tcBorders>
            <w:vAlign w:val="top"/>
          </w:tcPr>
          <w:p w14:paraId="08641B11">
            <w:pPr>
              <w:rPr>
                <w:rFonts w:ascii="Arial"/>
                <w:sz w:val="21"/>
              </w:rPr>
            </w:pPr>
          </w:p>
        </w:tc>
      </w:tr>
    </w:tbl>
    <w:p w14:paraId="5CEFB51B">
      <w:pPr>
        <w:pStyle w:val="2"/>
      </w:pPr>
    </w:p>
    <w:p w14:paraId="344839AC">
      <w:pPr>
        <w:sectPr>
          <w:footerReference r:id="rId19" w:type="default"/>
          <w:pgSz w:w="11906" w:h="16839"/>
          <w:pgMar w:top="400" w:right="1509" w:bottom="1329" w:left="1509" w:header="0" w:footer="1113" w:gutter="0"/>
          <w:cols w:space="720" w:num="1"/>
        </w:sectPr>
      </w:pPr>
    </w:p>
    <w:p w14:paraId="02792AE5">
      <w:pPr>
        <w:spacing w:before="19"/>
      </w:pPr>
    </w:p>
    <w:p w14:paraId="0DE29D4C">
      <w:pPr>
        <w:spacing w:before="19"/>
      </w:pPr>
    </w:p>
    <w:p w14:paraId="172CDE34">
      <w:pPr>
        <w:spacing w:before="19"/>
      </w:pPr>
    </w:p>
    <w:p w14:paraId="205C2B3A">
      <w:pPr>
        <w:spacing w:before="18"/>
      </w:pPr>
    </w:p>
    <w:p w14:paraId="186CD7BF">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459"/>
        <w:gridCol w:w="976"/>
        <w:gridCol w:w="2691"/>
        <w:gridCol w:w="2791"/>
        <w:gridCol w:w="558"/>
        <w:gridCol w:w="123"/>
      </w:tblGrid>
      <w:tr w14:paraId="740F47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161" w:type="dxa"/>
            <w:vMerge w:val="restart"/>
            <w:tcBorders>
              <w:top w:val="single" w:color="000000" w:sz="6" w:space="0"/>
              <w:left w:val="single" w:color="000000" w:sz="6" w:space="0"/>
              <w:bottom w:val="nil"/>
            </w:tcBorders>
            <w:vAlign w:val="top"/>
          </w:tcPr>
          <w:p w14:paraId="4FDBD6A8">
            <w:pPr>
              <w:rPr>
                <w:rFonts w:ascii="Arial"/>
                <w:sz w:val="21"/>
              </w:rPr>
            </w:pPr>
          </w:p>
        </w:tc>
        <w:tc>
          <w:tcPr>
            <w:tcW w:w="113" w:type="dxa"/>
            <w:tcBorders>
              <w:top w:val="single" w:color="000000" w:sz="6" w:space="0"/>
              <w:bottom w:val="nil"/>
            </w:tcBorders>
            <w:vAlign w:val="top"/>
          </w:tcPr>
          <w:p w14:paraId="337D1D17">
            <w:pPr>
              <w:rPr>
                <w:rFonts w:ascii="Arial"/>
                <w:sz w:val="21"/>
              </w:rPr>
            </w:pPr>
          </w:p>
        </w:tc>
        <w:tc>
          <w:tcPr>
            <w:tcW w:w="4126" w:type="dxa"/>
            <w:gridSpan w:val="3"/>
            <w:vAlign w:val="top"/>
          </w:tcPr>
          <w:p w14:paraId="47E6E28E">
            <w:pPr>
              <w:rPr>
                <w:rFonts w:ascii="Arial"/>
                <w:sz w:val="21"/>
              </w:rPr>
            </w:pPr>
          </w:p>
        </w:tc>
        <w:tc>
          <w:tcPr>
            <w:tcW w:w="2791" w:type="dxa"/>
            <w:vAlign w:val="top"/>
          </w:tcPr>
          <w:p w14:paraId="269BDD40">
            <w:pPr>
              <w:rPr>
                <w:rFonts w:ascii="Arial"/>
                <w:sz w:val="21"/>
              </w:rPr>
            </w:pPr>
          </w:p>
        </w:tc>
        <w:tc>
          <w:tcPr>
            <w:tcW w:w="558" w:type="dxa"/>
            <w:vAlign w:val="top"/>
          </w:tcPr>
          <w:p w14:paraId="54E79CCF">
            <w:pPr>
              <w:spacing w:before="37" w:line="229" w:lineRule="auto"/>
              <w:ind w:left="188"/>
              <w:rPr>
                <w:rFonts w:ascii="宋体" w:hAnsi="宋体" w:eastAsia="宋体" w:cs="宋体"/>
                <w:sz w:val="20"/>
                <w:szCs w:val="20"/>
              </w:rPr>
            </w:pPr>
            <w:r>
              <w:rPr>
                <w:rFonts w:ascii="宋体" w:hAnsi="宋体" w:eastAsia="宋体" w:cs="宋体"/>
                <w:b/>
                <w:bCs/>
                <w:spacing w:val="-3"/>
                <w:sz w:val="20"/>
                <w:szCs w:val="20"/>
              </w:rPr>
              <w:t>性</w:t>
            </w:r>
          </w:p>
        </w:tc>
        <w:tc>
          <w:tcPr>
            <w:tcW w:w="123" w:type="dxa"/>
            <w:vMerge w:val="restart"/>
            <w:tcBorders>
              <w:top w:val="single" w:color="000000" w:sz="6" w:space="0"/>
              <w:bottom w:val="nil"/>
              <w:right w:val="single" w:color="000000" w:sz="6" w:space="0"/>
            </w:tcBorders>
            <w:vAlign w:val="top"/>
          </w:tcPr>
          <w:p w14:paraId="56AF1023">
            <w:pPr>
              <w:rPr>
                <w:rFonts w:ascii="Arial"/>
                <w:sz w:val="21"/>
              </w:rPr>
            </w:pPr>
          </w:p>
        </w:tc>
      </w:tr>
      <w:tr w14:paraId="63EAF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4" w:hRule="atLeast"/>
        </w:trPr>
        <w:tc>
          <w:tcPr>
            <w:tcW w:w="1161" w:type="dxa"/>
            <w:vMerge w:val="continue"/>
            <w:tcBorders>
              <w:top w:val="nil"/>
              <w:left w:val="single" w:color="000000" w:sz="6" w:space="0"/>
              <w:bottom w:val="nil"/>
            </w:tcBorders>
            <w:vAlign w:val="top"/>
          </w:tcPr>
          <w:p w14:paraId="503F476D">
            <w:pPr>
              <w:rPr>
                <w:rFonts w:ascii="Arial"/>
                <w:sz w:val="21"/>
              </w:rPr>
            </w:pPr>
          </w:p>
        </w:tc>
        <w:tc>
          <w:tcPr>
            <w:tcW w:w="113" w:type="dxa"/>
            <w:tcBorders>
              <w:top w:val="nil"/>
              <w:bottom w:val="nil"/>
            </w:tcBorders>
            <w:vAlign w:val="top"/>
          </w:tcPr>
          <w:p w14:paraId="087B8182">
            <w:pPr>
              <w:rPr>
                <w:rFonts w:ascii="Arial"/>
                <w:sz w:val="21"/>
              </w:rPr>
            </w:pPr>
          </w:p>
        </w:tc>
        <w:tc>
          <w:tcPr>
            <w:tcW w:w="459" w:type="dxa"/>
            <w:vMerge w:val="restart"/>
            <w:tcBorders>
              <w:bottom w:val="nil"/>
            </w:tcBorders>
            <w:textDirection w:val="tbRlV"/>
            <w:vAlign w:val="top"/>
          </w:tcPr>
          <w:p w14:paraId="008C4138">
            <w:pPr>
              <w:spacing w:before="129" w:line="216" w:lineRule="auto"/>
              <w:ind w:left="4354"/>
              <w:rPr>
                <w:rFonts w:ascii="宋体" w:hAnsi="宋体" w:eastAsia="宋体" w:cs="宋体"/>
                <w:sz w:val="20"/>
                <w:szCs w:val="20"/>
              </w:rPr>
            </w:pPr>
            <w:r>
              <w:rPr>
                <w:rFonts w:ascii="宋体" w:hAnsi="宋体" w:eastAsia="宋体" w:cs="宋体"/>
                <w:spacing w:val="8"/>
                <w:sz w:val="20"/>
                <w:szCs w:val="20"/>
              </w:rPr>
              <w:t>总</w:t>
            </w:r>
            <w:r>
              <w:rPr>
                <w:rFonts w:ascii="宋体" w:hAnsi="宋体" w:eastAsia="宋体" w:cs="宋体"/>
                <w:spacing w:val="106"/>
                <w:sz w:val="20"/>
                <w:szCs w:val="20"/>
              </w:rPr>
              <w:t xml:space="preserve"> </w:t>
            </w:r>
            <w:r>
              <w:rPr>
                <w:rFonts w:ascii="宋体" w:hAnsi="宋体" w:eastAsia="宋体" w:cs="宋体"/>
                <w:spacing w:val="8"/>
                <w:sz w:val="20"/>
                <w:szCs w:val="20"/>
              </w:rPr>
              <w:t>体</w:t>
            </w:r>
            <w:r>
              <w:rPr>
                <w:rFonts w:ascii="宋体" w:hAnsi="宋体" w:eastAsia="宋体" w:cs="宋体"/>
                <w:spacing w:val="99"/>
                <w:sz w:val="20"/>
                <w:szCs w:val="20"/>
              </w:rPr>
              <w:t xml:space="preserve"> </w:t>
            </w:r>
            <w:r>
              <w:rPr>
                <w:rFonts w:ascii="宋体" w:hAnsi="宋体" w:eastAsia="宋体" w:cs="宋体"/>
                <w:spacing w:val="8"/>
                <w:sz w:val="20"/>
                <w:szCs w:val="20"/>
              </w:rPr>
              <w:t>要</w:t>
            </w:r>
            <w:r>
              <w:rPr>
                <w:rFonts w:ascii="宋体" w:hAnsi="宋体" w:eastAsia="宋体" w:cs="宋体"/>
                <w:spacing w:val="99"/>
                <w:sz w:val="20"/>
                <w:szCs w:val="20"/>
              </w:rPr>
              <w:t xml:space="preserve"> </w:t>
            </w:r>
            <w:r>
              <w:rPr>
                <w:rFonts w:ascii="宋体" w:hAnsi="宋体" w:eastAsia="宋体" w:cs="宋体"/>
                <w:spacing w:val="8"/>
                <w:sz w:val="20"/>
                <w:szCs w:val="20"/>
              </w:rPr>
              <w:t>求</w:t>
            </w:r>
            <w:r>
              <w:rPr>
                <w:rFonts w:ascii="宋体" w:hAnsi="宋体" w:eastAsia="宋体" w:cs="宋体"/>
                <w:spacing w:val="1"/>
                <w:sz w:val="20"/>
                <w:szCs w:val="20"/>
              </w:rPr>
              <w:t xml:space="preserve">  </w:t>
            </w:r>
            <w:r>
              <w:rPr>
                <w:rFonts w:ascii="宋体" w:hAnsi="宋体" w:eastAsia="宋体" w:cs="宋体"/>
                <w:spacing w:val="8"/>
                <w:sz w:val="20"/>
                <w:szCs w:val="20"/>
              </w:rPr>
              <w:t>规</w:t>
            </w:r>
            <w:r>
              <w:rPr>
                <w:rFonts w:ascii="宋体" w:hAnsi="宋体" w:eastAsia="宋体" w:cs="宋体"/>
                <w:spacing w:val="99"/>
                <w:sz w:val="20"/>
                <w:szCs w:val="20"/>
              </w:rPr>
              <w:t xml:space="preserve"> </w:t>
            </w:r>
            <w:r>
              <w:rPr>
                <w:rFonts w:ascii="宋体" w:hAnsi="宋体" w:eastAsia="宋体" w:cs="宋体"/>
                <w:spacing w:val="8"/>
                <w:sz w:val="20"/>
                <w:szCs w:val="20"/>
              </w:rPr>
              <w:t>划</w:t>
            </w:r>
            <w:r>
              <w:rPr>
                <w:rFonts w:ascii="宋体" w:hAnsi="宋体" w:eastAsia="宋体" w:cs="宋体"/>
                <w:spacing w:val="99"/>
                <w:sz w:val="20"/>
                <w:szCs w:val="20"/>
              </w:rPr>
              <w:t xml:space="preserve"> </w:t>
            </w:r>
            <w:r>
              <w:rPr>
                <w:rFonts w:ascii="宋体" w:hAnsi="宋体" w:eastAsia="宋体" w:cs="宋体"/>
                <w:spacing w:val="8"/>
                <w:sz w:val="20"/>
                <w:szCs w:val="20"/>
              </w:rPr>
              <w:t>产</w:t>
            </w:r>
            <w:r>
              <w:rPr>
                <w:rFonts w:ascii="宋体" w:hAnsi="宋体" w:eastAsia="宋体" w:cs="宋体"/>
                <w:spacing w:val="99"/>
                <w:sz w:val="20"/>
                <w:szCs w:val="20"/>
              </w:rPr>
              <w:t xml:space="preserve"> </w:t>
            </w:r>
            <w:r>
              <w:rPr>
                <w:rFonts w:ascii="宋体" w:hAnsi="宋体" w:eastAsia="宋体" w:cs="宋体"/>
                <w:spacing w:val="8"/>
                <w:sz w:val="20"/>
                <w:szCs w:val="20"/>
              </w:rPr>
              <w:t>业</w:t>
            </w:r>
            <w:r>
              <w:rPr>
                <w:rFonts w:ascii="宋体" w:hAnsi="宋体" w:eastAsia="宋体" w:cs="宋体"/>
                <w:spacing w:val="1"/>
                <w:sz w:val="20"/>
                <w:szCs w:val="20"/>
              </w:rPr>
              <w:t xml:space="preserve">  </w:t>
            </w:r>
            <w:r>
              <w:rPr>
                <w:rFonts w:ascii="宋体" w:hAnsi="宋体" w:eastAsia="宋体" w:cs="宋体"/>
                <w:spacing w:val="8"/>
                <w:sz w:val="20"/>
                <w:szCs w:val="20"/>
              </w:rPr>
              <w:t>要</w:t>
            </w:r>
            <w:r>
              <w:rPr>
                <w:rFonts w:ascii="宋体" w:hAnsi="宋体" w:eastAsia="宋体" w:cs="宋体"/>
                <w:spacing w:val="99"/>
                <w:sz w:val="20"/>
                <w:szCs w:val="20"/>
              </w:rPr>
              <w:t xml:space="preserve"> </w:t>
            </w:r>
            <w:r>
              <w:rPr>
                <w:rFonts w:ascii="宋体" w:hAnsi="宋体" w:eastAsia="宋体" w:cs="宋体"/>
                <w:spacing w:val="8"/>
                <w:sz w:val="20"/>
                <w:szCs w:val="20"/>
              </w:rPr>
              <w:t>求</w:t>
            </w:r>
          </w:p>
        </w:tc>
        <w:tc>
          <w:tcPr>
            <w:tcW w:w="976" w:type="dxa"/>
            <w:vMerge w:val="restart"/>
            <w:tcBorders>
              <w:bottom w:val="nil"/>
            </w:tcBorders>
            <w:vAlign w:val="top"/>
          </w:tcPr>
          <w:p w14:paraId="763A6843">
            <w:pPr>
              <w:spacing w:line="245" w:lineRule="auto"/>
              <w:rPr>
                <w:rFonts w:ascii="Arial"/>
                <w:sz w:val="21"/>
              </w:rPr>
            </w:pPr>
          </w:p>
          <w:p w14:paraId="172D5CCB">
            <w:pPr>
              <w:spacing w:line="245" w:lineRule="auto"/>
              <w:rPr>
                <w:rFonts w:ascii="Arial"/>
                <w:sz w:val="21"/>
              </w:rPr>
            </w:pPr>
          </w:p>
          <w:p w14:paraId="33436404">
            <w:pPr>
              <w:spacing w:line="245" w:lineRule="auto"/>
              <w:rPr>
                <w:rFonts w:ascii="Arial"/>
                <w:sz w:val="21"/>
              </w:rPr>
            </w:pPr>
          </w:p>
          <w:p w14:paraId="790BC7E0">
            <w:pPr>
              <w:spacing w:line="245" w:lineRule="auto"/>
              <w:rPr>
                <w:rFonts w:ascii="Arial"/>
                <w:sz w:val="21"/>
              </w:rPr>
            </w:pPr>
          </w:p>
          <w:p w14:paraId="0FF6A293">
            <w:pPr>
              <w:spacing w:line="245" w:lineRule="auto"/>
              <w:rPr>
                <w:rFonts w:ascii="Arial"/>
                <w:sz w:val="21"/>
              </w:rPr>
            </w:pPr>
          </w:p>
          <w:p w14:paraId="6B799565">
            <w:pPr>
              <w:spacing w:line="245" w:lineRule="auto"/>
              <w:rPr>
                <w:rFonts w:ascii="Arial"/>
                <w:sz w:val="21"/>
              </w:rPr>
            </w:pPr>
          </w:p>
          <w:p w14:paraId="0DE5D8F5">
            <w:pPr>
              <w:spacing w:line="245" w:lineRule="auto"/>
              <w:rPr>
                <w:rFonts w:ascii="Arial"/>
                <w:sz w:val="21"/>
              </w:rPr>
            </w:pPr>
          </w:p>
          <w:p w14:paraId="7D4B8081">
            <w:pPr>
              <w:spacing w:line="245" w:lineRule="auto"/>
              <w:rPr>
                <w:rFonts w:ascii="Arial"/>
                <w:sz w:val="21"/>
              </w:rPr>
            </w:pPr>
          </w:p>
          <w:p w14:paraId="582CF6D8">
            <w:pPr>
              <w:spacing w:line="245" w:lineRule="auto"/>
              <w:rPr>
                <w:rFonts w:ascii="Arial"/>
                <w:sz w:val="21"/>
              </w:rPr>
            </w:pPr>
          </w:p>
          <w:p w14:paraId="6A039392">
            <w:pPr>
              <w:spacing w:line="245" w:lineRule="auto"/>
              <w:rPr>
                <w:rFonts w:ascii="Arial"/>
                <w:sz w:val="21"/>
              </w:rPr>
            </w:pPr>
          </w:p>
          <w:p w14:paraId="546A3362">
            <w:pPr>
              <w:spacing w:line="245" w:lineRule="auto"/>
              <w:rPr>
                <w:rFonts w:ascii="Arial"/>
                <w:sz w:val="21"/>
              </w:rPr>
            </w:pPr>
          </w:p>
          <w:p w14:paraId="4306D3F7">
            <w:pPr>
              <w:spacing w:line="245" w:lineRule="auto"/>
              <w:rPr>
                <w:rFonts w:ascii="Arial"/>
                <w:sz w:val="21"/>
              </w:rPr>
            </w:pPr>
          </w:p>
          <w:p w14:paraId="01D02BDE">
            <w:pPr>
              <w:spacing w:line="245" w:lineRule="auto"/>
              <w:rPr>
                <w:rFonts w:ascii="Arial"/>
                <w:sz w:val="21"/>
              </w:rPr>
            </w:pPr>
          </w:p>
          <w:p w14:paraId="59C0A2AF">
            <w:pPr>
              <w:spacing w:line="245" w:lineRule="auto"/>
              <w:rPr>
                <w:rFonts w:ascii="Arial"/>
                <w:sz w:val="21"/>
              </w:rPr>
            </w:pPr>
          </w:p>
          <w:p w14:paraId="4A74F151">
            <w:pPr>
              <w:spacing w:line="245" w:lineRule="auto"/>
              <w:rPr>
                <w:rFonts w:ascii="Arial"/>
                <w:sz w:val="21"/>
              </w:rPr>
            </w:pPr>
          </w:p>
          <w:p w14:paraId="071617D5">
            <w:pPr>
              <w:spacing w:line="245" w:lineRule="auto"/>
              <w:rPr>
                <w:rFonts w:ascii="Arial"/>
                <w:sz w:val="21"/>
              </w:rPr>
            </w:pPr>
          </w:p>
          <w:p w14:paraId="1D203367">
            <w:pPr>
              <w:spacing w:line="245" w:lineRule="auto"/>
              <w:rPr>
                <w:rFonts w:ascii="Arial"/>
                <w:sz w:val="21"/>
              </w:rPr>
            </w:pPr>
          </w:p>
          <w:p w14:paraId="18F74A65">
            <w:pPr>
              <w:spacing w:line="246" w:lineRule="auto"/>
              <w:rPr>
                <w:rFonts w:ascii="Arial"/>
                <w:sz w:val="21"/>
              </w:rPr>
            </w:pPr>
          </w:p>
          <w:p w14:paraId="5DCA664E">
            <w:pPr>
              <w:spacing w:line="246" w:lineRule="auto"/>
              <w:rPr>
                <w:rFonts w:ascii="Arial"/>
                <w:sz w:val="21"/>
              </w:rPr>
            </w:pPr>
          </w:p>
          <w:p w14:paraId="0A4BA473">
            <w:pPr>
              <w:spacing w:line="246" w:lineRule="auto"/>
              <w:rPr>
                <w:rFonts w:ascii="Arial"/>
                <w:sz w:val="21"/>
              </w:rPr>
            </w:pPr>
          </w:p>
          <w:p w14:paraId="050C4401">
            <w:pPr>
              <w:spacing w:line="246" w:lineRule="auto"/>
              <w:rPr>
                <w:rFonts w:ascii="Arial"/>
                <w:sz w:val="21"/>
              </w:rPr>
            </w:pPr>
          </w:p>
          <w:p w14:paraId="70BCF2EE">
            <w:pPr>
              <w:spacing w:line="246" w:lineRule="auto"/>
              <w:rPr>
                <w:rFonts w:ascii="Arial"/>
                <w:sz w:val="21"/>
              </w:rPr>
            </w:pPr>
          </w:p>
          <w:p w14:paraId="23F19290">
            <w:pPr>
              <w:spacing w:line="246" w:lineRule="auto"/>
              <w:rPr>
                <w:rFonts w:ascii="Arial"/>
                <w:sz w:val="21"/>
              </w:rPr>
            </w:pPr>
          </w:p>
          <w:p w14:paraId="3C23DB9E">
            <w:pPr>
              <w:spacing w:line="246" w:lineRule="auto"/>
              <w:rPr>
                <w:rFonts w:ascii="Arial"/>
                <w:sz w:val="21"/>
              </w:rPr>
            </w:pPr>
          </w:p>
          <w:p w14:paraId="01CEF7F8">
            <w:pPr>
              <w:spacing w:before="65" w:line="384" w:lineRule="auto"/>
              <w:ind w:left="382" w:right="174" w:hanging="207"/>
              <w:rPr>
                <w:rFonts w:ascii="宋体" w:hAnsi="宋体" w:eastAsia="宋体" w:cs="宋体"/>
                <w:sz w:val="20"/>
                <w:szCs w:val="20"/>
              </w:rPr>
            </w:pPr>
            <w:r>
              <w:rPr>
                <w:rFonts w:ascii="宋体" w:hAnsi="宋体" w:eastAsia="宋体" w:cs="宋体"/>
                <w:spacing w:val="6"/>
                <w:sz w:val="20"/>
                <w:szCs w:val="20"/>
              </w:rPr>
              <w:t>禁入行</w:t>
            </w:r>
            <w:r>
              <w:rPr>
                <w:rFonts w:ascii="宋体" w:hAnsi="宋体" w:eastAsia="宋体" w:cs="宋体"/>
                <w:spacing w:val="1"/>
                <w:sz w:val="20"/>
                <w:szCs w:val="20"/>
              </w:rPr>
              <w:t>业</w:t>
            </w:r>
          </w:p>
        </w:tc>
        <w:tc>
          <w:tcPr>
            <w:tcW w:w="2691" w:type="dxa"/>
            <w:vAlign w:val="top"/>
          </w:tcPr>
          <w:p w14:paraId="7615EFCB">
            <w:pPr>
              <w:spacing w:before="234" w:line="378" w:lineRule="auto"/>
              <w:ind w:left="112" w:right="34" w:firstLine="9"/>
              <w:jc w:val="both"/>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1</w:t>
            </w:r>
            <w:r>
              <w:rPr>
                <w:rFonts w:ascii="宋体" w:hAnsi="宋体" w:eastAsia="宋体" w:cs="宋体"/>
                <w:spacing w:val="7"/>
                <w:sz w:val="20"/>
                <w:szCs w:val="20"/>
              </w:rPr>
              <w:t>）《产业结构调整指导</w:t>
            </w:r>
            <w:r>
              <w:rPr>
                <w:rFonts w:ascii="宋体" w:hAnsi="宋体" w:eastAsia="宋体" w:cs="宋体"/>
                <w:spacing w:val="1"/>
                <w:sz w:val="20"/>
                <w:szCs w:val="20"/>
              </w:rPr>
              <w:t>目录（</w:t>
            </w: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年本）》（或更</w:t>
            </w:r>
            <w:r>
              <w:rPr>
                <w:rFonts w:ascii="宋体" w:hAnsi="宋体" w:eastAsia="宋体" w:cs="宋体"/>
                <w:spacing w:val="-5"/>
                <w:sz w:val="20"/>
                <w:szCs w:val="20"/>
              </w:rPr>
              <w:t>新）中禁止、限制类的行业。</w:t>
            </w:r>
          </w:p>
        </w:tc>
        <w:tc>
          <w:tcPr>
            <w:tcW w:w="2791" w:type="dxa"/>
            <w:vAlign w:val="top"/>
          </w:tcPr>
          <w:p w14:paraId="790B628B">
            <w:pPr>
              <w:spacing w:before="31" w:line="363" w:lineRule="auto"/>
              <w:ind w:left="113" w:right="100"/>
              <w:jc w:val="both"/>
              <w:rPr>
                <w:rFonts w:ascii="宋体" w:hAnsi="宋体" w:eastAsia="宋体" w:cs="宋体"/>
                <w:sz w:val="20"/>
                <w:szCs w:val="20"/>
              </w:rPr>
            </w:pPr>
            <w:r>
              <w:rPr>
                <w:rFonts w:ascii="宋体" w:hAnsi="宋体" w:eastAsia="宋体" w:cs="宋体"/>
                <w:spacing w:val="14"/>
                <w:sz w:val="20"/>
                <w:szCs w:val="20"/>
              </w:rPr>
              <w:t>本项目为塑料筐生产项目，根据《产业结构调整指导目</w:t>
            </w:r>
            <w:r>
              <w:rPr>
                <w:rFonts w:ascii="宋体" w:hAnsi="宋体" w:eastAsia="宋体" w:cs="宋体"/>
                <w:spacing w:val="11"/>
                <w:sz w:val="20"/>
                <w:szCs w:val="20"/>
              </w:rPr>
              <w:t>录</w:t>
            </w:r>
            <w:r>
              <w:rPr>
                <w:rFonts w:ascii="Times New Roman" w:hAnsi="Times New Roman" w:eastAsia="Times New Roman" w:cs="Times New Roman"/>
                <w:spacing w:val="11"/>
                <w:sz w:val="20"/>
                <w:szCs w:val="20"/>
              </w:rPr>
              <w:t>(2024</w:t>
            </w:r>
            <w:r>
              <w:rPr>
                <w:rFonts w:ascii="Times New Roman" w:hAnsi="Times New Roman" w:eastAsia="Times New Roman" w:cs="Times New Roman"/>
                <w:spacing w:val="22"/>
                <w:w w:val="101"/>
                <w:sz w:val="20"/>
                <w:szCs w:val="20"/>
              </w:rPr>
              <w:t xml:space="preserve"> </w:t>
            </w:r>
            <w:r>
              <w:rPr>
                <w:rFonts w:ascii="宋体" w:hAnsi="宋体" w:eastAsia="宋体" w:cs="宋体"/>
                <w:spacing w:val="11"/>
                <w:sz w:val="20"/>
                <w:szCs w:val="20"/>
              </w:rPr>
              <w:t>年本</w:t>
            </w:r>
            <w:r>
              <w:rPr>
                <w:rFonts w:ascii="Times New Roman" w:hAnsi="Times New Roman" w:eastAsia="Times New Roman" w:cs="Times New Roman"/>
                <w:spacing w:val="11"/>
                <w:sz w:val="20"/>
                <w:szCs w:val="20"/>
              </w:rPr>
              <w:t>)</w:t>
            </w:r>
            <w:r>
              <w:rPr>
                <w:rFonts w:ascii="宋体" w:hAnsi="宋体" w:eastAsia="宋体" w:cs="宋体"/>
                <w:spacing w:val="11"/>
                <w:sz w:val="20"/>
                <w:szCs w:val="20"/>
              </w:rPr>
              <w:t>》项目不属于</w:t>
            </w:r>
            <w:r>
              <w:rPr>
                <w:rFonts w:ascii="宋体" w:hAnsi="宋体" w:eastAsia="宋体" w:cs="宋体"/>
                <w:spacing w:val="8"/>
                <w:sz w:val="20"/>
                <w:szCs w:val="20"/>
              </w:rPr>
              <w:t>限制类和淘汰类项目。</w:t>
            </w:r>
          </w:p>
        </w:tc>
        <w:tc>
          <w:tcPr>
            <w:tcW w:w="558" w:type="dxa"/>
            <w:textDirection w:val="tbRlV"/>
            <w:vAlign w:val="top"/>
          </w:tcPr>
          <w:p w14:paraId="0BB6D58E">
            <w:pPr>
              <w:spacing w:before="166" w:line="215" w:lineRule="auto"/>
              <w:ind w:left="440"/>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532AFDAD">
            <w:pPr>
              <w:rPr>
                <w:rFonts w:ascii="Arial"/>
                <w:sz w:val="21"/>
              </w:rPr>
            </w:pPr>
          </w:p>
        </w:tc>
      </w:tr>
      <w:tr w14:paraId="40BE2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3" w:hRule="atLeast"/>
        </w:trPr>
        <w:tc>
          <w:tcPr>
            <w:tcW w:w="1161" w:type="dxa"/>
            <w:vMerge w:val="continue"/>
            <w:tcBorders>
              <w:top w:val="nil"/>
              <w:left w:val="single" w:color="000000" w:sz="6" w:space="0"/>
              <w:bottom w:val="nil"/>
            </w:tcBorders>
            <w:vAlign w:val="top"/>
          </w:tcPr>
          <w:p w14:paraId="0440852A">
            <w:pPr>
              <w:rPr>
                <w:rFonts w:ascii="Arial"/>
                <w:sz w:val="21"/>
              </w:rPr>
            </w:pPr>
          </w:p>
        </w:tc>
        <w:tc>
          <w:tcPr>
            <w:tcW w:w="113" w:type="dxa"/>
            <w:tcBorders>
              <w:top w:val="nil"/>
              <w:bottom w:val="nil"/>
            </w:tcBorders>
            <w:vAlign w:val="top"/>
          </w:tcPr>
          <w:p w14:paraId="2C9D503A">
            <w:pPr>
              <w:rPr>
                <w:rFonts w:ascii="Arial"/>
                <w:sz w:val="21"/>
              </w:rPr>
            </w:pPr>
          </w:p>
        </w:tc>
        <w:tc>
          <w:tcPr>
            <w:tcW w:w="459" w:type="dxa"/>
            <w:vMerge w:val="continue"/>
            <w:tcBorders>
              <w:top w:val="nil"/>
              <w:bottom w:val="nil"/>
            </w:tcBorders>
            <w:textDirection w:val="tbRlV"/>
            <w:vAlign w:val="top"/>
          </w:tcPr>
          <w:p w14:paraId="500E39A0">
            <w:pPr>
              <w:rPr>
                <w:rFonts w:ascii="Arial"/>
                <w:sz w:val="21"/>
              </w:rPr>
            </w:pPr>
          </w:p>
        </w:tc>
        <w:tc>
          <w:tcPr>
            <w:tcW w:w="976" w:type="dxa"/>
            <w:vMerge w:val="continue"/>
            <w:tcBorders>
              <w:top w:val="nil"/>
              <w:bottom w:val="nil"/>
            </w:tcBorders>
            <w:vAlign w:val="top"/>
          </w:tcPr>
          <w:p w14:paraId="60FB551A">
            <w:pPr>
              <w:rPr>
                <w:rFonts w:ascii="Arial"/>
                <w:sz w:val="21"/>
              </w:rPr>
            </w:pPr>
          </w:p>
        </w:tc>
        <w:tc>
          <w:tcPr>
            <w:tcW w:w="2691" w:type="dxa"/>
            <w:vAlign w:val="top"/>
          </w:tcPr>
          <w:p w14:paraId="7E30339A">
            <w:pPr>
              <w:spacing w:before="56" w:line="359" w:lineRule="auto"/>
              <w:ind w:left="114" w:right="105" w:firstLine="7"/>
              <w:jc w:val="both"/>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2</w:t>
            </w:r>
            <w:r>
              <w:rPr>
                <w:rFonts w:ascii="宋体" w:hAnsi="宋体" w:eastAsia="宋体" w:cs="宋体"/>
                <w:spacing w:val="7"/>
                <w:sz w:val="20"/>
                <w:szCs w:val="20"/>
              </w:rPr>
              <w:t>）《外商投资产业指导</w:t>
            </w:r>
            <w:r>
              <w:rPr>
                <w:rFonts w:ascii="宋体" w:hAnsi="宋体" w:eastAsia="宋体" w:cs="宋体"/>
                <w:spacing w:val="1"/>
                <w:sz w:val="20"/>
                <w:szCs w:val="20"/>
              </w:rPr>
              <w:t>目录（</w:t>
            </w:r>
            <w:r>
              <w:rPr>
                <w:rFonts w:ascii="Times New Roman" w:hAnsi="Times New Roman" w:eastAsia="Times New Roman" w:cs="Times New Roman"/>
                <w:spacing w:val="1"/>
                <w:sz w:val="20"/>
                <w:szCs w:val="20"/>
              </w:rPr>
              <w:t xml:space="preserve">2017 </w:t>
            </w:r>
            <w:r>
              <w:rPr>
                <w:rFonts w:ascii="宋体" w:hAnsi="宋体" w:eastAsia="宋体" w:cs="宋体"/>
                <w:spacing w:val="1"/>
                <w:sz w:val="20"/>
                <w:szCs w:val="20"/>
              </w:rPr>
              <w:t>年修订）》（或</w:t>
            </w:r>
            <w:r>
              <w:rPr>
                <w:rFonts w:ascii="宋体" w:hAnsi="宋体" w:eastAsia="宋体" w:cs="宋体"/>
                <w:spacing w:val="7"/>
                <w:sz w:val="20"/>
                <w:szCs w:val="20"/>
              </w:rPr>
              <w:t>更新）中的禁止类。</w:t>
            </w:r>
          </w:p>
        </w:tc>
        <w:tc>
          <w:tcPr>
            <w:tcW w:w="2791" w:type="dxa"/>
            <w:vAlign w:val="top"/>
          </w:tcPr>
          <w:p w14:paraId="0AB84D2A">
            <w:pPr>
              <w:spacing w:before="56" w:line="359" w:lineRule="auto"/>
              <w:ind w:left="112" w:right="7" w:firstLine="1"/>
              <w:jc w:val="both"/>
              <w:rPr>
                <w:rFonts w:ascii="宋体" w:hAnsi="宋体" w:eastAsia="宋体" w:cs="宋体"/>
                <w:sz w:val="20"/>
                <w:szCs w:val="20"/>
              </w:rPr>
            </w:pPr>
            <w:r>
              <w:rPr>
                <w:rFonts w:ascii="宋体" w:hAnsi="宋体" w:eastAsia="宋体" w:cs="宋体"/>
                <w:spacing w:val="14"/>
                <w:sz w:val="20"/>
                <w:szCs w:val="20"/>
              </w:rPr>
              <w:t>本项目不属于《外商投资产</w:t>
            </w:r>
            <w:r>
              <w:rPr>
                <w:rFonts w:ascii="宋体" w:hAnsi="宋体" w:eastAsia="宋体" w:cs="宋体"/>
                <w:sz w:val="20"/>
                <w:szCs w:val="20"/>
              </w:rPr>
              <w:t>业指导目录（</w:t>
            </w:r>
            <w:r>
              <w:rPr>
                <w:rFonts w:ascii="Times New Roman" w:hAnsi="Times New Roman" w:eastAsia="Times New Roman" w:cs="Times New Roman"/>
                <w:sz w:val="20"/>
                <w:szCs w:val="20"/>
              </w:rPr>
              <w:t xml:space="preserve">2017 </w:t>
            </w:r>
            <w:r>
              <w:rPr>
                <w:rFonts w:ascii="宋体" w:hAnsi="宋体" w:eastAsia="宋体" w:cs="宋体"/>
                <w:sz w:val="20"/>
                <w:szCs w:val="20"/>
              </w:rPr>
              <w:t>年修订）》</w:t>
            </w:r>
            <w:r>
              <w:rPr>
                <w:rFonts w:ascii="宋体" w:hAnsi="宋体" w:eastAsia="宋体" w:cs="宋体"/>
                <w:spacing w:val="14"/>
                <w:sz w:val="20"/>
                <w:szCs w:val="20"/>
              </w:rPr>
              <w:t xml:space="preserve"> </w:t>
            </w:r>
            <w:r>
              <w:rPr>
                <w:rFonts w:ascii="宋体" w:hAnsi="宋体" w:eastAsia="宋体" w:cs="宋体"/>
                <w:spacing w:val="8"/>
                <w:sz w:val="20"/>
                <w:szCs w:val="20"/>
              </w:rPr>
              <w:t>（或更新）中的禁止类。</w:t>
            </w:r>
          </w:p>
        </w:tc>
        <w:tc>
          <w:tcPr>
            <w:tcW w:w="558" w:type="dxa"/>
            <w:textDirection w:val="tbRlV"/>
            <w:vAlign w:val="top"/>
          </w:tcPr>
          <w:p w14:paraId="4C724435">
            <w:pPr>
              <w:spacing w:before="166" w:line="215" w:lineRule="auto"/>
              <w:ind w:left="258"/>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07A6361A">
            <w:pPr>
              <w:rPr>
                <w:rFonts w:ascii="Arial"/>
                <w:sz w:val="21"/>
              </w:rPr>
            </w:pPr>
          </w:p>
        </w:tc>
      </w:tr>
      <w:tr w14:paraId="34DF7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1161" w:type="dxa"/>
            <w:vMerge w:val="continue"/>
            <w:tcBorders>
              <w:top w:val="nil"/>
              <w:left w:val="single" w:color="000000" w:sz="6" w:space="0"/>
              <w:bottom w:val="nil"/>
            </w:tcBorders>
            <w:vAlign w:val="top"/>
          </w:tcPr>
          <w:p w14:paraId="7D5F98DE">
            <w:pPr>
              <w:rPr>
                <w:rFonts w:ascii="Arial"/>
                <w:sz w:val="21"/>
              </w:rPr>
            </w:pPr>
          </w:p>
        </w:tc>
        <w:tc>
          <w:tcPr>
            <w:tcW w:w="113" w:type="dxa"/>
            <w:tcBorders>
              <w:top w:val="nil"/>
              <w:bottom w:val="nil"/>
            </w:tcBorders>
            <w:vAlign w:val="top"/>
          </w:tcPr>
          <w:p w14:paraId="18D7C1F8">
            <w:pPr>
              <w:rPr>
                <w:rFonts w:ascii="Arial"/>
                <w:sz w:val="21"/>
              </w:rPr>
            </w:pPr>
          </w:p>
        </w:tc>
        <w:tc>
          <w:tcPr>
            <w:tcW w:w="459" w:type="dxa"/>
            <w:vMerge w:val="continue"/>
            <w:tcBorders>
              <w:top w:val="nil"/>
              <w:bottom w:val="nil"/>
            </w:tcBorders>
            <w:textDirection w:val="tbRlV"/>
            <w:vAlign w:val="top"/>
          </w:tcPr>
          <w:p w14:paraId="5F39DE70">
            <w:pPr>
              <w:rPr>
                <w:rFonts w:ascii="Arial"/>
                <w:sz w:val="21"/>
              </w:rPr>
            </w:pPr>
          </w:p>
        </w:tc>
        <w:tc>
          <w:tcPr>
            <w:tcW w:w="976" w:type="dxa"/>
            <w:vMerge w:val="continue"/>
            <w:tcBorders>
              <w:top w:val="nil"/>
              <w:bottom w:val="nil"/>
            </w:tcBorders>
            <w:vAlign w:val="top"/>
          </w:tcPr>
          <w:p w14:paraId="073CEE99">
            <w:pPr>
              <w:rPr>
                <w:rFonts w:ascii="Arial"/>
                <w:sz w:val="21"/>
              </w:rPr>
            </w:pPr>
          </w:p>
        </w:tc>
        <w:tc>
          <w:tcPr>
            <w:tcW w:w="2691" w:type="dxa"/>
            <w:vAlign w:val="top"/>
          </w:tcPr>
          <w:p w14:paraId="64C63488">
            <w:pPr>
              <w:spacing w:before="256" w:line="378" w:lineRule="auto"/>
              <w:ind w:left="112" w:right="170" w:firstLine="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3</w:t>
            </w:r>
            <w:r>
              <w:rPr>
                <w:rFonts w:ascii="宋体" w:hAnsi="宋体" w:eastAsia="宋体" w:cs="宋体"/>
                <w:spacing w:val="7"/>
                <w:sz w:val="20"/>
                <w:szCs w:val="20"/>
              </w:rPr>
              <w:t>）严禁不符合要求的高风险高污染行业入驻。</w:t>
            </w:r>
          </w:p>
        </w:tc>
        <w:tc>
          <w:tcPr>
            <w:tcW w:w="2791" w:type="dxa"/>
            <w:vAlign w:val="top"/>
          </w:tcPr>
          <w:p w14:paraId="1ABBBCA3">
            <w:pPr>
              <w:spacing w:before="54" w:line="360" w:lineRule="auto"/>
              <w:ind w:left="114" w:right="102"/>
              <w:jc w:val="both"/>
              <w:rPr>
                <w:rFonts w:ascii="宋体" w:hAnsi="宋体" w:eastAsia="宋体" w:cs="宋体"/>
                <w:sz w:val="20"/>
                <w:szCs w:val="20"/>
              </w:rPr>
            </w:pPr>
            <w:r>
              <w:rPr>
                <w:rFonts w:ascii="宋体" w:hAnsi="宋体" w:eastAsia="宋体" w:cs="宋体"/>
                <w:spacing w:val="14"/>
                <w:sz w:val="20"/>
                <w:szCs w:val="20"/>
              </w:rPr>
              <w:t>本项目不属于《环境保护综</w:t>
            </w:r>
            <w:r>
              <w:rPr>
                <w:rFonts w:ascii="宋体" w:hAnsi="宋体" w:eastAsia="宋体" w:cs="宋体"/>
                <w:spacing w:val="10"/>
                <w:sz w:val="20"/>
                <w:szCs w:val="20"/>
              </w:rPr>
              <w:t>合名录》</w:t>
            </w:r>
            <w:r>
              <w:rPr>
                <w:rFonts w:ascii="宋体" w:hAnsi="宋体" w:eastAsia="宋体" w:cs="宋体"/>
                <w:spacing w:val="-52"/>
                <w:sz w:val="20"/>
                <w:szCs w:val="20"/>
              </w:rPr>
              <w:t xml:space="preserve"> </w:t>
            </w:r>
            <w:r>
              <w:rPr>
                <w:rFonts w:ascii="宋体" w:hAnsi="宋体" w:eastAsia="宋体" w:cs="宋体"/>
                <w:spacing w:val="10"/>
                <w:sz w:val="20"/>
                <w:szCs w:val="20"/>
              </w:rPr>
              <w:t>中高风险高污染类</w:t>
            </w:r>
            <w:r>
              <w:rPr>
                <w:rFonts w:ascii="宋体" w:hAnsi="宋体" w:eastAsia="宋体" w:cs="宋体"/>
                <w:spacing w:val="2"/>
                <w:sz w:val="20"/>
                <w:szCs w:val="20"/>
              </w:rPr>
              <w:t>行业。</w:t>
            </w:r>
          </w:p>
        </w:tc>
        <w:tc>
          <w:tcPr>
            <w:tcW w:w="558" w:type="dxa"/>
            <w:textDirection w:val="tbRlV"/>
            <w:vAlign w:val="top"/>
          </w:tcPr>
          <w:p w14:paraId="0F4251AD">
            <w:pPr>
              <w:spacing w:before="166" w:line="215" w:lineRule="auto"/>
              <w:ind w:left="256"/>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605132AA">
            <w:pPr>
              <w:rPr>
                <w:rFonts w:ascii="Arial"/>
                <w:sz w:val="21"/>
              </w:rPr>
            </w:pPr>
          </w:p>
        </w:tc>
      </w:tr>
      <w:tr w14:paraId="1B77A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5" w:hRule="atLeast"/>
        </w:trPr>
        <w:tc>
          <w:tcPr>
            <w:tcW w:w="1161" w:type="dxa"/>
            <w:vMerge w:val="continue"/>
            <w:tcBorders>
              <w:top w:val="nil"/>
              <w:left w:val="single" w:color="000000" w:sz="6" w:space="0"/>
              <w:bottom w:val="nil"/>
            </w:tcBorders>
            <w:vAlign w:val="top"/>
          </w:tcPr>
          <w:p w14:paraId="012C9D35">
            <w:pPr>
              <w:rPr>
                <w:rFonts w:ascii="Arial"/>
                <w:sz w:val="21"/>
              </w:rPr>
            </w:pPr>
          </w:p>
        </w:tc>
        <w:tc>
          <w:tcPr>
            <w:tcW w:w="113" w:type="dxa"/>
            <w:tcBorders>
              <w:top w:val="nil"/>
              <w:bottom w:val="nil"/>
            </w:tcBorders>
            <w:vAlign w:val="top"/>
          </w:tcPr>
          <w:p w14:paraId="220071EF">
            <w:pPr>
              <w:rPr>
                <w:rFonts w:ascii="Arial"/>
                <w:sz w:val="21"/>
              </w:rPr>
            </w:pPr>
          </w:p>
        </w:tc>
        <w:tc>
          <w:tcPr>
            <w:tcW w:w="459" w:type="dxa"/>
            <w:vMerge w:val="continue"/>
            <w:tcBorders>
              <w:top w:val="nil"/>
              <w:bottom w:val="nil"/>
            </w:tcBorders>
            <w:textDirection w:val="tbRlV"/>
            <w:vAlign w:val="top"/>
          </w:tcPr>
          <w:p w14:paraId="43B0E797">
            <w:pPr>
              <w:rPr>
                <w:rFonts w:ascii="Arial"/>
                <w:sz w:val="21"/>
              </w:rPr>
            </w:pPr>
          </w:p>
        </w:tc>
        <w:tc>
          <w:tcPr>
            <w:tcW w:w="976" w:type="dxa"/>
            <w:vMerge w:val="continue"/>
            <w:tcBorders>
              <w:top w:val="nil"/>
              <w:bottom w:val="nil"/>
            </w:tcBorders>
            <w:vAlign w:val="top"/>
          </w:tcPr>
          <w:p w14:paraId="7C299728">
            <w:pPr>
              <w:rPr>
                <w:rFonts w:ascii="Arial"/>
                <w:sz w:val="21"/>
              </w:rPr>
            </w:pPr>
          </w:p>
        </w:tc>
        <w:tc>
          <w:tcPr>
            <w:tcW w:w="2691" w:type="dxa"/>
            <w:vAlign w:val="top"/>
          </w:tcPr>
          <w:p w14:paraId="32875606">
            <w:pPr>
              <w:spacing w:before="50" w:line="370" w:lineRule="auto"/>
              <w:ind w:left="112" w:right="99" w:firstLine="9"/>
              <w:jc w:val="both"/>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4</w:t>
            </w:r>
            <w:r>
              <w:rPr>
                <w:rFonts w:ascii="宋体" w:hAnsi="宋体" w:eastAsia="宋体" w:cs="宋体"/>
                <w:spacing w:val="7"/>
                <w:sz w:val="20"/>
                <w:szCs w:val="20"/>
              </w:rPr>
              <w:t>）禁止引入其他不在园</w:t>
            </w:r>
            <w:r>
              <w:rPr>
                <w:rFonts w:ascii="宋体" w:hAnsi="宋体" w:eastAsia="宋体" w:cs="宋体"/>
                <w:spacing w:val="5"/>
                <w:sz w:val="20"/>
                <w:szCs w:val="20"/>
              </w:rPr>
              <w:t>区产业定位、不符合园区环</w:t>
            </w:r>
            <w:r>
              <w:rPr>
                <w:rFonts w:ascii="宋体" w:hAnsi="宋体" w:eastAsia="宋体" w:cs="宋体"/>
                <w:spacing w:val="6"/>
                <w:sz w:val="20"/>
                <w:szCs w:val="20"/>
              </w:rPr>
              <w:t>保要求项目，如造纸制浆、印染、染料、制革、炼焦、</w:t>
            </w:r>
            <w:r>
              <w:rPr>
                <w:rFonts w:ascii="宋体" w:hAnsi="宋体" w:eastAsia="宋体" w:cs="宋体"/>
                <w:spacing w:val="5"/>
                <w:sz w:val="20"/>
                <w:szCs w:val="20"/>
              </w:rPr>
              <w:t>炼硫、炼砷、炼油、有色金属等项目。</w:t>
            </w:r>
          </w:p>
        </w:tc>
        <w:tc>
          <w:tcPr>
            <w:tcW w:w="2791" w:type="dxa"/>
            <w:vAlign w:val="top"/>
          </w:tcPr>
          <w:p w14:paraId="1C91D563">
            <w:pPr>
              <w:spacing w:before="252" w:line="378" w:lineRule="auto"/>
              <w:ind w:left="112" w:right="102" w:firstLine="1"/>
              <w:rPr>
                <w:rFonts w:ascii="宋体" w:hAnsi="宋体" w:eastAsia="宋体" w:cs="宋体"/>
                <w:sz w:val="20"/>
                <w:szCs w:val="20"/>
              </w:rPr>
            </w:pPr>
            <w:r>
              <w:rPr>
                <w:rFonts w:ascii="宋体" w:hAnsi="宋体" w:eastAsia="宋体" w:cs="宋体"/>
                <w:spacing w:val="14"/>
                <w:sz w:val="20"/>
                <w:szCs w:val="20"/>
              </w:rPr>
              <w:t>本项目不属于造纸制浆、印染、染料、制革、炼焦、炼硫、炼砷、炼油、有色金属等其他不在园区产业定位、</w:t>
            </w:r>
            <w:r>
              <w:rPr>
                <w:rFonts w:ascii="宋体" w:hAnsi="宋体" w:eastAsia="宋体" w:cs="宋体"/>
                <w:spacing w:val="8"/>
                <w:sz w:val="20"/>
                <w:szCs w:val="20"/>
              </w:rPr>
              <w:t>不符合园区环保要求项目；</w:t>
            </w:r>
          </w:p>
        </w:tc>
        <w:tc>
          <w:tcPr>
            <w:tcW w:w="558" w:type="dxa"/>
            <w:textDirection w:val="tbRlV"/>
            <w:vAlign w:val="top"/>
          </w:tcPr>
          <w:p w14:paraId="3E5248C7">
            <w:pPr>
              <w:spacing w:before="166" w:line="215" w:lineRule="auto"/>
              <w:ind w:left="865"/>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7D46AB1E">
            <w:pPr>
              <w:rPr>
                <w:rFonts w:ascii="Arial"/>
                <w:sz w:val="21"/>
              </w:rPr>
            </w:pPr>
          </w:p>
        </w:tc>
      </w:tr>
      <w:tr w14:paraId="2DC98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8" w:hRule="atLeast"/>
        </w:trPr>
        <w:tc>
          <w:tcPr>
            <w:tcW w:w="1161" w:type="dxa"/>
            <w:vMerge w:val="continue"/>
            <w:tcBorders>
              <w:top w:val="nil"/>
              <w:left w:val="single" w:color="000000" w:sz="6" w:space="0"/>
              <w:bottom w:val="nil"/>
            </w:tcBorders>
            <w:vAlign w:val="top"/>
          </w:tcPr>
          <w:p w14:paraId="696CFA08">
            <w:pPr>
              <w:rPr>
                <w:rFonts w:ascii="Arial"/>
                <w:sz w:val="21"/>
              </w:rPr>
            </w:pPr>
          </w:p>
        </w:tc>
        <w:tc>
          <w:tcPr>
            <w:tcW w:w="113" w:type="dxa"/>
            <w:tcBorders>
              <w:top w:val="nil"/>
              <w:bottom w:val="nil"/>
            </w:tcBorders>
            <w:vAlign w:val="top"/>
          </w:tcPr>
          <w:p w14:paraId="3F2A4E63">
            <w:pPr>
              <w:rPr>
                <w:rFonts w:ascii="Arial"/>
                <w:sz w:val="21"/>
              </w:rPr>
            </w:pPr>
          </w:p>
        </w:tc>
        <w:tc>
          <w:tcPr>
            <w:tcW w:w="459" w:type="dxa"/>
            <w:vMerge w:val="continue"/>
            <w:tcBorders>
              <w:top w:val="nil"/>
              <w:bottom w:val="nil"/>
            </w:tcBorders>
            <w:textDirection w:val="tbRlV"/>
            <w:vAlign w:val="top"/>
          </w:tcPr>
          <w:p w14:paraId="11DE4990">
            <w:pPr>
              <w:rPr>
                <w:rFonts w:ascii="Arial"/>
                <w:sz w:val="21"/>
              </w:rPr>
            </w:pPr>
          </w:p>
        </w:tc>
        <w:tc>
          <w:tcPr>
            <w:tcW w:w="976" w:type="dxa"/>
            <w:vMerge w:val="continue"/>
            <w:tcBorders>
              <w:top w:val="nil"/>
              <w:bottom w:val="nil"/>
            </w:tcBorders>
            <w:vAlign w:val="top"/>
          </w:tcPr>
          <w:p w14:paraId="75683BA9">
            <w:pPr>
              <w:rPr>
                <w:rFonts w:ascii="Arial"/>
                <w:sz w:val="21"/>
              </w:rPr>
            </w:pPr>
          </w:p>
        </w:tc>
        <w:tc>
          <w:tcPr>
            <w:tcW w:w="2691" w:type="dxa"/>
            <w:vAlign w:val="top"/>
          </w:tcPr>
          <w:p w14:paraId="0A85D799">
            <w:pPr>
              <w:spacing w:before="244" w:line="378" w:lineRule="auto"/>
              <w:ind w:left="110" w:right="34" w:firstLine="10"/>
              <w:jc w:val="both"/>
              <w:rPr>
                <w:rFonts w:ascii="宋体" w:hAnsi="宋体" w:eastAsia="宋体" w:cs="宋体"/>
                <w:sz w:val="20"/>
                <w:szCs w:val="20"/>
              </w:rPr>
            </w:pPr>
            <w:r>
              <w:rPr>
                <w:rFonts w:ascii="宋体" w:hAnsi="宋体" w:eastAsia="宋体" w:cs="宋体"/>
                <w:spacing w:val="2"/>
                <w:sz w:val="20"/>
                <w:szCs w:val="20"/>
              </w:rPr>
              <w:t>（</w:t>
            </w:r>
            <w:r>
              <w:rPr>
                <w:rFonts w:ascii="Times New Roman" w:hAnsi="Times New Roman" w:eastAsia="Times New Roman" w:cs="Times New Roman"/>
                <w:spacing w:val="2"/>
                <w:sz w:val="20"/>
                <w:szCs w:val="20"/>
              </w:rPr>
              <w:t>5</w:t>
            </w:r>
            <w:r>
              <w:rPr>
                <w:rFonts w:ascii="宋体" w:hAnsi="宋体" w:eastAsia="宋体" w:cs="宋体"/>
                <w:spacing w:val="2"/>
                <w:sz w:val="20"/>
                <w:szCs w:val="20"/>
              </w:rPr>
              <w:t>）污水成分复杂或废水、</w:t>
            </w:r>
            <w:r>
              <w:rPr>
                <w:rFonts w:ascii="宋体" w:hAnsi="宋体" w:eastAsia="宋体" w:cs="宋体"/>
                <w:spacing w:val="24"/>
                <w:sz w:val="20"/>
                <w:szCs w:val="20"/>
              </w:rPr>
              <w:t>废液按现有技术无法妥善</w:t>
            </w:r>
            <w:r>
              <w:rPr>
                <w:rFonts w:ascii="宋体" w:hAnsi="宋体" w:eastAsia="宋体" w:cs="宋体"/>
                <w:spacing w:val="6"/>
                <w:sz w:val="20"/>
                <w:szCs w:val="20"/>
              </w:rPr>
              <w:t>处置的产业。</w:t>
            </w:r>
          </w:p>
        </w:tc>
        <w:tc>
          <w:tcPr>
            <w:tcW w:w="2791" w:type="dxa"/>
            <w:vAlign w:val="top"/>
          </w:tcPr>
          <w:p w14:paraId="76A93314">
            <w:pPr>
              <w:spacing w:before="41" w:line="227" w:lineRule="auto"/>
              <w:ind w:left="145"/>
              <w:rPr>
                <w:rFonts w:ascii="宋体" w:hAnsi="宋体" w:eastAsia="宋体" w:cs="宋体"/>
                <w:sz w:val="20"/>
                <w:szCs w:val="20"/>
              </w:rPr>
            </w:pPr>
            <w:r>
              <w:rPr>
                <w:rFonts w:ascii="宋体" w:hAnsi="宋体" w:eastAsia="宋体" w:cs="宋体"/>
                <w:spacing w:val="9"/>
                <w:sz w:val="20"/>
                <w:szCs w:val="20"/>
              </w:rPr>
              <w:t>本项目无废水产生，生活污</w:t>
            </w:r>
          </w:p>
          <w:p w14:paraId="58DC0579">
            <w:pPr>
              <w:spacing w:before="161" w:line="228" w:lineRule="auto"/>
              <w:ind w:left="192"/>
              <w:rPr>
                <w:rFonts w:ascii="宋体" w:hAnsi="宋体" w:eastAsia="宋体" w:cs="宋体"/>
                <w:sz w:val="20"/>
                <w:szCs w:val="20"/>
              </w:rPr>
            </w:pPr>
            <w:r>
              <w:rPr>
                <w:rFonts w:ascii="宋体" w:hAnsi="宋体" w:eastAsia="宋体" w:cs="宋体"/>
                <w:spacing w:val="8"/>
                <w:sz w:val="20"/>
                <w:szCs w:val="20"/>
              </w:rPr>
              <w:t>水经化粪池</w:t>
            </w:r>
            <w:r>
              <w:rPr>
                <w:rFonts w:ascii="Times New Roman" w:hAnsi="Times New Roman" w:eastAsia="Times New Roman" w:cs="Times New Roman"/>
                <w:spacing w:val="8"/>
                <w:sz w:val="20"/>
                <w:szCs w:val="20"/>
              </w:rPr>
              <w:t>+</w:t>
            </w:r>
            <w:r>
              <w:rPr>
                <w:rFonts w:ascii="宋体" w:hAnsi="宋体" w:eastAsia="宋体" w:cs="宋体"/>
                <w:spacing w:val="8"/>
                <w:sz w:val="20"/>
                <w:szCs w:val="20"/>
              </w:rPr>
              <w:t>一体化污水处</w:t>
            </w:r>
          </w:p>
          <w:p w14:paraId="7E143C29">
            <w:pPr>
              <w:spacing w:before="161" w:line="228" w:lineRule="auto"/>
              <w:ind w:left="147"/>
              <w:rPr>
                <w:rFonts w:ascii="宋体" w:hAnsi="宋体" w:eastAsia="宋体" w:cs="宋体"/>
                <w:sz w:val="20"/>
                <w:szCs w:val="20"/>
              </w:rPr>
            </w:pPr>
            <w:r>
              <w:rPr>
                <w:rFonts w:ascii="宋体" w:hAnsi="宋体" w:eastAsia="宋体" w:cs="宋体"/>
                <w:spacing w:val="8"/>
                <w:sz w:val="20"/>
                <w:szCs w:val="20"/>
              </w:rPr>
              <w:t>理设备处理后回用于绿化，</w:t>
            </w:r>
          </w:p>
          <w:p w14:paraId="17CBA813">
            <w:pPr>
              <w:spacing w:before="160" w:line="228" w:lineRule="auto"/>
              <w:ind w:left="567"/>
              <w:rPr>
                <w:rFonts w:ascii="宋体" w:hAnsi="宋体" w:eastAsia="宋体" w:cs="宋体"/>
                <w:sz w:val="20"/>
                <w:szCs w:val="20"/>
              </w:rPr>
            </w:pPr>
            <w:r>
              <w:rPr>
                <w:rFonts w:ascii="宋体" w:hAnsi="宋体" w:eastAsia="宋体" w:cs="宋体"/>
                <w:spacing w:val="7"/>
                <w:sz w:val="20"/>
                <w:szCs w:val="20"/>
              </w:rPr>
              <w:t>厂区无废水排放。</w:t>
            </w:r>
          </w:p>
        </w:tc>
        <w:tc>
          <w:tcPr>
            <w:tcW w:w="558" w:type="dxa"/>
            <w:textDirection w:val="tbRlV"/>
            <w:vAlign w:val="top"/>
          </w:tcPr>
          <w:p w14:paraId="7E424FFE">
            <w:pPr>
              <w:spacing w:before="166" w:line="215" w:lineRule="auto"/>
              <w:ind w:left="450"/>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1FFF93F7">
            <w:pPr>
              <w:rPr>
                <w:rFonts w:ascii="Arial"/>
                <w:sz w:val="21"/>
              </w:rPr>
            </w:pPr>
          </w:p>
        </w:tc>
      </w:tr>
      <w:tr w14:paraId="10517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5" w:hRule="atLeast"/>
        </w:trPr>
        <w:tc>
          <w:tcPr>
            <w:tcW w:w="1161" w:type="dxa"/>
            <w:vMerge w:val="continue"/>
            <w:tcBorders>
              <w:top w:val="nil"/>
              <w:left w:val="single" w:color="000000" w:sz="6" w:space="0"/>
              <w:bottom w:val="nil"/>
            </w:tcBorders>
            <w:vAlign w:val="top"/>
          </w:tcPr>
          <w:p w14:paraId="07B3C23F">
            <w:pPr>
              <w:rPr>
                <w:rFonts w:ascii="Arial"/>
                <w:sz w:val="21"/>
              </w:rPr>
            </w:pPr>
          </w:p>
        </w:tc>
        <w:tc>
          <w:tcPr>
            <w:tcW w:w="113" w:type="dxa"/>
            <w:tcBorders>
              <w:top w:val="nil"/>
              <w:bottom w:val="nil"/>
            </w:tcBorders>
            <w:vAlign w:val="top"/>
          </w:tcPr>
          <w:p w14:paraId="7A2F8870">
            <w:pPr>
              <w:rPr>
                <w:rFonts w:ascii="Arial"/>
                <w:sz w:val="21"/>
              </w:rPr>
            </w:pPr>
          </w:p>
        </w:tc>
        <w:tc>
          <w:tcPr>
            <w:tcW w:w="459" w:type="dxa"/>
            <w:vMerge w:val="continue"/>
            <w:tcBorders>
              <w:top w:val="nil"/>
              <w:bottom w:val="nil"/>
            </w:tcBorders>
            <w:textDirection w:val="tbRlV"/>
            <w:vAlign w:val="top"/>
          </w:tcPr>
          <w:p w14:paraId="3C1FA52E">
            <w:pPr>
              <w:rPr>
                <w:rFonts w:ascii="Arial"/>
                <w:sz w:val="21"/>
              </w:rPr>
            </w:pPr>
          </w:p>
        </w:tc>
        <w:tc>
          <w:tcPr>
            <w:tcW w:w="976" w:type="dxa"/>
            <w:vMerge w:val="continue"/>
            <w:tcBorders>
              <w:top w:val="nil"/>
              <w:bottom w:val="nil"/>
            </w:tcBorders>
            <w:vAlign w:val="top"/>
          </w:tcPr>
          <w:p w14:paraId="56494E1E">
            <w:pPr>
              <w:rPr>
                <w:rFonts w:ascii="Arial"/>
                <w:sz w:val="21"/>
              </w:rPr>
            </w:pPr>
          </w:p>
        </w:tc>
        <w:tc>
          <w:tcPr>
            <w:tcW w:w="2691" w:type="dxa"/>
            <w:vAlign w:val="top"/>
          </w:tcPr>
          <w:p w14:paraId="57654C47">
            <w:pPr>
              <w:spacing w:before="63" w:line="368" w:lineRule="auto"/>
              <w:ind w:left="110" w:right="50" w:firstLine="11"/>
              <w:rPr>
                <w:rFonts w:ascii="宋体" w:hAnsi="宋体" w:eastAsia="宋体" w:cs="宋体"/>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6</w:t>
            </w:r>
            <w:r>
              <w:rPr>
                <w:rFonts w:ascii="宋体" w:hAnsi="宋体" w:eastAsia="宋体" w:cs="宋体"/>
                <w:spacing w:val="1"/>
                <w:sz w:val="20"/>
                <w:szCs w:val="20"/>
              </w:rPr>
              <w:t>）物耗、能耗相对较高，</w:t>
            </w:r>
            <w:r>
              <w:rPr>
                <w:rFonts w:ascii="宋体" w:hAnsi="宋体" w:eastAsia="宋体" w:cs="宋体"/>
                <w:spacing w:val="10"/>
                <w:sz w:val="20"/>
                <w:szCs w:val="20"/>
              </w:rPr>
              <w:t>产生的大气污染类型复杂、</w:t>
            </w:r>
            <w:r>
              <w:rPr>
                <w:rFonts w:ascii="宋体" w:hAnsi="宋体" w:eastAsia="宋体" w:cs="宋体"/>
                <w:spacing w:val="5"/>
                <w:sz w:val="20"/>
                <w:szCs w:val="20"/>
              </w:rPr>
              <w:t>环境风险较大的产业、项目或工艺；且产生的大气污染</w:t>
            </w:r>
            <w:r>
              <w:rPr>
                <w:rFonts w:ascii="宋体" w:hAnsi="宋体" w:eastAsia="宋体" w:cs="宋体"/>
                <w:spacing w:val="9"/>
                <w:sz w:val="20"/>
                <w:szCs w:val="20"/>
              </w:rPr>
              <w:t>物无法自身治理或妥善处</w:t>
            </w:r>
            <w:r>
              <w:rPr>
                <w:rFonts w:ascii="宋体" w:hAnsi="宋体" w:eastAsia="宋体" w:cs="宋体"/>
                <w:sz w:val="20"/>
                <w:szCs w:val="20"/>
              </w:rPr>
              <w:t xml:space="preserve"> </w:t>
            </w:r>
            <w:r>
              <w:rPr>
                <w:rFonts w:ascii="宋体" w:hAnsi="宋体" w:eastAsia="宋体" w:cs="宋体"/>
                <w:spacing w:val="8"/>
                <w:sz w:val="20"/>
                <w:szCs w:val="20"/>
              </w:rPr>
              <w:t>置或处理成本较高的产生。</w:t>
            </w:r>
          </w:p>
        </w:tc>
        <w:tc>
          <w:tcPr>
            <w:tcW w:w="2791" w:type="dxa"/>
            <w:vAlign w:val="top"/>
          </w:tcPr>
          <w:p w14:paraId="4A805620">
            <w:pPr>
              <w:spacing w:before="63" w:line="368" w:lineRule="auto"/>
              <w:ind w:left="113" w:right="45"/>
              <w:jc w:val="both"/>
              <w:rPr>
                <w:rFonts w:ascii="宋体" w:hAnsi="宋体" w:eastAsia="宋体" w:cs="宋体"/>
                <w:sz w:val="20"/>
                <w:szCs w:val="20"/>
              </w:rPr>
            </w:pPr>
            <w:r>
              <w:rPr>
                <w:rFonts w:ascii="宋体" w:hAnsi="宋体" w:eastAsia="宋体" w:cs="宋体"/>
                <w:spacing w:val="1"/>
                <w:sz w:val="20"/>
                <w:szCs w:val="20"/>
              </w:rPr>
              <w:t>本项目物耗、能耗相对较低，</w:t>
            </w:r>
            <w:r>
              <w:rPr>
                <w:rFonts w:ascii="宋体" w:hAnsi="宋体" w:eastAsia="宋体" w:cs="宋体"/>
                <w:spacing w:val="14"/>
                <w:sz w:val="20"/>
                <w:szCs w:val="20"/>
              </w:rPr>
              <w:t>产生的大气污染类型主要为非甲烷总烃、颗粒物，大气污染物经采取措施治理后达标排放，处理成本一般；环</w:t>
            </w:r>
            <w:r>
              <w:rPr>
                <w:rFonts w:ascii="宋体" w:hAnsi="宋体" w:eastAsia="宋体" w:cs="宋体"/>
                <w:spacing w:val="8"/>
                <w:sz w:val="20"/>
                <w:szCs w:val="20"/>
              </w:rPr>
              <w:t>境风险为一般环境风险。</w:t>
            </w:r>
          </w:p>
        </w:tc>
        <w:tc>
          <w:tcPr>
            <w:tcW w:w="558" w:type="dxa"/>
            <w:textDirection w:val="tbRlV"/>
            <w:vAlign w:val="top"/>
          </w:tcPr>
          <w:p w14:paraId="2DEC3372">
            <w:pPr>
              <w:spacing w:before="166" w:line="215" w:lineRule="auto"/>
              <w:ind w:left="879"/>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08BA60B5">
            <w:pPr>
              <w:rPr>
                <w:rFonts w:ascii="Arial"/>
                <w:sz w:val="21"/>
              </w:rPr>
            </w:pPr>
          </w:p>
        </w:tc>
      </w:tr>
      <w:tr w14:paraId="1EAAE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1161" w:type="dxa"/>
            <w:vMerge w:val="continue"/>
            <w:tcBorders>
              <w:top w:val="nil"/>
              <w:left w:val="single" w:color="000000" w:sz="6" w:space="0"/>
              <w:bottom w:val="nil"/>
            </w:tcBorders>
            <w:vAlign w:val="top"/>
          </w:tcPr>
          <w:p w14:paraId="2CBD5A2B">
            <w:pPr>
              <w:rPr>
                <w:rFonts w:ascii="Arial"/>
                <w:sz w:val="21"/>
              </w:rPr>
            </w:pPr>
          </w:p>
        </w:tc>
        <w:tc>
          <w:tcPr>
            <w:tcW w:w="113" w:type="dxa"/>
            <w:tcBorders>
              <w:top w:val="nil"/>
              <w:bottom w:val="nil"/>
            </w:tcBorders>
            <w:vAlign w:val="top"/>
          </w:tcPr>
          <w:p w14:paraId="0A60E0E8">
            <w:pPr>
              <w:rPr>
                <w:rFonts w:ascii="Arial"/>
                <w:sz w:val="21"/>
              </w:rPr>
            </w:pPr>
          </w:p>
        </w:tc>
        <w:tc>
          <w:tcPr>
            <w:tcW w:w="459" w:type="dxa"/>
            <w:vMerge w:val="continue"/>
            <w:tcBorders>
              <w:top w:val="nil"/>
              <w:bottom w:val="nil"/>
            </w:tcBorders>
            <w:textDirection w:val="tbRlV"/>
            <w:vAlign w:val="top"/>
          </w:tcPr>
          <w:p w14:paraId="11434594">
            <w:pPr>
              <w:rPr>
                <w:rFonts w:ascii="Arial"/>
                <w:sz w:val="21"/>
              </w:rPr>
            </w:pPr>
          </w:p>
        </w:tc>
        <w:tc>
          <w:tcPr>
            <w:tcW w:w="976" w:type="dxa"/>
            <w:vMerge w:val="continue"/>
            <w:tcBorders>
              <w:top w:val="nil"/>
              <w:bottom w:val="nil"/>
            </w:tcBorders>
            <w:vAlign w:val="top"/>
          </w:tcPr>
          <w:p w14:paraId="00D0D8B5">
            <w:pPr>
              <w:rPr>
                <w:rFonts w:ascii="Arial"/>
                <w:sz w:val="21"/>
              </w:rPr>
            </w:pPr>
          </w:p>
        </w:tc>
        <w:tc>
          <w:tcPr>
            <w:tcW w:w="2691" w:type="dxa"/>
            <w:vAlign w:val="top"/>
          </w:tcPr>
          <w:p w14:paraId="2248B374">
            <w:pPr>
              <w:spacing w:before="52" w:line="365" w:lineRule="auto"/>
              <w:ind w:left="112" w:right="105" w:firstLine="9"/>
              <w:jc w:val="both"/>
              <w:rPr>
                <w:rFonts w:ascii="宋体" w:hAnsi="宋体" w:eastAsia="宋体" w:cs="宋体"/>
                <w:sz w:val="20"/>
                <w:szCs w:val="20"/>
              </w:rPr>
            </w:pPr>
            <w:r>
              <w:rPr>
                <w:rFonts w:ascii="宋体" w:hAnsi="宋体" w:eastAsia="宋体" w:cs="宋体"/>
                <w:spacing w:val="10"/>
                <w:sz w:val="20"/>
                <w:szCs w:val="20"/>
              </w:rPr>
              <w:t>（</w:t>
            </w:r>
            <w:r>
              <w:rPr>
                <w:rFonts w:ascii="Times New Roman" w:hAnsi="Times New Roman" w:eastAsia="Times New Roman" w:cs="Times New Roman"/>
                <w:spacing w:val="10"/>
                <w:sz w:val="20"/>
                <w:szCs w:val="20"/>
              </w:rPr>
              <w:t>7</w:t>
            </w:r>
            <w:r>
              <w:rPr>
                <w:rFonts w:ascii="宋体" w:hAnsi="宋体" w:eastAsia="宋体" w:cs="宋体"/>
                <w:spacing w:val="10"/>
                <w:sz w:val="20"/>
                <w:szCs w:val="20"/>
              </w:rPr>
              <w:t>）不能严格按</w:t>
            </w:r>
            <w:r>
              <w:rPr>
                <w:rFonts w:ascii="Times New Roman" w:hAnsi="Times New Roman" w:eastAsia="Times New Roman" w:cs="Times New Roman"/>
                <w:spacing w:val="10"/>
                <w:sz w:val="20"/>
                <w:szCs w:val="20"/>
              </w:rPr>
              <w:t>“</w:t>
            </w:r>
            <w:r>
              <w:rPr>
                <w:rFonts w:ascii="宋体" w:hAnsi="宋体" w:eastAsia="宋体" w:cs="宋体"/>
                <w:spacing w:val="10"/>
                <w:sz w:val="20"/>
                <w:szCs w:val="20"/>
              </w:rPr>
              <w:t>三同时</w:t>
            </w:r>
            <w:r>
              <w:rPr>
                <w:rFonts w:ascii="Times New Roman" w:hAnsi="Times New Roman" w:eastAsia="Times New Roman" w:cs="Times New Roman"/>
                <w:spacing w:val="10"/>
                <w:sz w:val="20"/>
                <w:szCs w:val="20"/>
              </w:rPr>
              <w:t>”</w:t>
            </w:r>
            <w:r>
              <w:rPr>
                <w:rFonts w:ascii="宋体" w:hAnsi="宋体" w:eastAsia="宋体" w:cs="宋体"/>
                <w:spacing w:val="5"/>
                <w:sz w:val="20"/>
                <w:szCs w:val="20"/>
              </w:rPr>
              <w:t>要求建厂的企业，无法满足卫生防护距离、大气环境防</w:t>
            </w:r>
            <w:r>
              <w:rPr>
                <w:rFonts w:ascii="宋体" w:hAnsi="宋体" w:eastAsia="宋体" w:cs="宋体"/>
                <w:spacing w:val="6"/>
                <w:sz w:val="20"/>
                <w:szCs w:val="20"/>
              </w:rPr>
              <w:t>护距离的企业。</w:t>
            </w:r>
          </w:p>
        </w:tc>
        <w:tc>
          <w:tcPr>
            <w:tcW w:w="2791" w:type="dxa"/>
            <w:vAlign w:val="top"/>
          </w:tcPr>
          <w:p w14:paraId="6AE7D691">
            <w:pPr>
              <w:spacing w:before="52" w:line="365" w:lineRule="auto"/>
              <w:ind w:left="67" w:right="100" w:firstLine="46"/>
              <w:jc w:val="both"/>
              <w:rPr>
                <w:rFonts w:ascii="宋体" w:hAnsi="宋体" w:eastAsia="宋体" w:cs="宋体"/>
                <w:sz w:val="20"/>
                <w:szCs w:val="20"/>
              </w:rPr>
            </w:pPr>
            <w:r>
              <w:rPr>
                <w:rFonts w:ascii="宋体" w:hAnsi="宋体" w:eastAsia="宋体" w:cs="宋体"/>
                <w:spacing w:val="14"/>
                <w:sz w:val="20"/>
                <w:szCs w:val="20"/>
              </w:rPr>
              <w:t>本项目为新建项目，严格按</w:t>
            </w:r>
            <w:r>
              <w:rPr>
                <w:rFonts w:ascii="Times New Roman" w:hAnsi="Times New Roman" w:eastAsia="Times New Roman" w:cs="Times New Roman"/>
                <w:spacing w:val="15"/>
                <w:sz w:val="20"/>
                <w:szCs w:val="20"/>
              </w:rPr>
              <w:t>“</w:t>
            </w:r>
            <w:r>
              <w:rPr>
                <w:rFonts w:ascii="Times New Roman" w:hAnsi="Times New Roman" w:eastAsia="Times New Roman" w:cs="Times New Roman"/>
                <w:spacing w:val="-24"/>
                <w:sz w:val="20"/>
                <w:szCs w:val="20"/>
              </w:rPr>
              <w:t xml:space="preserve"> </w:t>
            </w:r>
            <w:r>
              <w:rPr>
                <w:rFonts w:ascii="宋体" w:hAnsi="宋体" w:eastAsia="宋体" w:cs="宋体"/>
                <w:spacing w:val="15"/>
                <w:sz w:val="20"/>
                <w:szCs w:val="20"/>
              </w:rPr>
              <w:t>三同时</w:t>
            </w:r>
            <w:r>
              <w:rPr>
                <w:rFonts w:ascii="Times New Roman" w:hAnsi="Times New Roman" w:eastAsia="Times New Roman" w:cs="Times New Roman"/>
                <w:spacing w:val="15"/>
                <w:sz w:val="20"/>
                <w:szCs w:val="20"/>
              </w:rPr>
              <w:t>”</w:t>
            </w:r>
            <w:r>
              <w:rPr>
                <w:rFonts w:ascii="Times New Roman" w:hAnsi="Times New Roman" w:eastAsia="Times New Roman" w:cs="Times New Roman"/>
                <w:spacing w:val="-32"/>
                <w:sz w:val="20"/>
                <w:szCs w:val="20"/>
              </w:rPr>
              <w:t xml:space="preserve"> </w:t>
            </w:r>
            <w:r>
              <w:rPr>
                <w:rFonts w:ascii="宋体" w:hAnsi="宋体" w:eastAsia="宋体" w:cs="宋体"/>
                <w:spacing w:val="15"/>
                <w:sz w:val="20"/>
                <w:szCs w:val="20"/>
              </w:rPr>
              <w:t>要求进行建设，项</w:t>
            </w:r>
            <w:r>
              <w:rPr>
                <w:rFonts w:ascii="宋体" w:hAnsi="宋体" w:eastAsia="宋体" w:cs="宋体"/>
                <w:spacing w:val="18"/>
                <w:sz w:val="20"/>
                <w:szCs w:val="20"/>
              </w:rPr>
              <w:t>目不设置卫生防护距离、大</w:t>
            </w:r>
            <w:r>
              <w:rPr>
                <w:rFonts w:ascii="宋体" w:hAnsi="宋体" w:eastAsia="宋体" w:cs="宋体"/>
                <w:spacing w:val="14"/>
                <w:sz w:val="20"/>
                <w:szCs w:val="20"/>
              </w:rPr>
              <w:t>气防护距离。</w:t>
            </w:r>
          </w:p>
        </w:tc>
        <w:tc>
          <w:tcPr>
            <w:tcW w:w="558" w:type="dxa"/>
            <w:textDirection w:val="tbRlV"/>
            <w:vAlign w:val="top"/>
          </w:tcPr>
          <w:p w14:paraId="05B2A7B1">
            <w:pPr>
              <w:spacing w:before="166" w:line="215" w:lineRule="auto"/>
              <w:ind w:left="461"/>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53050F56">
            <w:pPr>
              <w:rPr>
                <w:rFonts w:ascii="Arial"/>
                <w:sz w:val="21"/>
              </w:rPr>
            </w:pPr>
          </w:p>
        </w:tc>
      </w:tr>
      <w:tr w14:paraId="56DDF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161" w:type="dxa"/>
            <w:vMerge w:val="continue"/>
            <w:tcBorders>
              <w:top w:val="nil"/>
              <w:left w:val="single" w:color="000000" w:sz="6" w:space="0"/>
              <w:bottom w:val="single" w:color="000000" w:sz="6" w:space="0"/>
            </w:tcBorders>
            <w:vAlign w:val="top"/>
          </w:tcPr>
          <w:p w14:paraId="2A2327BA">
            <w:pPr>
              <w:rPr>
                <w:rFonts w:ascii="Arial"/>
                <w:sz w:val="21"/>
              </w:rPr>
            </w:pPr>
          </w:p>
        </w:tc>
        <w:tc>
          <w:tcPr>
            <w:tcW w:w="113" w:type="dxa"/>
            <w:tcBorders>
              <w:top w:val="nil"/>
              <w:bottom w:val="single" w:color="000000" w:sz="6" w:space="0"/>
            </w:tcBorders>
            <w:vAlign w:val="top"/>
          </w:tcPr>
          <w:p w14:paraId="274357A6">
            <w:pPr>
              <w:rPr>
                <w:rFonts w:ascii="Arial"/>
                <w:sz w:val="21"/>
              </w:rPr>
            </w:pPr>
          </w:p>
        </w:tc>
        <w:tc>
          <w:tcPr>
            <w:tcW w:w="459" w:type="dxa"/>
            <w:vMerge w:val="continue"/>
            <w:tcBorders>
              <w:top w:val="nil"/>
            </w:tcBorders>
            <w:textDirection w:val="tbRlV"/>
            <w:vAlign w:val="top"/>
          </w:tcPr>
          <w:p w14:paraId="1489AD1E">
            <w:pPr>
              <w:rPr>
                <w:rFonts w:ascii="Arial"/>
                <w:sz w:val="21"/>
              </w:rPr>
            </w:pPr>
          </w:p>
        </w:tc>
        <w:tc>
          <w:tcPr>
            <w:tcW w:w="976" w:type="dxa"/>
            <w:vMerge w:val="continue"/>
            <w:tcBorders>
              <w:top w:val="nil"/>
            </w:tcBorders>
            <w:vAlign w:val="top"/>
          </w:tcPr>
          <w:p w14:paraId="0F083BDB">
            <w:pPr>
              <w:rPr>
                <w:rFonts w:ascii="Arial"/>
                <w:sz w:val="21"/>
              </w:rPr>
            </w:pPr>
          </w:p>
        </w:tc>
        <w:tc>
          <w:tcPr>
            <w:tcW w:w="2691" w:type="dxa"/>
            <w:vAlign w:val="top"/>
          </w:tcPr>
          <w:p w14:paraId="094988F3">
            <w:pPr>
              <w:spacing w:before="47" w:line="228" w:lineRule="auto"/>
              <w:ind w:left="121"/>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8</w:t>
            </w:r>
            <w:r>
              <w:rPr>
                <w:rFonts w:ascii="宋体" w:hAnsi="宋体" w:eastAsia="宋体" w:cs="宋体"/>
                <w:spacing w:val="7"/>
                <w:sz w:val="20"/>
                <w:szCs w:val="20"/>
              </w:rPr>
              <w:t>）与《云南省牛栏江保</w:t>
            </w:r>
          </w:p>
        </w:tc>
        <w:tc>
          <w:tcPr>
            <w:tcW w:w="2791" w:type="dxa"/>
            <w:vAlign w:val="top"/>
          </w:tcPr>
          <w:p w14:paraId="1169B3DF">
            <w:pPr>
              <w:spacing w:before="47" w:line="227" w:lineRule="auto"/>
              <w:ind w:left="114"/>
              <w:rPr>
                <w:rFonts w:ascii="宋体" w:hAnsi="宋体" w:eastAsia="宋体" w:cs="宋体"/>
                <w:sz w:val="20"/>
                <w:szCs w:val="20"/>
              </w:rPr>
            </w:pPr>
            <w:r>
              <w:rPr>
                <w:rFonts w:ascii="宋体" w:hAnsi="宋体" w:eastAsia="宋体" w:cs="宋体"/>
                <w:spacing w:val="14"/>
                <w:sz w:val="20"/>
                <w:szCs w:val="20"/>
              </w:rPr>
              <w:t>本项目与《云南省牛栏江保</w:t>
            </w:r>
          </w:p>
        </w:tc>
        <w:tc>
          <w:tcPr>
            <w:tcW w:w="558" w:type="dxa"/>
            <w:vAlign w:val="top"/>
          </w:tcPr>
          <w:p w14:paraId="3ADC0677">
            <w:pPr>
              <w:spacing w:before="47" w:line="228" w:lineRule="auto"/>
              <w:ind w:left="187"/>
              <w:rPr>
                <w:rFonts w:ascii="宋体" w:hAnsi="宋体" w:eastAsia="宋体" w:cs="宋体"/>
                <w:sz w:val="20"/>
                <w:szCs w:val="20"/>
              </w:rPr>
            </w:pPr>
            <w:r>
              <w:rPr>
                <w:rFonts w:ascii="宋体" w:hAnsi="宋体" w:eastAsia="宋体" w:cs="宋体"/>
                <w:sz w:val="20"/>
                <w:szCs w:val="20"/>
              </w:rPr>
              <w:t>符</w:t>
            </w:r>
          </w:p>
        </w:tc>
        <w:tc>
          <w:tcPr>
            <w:tcW w:w="123" w:type="dxa"/>
            <w:vMerge w:val="continue"/>
            <w:tcBorders>
              <w:top w:val="nil"/>
              <w:bottom w:val="single" w:color="000000" w:sz="6" w:space="0"/>
              <w:right w:val="single" w:color="000000" w:sz="6" w:space="0"/>
            </w:tcBorders>
            <w:vAlign w:val="top"/>
          </w:tcPr>
          <w:p w14:paraId="32BFC930">
            <w:pPr>
              <w:rPr>
                <w:rFonts w:ascii="Arial"/>
                <w:sz w:val="21"/>
              </w:rPr>
            </w:pPr>
          </w:p>
        </w:tc>
      </w:tr>
    </w:tbl>
    <w:p w14:paraId="77D385B6">
      <w:pPr>
        <w:pStyle w:val="2"/>
      </w:pPr>
    </w:p>
    <w:p w14:paraId="45FB44CE">
      <w:pPr>
        <w:sectPr>
          <w:footerReference r:id="rId20" w:type="default"/>
          <w:pgSz w:w="11906" w:h="16839"/>
          <w:pgMar w:top="400" w:right="1509" w:bottom="1329" w:left="1509" w:header="0" w:footer="1113" w:gutter="0"/>
          <w:cols w:space="720" w:num="1"/>
        </w:sectPr>
      </w:pPr>
    </w:p>
    <w:p w14:paraId="29DF022E">
      <w:pPr>
        <w:spacing w:before="19"/>
      </w:pPr>
    </w:p>
    <w:p w14:paraId="348D8270">
      <w:pPr>
        <w:spacing w:before="19"/>
      </w:pPr>
    </w:p>
    <w:p w14:paraId="6FD5F501">
      <w:pPr>
        <w:spacing w:before="19"/>
      </w:pPr>
    </w:p>
    <w:p w14:paraId="2AE59940">
      <w:pPr>
        <w:spacing w:before="18"/>
      </w:pPr>
    </w:p>
    <w:p w14:paraId="57D510D0">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459"/>
        <w:gridCol w:w="976"/>
        <w:gridCol w:w="2691"/>
        <w:gridCol w:w="2791"/>
        <w:gridCol w:w="558"/>
        <w:gridCol w:w="123"/>
      </w:tblGrid>
      <w:tr w14:paraId="72BF9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161" w:type="dxa"/>
            <w:vMerge w:val="restart"/>
            <w:tcBorders>
              <w:top w:val="single" w:color="000000" w:sz="6" w:space="0"/>
              <w:left w:val="single" w:color="000000" w:sz="6" w:space="0"/>
              <w:bottom w:val="nil"/>
            </w:tcBorders>
            <w:vAlign w:val="top"/>
          </w:tcPr>
          <w:p w14:paraId="2051AF13">
            <w:pPr>
              <w:rPr>
                <w:rFonts w:ascii="Arial"/>
                <w:sz w:val="21"/>
              </w:rPr>
            </w:pPr>
          </w:p>
        </w:tc>
        <w:tc>
          <w:tcPr>
            <w:tcW w:w="113" w:type="dxa"/>
            <w:tcBorders>
              <w:top w:val="single" w:color="000000" w:sz="6" w:space="0"/>
              <w:bottom w:val="nil"/>
            </w:tcBorders>
            <w:vAlign w:val="top"/>
          </w:tcPr>
          <w:p w14:paraId="3C2437F8">
            <w:pPr>
              <w:rPr>
                <w:rFonts w:ascii="Arial"/>
                <w:sz w:val="21"/>
              </w:rPr>
            </w:pPr>
          </w:p>
        </w:tc>
        <w:tc>
          <w:tcPr>
            <w:tcW w:w="459" w:type="dxa"/>
            <w:vMerge w:val="restart"/>
            <w:tcBorders>
              <w:bottom w:val="nil"/>
            </w:tcBorders>
            <w:vAlign w:val="top"/>
          </w:tcPr>
          <w:p w14:paraId="675FCC04">
            <w:pPr>
              <w:rPr>
                <w:rFonts w:ascii="Arial"/>
                <w:sz w:val="21"/>
              </w:rPr>
            </w:pPr>
          </w:p>
        </w:tc>
        <w:tc>
          <w:tcPr>
            <w:tcW w:w="976" w:type="dxa"/>
            <w:vMerge w:val="restart"/>
            <w:tcBorders>
              <w:bottom w:val="nil"/>
            </w:tcBorders>
            <w:vAlign w:val="top"/>
          </w:tcPr>
          <w:p w14:paraId="23794F4F">
            <w:pPr>
              <w:rPr>
                <w:rFonts w:ascii="Arial"/>
                <w:sz w:val="21"/>
              </w:rPr>
            </w:pPr>
          </w:p>
        </w:tc>
        <w:tc>
          <w:tcPr>
            <w:tcW w:w="2691" w:type="dxa"/>
            <w:vAlign w:val="top"/>
          </w:tcPr>
          <w:p w14:paraId="75041276">
            <w:pPr>
              <w:spacing w:before="37" w:line="228" w:lineRule="auto"/>
              <w:ind w:left="112"/>
              <w:rPr>
                <w:rFonts w:ascii="宋体" w:hAnsi="宋体" w:eastAsia="宋体" w:cs="宋体"/>
                <w:sz w:val="20"/>
                <w:szCs w:val="20"/>
              </w:rPr>
            </w:pPr>
            <w:r>
              <w:rPr>
                <w:rFonts w:ascii="宋体" w:hAnsi="宋体" w:eastAsia="宋体" w:cs="宋体"/>
                <w:spacing w:val="8"/>
                <w:sz w:val="20"/>
                <w:szCs w:val="20"/>
              </w:rPr>
              <w:t>护条例》存在冲突的项目。</w:t>
            </w:r>
          </w:p>
        </w:tc>
        <w:tc>
          <w:tcPr>
            <w:tcW w:w="2791" w:type="dxa"/>
            <w:vAlign w:val="top"/>
          </w:tcPr>
          <w:p w14:paraId="6DA24591">
            <w:pPr>
              <w:spacing w:before="37" w:line="228" w:lineRule="auto"/>
              <w:ind w:left="114"/>
              <w:rPr>
                <w:rFonts w:ascii="宋体" w:hAnsi="宋体" w:eastAsia="宋体" w:cs="宋体"/>
                <w:sz w:val="20"/>
                <w:szCs w:val="20"/>
              </w:rPr>
            </w:pPr>
            <w:r>
              <w:rPr>
                <w:rFonts w:ascii="宋体" w:hAnsi="宋体" w:eastAsia="宋体" w:cs="宋体"/>
                <w:spacing w:val="7"/>
                <w:sz w:val="20"/>
                <w:szCs w:val="20"/>
              </w:rPr>
              <w:t>护条例》不冲突。</w:t>
            </w:r>
          </w:p>
        </w:tc>
        <w:tc>
          <w:tcPr>
            <w:tcW w:w="558" w:type="dxa"/>
            <w:vAlign w:val="top"/>
          </w:tcPr>
          <w:p w14:paraId="3B08E16B">
            <w:pPr>
              <w:spacing w:before="37" w:line="231" w:lineRule="auto"/>
              <w:ind w:left="186"/>
              <w:rPr>
                <w:rFonts w:ascii="宋体" w:hAnsi="宋体" w:eastAsia="宋体" w:cs="宋体"/>
                <w:sz w:val="20"/>
                <w:szCs w:val="20"/>
              </w:rPr>
            </w:pPr>
            <w:r>
              <w:rPr>
                <w:rFonts w:ascii="宋体" w:hAnsi="宋体" w:eastAsia="宋体" w:cs="宋体"/>
                <w:sz w:val="20"/>
                <w:szCs w:val="20"/>
              </w:rPr>
              <w:t>合</w:t>
            </w:r>
          </w:p>
        </w:tc>
        <w:tc>
          <w:tcPr>
            <w:tcW w:w="123" w:type="dxa"/>
            <w:vMerge w:val="restart"/>
            <w:tcBorders>
              <w:top w:val="single" w:color="000000" w:sz="6" w:space="0"/>
              <w:bottom w:val="nil"/>
              <w:right w:val="single" w:color="000000" w:sz="6" w:space="0"/>
            </w:tcBorders>
            <w:vAlign w:val="top"/>
          </w:tcPr>
          <w:p w14:paraId="349BBF7C">
            <w:pPr>
              <w:rPr>
                <w:rFonts w:ascii="Arial"/>
                <w:sz w:val="21"/>
              </w:rPr>
            </w:pPr>
          </w:p>
        </w:tc>
      </w:tr>
      <w:tr w14:paraId="283EA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9" w:hRule="atLeast"/>
        </w:trPr>
        <w:tc>
          <w:tcPr>
            <w:tcW w:w="1161" w:type="dxa"/>
            <w:vMerge w:val="continue"/>
            <w:tcBorders>
              <w:top w:val="nil"/>
              <w:left w:val="single" w:color="000000" w:sz="6" w:space="0"/>
              <w:bottom w:val="nil"/>
            </w:tcBorders>
            <w:vAlign w:val="top"/>
          </w:tcPr>
          <w:p w14:paraId="6A2CBD4B">
            <w:pPr>
              <w:rPr>
                <w:rFonts w:ascii="Arial"/>
                <w:sz w:val="21"/>
              </w:rPr>
            </w:pPr>
          </w:p>
        </w:tc>
        <w:tc>
          <w:tcPr>
            <w:tcW w:w="113" w:type="dxa"/>
            <w:tcBorders>
              <w:top w:val="nil"/>
              <w:bottom w:val="nil"/>
            </w:tcBorders>
            <w:vAlign w:val="top"/>
          </w:tcPr>
          <w:p w14:paraId="05685072">
            <w:pPr>
              <w:rPr>
                <w:rFonts w:ascii="Arial"/>
                <w:sz w:val="21"/>
              </w:rPr>
            </w:pPr>
          </w:p>
        </w:tc>
        <w:tc>
          <w:tcPr>
            <w:tcW w:w="459" w:type="dxa"/>
            <w:vMerge w:val="continue"/>
            <w:tcBorders>
              <w:top w:val="nil"/>
              <w:bottom w:val="nil"/>
            </w:tcBorders>
            <w:vAlign w:val="top"/>
          </w:tcPr>
          <w:p w14:paraId="6E27CF9D">
            <w:pPr>
              <w:rPr>
                <w:rFonts w:ascii="Arial"/>
                <w:sz w:val="21"/>
              </w:rPr>
            </w:pPr>
          </w:p>
        </w:tc>
        <w:tc>
          <w:tcPr>
            <w:tcW w:w="976" w:type="dxa"/>
            <w:vMerge w:val="continue"/>
            <w:tcBorders>
              <w:top w:val="nil"/>
              <w:bottom w:val="nil"/>
            </w:tcBorders>
            <w:vAlign w:val="top"/>
          </w:tcPr>
          <w:p w14:paraId="68E828E8">
            <w:pPr>
              <w:rPr>
                <w:rFonts w:ascii="Arial"/>
                <w:sz w:val="21"/>
              </w:rPr>
            </w:pPr>
          </w:p>
        </w:tc>
        <w:tc>
          <w:tcPr>
            <w:tcW w:w="2691" w:type="dxa"/>
            <w:vAlign w:val="top"/>
          </w:tcPr>
          <w:p w14:paraId="266734C0">
            <w:pPr>
              <w:spacing w:before="37" w:line="368" w:lineRule="auto"/>
              <w:ind w:left="112" w:right="107" w:firstLine="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9</w:t>
            </w:r>
            <w:r>
              <w:rPr>
                <w:rFonts w:ascii="宋体" w:hAnsi="宋体" w:eastAsia="宋体" w:cs="宋体"/>
                <w:spacing w:val="7"/>
                <w:sz w:val="20"/>
                <w:szCs w:val="20"/>
              </w:rPr>
              <w:t>）《长江经济带发展负面清单指南（试行，</w:t>
            </w:r>
            <w:r>
              <w:rPr>
                <w:rFonts w:ascii="Times New Roman" w:hAnsi="Times New Roman" w:eastAsia="Times New Roman" w:cs="Times New Roman"/>
                <w:spacing w:val="7"/>
                <w:sz w:val="20"/>
                <w:szCs w:val="20"/>
              </w:rPr>
              <w:t>2022</w:t>
            </w:r>
            <w:r>
              <w:rPr>
                <w:rFonts w:ascii="宋体" w:hAnsi="宋体" w:eastAsia="宋体" w:cs="宋体"/>
                <w:spacing w:val="5"/>
                <w:sz w:val="20"/>
                <w:szCs w:val="20"/>
              </w:rPr>
              <w:t>年版）》和《云南省推动长</w:t>
            </w:r>
            <w:r>
              <w:rPr>
                <w:rFonts w:ascii="宋体" w:hAnsi="宋体" w:eastAsia="宋体" w:cs="宋体"/>
                <w:spacing w:val="9"/>
                <w:sz w:val="20"/>
                <w:szCs w:val="20"/>
              </w:rPr>
              <w:t>江经济带发展负面清单指</w:t>
            </w:r>
            <w:r>
              <w:rPr>
                <w:rFonts w:ascii="宋体" w:hAnsi="宋体" w:eastAsia="宋体" w:cs="宋体"/>
                <w:spacing w:val="7"/>
                <w:sz w:val="20"/>
                <w:szCs w:val="20"/>
              </w:rPr>
              <w:t>南实施细则（试行，</w:t>
            </w:r>
            <w:r>
              <w:rPr>
                <w:rFonts w:ascii="Times New Roman" w:hAnsi="Times New Roman" w:eastAsia="Times New Roman" w:cs="Times New Roman"/>
                <w:spacing w:val="7"/>
                <w:sz w:val="20"/>
                <w:szCs w:val="20"/>
              </w:rPr>
              <w:t>2022</w:t>
            </w:r>
            <w:r>
              <w:rPr>
                <w:rFonts w:ascii="宋体" w:hAnsi="宋体" w:eastAsia="宋体" w:cs="宋体"/>
                <w:spacing w:val="8"/>
                <w:sz w:val="20"/>
                <w:szCs w:val="20"/>
              </w:rPr>
              <w:t>年版）》中的禁止项目。</w:t>
            </w:r>
          </w:p>
        </w:tc>
        <w:tc>
          <w:tcPr>
            <w:tcW w:w="2791" w:type="dxa"/>
            <w:vAlign w:val="top"/>
          </w:tcPr>
          <w:p w14:paraId="372ED4C6">
            <w:pPr>
              <w:spacing w:before="35" w:line="377" w:lineRule="auto"/>
              <w:ind w:left="116" w:right="162" w:hanging="2"/>
              <w:jc w:val="both"/>
              <w:rPr>
                <w:rFonts w:ascii="宋体" w:hAnsi="宋体" w:eastAsia="宋体" w:cs="宋体"/>
                <w:sz w:val="20"/>
                <w:szCs w:val="20"/>
              </w:rPr>
            </w:pPr>
            <w:r>
              <w:rPr>
                <w:rFonts w:ascii="宋体" w:hAnsi="宋体" w:eastAsia="宋体" w:cs="宋体"/>
                <w:spacing w:val="9"/>
                <w:sz w:val="20"/>
                <w:szCs w:val="20"/>
              </w:rPr>
              <w:t>本项目不属于《长江经济带</w:t>
            </w:r>
            <w:r>
              <w:rPr>
                <w:rFonts w:ascii="宋体" w:hAnsi="宋体" w:eastAsia="宋体" w:cs="宋体"/>
                <w:spacing w:val="8"/>
                <w:sz w:val="20"/>
                <w:szCs w:val="20"/>
              </w:rPr>
              <w:t>发展负面清单指南（试行，</w:t>
            </w:r>
          </w:p>
          <w:p w14:paraId="59E56E51">
            <w:pPr>
              <w:spacing w:before="3" w:line="363" w:lineRule="auto"/>
              <w:ind w:left="113" w:right="110" w:hanging="4"/>
              <w:jc w:val="both"/>
              <w:rPr>
                <w:rFonts w:ascii="宋体" w:hAnsi="宋体" w:eastAsia="宋体" w:cs="宋体"/>
                <w:sz w:val="20"/>
                <w:szCs w:val="20"/>
              </w:rPr>
            </w:pPr>
            <w:r>
              <w:rPr>
                <w:rFonts w:ascii="Times New Roman" w:hAnsi="Times New Roman" w:eastAsia="Times New Roman" w:cs="Times New Roman"/>
                <w:spacing w:val="7"/>
                <w:sz w:val="20"/>
                <w:szCs w:val="20"/>
              </w:rPr>
              <w:t xml:space="preserve">2022 </w:t>
            </w:r>
            <w:r>
              <w:rPr>
                <w:rFonts w:ascii="宋体" w:hAnsi="宋体" w:eastAsia="宋体" w:cs="宋体"/>
                <w:spacing w:val="7"/>
                <w:sz w:val="20"/>
                <w:szCs w:val="20"/>
              </w:rPr>
              <w:t>年版）》和《云南省推</w:t>
            </w:r>
            <w:r>
              <w:rPr>
                <w:rFonts w:ascii="宋体" w:hAnsi="宋体" w:eastAsia="宋体" w:cs="宋体"/>
                <w:spacing w:val="9"/>
                <w:sz w:val="20"/>
                <w:szCs w:val="20"/>
              </w:rPr>
              <w:t>动长江经济带发展负面清单</w:t>
            </w:r>
            <w:r>
              <w:rPr>
                <w:rFonts w:ascii="宋体" w:hAnsi="宋体" w:eastAsia="宋体" w:cs="宋体"/>
                <w:spacing w:val="8"/>
                <w:sz w:val="20"/>
                <w:szCs w:val="20"/>
              </w:rPr>
              <w:t>指南实施细则（试行，</w:t>
            </w:r>
            <w:r>
              <w:rPr>
                <w:rFonts w:ascii="Times New Roman" w:hAnsi="Times New Roman" w:eastAsia="Times New Roman" w:cs="Times New Roman"/>
                <w:spacing w:val="8"/>
                <w:sz w:val="20"/>
                <w:szCs w:val="20"/>
              </w:rPr>
              <w:t>2022</w:t>
            </w:r>
            <w:r>
              <w:rPr>
                <w:rFonts w:ascii="宋体" w:hAnsi="宋体" w:eastAsia="宋体" w:cs="宋体"/>
                <w:spacing w:val="8"/>
                <w:sz w:val="20"/>
                <w:szCs w:val="20"/>
              </w:rPr>
              <w:t>年版）》中的禁止项目。</w:t>
            </w:r>
          </w:p>
        </w:tc>
        <w:tc>
          <w:tcPr>
            <w:tcW w:w="558" w:type="dxa"/>
            <w:textDirection w:val="tbRlV"/>
            <w:vAlign w:val="top"/>
          </w:tcPr>
          <w:p w14:paraId="425B54AE">
            <w:pPr>
              <w:spacing w:before="166" w:line="215" w:lineRule="auto"/>
              <w:ind w:left="852"/>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4DF14728">
            <w:pPr>
              <w:rPr>
                <w:rFonts w:ascii="Arial"/>
                <w:sz w:val="21"/>
              </w:rPr>
            </w:pPr>
          </w:p>
        </w:tc>
      </w:tr>
      <w:tr w14:paraId="3508E0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1" w:hRule="atLeast"/>
        </w:trPr>
        <w:tc>
          <w:tcPr>
            <w:tcW w:w="1161" w:type="dxa"/>
            <w:vMerge w:val="continue"/>
            <w:tcBorders>
              <w:top w:val="nil"/>
              <w:left w:val="single" w:color="000000" w:sz="6" w:space="0"/>
              <w:bottom w:val="nil"/>
            </w:tcBorders>
            <w:vAlign w:val="top"/>
          </w:tcPr>
          <w:p w14:paraId="1380E89F">
            <w:pPr>
              <w:rPr>
                <w:rFonts w:ascii="Arial"/>
                <w:sz w:val="21"/>
              </w:rPr>
            </w:pPr>
          </w:p>
        </w:tc>
        <w:tc>
          <w:tcPr>
            <w:tcW w:w="113" w:type="dxa"/>
            <w:tcBorders>
              <w:top w:val="nil"/>
              <w:bottom w:val="nil"/>
            </w:tcBorders>
            <w:vAlign w:val="top"/>
          </w:tcPr>
          <w:p w14:paraId="493BF3BB">
            <w:pPr>
              <w:rPr>
                <w:rFonts w:ascii="Arial"/>
                <w:sz w:val="21"/>
              </w:rPr>
            </w:pPr>
          </w:p>
        </w:tc>
        <w:tc>
          <w:tcPr>
            <w:tcW w:w="459" w:type="dxa"/>
            <w:vMerge w:val="continue"/>
            <w:tcBorders>
              <w:top w:val="nil"/>
              <w:bottom w:val="nil"/>
            </w:tcBorders>
            <w:vAlign w:val="top"/>
          </w:tcPr>
          <w:p w14:paraId="2DC4CE79">
            <w:pPr>
              <w:rPr>
                <w:rFonts w:ascii="Arial"/>
                <w:sz w:val="21"/>
              </w:rPr>
            </w:pPr>
          </w:p>
        </w:tc>
        <w:tc>
          <w:tcPr>
            <w:tcW w:w="976" w:type="dxa"/>
            <w:vMerge w:val="continue"/>
            <w:tcBorders>
              <w:top w:val="nil"/>
              <w:bottom w:val="nil"/>
            </w:tcBorders>
            <w:vAlign w:val="top"/>
          </w:tcPr>
          <w:p w14:paraId="5DDE711A">
            <w:pPr>
              <w:rPr>
                <w:rFonts w:ascii="Arial"/>
                <w:sz w:val="21"/>
              </w:rPr>
            </w:pPr>
          </w:p>
        </w:tc>
        <w:tc>
          <w:tcPr>
            <w:tcW w:w="2691" w:type="dxa"/>
            <w:vAlign w:val="top"/>
          </w:tcPr>
          <w:p w14:paraId="74A0B434">
            <w:pPr>
              <w:spacing w:before="257" w:line="377" w:lineRule="auto"/>
              <w:ind w:left="110" w:right="99" w:firstLine="10"/>
              <w:rPr>
                <w:rFonts w:ascii="宋体" w:hAnsi="宋体" w:eastAsia="宋体" w:cs="宋体"/>
                <w:sz w:val="20"/>
                <w:szCs w:val="20"/>
              </w:rPr>
            </w:pPr>
            <w:r>
              <w:rPr>
                <w:rFonts w:ascii="宋体" w:hAnsi="宋体" w:eastAsia="宋体" w:cs="宋体"/>
                <w:spacing w:val="4"/>
                <w:sz w:val="20"/>
                <w:szCs w:val="20"/>
              </w:rPr>
              <w:t>（</w:t>
            </w:r>
            <w:r>
              <w:rPr>
                <w:rFonts w:ascii="Times New Roman" w:hAnsi="Times New Roman" w:eastAsia="Times New Roman" w:cs="Times New Roman"/>
                <w:spacing w:val="4"/>
                <w:sz w:val="20"/>
                <w:szCs w:val="20"/>
              </w:rPr>
              <w:t>10</w:t>
            </w:r>
            <w:r>
              <w:rPr>
                <w:rFonts w:ascii="宋体" w:hAnsi="宋体" w:eastAsia="宋体" w:cs="宋体"/>
                <w:spacing w:val="4"/>
                <w:sz w:val="20"/>
                <w:szCs w:val="20"/>
              </w:rPr>
              <w:t>）禁止引入单位产品能</w:t>
            </w:r>
            <w:r>
              <w:rPr>
                <w:rFonts w:ascii="宋体" w:hAnsi="宋体" w:eastAsia="宋体" w:cs="宋体"/>
                <w:spacing w:val="5"/>
                <w:sz w:val="20"/>
                <w:szCs w:val="20"/>
              </w:rPr>
              <w:t>耗、物耗、污染物产生量和</w:t>
            </w:r>
            <w:r>
              <w:rPr>
                <w:rFonts w:ascii="宋体" w:hAnsi="宋体" w:eastAsia="宋体" w:cs="宋体"/>
                <w:spacing w:val="9"/>
                <w:sz w:val="20"/>
                <w:szCs w:val="20"/>
              </w:rPr>
              <w:t>排放量等清洁生产指标达不到国内先进水平的产业</w:t>
            </w:r>
            <w:r>
              <w:rPr>
                <w:rFonts w:ascii="宋体" w:hAnsi="宋体" w:eastAsia="宋体" w:cs="宋体"/>
                <w:spacing w:val="7"/>
                <w:sz w:val="20"/>
                <w:szCs w:val="20"/>
              </w:rPr>
              <w:t>（项目</w:t>
            </w:r>
            <w:r>
              <w:rPr>
                <w:rFonts w:ascii="宋体" w:hAnsi="宋体" w:eastAsia="宋体" w:cs="宋体"/>
                <w:spacing w:val="-1"/>
                <w:sz w:val="20"/>
                <w:szCs w:val="20"/>
              </w:rPr>
              <w:t>）；</w:t>
            </w:r>
            <w:r>
              <w:rPr>
                <w:rFonts w:ascii="宋体" w:hAnsi="宋体" w:eastAsia="宋体" w:cs="宋体"/>
                <w:spacing w:val="7"/>
                <w:sz w:val="20"/>
                <w:szCs w:val="20"/>
              </w:rPr>
              <w:t>资源综合利用率</w:t>
            </w:r>
            <w:r>
              <w:rPr>
                <w:rFonts w:ascii="宋体" w:hAnsi="宋体" w:eastAsia="宋体" w:cs="宋体"/>
                <w:spacing w:val="5"/>
                <w:sz w:val="20"/>
                <w:szCs w:val="20"/>
              </w:rPr>
              <w:t>低、产生废物量大，且按近</w:t>
            </w:r>
            <w:r>
              <w:rPr>
                <w:rFonts w:ascii="宋体" w:hAnsi="宋体" w:eastAsia="宋体" w:cs="宋体"/>
                <w:spacing w:val="9"/>
                <w:sz w:val="20"/>
                <w:szCs w:val="20"/>
              </w:rPr>
              <w:t>期技术水平不能综合利用的行业；高耗水且排放污</w:t>
            </w:r>
            <w:r>
              <w:rPr>
                <w:rFonts w:ascii="宋体" w:hAnsi="宋体" w:eastAsia="宋体" w:cs="宋体"/>
                <w:spacing w:val="5"/>
                <w:sz w:val="20"/>
                <w:szCs w:val="20"/>
              </w:rPr>
              <w:t>水、废液按现有技术经济无</w:t>
            </w:r>
            <w:r>
              <w:rPr>
                <w:rFonts w:ascii="宋体" w:hAnsi="宋体" w:eastAsia="宋体" w:cs="宋体"/>
                <w:spacing w:val="6"/>
                <w:sz w:val="20"/>
                <w:szCs w:val="20"/>
              </w:rPr>
              <w:t>法治理或妥善处置的产业。</w:t>
            </w:r>
          </w:p>
        </w:tc>
        <w:tc>
          <w:tcPr>
            <w:tcW w:w="2791" w:type="dxa"/>
            <w:vAlign w:val="top"/>
          </w:tcPr>
          <w:p w14:paraId="2E7E300A">
            <w:pPr>
              <w:spacing w:before="47" w:line="372" w:lineRule="auto"/>
              <w:ind w:left="112" w:right="100" w:firstLine="1"/>
              <w:jc w:val="both"/>
              <w:rPr>
                <w:rFonts w:ascii="宋体" w:hAnsi="宋体" w:eastAsia="宋体" w:cs="宋体"/>
                <w:sz w:val="20"/>
                <w:szCs w:val="20"/>
              </w:rPr>
            </w:pPr>
            <w:r>
              <w:rPr>
                <w:rFonts w:ascii="宋体" w:hAnsi="宋体" w:eastAsia="宋体" w:cs="宋体"/>
                <w:spacing w:val="7"/>
                <w:sz w:val="20"/>
                <w:szCs w:val="20"/>
              </w:rPr>
              <w:t>本</w:t>
            </w:r>
            <w:r>
              <w:rPr>
                <w:rFonts w:ascii="宋体" w:hAnsi="宋体" w:eastAsia="宋体" w:cs="宋体"/>
                <w:spacing w:val="-60"/>
                <w:sz w:val="20"/>
                <w:szCs w:val="20"/>
              </w:rPr>
              <w:t xml:space="preserve"> </w:t>
            </w:r>
            <w:r>
              <w:rPr>
                <w:rFonts w:ascii="宋体" w:hAnsi="宋体" w:eastAsia="宋体" w:cs="宋体"/>
                <w:spacing w:val="7"/>
                <w:sz w:val="20"/>
                <w:szCs w:val="20"/>
              </w:rPr>
              <w:t>项</w:t>
            </w:r>
            <w:r>
              <w:rPr>
                <w:rFonts w:ascii="宋体" w:hAnsi="宋体" w:eastAsia="宋体" w:cs="宋体"/>
                <w:spacing w:val="-26"/>
                <w:sz w:val="20"/>
                <w:szCs w:val="20"/>
              </w:rPr>
              <w:t xml:space="preserve"> </w:t>
            </w:r>
            <w:r>
              <w:rPr>
                <w:rFonts w:ascii="宋体" w:hAnsi="宋体" w:eastAsia="宋体" w:cs="宋体"/>
                <w:spacing w:val="7"/>
                <w:sz w:val="20"/>
                <w:szCs w:val="20"/>
              </w:rPr>
              <w:t>目</w:t>
            </w:r>
            <w:r>
              <w:rPr>
                <w:rFonts w:ascii="宋体" w:hAnsi="宋体" w:eastAsia="宋体" w:cs="宋体"/>
                <w:spacing w:val="-60"/>
                <w:sz w:val="20"/>
                <w:szCs w:val="20"/>
              </w:rPr>
              <w:t xml:space="preserve"> </w:t>
            </w:r>
            <w:r>
              <w:rPr>
                <w:rFonts w:ascii="宋体" w:hAnsi="宋体" w:eastAsia="宋体" w:cs="宋体"/>
                <w:spacing w:val="7"/>
                <w:sz w:val="20"/>
                <w:szCs w:val="20"/>
              </w:rPr>
              <w:t>不属</w:t>
            </w:r>
            <w:r>
              <w:rPr>
                <w:rFonts w:ascii="宋体" w:hAnsi="宋体" w:eastAsia="宋体" w:cs="宋体"/>
                <w:spacing w:val="-60"/>
                <w:sz w:val="20"/>
                <w:szCs w:val="20"/>
              </w:rPr>
              <w:t xml:space="preserve"> </w:t>
            </w:r>
            <w:r>
              <w:rPr>
                <w:rFonts w:ascii="宋体" w:hAnsi="宋体" w:eastAsia="宋体" w:cs="宋体"/>
                <w:spacing w:val="7"/>
                <w:sz w:val="20"/>
                <w:szCs w:val="20"/>
              </w:rPr>
              <w:t>于单位产</w:t>
            </w:r>
            <w:r>
              <w:rPr>
                <w:rFonts w:ascii="宋体" w:hAnsi="宋体" w:eastAsia="宋体" w:cs="宋体"/>
                <w:spacing w:val="-46"/>
                <w:sz w:val="20"/>
                <w:szCs w:val="20"/>
              </w:rPr>
              <w:t xml:space="preserve"> </w:t>
            </w:r>
            <w:r>
              <w:rPr>
                <w:rFonts w:ascii="宋体" w:hAnsi="宋体" w:eastAsia="宋体" w:cs="宋体"/>
                <w:spacing w:val="7"/>
                <w:sz w:val="20"/>
                <w:szCs w:val="20"/>
              </w:rPr>
              <w:t>品</w:t>
            </w:r>
            <w:r>
              <w:rPr>
                <w:rFonts w:ascii="宋体" w:hAnsi="宋体" w:eastAsia="宋体" w:cs="宋体"/>
                <w:spacing w:val="-58"/>
                <w:sz w:val="20"/>
                <w:szCs w:val="20"/>
              </w:rPr>
              <w:t xml:space="preserve"> </w:t>
            </w:r>
            <w:r>
              <w:rPr>
                <w:rFonts w:ascii="宋体" w:hAnsi="宋体" w:eastAsia="宋体" w:cs="宋体"/>
                <w:spacing w:val="7"/>
                <w:sz w:val="20"/>
                <w:szCs w:val="20"/>
              </w:rPr>
              <w:t>能</w:t>
            </w:r>
            <w:r>
              <w:rPr>
                <w:rFonts w:ascii="宋体" w:hAnsi="宋体" w:eastAsia="宋体" w:cs="宋体"/>
                <w:spacing w:val="14"/>
                <w:sz w:val="20"/>
                <w:szCs w:val="20"/>
              </w:rPr>
              <w:t>耗、物耗、污染物产生量和排放量等清洁生产指标达不到国内先进水平的产业（项</w:t>
            </w:r>
            <w:r>
              <w:rPr>
                <w:rFonts w:ascii="宋体" w:hAnsi="宋体" w:eastAsia="宋体" w:cs="宋体"/>
                <w:spacing w:val="15"/>
                <w:sz w:val="20"/>
                <w:szCs w:val="20"/>
              </w:rPr>
              <w:t>目</w:t>
            </w:r>
            <w:r>
              <w:rPr>
                <w:rFonts w:ascii="宋体" w:hAnsi="宋体" w:eastAsia="宋体" w:cs="宋体"/>
                <w:spacing w:val="10"/>
                <w:sz w:val="20"/>
                <w:szCs w:val="20"/>
              </w:rPr>
              <w:t>）；</w:t>
            </w:r>
            <w:r>
              <w:rPr>
                <w:rFonts w:ascii="宋体" w:hAnsi="宋体" w:eastAsia="宋体" w:cs="宋体"/>
                <w:spacing w:val="15"/>
                <w:sz w:val="20"/>
                <w:szCs w:val="20"/>
              </w:rPr>
              <w:t>不属于资源综合利用</w:t>
            </w:r>
            <w:r>
              <w:rPr>
                <w:rFonts w:ascii="宋体" w:hAnsi="宋体" w:eastAsia="宋体" w:cs="宋体"/>
                <w:spacing w:val="14"/>
                <w:sz w:val="20"/>
                <w:szCs w:val="20"/>
              </w:rPr>
              <w:t>率低、产生废物量大，且按近期技术水平不能综合利用的行业；不属于高耗水且排放污水、废液按现有技术经济无法治理或妥善处置的产</w:t>
            </w:r>
            <w:r>
              <w:rPr>
                <w:rFonts w:ascii="宋体" w:hAnsi="宋体" w:eastAsia="宋体" w:cs="宋体"/>
                <w:sz w:val="20"/>
                <w:szCs w:val="20"/>
              </w:rPr>
              <w:t>业。</w:t>
            </w:r>
          </w:p>
        </w:tc>
        <w:tc>
          <w:tcPr>
            <w:tcW w:w="558" w:type="dxa"/>
            <w:textDirection w:val="tbRlV"/>
            <w:vAlign w:val="top"/>
          </w:tcPr>
          <w:p w14:paraId="6DFF139A">
            <w:pPr>
              <w:spacing w:before="166" w:line="215" w:lineRule="auto"/>
              <w:ind w:left="1890"/>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4016649F">
            <w:pPr>
              <w:rPr>
                <w:rFonts w:ascii="Arial"/>
                <w:sz w:val="21"/>
              </w:rPr>
            </w:pPr>
          </w:p>
        </w:tc>
      </w:tr>
      <w:tr w14:paraId="3664A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1161" w:type="dxa"/>
            <w:vMerge w:val="continue"/>
            <w:tcBorders>
              <w:top w:val="nil"/>
              <w:left w:val="single" w:color="000000" w:sz="6" w:space="0"/>
              <w:bottom w:val="nil"/>
            </w:tcBorders>
            <w:vAlign w:val="top"/>
          </w:tcPr>
          <w:p w14:paraId="2CFF23C4">
            <w:pPr>
              <w:rPr>
                <w:rFonts w:ascii="Arial"/>
                <w:sz w:val="21"/>
              </w:rPr>
            </w:pPr>
          </w:p>
        </w:tc>
        <w:tc>
          <w:tcPr>
            <w:tcW w:w="113" w:type="dxa"/>
            <w:tcBorders>
              <w:top w:val="nil"/>
              <w:bottom w:val="nil"/>
            </w:tcBorders>
            <w:vAlign w:val="top"/>
          </w:tcPr>
          <w:p w14:paraId="3C75F6C9">
            <w:pPr>
              <w:rPr>
                <w:rFonts w:ascii="Arial"/>
                <w:sz w:val="21"/>
              </w:rPr>
            </w:pPr>
          </w:p>
        </w:tc>
        <w:tc>
          <w:tcPr>
            <w:tcW w:w="459" w:type="dxa"/>
            <w:vMerge w:val="continue"/>
            <w:tcBorders>
              <w:top w:val="nil"/>
              <w:bottom w:val="nil"/>
            </w:tcBorders>
            <w:vAlign w:val="top"/>
          </w:tcPr>
          <w:p w14:paraId="1CF4E9BD">
            <w:pPr>
              <w:rPr>
                <w:rFonts w:ascii="Arial"/>
                <w:sz w:val="21"/>
              </w:rPr>
            </w:pPr>
          </w:p>
        </w:tc>
        <w:tc>
          <w:tcPr>
            <w:tcW w:w="976" w:type="dxa"/>
            <w:vMerge w:val="continue"/>
            <w:tcBorders>
              <w:top w:val="nil"/>
              <w:bottom w:val="nil"/>
            </w:tcBorders>
            <w:vAlign w:val="top"/>
          </w:tcPr>
          <w:p w14:paraId="5254D812">
            <w:pPr>
              <w:rPr>
                <w:rFonts w:ascii="Arial"/>
                <w:sz w:val="21"/>
              </w:rPr>
            </w:pPr>
          </w:p>
        </w:tc>
        <w:tc>
          <w:tcPr>
            <w:tcW w:w="2691" w:type="dxa"/>
            <w:vAlign w:val="top"/>
          </w:tcPr>
          <w:p w14:paraId="0CFAE85F">
            <w:pPr>
              <w:spacing w:before="60" w:line="358" w:lineRule="auto"/>
              <w:ind w:left="110" w:right="105" w:firstLine="10"/>
              <w:rPr>
                <w:rFonts w:ascii="宋体" w:hAnsi="宋体" w:eastAsia="宋体" w:cs="宋体"/>
                <w:sz w:val="20"/>
                <w:szCs w:val="20"/>
              </w:rPr>
            </w:pPr>
            <w:r>
              <w:rPr>
                <w:rFonts w:ascii="宋体" w:hAnsi="宋体" w:eastAsia="宋体" w:cs="宋体"/>
                <w:spacing w:val="4"/>
                <w:sz w:val="20"/>
                <w:szCs w:val="20"/>
              </w:rPr>
              <w:t>（</w:t>
            </w:r>
            <w:r>
              <w:rPr>
                <w:rFonts w:ascii="Times New Roman" w:hAnsi="Times New Roman" w:eastAsia="Times New Roman" w:cs="Times New Roman"/>
                <w:spacing w:val="4"/>
                <w:sz w:val="20"/>
                <w:szCs w:val="20"/>
              </w:rPr>
              <w:t>11</w:t>
            </w:r>
            <w:r>
              <w:rPr>
                <w:rFonts w:ascii="宋体" w:hAnsi="宋体" w:eastAsia="宋体" w:cs="宋体"/>
                <w:spacing w:val="4"/>
                <w:sz w:val="20"/>
                <w:szCs w:val="20"/>
              </w:rPr>
              <w:t>）未来入驻企业禁止在</w:t>
            </w:r>
            <w:r>
              <w:rPr>
                <w:rFonts w:ascii="宋体" w:hAnsi="宋体" w:eastAsia="宋体" w:cs="宋体"/>
                <w:spacing w:val="9"/>
                <w:sz w:val="20"/>
                <w:szCs w:val="20"/>
              </w:rPr>
              <w:t>园区内新建永久性工业固</w:t>
            </w:r>
            <w:r>
              <w:rPr>
                <w:rFonts w:ascii="宋体" w:hAnsi="宋体" w:eastAsia="宋体" w:cs="宋体"/>
                <w:spacing w:val="6"/>
                <w:sz w:val="20"/>
                <w:szCs w:val="20"/>
              </w:rPr>
              <w:t>废处置场。</w:t>
            </w:r>
          </w:p>
        </w:tc>
        <w:tc>
          <w:tcPr>
            <w:tcW w:w="2791" w:type="dxa"/>
            <w:vAlign w:val="top"/>
          </w:tcPr>
          <w:p w14:paraId="5F7C4355">
            <w:pPr>
              <w:spacing w:before="263" w:line="378" w:lineRule="auto"/>
              <w:ind w:left="112" w:right="102" w:firstLine="1"/>
              <w:rPr>
                <w:rFonts w:ascii="宋体" w:hAnsi="宋体" w:eastAsia="宋体" w:cs="宋体"/>
                <w:sz w:val="20"/>
                <w:szCs w:val="20"/>
              </w:rPr>
            </w:pPr>
            <w:r>
              <w:rPr>
                <w:rFonts w:ascii="宋体" w:hAnsi="宋体" w:eastAsia="宋体" w:cs="宋体"/>
                <w:spacing w:val="14"/>
                <w:sz w:val="20"/>
                <w:szCs w:val="20"/>
              </w:rPr>
              <w:t>本项目不涉及新建永久性工</w:t>
            </w:r>
            <w:r>
              <w:rPr>
                <w:rFonts w:ascii="宋体" w:hAnsi="宋体" w:eastAsia="宋体" w:cs="宋体"/>
                <w:spacing w:val="7"/>
                <w:sz w:val="20"/>
                <w:szCs w:val="20"/>
              </w:rPr>
              <w:t>业固废处置场。</w:t>
            </w:r>
          </w:p>
        </w:tc>
        <w:tc>
          <w:tcPr>
            <w:tcW w:w="558" w:type="dxa"/>
            <w:textDirection w:val="tbRlV"/>
            <w:vAlign w:val="top"/>
          </w:tcPr>
          <w:p w14:paraId="7F116983">
            <w:pPr>
              <w:spacing w:before="166" w:line="215" w:lineRule="auto"/>
              <w:ind w:left="262"/>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3068D141">
            <w:pPr>
              <w:rPr>
                <w:rFonts w:ascii="Arial"/>
                <w:sz w:val="21"/>
              </w:rPr>
            </w:pPr>
          </w:p>
        </w:tc>
      </w:tr>
      <w:tr w14:paraId="1BAC0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2" w:hRule="atLeast"/>
        </w:trPr>
        <w:tc>
          <w:tcPr>
            <w:tcW w:w="1161" w:type="dxa"/>
            <w:vMerge w:val="continue"/>
            <w:tcBorders>
              <w:top w:val="nil"/>
              <w:left w:val="single" w:color="000000" w:sz="6" w:space="0"/>
              <w:bottom w:val="single" w:color="000000" w:sz="6" w:space="0"/>
            </w:tcBorders>
            <w:vAlign w:val="top"/>
          </w:tcPr>
          <w:p w14:paraId="6E7B8429">
            <w:pPr>
              <w:rPr>
                <w:rFonts w:ascii="Arial"/>
                <w:sz w:val="21"/>
              </w:rPr>
            </w:pPr>
          </w:p>
        </w:tc>
        <w:tc>
          <w:tcPr>
            <w:tcW w:w="113" w:type="dxa"/>
            <w:tcBorders>
              <w:top w:val="nil"/>
              <w:bottom w:val="single" w:color="000000" w:sz="6" w:space="0"/>
            </w:tcBorders>
            <w:vAlign w:val="top"/>
          </w:tcPr>
          <w:p w14:paraId="41B63209">
            <w:pPr>
              <w:rPr>
                <w:rFonts w:ascii="Arial"/>
                <w:sz w:val="21"/>
              </w:rPr>
            </w:pPr>
          </w:p>
        </w:tc>
        <w:tc>
          <w:tcPr>
            <w:tcW w:w="459" w:type="dxa"/>
            <w:vMerge w:val="continue"/>
            <w:tcBorders>
              <w:top w:val="nil"/>
            </w:tcBorders>
            <w:vAlign w:val="top"/>
          </w:tcPr>
          <w:p w14:paraId="096D0D66">
            <w:pPr>
              <w:rPr>
                <w:rFonts w:ascii="Arial"/>
                <w:sz w:val="21"/>
              </w:rPr>
            </w:pPr>
          </w:p>
        </w:tc>
        <w:tc>
          <w:tcPr>
            <w:tcW w:w="976" w:type="dxa"/>
            <w:vMerge w:val="continue"/>
            <w:tcBorders>
              <w:top w:val="nil"/>
            </w:tcBorders>
            <w:vAlign w:val="top"/>
          </w:tcPr>
          <w:p w14:paraId="5F6948D8">
            <w:pPr>
              <w:rPr>
                <w:rFonts w:ascii="Arial"/>
                <w:sz w:val="21"/>
              </w:rPr>
            </w:pPr>
          </w:p>
        </w:tc>
        <w:tc>
          <w:tcPr>
            <w:tcW w:w="2691" w:type="dxa"/>
            <w:vAlign w:val="top"/>
          </w:tcPr>
          <w:p w14:paraId="646875DA">
            <w:pPr>
              <w:spacing w:before="55" w:line="374" w:lineRule="auto"/>
              <w:ind w:left="110" w:right="105" w:firstLine="17"/>
              <w:rPr>
                <w:rFonts w:ascii="宋体" w:hAnsi="宋体" w:eastAsia="宋体" w:cs="宋体"/>
                <w:sz w:val="20"/>
                <w:szCs w:val="20"/>
              </w:rPr>
            </w:pPr>
            <w:r>
              <w:rPr>
                <w:rFonts w:ascii="Times New Roman" w:hAnsi="Times New Roman" w:eastAsia="Times New Roman" w:cs="Times New Roman"/>
                <w:spacing w:val="4"/>
                <w:sz w:val="20"/>
                <w:szCs w:val="20"/>
              </w:rPr>
              <w:t>12</w:t>
            </w:r>
            <w:r>
              <w:rPr>
                <w:rFonts w:ascii="宋体" w:hAnsi="宋体" w:eastAsia="宋体" w:cs="宋体"/>
                <w:spacing w:val="4"/>
                <w:sz w:val="20"/>
                <w:szCs w:val="20"/>
              </w:rPr>
              <w:t>）严禁引入物耗、水耗和</w:t>
            </w:r>
            <w:r>
              <w:rPr>
                <w:rFonts w:ascii="宋体" w:hAnsi="宋体" w:eastAsia="宋体" w:cs="宋体"/>
                <w:spacing w:val="5"/>
                <w:sz w:val="20"/>
                <w:szCs w:val="20"/>
              </w:rPr>
              <w:t>能耗相对较高，但符合园区</w:t>
            </w:r>
            <w:r>
              <w:rPr>
                <w:rFonts w:ascii="宋体" w:hAnsi="宋体" w:eastAsia="宋体" w:cs="宋体"/>
                <w:spacing w:val="9"/>
                <w:sz w:val="20"/>
                <w:szCs w:val="20"/>
              </w:rPr>
              <w:t>总体规划产业类别的其他</w:t>
            </w:r>
            <w:r>
              <w:rPr>
                <w:rFonts w:ascii="宋体" w:hAnsi="宋体" w:eastAsia="宋体" w:cs="宋体"/>
                <w:spacing w:val="8"/>
                <w:sz w:val="20"/>
                <w:szCs w:val="20"/>
              </w:rPr>
              <w:t>产业 (①属于规划既定行</w:t>
            </w:r>
            <w:r>
              <w:rPr>
                <w:rFonts w:ascii="宋体" w:hAnsi="宋体" w:eastAsia="宋体" w:cs="宋体"/>
                <w:spacing w:val="5"/>
                <w:sz w:val="20"/>
                <w:szCs w:val="20"/>
              </w:rPr>
              <w:t>业，但污染类型复杂、环境风险较大的产业、项目或工艺；②产生废物，且按自有</w:t>
            </w:r>
            <w:r>
              <w:rPr>
                <w:rFonts w:ascii="宋体" w:hAnsi="宋体" w:eastAsia="宋体" w:cs="宋体"/>
                <w:spacing w:val="9"/>
                <w:sz w:val="20"/>
                <w:szCs w:val="20"/>
              </w:rPr>
              <w:t>技术水平无法治理或妥善</w:t>
            </w:r>
            <w:r>
              <w:rPr>
                <w:rFonts w:ascii="宋体" w:hAnsi="宋体" w:eastAsia="宋体" w:cs="宋体"/>
                <w:spacing w:val="5"/>
                <w:sz w:val="20"/>
                <w:szCs w:val="20"/>
              </w:rPr>
              <w:t>处置的；③现有污染治理技术不成熟，或现有技术经济</w:t>
            </w:r>
            <w:r>
              <w:rPr>
                <w:rFonts w:ascii="宋体" w:hAnsi="宋体" w:eastAsia="宋体" w:cs="宋体"/>
                <w:spacing w:val="9"/>
                <w:sz w:val="20"/>
                <w:szCs w:val="20"/>
              </w:rPr>
              <w:t>条件难以承受污染物治理</w:t>
            </w:r>
          </w:p>
        </w:tc>
        <w:tc>
          <w:tcPr>
            <w:tcW w:w="2791" w:type="dxa"/>
            <w:vAlign w:val="top"/>
          </w:tcPr>
          <w:p w14:paraId="3E233180">
            <w:pPr>
              <w:spacing w:line="259" w:lineRule="auto"/>
              <w:rPr>
                <w:rFonts w:ascii="Arial"/>
                <w:sz w:val="21"/>
              </w:rPr>
            </w:pPr>
          </w:p>
          <w:p w14:paraId="1ABB0EE1">
            <w:pPr>
              <w:spacing w:line="259" w:lineRule="auto"/>
              <w:rPr>
                <w:rFonts w:ascii="Arial"/>
                <w:sz w:val="21"/>
              </w:rPr>
            </w:pPr>
          </w:p>
          <w:p w14:paraId="4FE5526D">
            <w:pPr>
              <w:spacing w:line="259" w:lineRule="auto"/>
              <w:rPr>
                <w:rFonts w:ascii="Arial"/>
                <w:sz w:val="21"/>
              </w:rPr>
            </w:pPr>
          </w:p>
          <w:p w14:paraId="075D19A7">
            <w:pPr>
              <w:spacing w:line="260" w:lineRule="auto"/>
              <w:rPr>
                <w:rFonts w:ascii="Arial"/>
                <w:sz w:val="21"/>
              </w:rPr>
            </w:pPr>
          </w:p>
          <w:p w14:paraId="04BC9431">
            <w:pPr>
              <w:spacing w:line="260" w:lineRule="auto"/>
              <w:rPr>
                <w:rFonts w:ascii="Arial"/>
                <w:sz w:val="21"/>
              </w:rPr>
            </w:pPr>
          </w:p>
          <w:p w14:paraId="667EF517">
            <w:pPr>
              <w:spacing w:line="260" w:lineRule="auto"/>
              <w:rPr>
                <w:rFonts w:ascii="Arial"/>
                <w:sz w:val="21"/>
              </w:rPr>
            </w:pPr>
          </w:p>
          <w:p w14:paraId="4A887A78">
            <w:pPr>
              <w:spacing w:line="260" w:lineRule="auto"/>
              <w:rPr>
                <w:rFonts w:ascii="Arial"/>
                <w:sz w:val="21"/>
              </w:rPr>
            </w:pPr>
          </w:p>
          <w:p w14:paraId="4E44B4F7">
            <w:pPr>
              <w:spacing w:before="65" w:line="378" w:lineRule="auto"/>
              <w:ind w:left="121" w:right="102" w:hanging="7"/>
              <w:rPr>
                <w:rFonts w:ascii="宋体" w:hAnsi="宋体" w:eastAsia="宋体" w:cs="宋体"/>
                <w:sz w:val="20"/>
                <w:szCs w:val="20"/>
              </w:rPr>
            </w:pPr>
            <w:r>
              <w:rPr>
                <w:rFonts w:ascii="宋体" w:hAnsi="宋体" w:eastAsia="宋体" w:cs="宋体"/>
                <w:spacing w:val="14"/>
                <w:sz w:val="20"/>
                <w:szCs w:val="20"/>
              </w:rPr>
              <w:t>本项目不属于物耗、水耗和</w:t>
            </w:r>
            <w:r>
              <w:rPr>
                <w:rFonts w:ascii="宋体" w:hAnsi="宋体" w:eastAsia="宋体" w:cs="宋体"/>
                <w:spacing w:val="7"/>
                <w:sz w:val="20"/>
                <w:szCs w:val="20"/>
              </w:rPr>
              <w:t>能耗相对较高的生产企业。</w:t>
            </w:r>
          </w:p>
        </w:tc>
        <w:tc>
          <w:tcPr>
            <w:tcW w:w="558" w:type="dxa"/>
            <w:textDirection w:val="tbRlV"/>
            <w:vAlign w:val="top"/>
          </w:tcPr>
          <w:p w14:paraId="1757C66D">
            <w:pPr>
              <w:spacing w:before="166" w:line="215" w:lineRule="auto"/>
              <w:ind w:left="1893"/>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single" w:color="000000" w:sz="6" w:space="0"/>
              <w:right w:val="single" w:color="000000" w:sz="6" w:space="0"/>
            </w:tcBorders>
            <w:vAlign w:val="top"/>
          </w:tcPr>
          <w:p w14:paraId="338DBACD">
            <w:pPr>
              <w:rPr>
                <w:rFonts w:ascii="Arial"/>
                <w:sz w:val="21"/>
              </w:rPr>
            </w:pPr>
          </w:p>
        </w:tc>
      </w:tr>
    </w:tbl>
    <w:p w14:paraId="1420FE21">
      <w:pPr>
        <w:pStyle w:val="2"/>
      </w:pPr>
    </w:p>
    <w:p w14:paraId="7CF61BE6">
      <w:pPr>
        <w:sectPr>
          <w:footerReference r:id="rId21" w:type="default"/>
          <w:pgSz w:w="11906" w:h="16839"/>
          <w:pgMar w:top="400" w:right="1509" w:bottom="1329" w:left="1509" w:header="0" w:footer="1113" w:gutter="0"/>
          <w:cols w:space="720" w:num="1"/>
        </w:sectPr>
      </w:pPr>
    </w:p>
    <w:p w14:paraId="20C0C709">
      <w:pPr>
        <w:spacing w:before="19"/>
      </w:pPr>
    </w:p>
    <w:p w14:paraId="35B37905">
      <w:pPr>
        <w:spacing w:before="19"/>
      </w:pPr>
    </w:p>
    <w:p w14:paraId="76FC6E6A">
      <w:pPr>
        <w:spacing w:before="19"/>
      </w:pPr>
    </w:p>
    <w:p w14:paraId="3FB82BF8">
      <w:pPr>
        <w:spacing w:before="18"/>
      </w:pPr>
    </w:p>
    <w:p w14:paraId="7E142ACE">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459"/>
        <w:gridCol w:w="976"/>
        <w:gridCol w:w="2691"/>
        <w:gridCol w:w="2791"/>
        <w:gridCol w:w="558"/>
        <w:gridCol w:w="123"/>
      </w:tblGrid>
      <w:tr w14:paraId="1D211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161" w:type="dxa"/>
            <w:vMerge w:val="restart"/>
            <w:tcBorders>
              <w:top w:val="single" w:color="000000" w:sz="6" w:space="0"/>
              <w:left w:val="single" w:color="000000" w:sz="6" w:space="0"/>
              <w:bottom w:val="nil"/>
            </w:tcBorders>
            <w:vAlign w:val="top"/>
          </w:tcPr>
          <w:p w14:paraId="575123E5">
            <w:pPr>
              <w:rPr>
                <w:rFonts w:ascii="Arial"/>
                <w:sz w:val="21"/>
              </w:rPr>
            </w:pPr>
          </w:p>
        </w:tc>
        <w:tc>
          <w:tcPr>
            <w:tcW w:w="113" w:type="dxa"/>
            <w:tcBorders>
              <w:top w:val="single" w:color="000000" w:sz="6" w:space="0"/>
              <w:bottom w:val="nil"/>
            </w:tcBorders>
            <w:vAlign w:val="top"/>
          </w:tcPr>
          <w:p w14:paraId="1329F9A5">
            <w:pPr>
              <w:rPr>
                <w:rFonts w:ascii="Arial"/>
                <w:sz w:val="21"/>
              </w:rPr>
            </w:pPr>
          </w:p>
        </w:tc>
        <w:tc>
          <w:tcPr>
            <w:tcW w:w="459" w:type="dxa"/>
            <w:vMerge w:val="restart"/>
            <w:tcBorders>
              <w:bottom w:val="nil"/>
            </w:tcBorders>
            <w:vAlign w:val="top"/>
          </w:tcPr>
          <w:p w14:paraId="3BFC67AF">
            <w:pPr>
              <w:rPr>
                <w:rFonts w:ascii="Arial"/>
                <w:sz w:val="21"/>
              </w:rPr>
            </w:pPr>
          </w:p>
        </w:tc>
        <w:tc>
          <w:tcPr>
            <w:tcW w:w="976" w:type="dxa"/>
            <w:vMerge w:val="restart"/>
            <w:tcBorders>
              <w:bottom w:val="nil"/>
            </w:tcBorders>
            <w:vAlign w:val="top"/>
          </w:tcPr>
          <w:p w14:paraId="720C21C4">
            <w:pPr>
              <w:rPr>
                <w:rFonts w:ascii="Arial"/>
                <w:sz w:val="21"/>
              </w:rPr>
            </w:pPr>
          </w:p>
        </w:tc>
        <w:tc>
          <w:tcPr>
            <w:tcW w:w="2691" w:type="dxa"/>
            <w:vAlign w:val="top"/>
          </w:tcPr>
          <w:p w14:paraId="4B0F6E4E">
            <w:pPr>
              <w:spacing w:before="37" w:line="227" w:lineRule="auto"/>
              <w:ind w:left="113"/>
              <w:rPr>
                <w:rFonts w:ascii="宋体" w:hAnsi="宋体" w:eastAsia="宋体" w:cs="宋体"/>
                <w:sz w:val="20"/>
                <w:szCs w:val="20"/>
              </w:rPr>
            </w:pPr>
            <w:r>
              <w:rPr>
                <w:rFonts w:ascii="宋体" w:hAnsi="宋体" w:eastAsia="宋体" w:cs="宋体"/>
                <w:spacing w:val="3"/>
                <w:sz w:val="20"/>
                <w:szCs w:val="20"/>
              </w:rPr>
              <w:t>成本的）。</w:t>
            </w:r>
          </w:p>
        </w:tc>
        <w:tc>
          <w:tcPr>
            <w:tcW w:w="2791" w:type="dxa"/>
            <w:vAlign w:val="top"/>
          </w:tcPr>
          <w:p w14:paraId="1B19F6AF">
            <w:pPr>
              <w:rPr>
                <w:rFonts w:ascii="Arial"/>
                <w:sz w:val="21"/>
              </w:rPr>
            </w:pPr>
          </w:p>
        </w:tc>
        <w:tc>
          <w:tcPr>
            <w:tcW w:w="558" w:type="dxa"/>
            <w:vAlign w:val="top"/>
          </w:tcPr>
          <w:p w14:paraId="5F33B87A">
            <w:pPr>
              <w:rPr>
                <w:rFonts w:ascii="Arial"/>
                <w:sz w:val="21"/>
              </w:rPr>
            </w:pPr>
          </w:p>
        </w:tc>
        <w:tc>
          <w:tcPr>
            <w:tcW w:w="123" w:type="dxa"/>
            <w:vMerge w:val="restart"/>
            <w:tcBorders>
              <w:top w:val="single" w:color="000000" w:sz="6" w:space="0"/>
              <w:bottom w:val="nil"/>
              <w:right w:val="single" w:color="000000" w:sz="6" w:space="0"/>
            </w:tcBorders>
            <w:vAlign w:val="top"/>
          </w:tcPr>
          <w:p w14:paraId="7FD6A465">
            <w:pPr>
              <w:rPr>
                <w:rFonts w:ascii="Arial"/>
                <w:sz w:val="21"/>
              </w:rPr>
            </w:pPr>
          </w:p>
        </w:tc>
      </w:tr>
      <w:tr w14:paraId="720F7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1161" w:type="dxa"/>
            <w:vMerge w:val="continue"/>
            <w:tcBorders>
              <w:top w:val="nil"/>
              <w:left w:val="single" w:color="000000" w:sz="6" w:space="0"/>
              <w:bottom w:val="nil"/>
            </w:tcBorders>
            <w:vAlign w:val="top"/>
          </w:tcPr>
          <w:p w14:paraId="3D6FB4AA">
            <w:pPr>
              <w:rPr>
                <w:rFonts w:ascii="Arial"/>
                <w:sz w:val="21"/>
              </w:rPr>
            </w:pPr>
          </w:p>
        </w:tc>
        <w:tc>
          <w:tcPr>
            <w:tcW w:w="113" w:type="dxa"/>
            <w:tcBorders>
              <w:top w:val="nil"/>
              <w:bottom w:val="nil"/>
            </w:tcBorders>
            <w:vAlign w:val="top"/>
          </w:tcPr>
          <w:p w14:paraId="0E02E9A2">
            <w:pPr>
              <w:rPr>
                <w:rFonts w:ascii="Arial"/>
                <w:sz w:val="21"/>
              </w:rPr>
            </w:pPr>
          </w:p>
        </w:tc>
        <w:tc>
          <w:tcPr>
            <w:tcW w:w="459" w:type="dxa"/>
            <w:vMerge w:val="continue"/>
            <w:tcBorders>
              <w:top w:val="nil"/>
              <w:bottom w:val="nil"/>
            </w:tcBorders>
            <w:vAlign w:val="top"/>
          </w:tcPr>
          <w:p w14:paraId="7520B860">
            <w:pPr>
              <w:rPr>
                <w:rFonts w:ascii="Arial"/>
                <w:sz w:val="21"/>
              </w:rPr>
            </w:pPr>
          </w:p>
        </w:tc>
        <w:tc>
          <w:tcPr>
            <w:tcW w:w="976" w:type="dxa"/>
            <w:vMerge w:val="continue"/>
            <w:tcBorders>
              <w:top w:val="nil"/>
            </w:tcBorders>
            <w:vAlign w:val="top"/>
          </w:tcPr>
          <w:p w14:paraId="586C2127">
            <w:pPr>
              <w:rPr>
                <w:rFonts w:ascii="Arial"/>
                <w:sz w:val="21"/>
              </w:rPr>
            </w:pPr>
          </w:p>
        </w:tc>
        <w:tc>
          <w:tcPr>
            <w:tcW w:w="2691" w:type="dxa"/>
            <w:vAlign w:val="top"/>
          </w:tcPr>
          <w:p w14:paraId="3BEFFF26">
            <w:pPr>
              <w:spacing w:before="36" w:line="359" w:lineRule="auto"/>
              <w:ind w:left="118" w:right="99" w:firstLine="3"/>
              <w:rPr>
                <w:rFonts w:ascii="宋体" w:hAnsi="宋体" w:eastAsia="宋体" w:cs="宋体"/>
                <w:sz w:val="20"/>
                <w:szCs w:val="20"/>
              </w:rPr>
            </w:pPr>
            <w:r>
              <w:rPr>
                <w:rFonts w:ascii="宋体" w:hAnsi="宋体" w:eastAsia="宋体" w:cs="宋体"/>
                <w:spacing w:val="4"/>
                <w:sz w:val="20"/>
                <w:szCs w:val="20"/>
              </w:rPr>
              <w:t>（</w:t>
            </w:r>
            <w:r>
              <w:rPr>
                <w:rFonts w:ascii="Times New Roman" w:hAnsi="Times New Roman" w:eastAsia="Times New Roman" w:cs="Times New Roman"/>
                <w:spacing w:val="4"/>
                <w:sz w:val="20"/>
                <w:szCs w:val="20"/>
              </w:rPr>
              <w:t>13</w:t>
            </w:r>
            <w:r>
              <w:rPr>
                <w:rFonts w:ascii="宋体" w:hAnsi="宋体" w:eastAsia="宋体" w:cs="宋体"/>
                <w:spacing w:val="4"/>
                <w:sz w:val="20"/>
                <w:szCs w:val="20"/>
              </w:rPr>
              <w:t>）禁止入园企业开采地</w:t>
            </w:r>
            <w:r>
              <w:rPr>
                <w:rFonts w:ascii="宋体" w:hAnsi="宋体" w:eastAsia="宋体" w:cs="宋体"/>
                <w:spacing w:val="5"/>
                <w:sz w:val="20"/>
                <w:szCs w:val="20"/>
              </w:rPr>
              <w:t>下水作为生产、生活用水。</w:t>
            </w:r>
          </w:p>
        </w:tc>
        <w:tc>
          <w:tcPr>
            <w:tcW w:w="2791" w:type="dxa"/>
            <w:vAlign w:val="top"/>
          </w:tcPr>
          <w:p w14:paraId="7A1B7CF4">
            <w:pPr>
              <w:spacing w:before="36" w:line="359" w:lineRule="auto"/>
              <w:ind w:left="115" w:right="102" w:hanging="1"/>
              <w:rPr>
                <w:rFonts w:ascii="宋体" w:hAnsi="宋体" w:eastAsia="宋体" w:cs="宋体"/>
                <w:sz w:val="20"/>
                <w:szCs w:val="20"/>
              </w:rPr>
            </w:pPr>
            <w:r>
              <w:rPr>
                <w:rFonts w:ascii="宋体" w:hAnsi="宋体" w:eastAsia="宋体" w:cs="宋体"/>
                <w:spacing w:val="14"/>
                <w:sz w:val="20"/>
                <w:szCs w:val="20"/>
              </w:rPr>
              <w:t>本</w:t>
            </w:r>
            <w:r>
              <w:rPr>
                <w:rFonts w:ascii="宋体" w:hAnsi="宋体" w:eastAsia="宋体" w:cs="宋体"/>
                <w:spacing w:val="-56"/>
                <w:sz w:val="20"/>
                <w:szCs w:val="20"/>
              </w:rPr>
              <w:t xml:space="preserve"> </w:t>
            </w:r>
            <w:r>
              <w:rPr>
                <w:rFonts w:ascii="宋体" w:hAnsi="宋体" w:eastAsia="宋体" w:cs="宋体"/>
                <w:spacing w:val="14"/>
                <w:sz w:val="20"/>
                <w:szCs w:val="20"/>
              </w:rPr>
              <w:t>项</w:t>
            </w:r>
            <w:r>
              <w:rPr>
                <w:rFonts w:ascii="宋体" w:hAnsi="宋体" w:eastAsia="宋体" w:cs="宋体"/>
                <w:spacing w:val="-26"/>
                <w:sz w:val="20"/>
                <w:szCs w:val="20"/>
              </w:rPr>
              <w:t xml:space="preserve"> </w:t>
            </w:r>
            <w:r>
              <w:rPr>
                <w:rFonts w:ascii="宋体" w:hAnsi="宋体" w:eastAsia="宋体" w:cs="宋体"/>
                <w:spacing w:val="14"/>
                <w:sz w:val="20"/>
                <w:szCs w:val="20"/>
              </w:rPr>
              <w:t>目用水为市政</w:t>
            </w:r>
            <w:r>
              <w:rPr>
                <w:rFonts w:ascii="宋体" w:hAnsi="宋体" w:eastAsia="宋体" w:cs="宋体"/>
                <w:spacing w:val="-58"/>
                <w:sz w:val="20"/>
                <w:szCs w:val="20"/>
              </w:rPr>
              <w:t xml:space="preserve"> </w:t>
            </w:r>
            <w:r>
              <w:rPr>
                <w:rFonts w:ascii="宋体" w:hAnsi="宋体" w:eastAsia="宋体" w:cs="宋体"/>
                <w:spacing w:val="14"/>
                <w:sz w:val="20"/>
                <w:szCs w:val="20"/>
              </w:rPr>
              <w:t>管</w:t>
            </w:r>
            <w:r>
              <w:rPr>
                <w:rFonts w:ascii="宋体" w:hAnsi="宋体" w:eastAsia="宋体" w:cs="宋体"/>
                <w:spacing w:val="-47"/>
                <w:sz w:val="20"/>
                <w:szCs w:val="20"/>
              </w:rPr>
              <w:t xml:space="preserve"> </w:t>
            </w:r>
            <w:r>
              <w:rPr>
                <w:rFonts w:ascii="宋体" w:hAnsi="宋体" w:eastAsia="宋体" w:cs="宋体"/>
                <w:spacing w:val="14"/>
                <w:sz w:val="20"/>
                <w:szCs w:val="20"/>
              </w:rPr>
              <w:t>网供</w:t>
            </w:r>
            <w:r>
              <w:rPr>
                <w:rFonts w:ascii="宋体" w:hAnsi="宋体" w:eastAsia="宋体" w:cs="宋体"/>
                <w:spacing w:val="8"/>
                <w:sz w:val="20"/>
                <w:szCs w:val="20"/>
              </w:rPr>
              <w:t>水，不进行地下水的开采。</w:t>
            </w:r>
          </w:p>
        </w:tc>
        <w:tc>
          <w:tcPr>
            <w:tcW w:w="558" w:type="dxa"/>
            <w:textDirection w:val="tbRlV"/>
            <w:vAlign w:val="top"/>
          </w:tcPr>
          <w:p w14:paraId="0F6FD1F8">
            <w:pPr>
              <w:spacing w:before="166" w:line="215" w:lineRule="auto"/>
              <w:ind w:left="36"/>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20636A6A">
            <w:pPr>
              <w:rPr>
                <w:rFonts w:ascii="Arial"/>
                <w:sz w:val="21"/>
              </w:rPr>
            </w:pPr>
          </w:p>
        </w:tc>
      </w:tr>
      <w:tr w14:paraId="53A8F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2" w:hRule="atLeast"/>
        </w:trPr>
        <w:tc>
          <w:tcPr>
            <w:tcW w:w="1161" w:type="dxa"/>
            <w:vMerge w:val="continue"/>
            <w:tcBorders>
              <w:top w:val="nil"/>
              <w:left w:val="single" w:color="000000" w:sz="6" w:space="0"/>
              <w:bottom w:val="nil"/>
            </w:tcBorders>
            <w:vAlign w:val="top"/>
          </w:tcPr>
          <w:p w14:paraId="5D9FBD87">
            <w:pPr>
              <w:rPr>
                <w:rFonts w:ascii="Arial"/>
                <w:sz w:val="21"/>
              </w:rPr>
            </w:pPr>
          </w:p>
        </w:tc>
        <w:tc>
          <w:tcPr>
            <w:tcW w:w="113" w:type="dxa"/>
            <w:tcBorders>
              <w:top w:val="nil"/>
              <w:bottom w:val="nil"/>
            </w:tcBorders>
            <w:vAlign w:val="top"/>
          </w:tcPr>
          <w:p w14:paraId="42E67F1C">
            <w:pPr>
              <w:rPr>
                <w:rFonts w:ascii="Arial"/>
                <w:sz w:val="21"/>
              </w:rPr>
            </w:pPr>
          </w:p>
        </w:tc>
        <w:tc>
          <w:tcPr>
            <w:tcW w:w="459" w:type="dxa"/>
            <w:vMerge w:val="continue"/>
            <w:tcBorders>
              <w:top w:val="nil"/>
              <w:bottom w:val="nil"/>
            </w:tcBorders>
            <w:vAlign w:val="top"/>
          </w:tcPr>
          <w:p w14:paraId="00087E8A">
            <w:pPr>
              <w:rPr>
                <w:rFonts w:ascii="Arial"/>
                <w:sz w:val="21"/>
              </w:rPr>
            </w:pPr>
          </w:p>
        </w:tc>
        <w:tc>
          <w:tcPr>
            <w:tcW w:w="976" w:type="dxa"/>
            <w:vMerge w:val="restart"/>
            <w:tcBorders>
              <w:bottom w:val="nil"/>
            </w:tcBorders>
            <w:vAlign w:val="top"/>
          </w:tcPr>
          <w:p w14:paraId="767CD2FD">
            <w:pPr>
              <w:spacing w:line="297" w:lineRule="auto"/>
              <w:rPr>
                <w:rFonts w:ascii="Arial"/>
                <w:sz w:val="21"/>
              </w:rPr>
            </w:pPr>
          </w:p>
          <w:p w14:paraId="631BE2B3">
            <w:pPr>
              <w:spacing w:line="298" w:lineRule="auto"/>
              <w:rPr>
                <w:rFonts w:ascii="Arial"/>
                <w:sz w:val="21"/>
              </w:rPr>
            </w:pPr>
          </w:p>
          <w:p w14:paraId="230607A2">
            <w:pPr>
              <w:spacing w:line="298" w:lineRule="auto"/>
              <w:rPr>
                <w:rFonts w:ascii="Arial"/>
                <w:sz w:val="21"/>
              </w:rPr>
            </w:pPr>
          </w:p>
          <w:p w14:paraId="11DF2FA2">
            <w:pPr>
              <w:spacing w:line="298" w:lineRule="auto"/>
              <w:rPr>
                <w:rFonts w:ascii="Arial"/>
                <w:sz w:val="21"/>
              </w:rPr>
            </w:pPr>
          </w:p>
          <w:p w14:paraId="1DBE82D8">
            <w:pPr>
              <w:spacing w:before="65" w:line="383" w:lineRule="auto"/>
              <w:ind w:left="388" w:right="174" w:hanging="213"/>
              <w:rPr>
                <w:rFonts w:ascii="宋体" w:hAnsi="宋体" w:eastAsia="宋体" w:cs="宋体"/>
                <w:sz w:val="20"/>
                <w:szCs w:val="20"/>
              </w:rPr>
            </w:pPr>
            <w:r>
              <w:rPr>
                <w:rFonts w:ascii="宋体" w:hAnsi="宋体" w:eastAsia="宋体" w:cs="宋体"/>
                <w:spacing w:val="6"/>
                <w:sz w:val="20"/>
                <w:szCs w:val="20"/>
              </w:rPr>
              <w:t>禁入工</w:t>
            </w:r>
            <w:r>
              <w:rPr>
                <w:rFonts w:ascii="宋体" w:hAnsi="宋体" w:eastAsia="宋体" w:cs="宋体"/>
                <w:sz w:val="20"/>
                <w:szCs w:val="20"/>
              </w:rPr>
              <w:t>艺</w:t>
            </w:r>
          </w:p>
        </w:tc>
        <w:tc>
          <w:tcPr>
            <w:tcW w:w="2691" w:type="dxa"/>
            <w:vAlign w:val="top"/>
          </w:tcPr>
          <w:p w14:paraId="5E0ECB45">
            <w:pPr>
              <w:spacing w:before="33" w:line="362" w:lineRule="auto"/>
              <w:ind w:left="112" w:right="107" w:firstLine="9"/>
              <w:jc w:val="both"/>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1</w:t>
            </w:r>
            <w:r>
              <w:rPr>
                <w:rFonts w:ascii="宋体" w:hAnsi="宋体" w:eastAsia="宋体" w:cs="宋体"/>
                <w:spacing w:val="7"/>
                <w:sz w:val="20"/>
                <w:szCs w:val="20"/>
              </w:rPr>
              <w:t>）《产业结构调整指导</w:t>
            </w:r>
            <w:r>
              <w:rPr>
                <w:rFonts w:ascii="宋体" w:hAnsi="宋体" w:eastAsia="宋体" w:cs="宋体"/>
                <w:spacing w:val="1"/>
                <w:sz w:val="20"/>
                <w:szCs w:val="20"/>
              </w:rPr>
              <w:t>目录（</w:t>
            </w: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年本）》（或更</w:t>
            </w:r>
            <w:r>
              <w:rPr>
                <w:rFonts w:ascii="宋体" w:hAnsi="宋体" w:eastAsia="宋体" w:cs="宋体"/>
                <w:spacing w:val="5"/>
                <w:sz w:val="20"/>
                <w:szCs w:val="20"/>
              </w:rPr>
              <w:t>新）中淘汰、落后的生产工</w:t>
            </w:r>
            <w:r>
              <w:rPr>
                <w:rFonts w:ascii="宋体" w:hAnsi="宋体" w:eastAsia="宋体" w:cs="宋体"/>
                <w:sz w:val="20"/>
                <w:szCs w:val="20"/>
              </w:rPr>
              <w:t>艺；</w:t>
            </w:r>
          </w:p>
        </w:tc>
        <w:tc>
          <w:tcPr>
            <w:tcW w:w="2791" w:type="dxa"/>
            <w:vAlign w:val="top"/>
          </w:tcPr>
          <w:p w14:paraId="7DC37344">
            <w:pPr>
              <w:spacing w:before="33" w:line="362" w:lineRule="auto"/>
              <w:ind w:left="115" w:right="100"/>
              <w:jc w:val="both"/>
              <w:rPr>
                <w:rFonts w:ascii="宋体" w:hAnsi="宋体" w:eastAsia="宋体" w:cs="宋体"/>
                <w:sz w:val="20"/>
                <w:szCs w:val="20"/>
              </w:rPr>
            </w:pPr>
            <w:r>
              <w:rPr>
                <w:rFonts w:ascii="宋体" w:hAnsi="宋体" w:eastAsia="宋体" w:cs="宋体"/>
                <w:spacing w:val="13"/>
                <w:sz w:val="20"/>
                <w:szCs w:val="20"/>
              </w:rPr>
              <w:t>经查阅《产业结构调整指导</w:t>
            </w:r>
            <w:r>
              <w:rPr>
                <w:rFonts w:ascii="宋体" w:hAnsi="宋体" w:eastAsia="宋体" w:cs="宋体"/>
                <w:spacing w:val="6"/>
                <w:sz w:val="20"/>
                <w:szCs w:val="20"/>
              </w:rPr>
              <w:t>目录》（</w:t>
            </w:r>
            <w:r>
              <w:rPr>
                <w:rFonts w:ascii="Times New Roman" w:hAnsi="Times New Roman" w:eastAsia="Times New Roman" w:cs="Times New Roman"/>
                <w:spacing w:val="6"/>
                <w:sz w:val="20"/>
                <w:szCs w:val="20"/>
              </w:rPr>
              <w:t xml:space="preserve">2024 </w:t>
            </w:r>
            <w:r>
              <w:rPr>
                <w:rFonts w:ascii="宋体" w:hAnsi="宋体" w:eastAsia="宋体" w:cs="宋体"/>
                <w:spacing w:val="6"/>
                <w:sz w:val="20"/>
                <w:szCs w:val="20"/>
              </w:rPr>
              <w:t>年版</w:t>
            </w:r>
            <w:r>
              <w:rPr>
                <w:rFonts w:ascii="宋体" w:hAnsi="宋体" w:eastAsia="宋体" w:cs="宋体"/>
                <w:spacing w:val="20"/>
                <w:sz w:val="20"/>
                <w:szCs w:val="20"/>
              </w:rPr>
              <w:t>），</w:t>
            </w:r>
            <w:r>
              <w:rPr>
                <w:rFonts w:ascii="宋体" w:hAnsi="宋体" w:eastAsia="宋体" w:cs="宋体"/>
                <w:spacing w:val="6"/>
                <w:sz w:val="20"/>
                <w:szCs w:val="20"/>
              </w:rPr>
              <w:t>本项</w:t>
            </w:r>
            <w:r>
              <w:rPr>
                <w:rFonts w:ascii="宋体" w:hAnsi="宋体" w:eastAsia="宋体" w:cs="宋体"/>
                <w:spacing w:val="13"/>
                <w:sz w:val="20"/>
                <w:szCs w:val="20"/>
              </w:rPr>
              <w:t>目所有工艺不属于该目录中</w:t>
            </w:r>
            <w:r>
              <w:rPr>
                <w:rFonts w:ascii="宋体" w:hAnsi="宋体" w:eastAsia="宋体" w:cs="宋体"/>
                <w:spacing w:val="7"/>
                <w:sz w:val="20"/>
                <w:szCs w:val="20"/>
              </w:rPr>
              <w:t>淘汰、落后的生产工艺。</w:t>
            </w:r>
          </w:p>
        </w:tc>
        <w:tc>
          <w:tcPr>
            <w:tcW w:w="558" w:type="dxa"/>
            <w:vMerge w:val="restart"/>
            <w:tcBorders>
              <w:bottom w:val="nil"/>
            </w:tcBorders>
            <w:textDirection w:val="tbRlV"/>
            <w:vAlign w:val="top"/>
          </w:tcPr>
          <w:p w14:paraId="2F324B85">
            <w:pPr>
              <w:spacing w:before="166" w:line="215" w:lineRule="auto"/>
              <w:ind w:left="1263"/>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1CBDE3C2">
            <w:pPr>
              <w:rPr>
                <w:rFonts w:ascii="Arial"/>
                <w:sz w:val="21"/>
              </w:rPr>
            </w:pPr>
          </w:p>
        </w:tc>
      </w:tr>
      <w:tr w14:paraId="6FBCA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3" w:hRule="atLeast"/>
        </w:trPr>
        <w:tc>
          <w:tcPr>
            <w:tcW w:w="1161" w:type="dxa"/>
            <w:vMerge w:val="continue"/>
            <w:tcBorders>
              <w:top w:val="nil"/>
              <w:left w:val="single" w:color="000000" w:sz="6" w:space="0"/>
              <w:bottom w:val="nil"/>
            </w:tcBorders>
            <w:vAlign w:val="top"/>
          </w:tcPr>
          <w:p w14:paraId="3776FFFC">
            <w:pPr>
              <w:rPr>
                <w:rFonts w:ascii="Arial"/>
                <w:sz w:val="21"/>
              </w:rPr>
            </w:pPr>
          </w:p>
        </w:tc>
        <w:tc>
          <w:tcPr>
            <w:tcW w:w="113" w:type="dxa"/>
            <w:tcBorders>
              <w:top w:val="nil"/>
              <w:bottom w:val="nil"/>
            </w:tcBorders>
            <w:vAlign w:val="top"/>
          </w:tcPr>
          <w:p w14:paraId="62AA90CE">
            <w:pPr>
              <w:rPr>
                <w:rFonts w:ascii="Arial"/>
                <w:sz w:val="21"/>
              </w:rPr>
            </w:pPr>
          </w:p>
        </w:tc>
        <w:tc>
          <w:tcPr>
            <w:tcW w:w="459" w:type="dxa"/>
            <w:vMerge w:val="continue"/>
            <w:tcBorders>
              <w:top w:val="nil"/>
              <w:bottom w:val="nil"/>
            </w:tcBorders>
            <w:vAlign w:val="top"/>
          </w:tcPr>
          <w:p w14:paraId="2153ACFE">
            <w:pPr>
              <w:rPr>
                <w:rFonts w:ascii="Arial"/>
                <w:sz w:val="21"/>
              </w:rPr>
            </w:pPr>
          </w:p>
        </w:tc>
        <w:tc>
          <w:tcPr>
            <w:tcW w:w="976" w:type="dxa"/>
            <w:vMerge w:val="continue"/>
            <w:tcBorders>
              <w:top w:val="nil"/>
            </w:tcBorders>
            <w:vAlign w:val="top"/>
          </w:tcPr>
          <w:p w14:paraId="0953146F">
            <w:pPr>
              <w:rPr>
                <w:rFonts w:ascii="Arial"/>
                <w:sz w:val="21"/>
              </w:rPr>
            </w:pPr>
          </w:p>
        </w:tc>
        <w:tc>
          <w:tcPr>
            <w:tcW w:w="2691" w:type="dxa"/>
            <w:vAlign w:val="top"/>
          </w:tcPr>
          <w:p w14:paraId="2D40EBE6">
            <w:pPr>
              <w:spacing w:before="61" w:line="365" w:lineRule="auto"/>
              <w:ind w:left="113" w:right="105" w:firstLine="8"/>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2</w:t>
            </w:r>
            <w:r>
              <w:rPr>
                <w:rFonts w:ascii="宋体" w:hAnsi="宋体" w:eastAsia="宋体" w:cs="宋体"/>
                <w:spacing w:val="7"/>
                <w:sz w:val="20"/>
                <w:szCs w:val="20"/>
              </w:rPr>
              <w:t>）《部分工业行业淘汰</w:t>
            </w:r>
            <w:r>
              <w:rPr>
                <w:rFonts w:ascii="宋体" w:hAnsi="宋体" w:eastAsia="宋体" w:cs="宋体"/>
                <w:spacing w:val="9"/>
                <w:sz w:val="20"/>
                <w:szCs w:val="20"/>
              </w:rPr>
              <w:t>落后生产工艺装备和产品</w:t>
            </w:r>
            <w:r>
              <w:rPr>
                <w:rFonts w:ascii="宋体" w:hAnsi="宋体" w:eastAsia="宋体" w:cs="宋体"/>
                <w:spacing w:val="-13"/>
                <w:sz w:val="20"/>
                <w:szCs w:val="20"/>
              </w:rPr>
              <w:t>指导目录（</w:t>
            </w:r>
            <w:r>
              <w:rPr>
                <w:rFonts w:ascii="Times New Roman" w:hAnsi="Times New Roman" w:eastAsia="Times New Roman" w:cs="Times New Roman"/>
                <w:spacing w:val="-13"/>
                <w:sz w:val="20"/>
                <w:szCs w:val="20"/>
              </w:rPr>
              <w:t>2022</w:t>
            </w:r>
            <w:r>
              <w:rPr>
                <w:rFonts w:ascii="Times New Roman" w:hAnsi="Times New Roman" w:eastAsia="Times New Roman" w:cs="Times New Roman"/>
                <w:spacing w:val="11"/>
                <w:sz w:val="20"/>
                <w:szCs w:val="20"/>
              </w:rPr>
              <w:t xml:space="preserve"> </w:t>
            </w:r>
            <w:r>
              <w:rPr>
                <w:rFonts w:ascii="宋体" w:hAnsi="宋体" w:eastAsia="宋体" w:cs="宋体"/>
                <w:spacing w:val="-13"/>
                <w:sz w:val="20"/>
                <w:szCs w:val="20"/>
              </w:rPr>
              <w:t>年本）》（或</w:t>
            </w:r>
            <w:r>
              <w:rPr>
                <w:rFonts w:ascii="宋体" w:hAnsi="宋体" w:eastAsia="宋体" w:cs="宋体"/>
                <w:spacing w:val="7"/>
                <w:sz w:val="20"/>
                <w:szCs w:val="20"/>
              </w:rPr>
              <w:t>更新）的生产工艺；</w:t>
            </w:r>
          </w:p>
        </w:tc>
        <w:tc>
          <w:tcPr>
            <w:tcW w:w="2791" w:type="dxa"/>
            <w:vAlign w:val="top"/>
          </w:tcPr>
          <w:p w14:paraId="671830F8">
            <w:pPr>
              <w:spacing w:before="61" w:line="365" w:lineRule="auto"/>
              <w:ind w:left="112" w:right="7" w:firstLine="1"/>
              <w:jc w:val="both"/>
              <w:rPr>
                <w:rFonts w:ascii="宋体" w:hAnsi="宋体" w:eastAsia="宋体" w:cs="宋体"/>
                <w:sz w:val="20"/>
                <w:szCs w:val="20"/>
              </w:rPr>
            </w:pPr>
            <w:r>
              <w:rPr>
                <w:rFonts w:ascii="宋体" w:hAnsi="宋体" w:eastAsia="宋体" w:cs="宋体"/>
                <w:spacing w:val="9"/>
                <w:sz w:val="20"/>
                <w:szCs w:val="20"/>
              </w:rPr>
              <w:t>本项目不属于《部分工业行业淘汰落后生产工艺装备和</w:t>
            </w:r>
            <w:r>
              <w:rPr>
                <w:rFonts w:ascii="宋体" w:hAnsi="宋体" w:eastAsia="宋体" w:cs="宋体"/>
                <w:sz w:val="20"/>
                <w:szCs w:val="20"/>
              </w:rPr>
              <w:t>产品指导目录（</w:t>
            </w:r>
            <w:r>
              <w:rPr>
                <w:rFonts w:ascii="Times New Roman" w:hAnsi="Times New Roman" w:eastAsia="Times New Roman" w:cs="Times New Roman"/>
                <w:sz w:val="20"/>
                <w:szCs w:val="20"/>
              </w:rPr>
              <w:t xml:space="preserve">2022 </w:t>
            </w:r>
            <w:r>
              <w:rPr>
                <w:rFonts w:ascii="宋体" w:hAnsi="宋体" w:eastAsia="宋体" w:cs="宋体"/>
                <w:sz w:val="20"/>
                <w:szCs w:val="20"/>
              </w:rPr>
              <w:t>年本）》</w:t>
            </w:r>
            <w:r>
              <w:rPr>
                <w:rFonts w:ascii="宋体" w:hAnsi="宋体" w:eastAsia="宋体" w:cs="宋体"/>
                <w:spacing w:val="6"/>
                <w:sz w:val="20"/>
                <w:szCs w:val="20"/>
              </w:rPr>
              <w:t>的生产工艺。</w:t>
            </w:r>
          </w:p>
        </w:tc>
        <w:tc>
          <w:tcPr>
            <w:tcW w:w="558" w:type="dxa"/>
            <w:vMerge w:val="continue"/>
            <w:tcBorders>
              <w:top w:val="nil"/>
            </w:tcBorders>
            <w:textDirection w:val="tbRlV"/>
            <w:vAlign w:val="top"/>
          </w:tcPr>
          <w:p w14:paraId="5E37C697">
            <w:pPr>
              <w:rPr>
                <w:rFonts w:ascii="Arial"/>
                <w:sz w:val="21"/>
              </w:rPr>
            </w:pPr>
          </w:p>
        </w:tc>
        <w:tc>
          <w:tcPr>
            <w:tcW w:w="123" w:type="dxa"/>
            <w:vMerge w:val="continue"/>
            <w:tcBorders>
              <w:top w:val="nil"/>
              <w:bottom w:val="nil"/>
              <w:right w:val="single" w:color="000000" w:sz="6" w:space="0"/>
            </w:tcBorders>
            <w:vAlign w:val="top"/>
          </w:tcPr>
          <w:p w14:paraId="10BAB02F">
            <w:pPr>
              <w:rPr>
                <w:rFonts w:ascii="Arial"/>
                <w:sz w:val="21"/>
              </w:rPr>
            </w:pPr>
          </w:p>
        </w:tc>
      </w:tr>
      <w:tr w14:paraId="13526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3" w:hRule="atLeast"/>
        </w:trPr>
        <w:tc>
          <w:tcPr>
            <w:tcW w:w="1161" w:type="dxa"/>
            <w:vMerge w:val="continue"/>
            <w:tcBorders>
              <w:top w:val="nil"/>
              <w:left w:val="single" w:color="000000" w:sz="6" w:space="0"/>
              <w:bottom w:val="nil"/>
            </w:tcBorders>
            <w:vAlign w:val="top"/>
          </w:tcPr>
          <w:p w14:paraId="129C30D6">
            <w:pPr>
              <w:rPr>
                <w:rFonts w:ascii="Arial"/>
                <w:sz w:val="21"/>
              </w:rPr>
            </w:pPr>
          </w:p>
        </w:tc>
        <w:tc>
          <w:tcPr>
            <w:tcW w:w="113" w:type="dxa"/>
            <w:tcBorders>
              <w:top w:val="nil"/>
              <w:bottom w:val="nil"/>
            </w:tcBorders>
            <w:vAlign w:val="top"/>
          </w:tcPr>
          <w:p w14:paraId="137D125E">
            <w:pPr>
              <w:rPr>
                <w:rFonts w:ascii="Arial"/>
                <w:sz w:val="21"/>
              </w:rPr>
            </w:pPr>
          </w:p>
        </w:tc>
        <w:tc>
          <w:tcPr>
            <w:tcW w:w="459" w:type="dxa"/>
            <w:vMerge w:val="continue"/>
            <w:tcBorders>
              <w:top w:val="nil"/>
              <w:bottom w:val="nil"/>
            </w:tcBorders>
            <w:vAlign w:val="top"/>
          </w:tcPr>
          <w:p w14:paraId="43014397">
            <w:pPr>
              <w:rPr>
                <w:rFonts w:ascii="Arial"/>
                <w:sz w:val="21"/>
              </w:rPr>
            </w:pPr>
          </w:p>
        </w:tc>
        <w:tc>
          <w:tcPr>
            <w:tcW w:w="976" w:type="dxa"/>
            <w:vAlign w:val="top"/>
          </w:tcPr>
          <w:p w14:paraId="57C08D43">
            <w:pPr>
              <w:spacing w:line="386" w:lineRule="auto"/>
              <w:rPr>
                <w:rFonts w:ascii="Arial"/>
                <w:sz w:val="21"/>
              </w:rPr>
            </w:pPr>
          </w:p>
          <w:p w14:paraId="5944A9C9">
            <w:pPr>
              <w:spacing w:before="65" w:line="380" w:lineRule="auto"/>
              <w:ind w:left="400" w:right="174" w:hanging="225"/>
              <w:rPr>
                <w:rFonts w:ascii="宋体" w:hAnsi="宋体" w:eastAsia="宋体" w:cs="宋体"/>
                <w:sz w:val="20"/>
                <w:szCs w:val="20"/>
              </w:rPr>
            </w:pPr>
            <w:r>
              <w:rPr>
                <w:rFonts w:ascii="宋体" w:hAnsi="宋体" w:eastAsia="宋体" w:cs="宋体"/>
                <w:spacing w:val="6"/>
                <w:sz w:val="20"/>
                <w:szCs w:val="20"/>
              </w:rPr>
              <w:t>禁入产</w:t>
            </w:r>
            <w:r>
              <w:rPr>
                <w:rFonts w:ascii="宋体" w:hAnsi="宋体" w:eastAsia="宋体" w:cs="宋体"/>
                <w:sz w:val="20"/>
                <w:szCs w:val="20"/>
              </w:rPr>
              <w:t>品</w:t>
            </w:r>
          </w:p>
        </w:tc>
        <w:tc>
          <w:tcPr>
            <w:tcW w:w="2691" w:type="dxa"/>
            <w:vAlign w:val="top"/>
          </w:tcPr>
          <w:p w14:paraId="29D2F720">
            <w:pPr>
              <w:spacing w:before="46" w:line="366" w:lineRule="auto"/>
              <w:ind w:left="112" w:right="107" w:firstLine="4"/>
              <w:rPr>
                <w:rFonts w:ascii="宋体" w:hAnsi="宋体" w:eastAsia="宋体" w:cs="宋体"/>
                <w:sz w:val="20"/>
                <w:szCs w:val="20"/>
              </w:rPr>
            </w:pPr>
            <w:r>
              <w:rPr>
                <w:rFonts w:ascii="宋体" w:hAnsi="宋体" w:eastAsia="宋体" w:cs="宋体"/>
                <w:spacing w:val="8"/>
                <w:sz w:val="20"/>
                <w:szCs w:val="20"/>
              </w:rPr>
              <w:t>《部分工业行业淘汰落后</w:t>
            </w:r>
            <w:r>
              <w:rPr>
                <w:rFonts w:ascii="宋体" w:hAnsi="宋体" w:eastAsia="宋体" w:cs="宋体"/>
                <w:spacing w:val="9"/>
                <w:sz w:val="20"/>
                <w:szCs w:val="20"/>
              </w:rPr>
              <w:t>生产工艺装备和产品指导</w:t>
            </w:r>
            <w:r>
              <w:rPr>
                <w:rFonts w:ascii="宋体" w:hAnsi="宋体" w:eastAsia="宋体" w:cs="宋体"/>
                <w:spacing w:val="1"/>
                <w:sz w:val="20"/>
                <w:szCs w:val="20"/>
              </w:rPr>
              <w:t>目录（</w:t>
            </w:r>
            <w:r>
              <w:rPr>
                <w:rFonts w:ascii="Times New Roman" w:hAnsi="Times New Roman" w:eastAsia="Times New Roman" w:cs="Times New Roman"/>
                <w:spacing w:val="1"/>
                <w:sz w:val="20"/>
                <w:szCs w:val="20"/>
              </w:rPr>
              <w:t xml:space="preserve">2022 </w:t>
            </w:r>
            <w:r>
              <w:rPr>
                <w:rFonts w:ascii="宋体" w:hAnsi="宋体" w:eastAsia="宋体" w:cs="宋体"/>
                <w:spacing w:val="1"/>
                <w:sz w:val="20"/>
                <w:szCs w:val="20"/>
              </w:rPr>
              <w:t>年本）》（或更</w:t>
            </w:r>
            <w:r>
              <w:rPr>
                <w:rFonts w:ascii="宋体" w:hAnsi="宋体" w:eastAsia="宋体" w:cs="宋体"/>
                <w:spacing w:val="6"/>
                <w:sz w:val="20"/>
                <w:szCs w:val="20"/>
              </w:rPr>
              <w:t>新）的产品。</w:t>
            </w:r>
          </w:p>
        </w:tc>
        <w:tc>
          <w:tcPr>
            <w:tcW w:w="2791" w:type="dxa"/>
            <w:vAlign w:val="top"/>
          </w:tcPr>
          <w:p w14:paraId="3DAE28B3">
            <w:pPr>
              <w:spacing w:before="46" w:line="366" w:lineRule="auto"/>
              <w:ind w:left="112" w:right="7" w:firstLine="1"/>
              <w:jc w:val="both"/>
              <w:rPr>
                <w:rFonts w:ascii="宋体" w:hAnsi="宋体" w:eastAsia="宋体" w:cs="宋体"/>
                <w:sz w:val="20"/>
                <w:szCs w:val="20"/>
              </w:rPr>
            </w:pPr>
            <w:r>
              <w:rPr>
                <w:rFonts w:ascii="宋体" w:hAnsi="宋体" w:eastAsia="宋体" w:cs="宋体"/>
                <w:spacing w:val="9"/>
                <w:sz w:val="20"/>
                <w:szCs w:val="20"/>
              </w:rPr>
              <w:t>本项目不属于《部分工业行业淘汰落后生产工艺装备和</w:t>
            </w:r>
            <w:r>
              <w:rPr>
                <w:rFonts w:ascii="宋体" w:hAnsi="宋体" w:eastAsia="宋体" w:cs="宋体"/>
                <w:sz w:val="20"/>
                <w:szCs w:val="20"/>
              </w:rPr>
              <w:t>产品指导目录（</w:t>
            </w:r>
            <w:r>
              <w:rPr>
                <w:rFonts w:ascii="Times New Roman" w:hAnsi="Times New Roman" w:eastAsia="Times New Roman" w:cs="Times New Roman"/>
                <w:sz w:val="20"/>
                <w:szCs w:val="20"/>
              </w:rPr>
              <w:t xml:space="preserve">2022 </w:t>
            </w:r>
            <w:r>
              <w:rPr>
                <w:rFonts w:ascii="宋体" w:hAnsi="宋体" w:eastAsia="宋体" w:cs="宋体"/>
                <w:sz w:val="20"/>
                <w:szCs w:val="20"/>
              </w:rPr>
              <w:t>年本）》</w:t>
            </w:r>
            <w:r>
              <w:rPr>
                <w:rFonts w:ascii="宋体" w:hAnsi="宋体" w:eastAsia="宋体" w:cs="宋体"/>
                <w:spacing w:val="5"/>
                <w:sz w:val="20"/>
                <w:szCs w:val="20"/>
              </w:rPr>
              <w:t>的产品。</w:t>
            </w:r>
          </w:p>
        </w:tc>
        <w:tc>
          <w:tcPr>
            <w:tcW w:w="558" w:type="dxa"/>
            <w:textDirection w:val="tbRlV"/>
            <w:vAlign w:val="top"/>
          </w:tcPr>
          <w:p w14:paraId="272D7CD6">
            <w:pPr>
              <w:spacing w:before="166" w:line="215" w:lineRule="auto"/>
              <w:ind w:left="453"/>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35F632F8">
            <w:pPr>
              <w:rPr>
                <w:rFonts w:ascii="Arial"/>
                <w:sz w:val="21"/>
              </w:rPr>
            </w:pPr>
          </w:p>
        </w:tc>
      </w:tr>
      <w:tr w14:paraId="3896F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1" w:hRule="atLeast"/>
        </w:trPr>
        <w:tc>
          <w:tcPr>
            <w:tcW w:w="1161" w:type="dxa"/>
            <w:vMerge w:val="continue"/>
            <w:tcBorders>
              <w:top w:val="nil"/>
              <w:left w:val="single" w:color="000000" w:sz="6" w:space="0"/>
              <w:bottom w:val="nil"/>
            </w:tcBorders>
            <w:vAlign w:val="top"/>
          </w:tcPr>
          <w:p w14:paraId="40F29803">
            <w:pPr>
              <w:rPr>
                <w:rFonts w:ascii="Arial"/>
                <w:sz w:val="21"/>
              </w:rPr>
            </w:pPr>
          </w:p>
        </w:tc>
        <w:tc>
          <w:tcPr>
            <w:tcW w:w="113" w:type="dxa"/>
            <w:tcBorders>
              <w:top w:val="nil"/>
              <w:bottom w:val="nil"/>
            </w:tcBorders>
            <w:vAlign w:val="top"/>
          </w:tcPr>
          <w:p w14:paraId="47BE49D0">
            <w:pPr>
              <w:rPr>
                <w:rFonts w:ascii="Arial"/>
                <w:sz w:val="21"/>
              </w:rPr>
            </w:pPr>
          </w:p>
        </w:tc>
        <w:tc>
          <w:tcPr>
            <w:tcW w:w="459" w:type="dxa"/>
            <w:vMerge w:val="continue"/>
            <w:tcBorders>
              <w:top w:val="nil"/>
              <w:bottom w:val="nil"/>
            </w:tcBorders>
            <w:vAlign w:val="top"/>
          </w:tcPr>
          <w:p w14:paraId="00F34F70">
            <w:pPr>
              <w:rPr>
                <w:rFonts w:ascii="Arial"/>
                <w:sz w:val="21"/>
              </w:rPr>
            </w:pPr>
          </w:p>
        </w:tc>
        <w:tc>
          <w:tcPr>
            <w:tcW w:w="976" w:type="dxa"/>
            <w:vAlign w:val="top"/>
          </w:tcPr>
          <w:p w14:paraId="5865739A">
            <w:pPr>
              <w:spacing w:line="292" w:lineRule="auto"/>
              <w:rPr>
                <w:rFonts w:ascii="Arial"/>
                <w:sz w:val="21"/>
              </w:rPr>
            </w:pPr>
          </w:p>
          <w:p w14:paraId="601DB00D">
            <w:pPr>
              <w:spacing w:line="293" w:lineRule="auto"/>
              <w:rPr>
                <w:rFonts w:ascii="Arial"/>
                <w:sz w:val="21"/>
              </w:rPr>
            </w:pPr>
          </w:p>
          <w:p w14:paraId="3F33AF93">
            <w:pPr>
              <w:spacing w:before="65" w:line="378" w:lineRule="auto"/>
              <w:ind w:left="175" w:right="174"/>
              <w:rPr>
                <w:rFonts w:ascii="宋体" w:hAnsi="宋体" w:eastAsia="宋体" w:cs="宋体"/>
                <w:sz w:val="20"/>
                <w:szCs w:val="20"/>
              </w:rPr>
            </w:pPr>
            <w:r>
              <w:rPr>
                <w:rFonts w:ascii="宋体" w:hAnsi="宋体" w:eastAsia="宋体" w:cs="宋体"/>
                <w:spacing w:val="6"/>
                <w:sz w:val="20"/>
                <w:szCs w:val="20"/>
              </w:rPr>
              <w:t>清洁生产水平</w:t>
            </w:r>
          </w:p>
        </w:tc>
        <w:tc>
          <w:tcPr>
            <w:tcW w:w="2691" w:type="dxa"/>
            <w:vAlign w:val="top"/>
          </w:tcPr>
          <w:p w14:paraId="061C80AE">
            <w:pPr>
              <w:spacing w:line="381" w:lineRule="auto"/>
              <w:rPr>
                <w:rFonts w:ascii="Arial"/>
                <w:sz w:val="21"/>
              </w:rPr>
            </w:pPr>
          </w:p>
          <w:p w14:paraId="735A06CF">
            <w:pPr>
              <w:spacing w:before="65" w:line="380" w:lineRule="auto"/>
              <w:ind w:left="110" w:right="273"/>
              <w:jc w:val="both"/>
              <w:rPr>
                <w:rFonts w:ascii="宋体" w:hAnsi="宋体" w:eastAsia="宋体" w:cs="宋体"/>
                <w:sz w:val="20"/>
                <w:szCs w:val="20"/>
              </w:rPr>
            </w:pPr>
            <w:r>
              <w:rPr>
                <w:rFonts w:ascii="宋体" w:hAnsi="宋体" w:eastAsia="宋体" w:cs="宋体"/>
                <w:spacing w:val="9"/>
                <w:sz w:val="20"/>
                <w:szCs w:val="20"/>
              </w:rPr>
              <w:t>清洁生产水平低于国家清洁生产标准的国内先进水</w:t>
            </w:r>
            <w:r>
              <w:rPr>
                <w:rFonts w:ascii="宋体" w:hAnsi="宋体" w:eastAsia="宋体" w:cs="宋体"/>
                <w:sz w:val="20"/>
                <w:szCs w:val="20"/>
              </w:rPr>
              <w:t>平。</w:t>
            </w:r>
          </w:p>
        </w:tc>
        <w:tc>
          <w:tcPr>
            <w:tcW w:w="2791" w:type="dxa"/>
            <w:vAlign w:val="top"/>
          </w:tcPr>
          <w:p w14:paraId="1AE816B0">
            <w:pPr>
              <w:spacing w:before="43" w:line="365" w:lineRule="auto"/>
              <w:ind w:left="113" w:right="29"/>
              <w:rPr>
                <w:rFonts w:ascii="宋体" w:hAnsi="宋体" w:eastAsia="宋体" w:cs="宋体"/>
                <w:sz w:val="20"/>
                <w:szCs w:val="20"/>
              </w:rPr>
            </w:pPr>
            <w:r>
              <w:rPr>
                <w:rFonts w:ascii="宋体" w:hAnsi="宋体" w:eastAsia="宋体" w:cs="宋体"/>
                <w:spacing w:val="3"/>
                <w:sz w:val="20"/>
                <w:szCs w:val="20"/>
              </w:rPr>
              <w:t>本项目不属于物耗、能耗高、</w:t>
            </w:r>
            <w:r>
              <w:rPr>
                <w:rFonts w:ascii="宋体" w:hAnsi="宋体" w:eastAsia="宋体" w:cs="宋体"/>
                <w:spacing w:val="10"/>
                <w:sz w:val="20"/>
                <w:szCs w:val="20"/>
              </w:rPr>
              <w:t>产生的大气污染类型复杂、</w:t>
            </w:r>
            <w:r>
              <w:rPr>
                <w:rFonts w:ascii="宋体" w:hAnsi="宋体" w:eastAsia="宋体" w:cs="宋体"/>
                <w:spacing w:val="9"/>
                <w:sz w:val="20"/>
                <w:szCs w:val="20"/>
              </w:rPr>
              <w:t>环境风险较大的产业，且产生的废气、废水、固废等均</w:t>
            </w:r>
            <w:r>
              <w:rPr>
                <w:rFonts w:ascii="宋体" w:hAnsi="宋体" w:eastAsia="宋体" w:cs="宋体"/>
                <w:spacing w:val="7"/>
                <w:sz w:val="20"/>
                <w:szCs w:val="20"/>
              </w:rPr>
              <w:t>得到有效处置。</w:t>
            </w:r>
          </w:p>
        </w:tc>
        <w:tc>
          <w:tcPr>
            <w:tcW w:w="558" w:type="dxa"/>
            <w:textDirection w:val="tbRlV"/>
            <w:vAlign w:val="top"/>
          </w:tcPr>
          <w:p w14:paraId="365A678D">
            <w:pPr>
              <w:spacing w:before="166" w:line="215" w:lineRule="auto"/>
              <w:ind w:left="653"/>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10D7E0DB">
            <w:pPr>
              <w:rPr>
                <w:rFonts w:ascii="Arial"/>
                <w:sz w:val="21"/>
              </w:rPr>
            </w:pPr>
          </w:p>
        </w:tc>
      </w:tr>
      <w:tr w14:paraId="0C5FE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1161" w:type="dxa"/>
            <w:vMerge w:val="continue"/>
            <w:tcBorders>
              <w:top w:val="nil"/>
              <w:left w:val="single" w:color="000000" w:sz="6" w:space="0"/>
              <w:bottom w:val="nil"/>
            </w:tcBorders>
            <w:vAlign w:val="top"/>
          </w:tcPr>
          <w:p w14:paraId="695C67D5">
            <w:pPr>
              <w:rPr>
                <w:rFonts w:ascii="Arial"/>
                <w:sz w:val="21"/>
              </w:rPr>
            </w:pPr>
          </w:p>
        </w:tc>
        <w:tc>
          <w:tcPr>
            <w:tcW w:w="113" w:type="dxa"/>
            <w:tcBorders>
              <w:top w:val="nil"/>
              <w:bottom w:val="nil"/>
            </w:tcBorders>
            <w:vAlign w:val="top"/>
          </w:tcPr>
          <w:p w14:paraId="53C05B84">
            <w:pPr>
              <w:rPr>
                <w:rFonts w:ascii="Arial"/>
                <w:sz w:val="21"/>
              </w:rPr>
            </w:pPr>
          </w:p>
        </w:tc>
        <w:tc>
          <w:tcPr>
            <w:tcW w:w="459" w:type="dxa"/>
            <w:vMerge w:val="continue"/>
            <w:tcBorders>
              <w:top w:val="nil"/>
              <w:bottom w:val="nil"/>
            </w:tcBorders>
            <w:vAlign w:val="top"/>
          </w:tcPr>
          <w:p w14:paraId="0444000E">
            <w:pPr>
              <w:rPr>
                <w:rFonts w:ascii="Arial"/>
                <w:sz w:val="21"/>
              </w:rPr>
            </w:pPr>
          </w:p>
        </w:tc>
        <w:tc>
          <w:tcPr>
            <w:tcW w:w="976" w:type="dxa"/>
            <w:vMerge w:val="restart"/>
            <w:tcBorders>
              <w:bottom w:val="nil"/>
            </w:tcBorders>
            <w:vAlign w:val="top"/>
          </w:tcPr>
          <w:p w14:paraId="4691C4EF">
            <w:pPr>
              <w:spacing w:line="254" w:lineRule="auto"/>
              <w:rPr>
                <w:rFonts w:ascii="Arial"/>
                <w:sz w:val="21"/>
              </w:rPr>
            </w:pPr>
          </w:p>
          <w:p w14:paraId="08B7A8AB">
            <w:pPr>
              <w:spacing w:line="254" w:lineRule="auto"/>
              <w:rPr>
                <w:rFonts w:ascii="Arial"/>
                <w:sz w:val="21"/>
              </w:rPr>
            </w:pPr>
          </w:p>
          <w:p w14:paraId="6F10EAB1">
            <w:pPr>
              <w:spacing w:line="254" w:lineRule="auto"/>
              <w:rPr>
                <w:rFonts w:ascii="Arial"/>
                <w:sz w:val="21"/>
              </w:rPr>
            </w:pPr>
          </w:p>
          <w:p w14:paraId="5B522917">
            <w:pPr>
              <w:spacing w:line="254" w:lineRule="auto"/>
              <w:rPr>
                <w:rFonts w:ascii="Arial"/>
                <w:sz w:val="21"/>
              </w:rPr>
            </w:pPr>
          </w:p>
          <w:p w14:paraId="3FC5ADA6">
            <w:pPr>
              <w:spacing w:line="254" w:lineRule="auto"/>
              <w:rPr>
                <w:rFonts w:ascii="Arial"/>
                <w:sz w:val="21"/>
              </w:rPr>
            </w:pPr>
          </w:p>
          <w:p w14:paraId="67B2EBC9">
            <w:pPr>
              <w:spacing w:line="255" w:lineRule="auto"/>
              <w:rPr>
                <w:rFonts w:ascii="Arial"/>
                <w:sz w:val="21"/>
              </w:rPr>
            </w:pPr>
          </w:p>
          <w:p w14:paraId="1916BE5C">
            <w:pPr>
              <w:spacing w:line="255" w:lineRule="auto"/>
              <w:rPr>
                <w:rFonts w:ascii="Arial"/>
                <w:sz w:val="21"/>
              </w:rPr>
            </w:pPr>
          </w:p>
          <w:p w14:paraId="7B674304">
            <w:pPr>
              <w:spacing w:line="255" w:lineRule="auto"/>
              <w:rPr>
                <w:rFonts w:ascii="Arial"/>
                <w:sz w:val="21"/>
              </w:rPr>
            </w:pPr>
          </w:p>
          <w:p w14:paraId="769C7B8B">
            <w:pPr>
              <w:spacing w:before="65" w:line="381" w:lineRule="auto"/>
              <w:ind w:left="383" w:right="174" w:hanging="193"/>
              <w:rPr>
                <w:rFonts w:ascii="宋体" w:hAnsi="宋体" w:eastAsia="宋体" w:cs="宋体"/>
                <w:sz w:val="20"/>
                <w:szCs w:val="20"/>
              </w:rPr>
            </w:pPr>
            <w:r>
              <w:rPr>
                <w:rFonts w:ascii="宋体" w:hAnsi="宋体" w:eastAsia="宋体" w:cs="宋体"/>
                <w:spacing w:val="2"/>
                <w:sz w:val="20"/>
                <w:szCs w:val="20"/>
              </w:rPr>
              <w:t>限制禁</w:t>
            </w:r>
            <w:r>
              <w:rPr>
                <w:rFonts w:ascii="宋体" w:hAnsi="宋体" w:eastAsia="宋体" w:cs="宋体"/>
                <w:spacing w:val="1"/>
                <w:sz w:val="20"/>
                <w:szCs w:val="20"/>
              </w:rPr>
              <w:t>入</w:t>
            </w:r>
          </w:p>
        </w:tc>
        <w:tc>
          <w:tcPr>
            <w:tcW w:w="2691" w:type="dxa"/>
            <w:vAlign w:val="top"/>
          </w:tcPr>
          <w:p w14:paraId="0B88F6F7">
            <w:pPr>
              <w:spacing w:before="61" w:line="363" w:lineRule="auto"/>
              <w:ind w:left="112" w:right="105" w:firstLine="9"/>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1</w:t>
            </w:r>
            <w:r>
              <w:rPr>
                <w:rFonts w:ascii="宋体" w:hAnsi="宋体" w:eastAsia="宋体" w:cs="宋体"/>
                <w:spacing w:val="7"/>
                <w:sz w:val="20"/>
                <w:szCs w:val="20"/>
              </w:rPr>
              <w:t>）严格限制引进《产业结构调整指导目录（</w:t>
            </w:r>
            <w:r>
              <w:rPr>
                <w:rFonts w:ascii="Times New Roman" w:hAnsi="Times New Roman" w:eastAsia="Times New Roman" w:cs="Times New Roman"/>
                <w:spacing w:val="7"/>
                <w:sz w:val="20"/>
                <w:szCs w:val="20"/>
              </w:rPr>
              <w:t>2019</w:t>
            </w:r>
            <w:r>
              <w:rPr>
                <w:rFonts w:ascii="宋体" w:hAnsi="宋体" w:eastAsia="宋体" w:cs="宋体"/>
                <w:spacing w:val="5"/>
                <w:sz w:val="20"/>
                <w:szCs w:val="20"/>
              </w:rPr>
              <w:t>年本）》（或更新）中所列</w:t>
            </w:r>
            <w:r>
              <w:rPr>
                <w:rFonts w:ascii="宋体" w:hAnsi="宋体" w:eastAsia="宋体" w:cs="宋体"/>
                <w:spacing w:val="6"/>
                <w:sz w:val="20"/>
                <w:szCs w:val="20"/>
              </w:rPr>
              <w:t>的限制类项目。</w:t>
            </w:r>
          </w:p>
        </w:tc>
        <w:tc>
          <w:tcPr>
            <w:tcW w:w="2791" w:type="dxa"/>
            <w:vAlign w:val="top"/>
          </w:tcPr>
          <w:p w14:paraId="3D19F0F1">
            <w:pPr>
              <w:spacing w:before="262" w:line="378" w:lineRule="auto"/>
              <w:ind w:left="114" w:right="122"/>
              <w:jc w:val="both"/>
              <w:rPr>
                <w:rFonts w:ascii="宋体" w:hAnsi="宋体" w:eastAsia="宋体" w:cs="宋体"/>
                <w:sz w:val="20"/>
                <w:szCs w:val="20"/>
              </w:rPr>
            </w:pPr>
            <w:r>
              <w:rPr>
                <w:rFonts w:ascii="宋体" w:hAnsi="宋体" w:eastAsia="宋体" w:cs="宋体"/>
                <w:spacing w:val="9"/>
                <w:sz w:val="20"/>
                <w:szCs w:val="20"/>
              </w:rPr>
              <w:t>本项目不属于《产业结构调</w:t>
            </w:r>
            <w:r>
              <w:rPr>
                <w:rFonts w:ascii="宋体" w:hAnsi="宋体" w:eastAsia="宋体" w:cs="宋体"/>
                <w:spacing w:val="6"/>
                <w:sz w:val="20"/>
                <w:szCs w:val="20"/>
              </w:rPr>
              <w:t>整指导目录（</w:t>
            </w:r>
            <w:r>
              <w:rPr>
                <w:rFonts w:ascii="Times New Roman" w:hAnsi="Times New Roman" w:eastAsia="Times New Roman" w:cs="Times New Roman"/>
                <w:spacing w:val="6"/>
                <w:sz w:val="20"/>
                <w:szCs w:val="20"/>
              </w:rPr>
              <w:t xml:space="preserve">2024 </w:t>
            </w:r>
            <w:r>
              <w:rPr>
                <w:rFonts w:ascii="宋体" w:hAnsi="宋体" w:eastAsia="宋体" w:cs="宋体"/>
                <w:spacing w:val="6"/>
                <w:sz w:val="20"/>
                <w:szCs w:val="20"/>
              </w:rPr>
              <w:t>年版）》</w:t>
            </w:r>
            <w:r>
              <w:rPr>
                <w:rFonts w:ascii="宋体" w:hAnsi="宋体" w:eastAsia="宋体" w:cs="宋体"/>
                <w:spacing w:val="7"/>
                <w:sz w:val="20"/>
                <w:szCs w:val="20"/>
              </w:rPr>
              <w:t>中所列的限制类项目；</w:t>
            </w:r>
          </w:p>
        </w:tc>
        <w:tc>
          <w:tcPr>
            <w:tcW w:w="558" w:type="dxa"/>
            <w:textDirection w:val="tbRlV"/>
            <w:vAlign w:val="top"/>
          </w:tcPr>
          <w:p w14:paraId="78A906B6">
            <w:pPr>
              <w:spacing w:before="166" w:line="215" w:lineRule="auto"/>
              <w:ind w:left="468"/>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6F174F93">
            <w:pPr>
              <w:rPr>
                <w:rFonts w:ascii="Arial"/>
                <w:sz w:val="21"/>
              </w:rPr>
            </w:pPr>
          </w:p>
        </w:tc>
      </w:tr>
      <w:tr w14:paraId="2C792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1161" w:type="dxa"/>
            <w:vMerge w:val="continue"/>
            <w:tcBorders>
              <w:top w:val="nil"/>
              <w:left w:val="single" w:color="000000" w:sz="6" w:space="0"/>
              <w:bottom w:val="nil"/>
            </w:tcBorders>
            <w:vAlign w:val="top"/>
          </w:tcPr>
          <w:p w14:paraId="325E426B">
            <w:pPr>
              <w:rPr>
                <w:rFonts w:ascii="Arial"/>
                <w:sz w:val="21"/>
              </w:rPr>
            </w:pPr>
          </w:p>
        </w:tc>
        <w:tc>
          <w:tcPr>
            <w:tcW w:w="113" w:type="dxa"/>
            <w:tcBorders>
              <w:top w:val="nil"/>
              <w:bottom w:val="nil"/>
            </w:tcBorders>
            <w:vAlign w:val="top"/>
          </w:tcPr>
          <w:p w14:paraId="51F6A1B4">
            <w:pPr>
              <w:rPr>
                <w:rFonts w:ascii="Arial"/>
                <w:sz w:val="21"/>
              </w:rPr>
            </w:pPr>
          </w:p>
        </w:tc>
        <w:tc>
          <w:tcPr>
            <w:tcW w:w="459" w:type="dxa"/>
            <w:vMerge w:val="continue"/>
            <w:tcBorders>
              <w:top w:val="nil"/>
              <w:bottom w:val="nil"/>
            </w:tcBorders>
            <w:vAlign w:val="top"/>
          </w:tcPr>
          <w:p w14:paraId="48AD5EB3">
            <w:pPr>
              <w:rPr>
                <w:rFonts w:ascii="Arial"/>
                <w:sz w:val="21"/>
              </w:rPr>
            </w:pPr>
          </w:p>
        </w:tc>
        <w:tc>
          <w:tcPr>
            <w:tcW w:w="976" w:type="dxa"/>
            <w:vMerge w:val="continue"/>
            <w:tcBorders>
              <w:top w:val="nil"/>
              <w:bottom w:val="nil"/>
            </w:tcBorders>
            <w:vAlign w:val="top"/>
          </w:tcPr>
          <w:p w14:paraId="2BBA799C">
            <w:pPr>
              <w:rPr>
                <w:rFonts w:ascii="Arial"/>
                <w:sz w:val="21"/>
              </w:rPr>
            </w:pPr>
          </w:p>
        </w:tc>
        <w:tc>
          <w:tcPr>
            <w:tcW w:w="2691" w:type="dxa"/>
            <w:vAlign w:val="top"/>
          </w:tcPr>
          <w:p w14:paraId="2D78B4AA">
            <w:pPr>
              <w:spacing w:before="56" w:line="364" w:lineRule="auto"/>
              <w:ind w:left="114" w:right="105" w:firstLine="7"/>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2</w:t>
            </w:r>
            <w:r>
              <w:rPr>
                <w:rFonts w:ascii="宋体" w:hAnsi="宋体" w:eastAsia="宋体" w:cs="宋体"/>
                <w:spacing w:val="7"/>
                <w:sz w:val="20"/>
                <w:szCs w:val="20"/>
              </w:rPr>
              <w:t>）《外商投资产业指导</w:t>
            </w:r>
            <w:r>
              <w:rPr>
                <w:rFonts w:ascii="宋体" w:hAnsi="宋体" w:eastAsia="宋体" w:cs="宋体"/>
                <w:spacing w:val="-3"/>
                <w:sz w:val="20"/>
                <w:szCs w:val="20"/>
              </w:rPr>
              <w:t>目录（</w:t>
            </w:r>
            <w:r>
              <w:rPr>
                <w:rFonts w:ascii="Times New Roman" w:hAnsi="Times New Roman" w:eastAsia="Times New Roman" w:cs="Times New Roman"/>
                <w:spacing w:val="-3"/>
                <w:sz w:val="20"/>
                <w:szCs w:val="20"/>
              </w:rPr>
              <w:t xml:space="preserve">2017  </w:t>
            </w:r>
            <w:r>
              <w:rPr>
                <w:rFonts w:ascii="宋体" w:hAnsi="宋体" w:eastAsia="宋体" w:cs="宋体"/>
                <w:spacing w:val="-3"/>
                <w:sz w:val="20"/>
                <w:szCs w:val="20"/>
              </w:rPr>
              <w:t>年修订）》（或</w:t>
            </w:r>
            <w:r>
              <w:rPr>
                <w:rFonts w:ascii="宋体" w:hAnsi="宋体" w:eastAsia="宋体" w:cs="宋体"/>
                <w:spacing w:val="8"/>
                <w:sz w:val="20"/>
                <w:szCs w:val="20"/>
              </w:rPr>
              <w:t>更新）中所列的限制类项</w:t>
            </w:r>
            <w:r>
              <w:rPr>
                <w:rFonts w:ascii="宋体" w:hAnsi="宋体" w:eastAsia="宋体" w:cs="宋体"/>
                <w:spacing w:val="-1"/>
                <w:sz w:val="20"/>
                <w:szCs w:val="20"/>
              </w:rPr>
              <w:t>目。</w:t>
            </w:r>
          </w:p>
        </w:tc>
        <w:tc>
          <w:tcPr>
            <w:tcW w:w="2791" w:type="dxa"/>
            <w:vAlign w:val="top"/>
          </w:tcPr>
          <w:p w14:paraId="5A0D06CF">
            <w:pPr>
              <w:spacing w:before="257" w:line="378" w:lineRule="auto"/>
              <w:ind w:left="112" w:right="7" w:firstLine="1"/>
              <w:jc w:val="both"/>
              <w:rPr>
                <w:rFonts w:ascii="宋体" w:hAnsi="宋体" w:eastAsia="宋体" w:cs="宋体"/>
                <w:sz w:val="20"/>
                <w:szCs w:val="20"/>
              </w:rPr>
            </w:pPr>
            <w:r>
              <w:rPr>
                <w:rFonts w:ascii="宋体" w:hAnsi="宋体" w:eastAsia="宋体" w:cs="宋体"/>
                <w:spacing w:val="9"/>
                <w:sz w:val="20"/>
                <w:szCs w:val="20"/>
              </w:rPr>
              <w:t>本项目不属于《外商投资产</w:t>
            </w:r>
            <w:r>
              <w:rPr>
                <w:rFonts w:ascii="宋体" w:hAnsi="宋体" w:eastAsia="宋体" w:cs="宋体"/>
                <w:sz w:val="20"/>
                <w:szCs w:val="20"/>
              </w:rPr>
              <w:t>业指导目录（</w:t>
            </w:r>
            <w:r>
              <w:rPr>
                <w:rFonts w:ascii="Times New Roman" w:hAnsi="Times New Roman" w:eastAsia="Times New Roman" w:cs="Times New Roman"/>
                <w:sz w:val="20"/>
                <w:szCs w:val="20"/>
              </w:rPr>
              <w:t xml:space="preserve">2017 </w:t>
            </w:r>
            <w:r>
              <w:rPr>
                <w:rFonts w:ascii="宋体" w:hAnsi="宋体" w:eastAsia="宋体" w:cs="宋体"/>
                <w:sz w:val="20"/>
                <w:szCs w:val="20"/>
              </w:rPr>
              <w:t>年修订）》</w:t>
            </w:r>
            <w:r>
              <w:rPr>
                <w:rFonts w:ascii="宋体" w:hAnsi="宋体" w:eastAsia="宋体" w:cs="宋体"/>
                <w:spacing w:val="8"/>
                <w:sz w:val="20"/>
                <w:szCs w:val="20"/>
              </w:rPr>
              <w:t>中所列的限制类项目；</w:t>
            </w:r>
          </w:p>
        </w:tc>
        <w:tc>
          <w:tcPr>
            <w:tcW w:w="558" w:type="dxa"/>
            <w:textDirection w:val="tbRlV"/>
            <w:vAlign w:val="top"/>
          </w:tcPr>
          <w:p w14:paraId="19FC47F9">
            <w:pPr>
              <w:spacing w:before="166" w:line="215" w:lineRule="auto"/>
              <w:ind w:left="463"/>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77AF67A8">
            <w:pPr>
              <w:rPr>
                <w:rFonts w:ascii="Arial"/>
                <w:sz w:val="21"/>
              </w:rPr>
            </w:pPr>
          </w:p>
        </w:tc>
      </w:tr>
      <w:tr w14:paraId="4AC14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5" w:hRule="atLeast"/>
        </w:trPr>
        <w:tc>
          <w:tcPr>
            <w:tcW w:w="1161" w:type="dxa"/>
            <w:vMerge w:val="continue"/>
            <w:tcBorders>
              <w:top w:val="nil"/>
              <w:left w:val="single" w:color="000000" w:sz="6" w:space="0"/>
              <w:bottom w:val="single" w:color="000000" w:sz="6" w:space="0"/>
            </w:tcBorders>
            <w:vAlign w:val="top"/>
          </w:tcPr>
          <w:p w14:paraId="125AD5E6">
            <w:pPr>
              <w:rPr>
                <w:rFonts w:ascii="Arial"/>
                <w:sz w:val="21"/>
              </w:rPr>
            </w:pPr>
          </w:p>
        </w:tc>
        <w:tc>
          <w:tcPr>
            <w:tcW w:w="113" w:type="dxa"/>
            <w:tcBorders>
              <w:top w:val="nil"/>
              <w:bottom w:val="single" w:color="000000" w:sz="6" w:space="0"/>
            </w:tcBorders>
            <w:vAlign w:val="top"/>
          </w:tcPr>
          <w:p w14:paraId="6AB3ADD7">
            <w:pPr>
              <w:rPr>
                <w:rFonts w:ascii="Arial"/>
                <w:sz w:val="21"/>
              </w:rPr>
            </w:pPr>
          </w:p>
        </w:tc>
        <w:tc>
          <w:tcPr>
            <w:tcW w:w="459" w:type="dxa"/>
            <w:vMerge w:val="continue"/>
            <w:tcBorders>
              <w:top w:val="nil"/>
            </w:tcBorders>
            <w:vAlign w:val="top"/>
          </w:tcPr>
          <w:p w14:paraId="1B12BAF4">
            <w:pPr>
              <w:rPr>
                <w:rFonts w:ascii="Arial"/>
                <w:sz w:val="21"/>
              </w:rPr>
            </w:pPr>
          </w:p>
        </w:tc>
        <w:tc>
          <w:tcPr>
            <w:tcW w:w="976" w:type="dxa"/>
            <w:vMerge w:val="continue"/>
            <w:tcBorders>
              <w:top w:val="nil"/>
            </w:tcBorders>
            <w:vAlign w:val="top"/>
          </w:tcPr>
          <w:p w14:paraId="0BC6D9B1">
            <w:pPr>
              <w:rPr>
                <w:rFonts w:ascii="Arial"/>
                <w:sz w:val="21"/>
              </w:rPr>
            </w:pPr>
          </w:p>
        </w:tc>
        <w:tc>
          <w:tcPr>
            <w:tcW w:w="2691" w:type="dxa"/>
            <w:vAlign w:val="top"/>
          </w:tcPr>
          <w:p w14:paraId="3D995F85">
            <w:pPr>
              <w:spacing w:before="50" w:line="368" w:lineRule="auto"/>
              <w:ind w:left="112" w:right="24" w:firstLine="9"/>
              <w:rPr>
                <w:rFonts w:ascii="宋体" w:hAnsi="宋体" w:eastAsia="宋体" w:cs="宋体"/>
                <w:sz w:val="20"/>
                <w:szCs w:val="20"/>
              </w:rPr>
            </w:pPr>
            <w:r>
              <w:rPr>
                <w:rFonts w:ascii="宋体" w:hAnsi="宋体" w:eastAsia="宋体" w:cs="宋体"/>
                <w:spacing w:val="-4"/>
                <w:sz w:val="20"/>
                <w:szCs w:val="20"/>
              </w:rPr>
              <w:t>（</w:t>
            </w:r>
            <w:r>
              <w:rPr>
                <w:rFonts w:ascii="Times New Roman" w:hAnsi="Times New Roman" w:eastAsia="Times New Roman" w:cs="Times New Roman"/>
                <w:spacing w:val="-4"/>
                <w:sz w:val="20"/>
                <w:szCs w:val="20"/>
              </w:rPr>
              <w:t>3</w:t>
            </w:r>
            <w:r>
              <w:rPr>
                <w:rFonts w:ascii="宋体" w:hAnsi="宋体" w:eastAsia="宋体" w:cs="宋体"/>
                <w:spacing w:val="-4"/>
                <w:sz w:val="20"/>
                <w:szCs w:val="20"/>
              </w:rPr>
              <w:t>）严格限制引进涉及《中</w:t>
            </w:r>
            <w:r>
              <w:rPr>
                <w:rFonts w:ascii="宋体" w:hAnsi="宋体" w:eastAsia="宋体" w:cs="宋体"/>
                <w:spacing w:val="9"/>
                <w:sz w:val="20"/>
                <w:szCs w:val="20"/>
              </w:rPr>
              <w:t>国严格限制进出口的有毒</w:t>
            </w:r>
            <w:r>
              <w:rPr>
                <w:rFonts w:ascii="宋体" w:hAnsi="宋体" w:eastAsia="宋体" w:cs="宋体"/>
                <w:sz w:val="20"/>
                <w:szCs w:val="20"/>
              </w:rPr>
              <w:t xml:space="preserve"> </w:t>
            </w:r>
            <w:r>
              <w:rPr>
                <w:rFonts w:ascii="宋体" w:hAnsi="宋体" w:eastAsia="宋体" w:cs="宋体"/>
                <w:spacing w:val="6"/>
                <w:sz w:val="20"/>
                <w:szCs w:val="20"/>
              </w:rPr>
              <w:t>化学品目录（</w:t>
            </w:r>
            <w:r>
              <w:rPr>
                <w:rFonts w:ascii="Times New Roman" w:hAnsi="Times New Roman" w:eastAsia="Times New Roman" w:cs="Times New Roman"/>
                <w:spacing w:val="6"/>
                <w:sz w:val="20"/>
                <w:szCs w:val="20"/>
              </w:rPr>
              <w:t xml:space="preserve">2020 </w:t>
            </w:r>
            <w:r>
              <w:rPr>
                <w:rFonts w:ascii="宋体" w:hAnsi="宋体" w:eastAsia="宋体" w:cs="宋体"/>
                <w:spacing w:val="6"/>
                <w:sz w:val="20"/>
                <w:szCs w:val="20"/>
              </w:rPr>
              <w:t>年本）》</w:t>
            </w:r>
            <w:r>
              <w:rPr>
                <w:rFonts w:ascii="宋体" w:hAnsi="宋体" w:eastAsia="宋体" w:cs="宋体"/>
                <w:spacing w:val="7"/>
                <w:sz w:val="20"/>
                <w:szCs w:val="20"/>
              </w:rPr>
              <w:t xml:space="preserve"> </w:t>
            </w:r>
            <w:r>
              <w:rPr>
                <w:rFonts w:ascii="宋体" w:hAnsi="宋体" w:eastAsia="宋体" w:cs="宋体"/>
                <w:spacing w:val="5"/>
                <w:sz w:val="20"/>
                <w:szCs w:val="20"/>
              </w:rPr>
              <w:t>（或更新）中所列有毒化学</w:t>
            </w:r>
          </w:p>
        </w:tc>
        <w:tc>
          <w:tcPr>
            <w:tcW w:w="2791" w:type="dxa"/>
            <w:vAlign w:val="top"/>
          </w:tcPr>
          <w:p w14:paraId="0A888E16">
            <w:pPr>
              <w:spacing w:before="50" w:line="368" w:lineRule="auto"/>
              <w:ind w:left="114" w:right="144"/>
              <w:rPr>
                <w:rFonts w:ascii="宋体" w:hAnsi="宋体" w:eastAsia="宋体" w:cs="宋体"/>
                <w:sz w:val="20"/>
                <w:szCs w:val="20"/>
              </w:rPr>
            </w:pPr>
            <w:r>
              <w:rPr>
                <w:rFonts w:ascii="宋体" w:hAnsi="宋体" w:eastAsia="宋体" w:cs="宋体"/>
                <w:spacing w:val="10"/>
                <w:sz w:val="20"/>
                <w:szCs w:val="20"/>
              </w:rPr>
              <w:t>本项目为塑料筐生产项目，</w:t>
            </w:r>
            <w:r>
              <w:rPr>
                <w:rFonts w:ascii="宋体" w:hAnsi="宋体" w:eastAsia="宋体" w:cs="宋体"/>
                <w:spacing w:val="9"/>
                <w:sz w:val="20"/>
                <w:szCs w:val="20"/>
              </w:rPr>
              <w:t>不涉及《中国严格限制进出</w:t>
            </w:r>
            <w:r>
              <w:rPr>
                <w:rFonts w:ascii="宋体" w:hAnsi="宋体" w:eastAsia="宋体" w:cs="宋体"/>
                <w:spacing w:val="7"/>
                <w:sz w:val="20"/>
                <w:szCs w:val="20"/>
              </w:rPr>
              <w:t>口的有毒化学品目录</w:t>
            </w:r>
            <w:r>
              <w:rPr>
                <w:rFonts w:ascii="Times New Roman" w:hAnsi="Times New Roman" w:eastAsia="Times New Roman" w:cs="Times New Roman"/>
                <w:spacing w:val="7"/>
                <w:sz w:val="20"/>
                <w:szCs w:val="20"/>
              </w:rPr>
              <w:t>(2020</w:t>
            </w:r>
            <w:r>
              <w:rPr>
                <w:rFonts w:ascii="宋体" w:hAnsi="宋体" w:eastAsia="宋体" w:cs="宋体"/>
                <w:spacing w:val="4"/>
                <w:sz w:val="20"/>
                <w:szCs w:val="20"/>
              </w:rPr>
              <w:t>年本</w:t>
            </w:r>
            <w:r>
              <w:rPr>
                <w:rFonts w:ascii="Times New Roman" w:hAnsi="Times New Roman" w:eastAsia="Times New Roman" w:cs="Times New Roman"/>
                <w:spacing w:val="4"/>
                <w:sz w:val="20"/>
                <w:szCs w:val="20"/>
              </w:rPr>
              <w:t>)</w:t>
            </w:r>
            <w:r>
              <w:rPr>
                <w:rFonts w:ascii="宋体" w:hAnsi="宋体" w:eastAsia="宋体" w:cs="宋体"/>
                <w:spacing w:val="4"/>
                <w:sz w:val="20"/>
                <w:szCs w:val="20"/>
              </w:rPr>
              <w:t>》中所列有毒化学品；</w:t>
            </w:r>
          </w:p>
        </w:tc>
        <w:tc>
          <w:tcPr>
            <w:tcW w:w="558" w:type="dxa"/>
            <w:textDirection w:val="tbRlV"/>
            <w:vAlign w:val="top"/>
          </w:tcPr>
          <w:p w14:paraId="63F492F6">
            <w:pPr>
              <w:spacing w:before="166" w:line="215" w:lineRule="auto"/>
              <w:ind w:left="458"/>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single" w:color="000000" w:sz="6" w:space="0"/>
              <w:right w:val="single" w:color="000000" w:sz="6" w:space="0"/>
            </w:tcBorders>
            <w:vAlign w:val="top"/>
          </w:tcPr>
          <w:p w14:paraId="499A2D8C">
            <w:pPr>
              <w:rPr>
                <w:rFonts w:ascii="Arial"/>
                <w:sz w:val="21"/>
              </w:rPr>
            </w:pPr>
          </w:p>
        </w:tc>
      </w:tr>
    </w:tbl>
    <w:p w14:paraId="732B75F9">
      <w:pPr>
        <w:pStyle w:val="2"/>
      </w:pPr>
    </w:p>
    <w:p w14:paraId="153AF681">
      <w:pPr>
        <w:sectPr>
          <w:footerReference r:id="rId22" w:type="default"/>
          <w:pgSz w:w="11906" w:h="16839"/>
          <w:pgMar w:top="400" w:right="1509" w:bottom="1329" w:left="1509" w:header="0" w:footer="1113" w:gutter="0"/>
          <w:cols w:space="720" w:num="1"/>
        </w:sectPr>
      </w:pPr>
    </w:p>
    <w:p w14:paraId="6C9A98B1">
      <w:pPr>
        <w:spacing w:before="19"/>
      </w:pPr>
    </w:p>
    <w:p w14:paraId="2054C7AA">
      <w:pPr>
        <w:spacing w:before="19"/>
      </w:pPr>
    </w:p>
    <w:p w14:paraId="7D9F1414">
      <w:pPr>
        <w:spacing w:before="19"/>
      </w:pPr>
    </w:p>
    <w:p w14:paraId="61EFAB09">
      <w:pPr>
        <w:spacing w:before="18"/>
      </w:pPr>
    </w:p>
    <w:p w14:paraId="66517A7B">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459"/>
        <w:gridCol w:w="976"/>
        <w:gridCol w:w="2371"/>
        <w:gridCol w:w="319"/>
        <w:gridCol w:w="2660"/>
        <w:gridCol w:w="132"/>
        <w:gridCol w:w="558"/>
        <w:gridCol w:w="123"/>
      </w:tblGrid>
      <w:tr w14:paraId="4C13A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161" w:type="dxa"/>
            <w:vMerge w:val="restart"/>
            <w:tcBorders>
              <w:top w:val="single" w:color="000000" w:sz="6" w:space="0"/>
              <w:left w:val="single" w:color="000000" w:sz="6" w:space="0"/>
              <w:bottom w:val="nil"/>
            </w:tcBorders>
            <w:vAlign w:val="top"/>
          </w:tcPr>
          <w:p w14:paraId="71DC3BCC">
            <w:pPr>
              <w:rPr>
                <w:rFonts w:ascii="Arial"/>
                <w:sz w:val="21"/>
              </w:rPr>
            </w:pPr>
          </w:p>
        </w:tc>
        <w:tc>
          <w:tcPr>
            <w:tcW w:w="113" w:type="dxa"/>
            <w:tcBorders>
              <w:top w:val="single" w:color="000000" w:sz="6" w:space="0"/>
              <w:bottom w:val="nil"/>
            </w:tcBorders>
            <w:vAlign w:val="top"/>
          </w:tcPr>
          <w:p w14:paraId="001B288C">
            <w:pPr>
              <w:rPr>
                <w:rFonts w:ascii="Arial"/>
                <w:sz w:val="21"/>
              </w:rPr>
            </w:pPr>
          </w:p>
        </w:tc>
        <w:tc>
          <w:tcPr>
            <w:tcW w:w="459" w:type="dxa"/>
            <w:vMerge w:val="restart"/>
            <w:tcBorders>
              <w:top w:val="single" w:color="000000" w:sz="6" w:space="0"/>
              <w:bottom w:val="nil"/>
            </w:tcBorders>
            <w:vAlign w:val="top"/>
          </w:tcPr>
          <w:p w14:paraId="434B27D9">
            <w:pPr>
              <w:rPr>
                <w:rFonts w:ascii="Arial"/>
                <w:sz w:val="21"/>
              </w:rPr>
            </w:pPr>
          </w:p>
        </w:tc>
        <w:tc>
          <w:tcPr>
            <w:tcW w:w="976" w:type="dxa"/>
            <w:tcBorders>
              <w:top w:val="single" w:color="000000" w:sz="6" w:space="0"/>
            </w:tcBorders>
            <w:vAlign w:val="top"/>
          </w:tcPr>
          <w:p w14:paraId="1C8319B8">
            <w:pPr>
              <w:rPr>
                <w:rFonts w:ascii="Arial"/>
                <w:sz w:val="21"/>
              </w:rPr>
            </w:pPr>
          </w:p>
        </w:tc>
        <w:tc>
          <w:tcPr>
            <w:tcW w:w="2690" w:type="dxa"/>
            <w:gridSpan w:val="2"/>
            <w:tcBorders>
              <w:top w:val="single" w:color="000000" w:sz="6" w:space="0"/>
            </w:tcBorders>
            <w:vAlign w:val="top"/>
          </w:tcPr>
          <w:p w14:paraId="75726B2F">
            <w:pPr>
              <w:spacing w:before="37" w:line="228" w:lineRule="auto"/>
              <w:ind w:left="128"/>
              <w:rPr>
                <w:rFonts w:ascii="宋体" w:hAnsi="宋体" w:eastAsia="宋体" w:cs="宋体"/>
                <w:sz w:val="20"/>
                <w:szCs w:val="20"/>
              </w:rPr>
            </w:pPr>
            <w:r>
              <w:rPr>
                <w:rFonts w:ascii="宋体" w:hAnsi="宋体" w:eastAsia="宋体" w:cs="宋体"/>
                <w:spacing w:val="2"/>
                <w:sz w:val="20"/>
                <w:szCs w:val="20"/>
              </w:rPr>
              <w:t>品的项目。</w:t>
            </w:r>
          </w:p>
        </w:tc>
        <w:tc>
          <w:tcPr>
            <w:tcW w:w="2792" w:type="dxa"/>
            <w:gridSpan w:val="2"/>
            <w:tcBorders>
              <w:top w:val="single" w:color="000000" w:sz="6" w:space="0"/>
            </w:tcBorders>
            <w:vAlign w:val="top"/>
          </w:tcPr>
          <w:p w14:paraId="03C80AFF">
            <w:pPr>
              <w:rPr>
                <w:rFonts w:ascii="Arial"/>
                <w:sz w:val="21"/>
              </w:rPr>
            </w:pPr>
          </w:p>
        </w:tc>
        <w:tc>
          <w:tcPr>
            <w:tcW w:w="558" w:type="dxa"/>
            <w:tcBorders>
              <w:top w:val="single" w:color="000000" w:sz="6" w:space="0"/>
            </w:tcBorders>
            <w:vAlign w:val="top"/>
          </w:tcPr>
          <w:p w14:paraId="38BD67DE">
            <w:pPr>
              <w:rPr>
                <w:rFonts w:ascii="Arial"/>
                <w:sz w:val="21"/>
              </w:rPr>
            </w:pPr>
          </w:p>
        </w:tc>
        <w:tc>
          <w:tcPr>
            <w:tcW w:w="123" w:type="dxa"/>
            <w:vMerge w:val="restart"/>
            <w:tcBorders>
              <w:top w:val="single" w:color="000000" w:sz="6" w:space="0"/>
              <w:bottom w:val="nil"/>
              <w:right w:val="single" w:color="000000" w:sz="6" w:space="0"/>
            </w:tcBorders>
            <w:vAlign w:val="top"/>
          </w:tcPr>
          <w:p w14:paraId="3688E381">
            <w:pPr>
              <w:rPr>
                <w:rFonts w:ascii="Arial"/>
                <w:sz w:val="21"/>
              </w:rPr>
            </w:pPr>
          </w:p>
        </w:tc>
      </w:tr>
      <w:tr w14:paraId="6244A6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1161" w:type="dxa"/>
            <w:vMerge w:val="continue"/>
            <w:tcBorders>
              <w:top w:val="nil"/>
              <w:left w:val="single" w:color="000000" w:sz="6" w:space="0"/>
              <w:bottom w:val="nil"/>
            </w:tcBorders>
            <w:vAlign w:val="top"/>
          </w:tcPr>
          <w:p w14:paraId="6988AF1A">
            <w:pPr>
              <w:rPr>
                <w:rFonts w:ascii="Arial"/>
                <w:sz w:val="21"/>
              </w:rPr>
            </w:pPr>
          </w:p>
        </w:tc>
        <w:tc>
          <w:tcPr>
            <w:tcW w:w="113" w:type="dxa"/>
            <w:tcBorders>
              <w:top w:val="nil"/>
              <w:bottom w:val="nil"/>
            </w:tcBorders>
            <w:vAlign w:val="top"/>
          </w:tcPr>
          <w:p w14:paraId="314CA0C5">
            <w:pPr>
              <w:rPr>
                <w:rFonts w:ascii="Arial"/>
                <w:sz w:val="21"/>
              </w:rPr>
            </w:pPr>
          </w:p>
        </w:tc>
        <w:tc>
          <w:tcPr>
            <w:tcW w:w="459" w:type="dxa"/>
            <w:vMerge w:val="continue"/>
            <w:tcBorders>
              <w:top w:val="nil"/>
            </w:tcBorders>
            <w:vAlign w:val="top"/>
          </w:tcPr>
          <w:p w14:paraId="6E7EC1CA">
            <w:pPr>
              <w:rPr>
                <w:rFonts w:ascii="Arial"/>
                <w:sz w:val="21"/>
              </w:rPr>
            </w:pPr>
          </w:p>
        </w:tc>
        <w:tc>
          <w:tcPr>
            <w:tcW w:w="976" w:type="dxa"/>
            <w:vMerge w:val="restart"/>
            <w:tcBorders>
              <w:bottom w:val="nil"/>
            </w:tcBorders>
            <w:vAlign w:val="top"/>
          </w:tcPr>
          <w:p w14:paraId="69DD7DA4">
            <w:pPr>
              <w:spacing w:before="62" w:line="369" w:lineRule="auto"/>
              <w:ind w:left="277" w:right="174" w:hanging="100"/>
              <w:rPr>
                <w:rFonts w:ascii="宋体" w:hAnsi="宋体" w:eastAsia="宋体" w:cs="宋体"/>
                <w:sz w:val="20"/>
                <w:szCs w:val="20"/>
              </w:rPr>
            </w:pPr>
            <w:r>
              <w:rPr>
                <w:rFonts w:ascii="宋体" w:hAnsi="宋体" w:eastAsia="宋体" w:cs="宋体"/>
                <w:spacing w:val="6"/>
                <w:sz w:val="20"/>
                <w:szCs w:val="20"/>
              </w:rPr>
              <w:t>现状产</w:t>
            </w:r>
            <w:r>
              <w:rPr>
                <w:rFonts w:ascii="宋体" w:hAnsi="宋体" w:eastAsia="宋体" w:cs="宋体"/>
                <w:spacing w:val="5"/>
                <w:sz w:val="20"/>
                <w:szCs w:val="20"/>
              </w:rPr>
              <w:t>业区</w:t>
            </w:r>
          </w:p>
        </w:tc>
        <w:tc>
          <w:tcPr>
            <w:tcW w:w="2690" w:type="dxa"/>
            <w:gridSpan w:val="2"/>
            <w:vMerge w:val="restart"/>
            <w:tcBorders>
              <w:bottom w:val="nil"/>
            </w:tcBorders>
            <w:vAlign w:val="top"/>
          </w:tcPr>
          <w:p w14:paraId="13D814BC">
            <w:pPr>
              <w:spacing w:before="62" w:line="369" w:lineRule="auto"/>
              <w:ind w:left="112" w:right="98" w:firstLine="6"/>
              <w:rPr>
                <w:rFonts w:ascii="宋体" w:hAnsi="宋体" w:eastAsia="宋体" w:cs="宋体"/>
                <w:sz w:val="20"/>
                <w:szCs w:val="20"/>
              </w:rPr>
            </w:pPr>
            <w:r>
              <w:rPr>
                <w:rFonts w:ascii="宋体" w:hAnsi="宋体" w:eastAsia="宋体" w:cs="宋体"/>
                <w:spacing w:val="8"/>
                <w:sz w:val="20"/>
                <w:szCs w:val="20"/>
              </w:rPr>
              <w:t>允许现有煤磷盐化工及配</w:t>
            </w:r>
            <w:r>
              <w:rPr>
                <w:rFonts w:ascii="宋体" w:hAnsi="宋体" w:eastAsia="宋体" w:cs="宋体"/>
                <w:spacing w:val="6"/>
                <w:sz w:val="20"/>
                <w:szCs w:val="20"/>
              </w:rPr>
              <w:t>套产业进行环保提升改造。</w:t>
            </w:r>
          </w:p>
        </w:tc>
        <w:tc>
          <w:tcPr>
            <w:tcW w:w="2792" w:type="dxa"/>
            <w:gridSpan w:val="2"/>
            <w:vMerge w:val="restart"/>
            <w:tcBorders>
              <w:bottom w:val="nil"/>
            </w:tcBorders>
            <w:vAlign w:val="top"/>
          </w:tcPr>
          <w:p w14:paraId="41DAD81A">
            <w:pPr>
              <w:spacing w:before="62" w:line="369" w:lineRule="auto"/>
              <w:ind w:left="115" w:right="162"/>
              <w:rPr>
                <w:rFonts w:ascii="宋体" w:hAnsi="宋体" w:eastAsia="宋体" w:cs="宋体"/>
                <w:sz w:val="20"/>
                <w:szCs w:val="20"/>
              </w:rPr>
            </w:pPr>
            <w:r>
              <w:rPr>
                <w:rFonts w:ascii="宋体" w:hAnsi="宋体" w:eastAsia="宋体" w:cs="宋体"/>
                <w:spacing w:val="9"/>
                <w:sz w:val="20"/>
                <w:szCs w:val="20"/>
              </w:rPr>
              <w:t>本项目为为塑料筐生产，为</w:t>
            </w:r>
            <w:r>
              <w:rPr>
                <w:rFonts w:ascii="宋体" w:hAnsi="宋体" w:eastAsia="宋体" w:cs="宋体"/>
                <w:spacing w:val="8"/>
                <w:sz w:val="20"/>
                <w:szCs w:val="20"/>
              </w:rPr>
              <w:t>新建项目，位于金所片区。</w:t>
            </w:r>
          </w:p>
        </w:tc>
        <w:tc>
          <w:tcPr>
            <w:tcW w:w="558" w:type="dxa"/>
            <w:vMerge w:val="restart"/>
            <w:tcBorders>
              <w:bottom w:val="nil"/>
            </w:tcBorders>
            <w:textDirection w:val="tbRlV"/>
            <w:vAlign w:val="top"/>
          </w:tcPr>
          <w:p w14:paraId="1D673843">
            <w:pPr>
              <w:spacing w:before="166" w:line="215" w:lineRule="auto"/>
              <w:ind w:left="62"/>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566844D4">
            <w:pPr>
              <w:rPr>
                <w:rFonts w:ascii="Arial"/>
                <w:sz w:val="21"/>
              </w:rPr>
            </w:pPr>
          </w:p>
        </w:tc>
      </w:tr>
      <w:tr w14:paraId="1E1EC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1161" w:type="dxa"/>
            <w:vMerge w:val="continue"/>
            <w:tcBorders>
              <w:top w:val="nil"/>
              <w:left w:val="single" w:color="000000" w:sz="6" w:space="0"/>
              <w:bottom w:val="nil"/>
            </w:tcBorders>
            <w:vAlign w:val="top"/>
          </w:tcPr>
          <w:p w14:paraId="39388B63">
            <w:pPr>
              <w:rPr>
                <w:rFonts w:ascii="Arial"/>
                <w:sz w:val="21"/>
              </w:rPr>
            </w:pPr>
          </w:p>
        </w:tc>
        <w:tc>
          <w:tcPr>
            <w:tcW w:w="113" w:type="dxa"/>
            <w:tcBorders>
              <w:top w:val="nil"/>
              <w:bottom w:val="nil"/>
            </w:tcBorders>
            <w:vAlign w:val="top"/>
          </w:tcPr>
          <w:p w14:paraId="5D354498">
            <w:pPr>
              <w:rPr>
                <w:rFonts w:ascii="Arial"/>
                <w:sz w:val="21"/>
              </w:rPr>
            </w:pPr>
          </w:p>
        </w:tc>
        <w:tc>
          <w:tcPr>
            <w:tcW w:w="459" w:type="dxa"/>
            <w:vMerge w:val="restart"/>
            <w:tcBorders>
              <w:bottom w:val="nil"/>
            </w:tcBorders>
            <w:textDirection w:val="tbRlV"/>
            <w:vAlign w:val="top"/>
          </w:tcPr>
          <w:p w14:paraId="09C10682">
            <w:pPr>
              <w:spacing w:before="129" w:line="216" w:lineRule="auto"/>
              <w:ind w:left="1740"/>
              <w:rPr>
                <w:rFonts w:ascii="宋体" w:hAnsi="宋体" w:eastAsia="宋体" w:cs="宋体"/>
                <w:sz w:val="20"/>
                <w:szCs w:val="20"/>
              </w:rPr>
            </w:pPr>
            <w:r>
              <w:rPr>
                <w:rFonts w:ascii="宋体" w:hAnsi="宋体" w:eastAsia="宋体" w:cs="宋体"/>
                <w:spacing w:val="8"/>
                <w:sz w:val="20"/>
                <w:szCs w:val="20"/>
              </w:rPr>
              <w:t>规</w:t>
            </w:r>
            <w:r>
              <w:rPr>
                <w:rFonts w:ascii="宋体" w:hAnsi="宋体" w:eastAsia="宋体" w:cs="宋体"/>
                <w:spacing w:val="102"/>
                <w:sz w:val="20"/>
                <w:szCs w:val="20"/>
              </w:rPr>
              <w:t xml:space="preserve"> </w:t>
            </w:r>
            <w:r>
              <w:rPr>
                <w:rFonts w:ascii="宋体" w:hAnsi="宋体" w:eastAsia="宋体" w:cs="宋体"/>
                <w:spacing w:val="8"/>
                <w:sz w:val="20"/>
                <w:szCs w:val="20"/>
              </w:rPr>
              <w:t>划</w:t>
            </w:r>
            <w:r>
              <w:rPr>
                <w:rFonts w:ascii="宋体" w:hAnsi="宋体" w:eastAsia="宋体" w:cs="宋体"/>
                <w:spacing w:val="100"/>
                <w:sz w:val="20"/>
                <w:szCs w:val="20"/>
              </w:rPr>
              <w:t xml:space="preserve"> </w:t>
            </w:r>
            <w:r>
              <w:rPr>
                <w:rFonts w:ascii="宋体" w:hAnsi="宋体" w:eastAsia="宋体" w:cs="宋体"/>
                <w:spacing w:val="8"/>
                <w:sz w:val="20"/>
                <w:szCs w:val="20"/>
              </w:rPr>
              <w:t>产</w:t>
            </w:r>
            <w:r>
              <w:rPr>
                <w:rFonts w:ascii="宋体" w:hAnsi="宋体" w:eastAsia="宋体" w:cs="宋体"/>
                <w:spacing w:val="99"/>
                <w:sz w:val="20"/>
                <w:szCs w:val="20"/>
              </w:rPr>
              <w:t xml:space="preserve"> </w:t>
            </w:r>
            <w:r>
              <w:rPr>
                <w:rFonts w:ascii="宋体" w:hAnsi="宋体" w:eastAsia="宋体" w:cs="宋体"/>
                <w:spacing w:val="8"/>
                <w:sz w:val="20"/>
                <w:szCs w:val="20"/>
              </w:rPr>
              <w:t>业</w:t>
            </w:r>
            <w:r>
              <w:rPr>
                <w:rFonts w:ascii="宋体" w:hAnsi="宋体" w:eastAsia="宋体" w:cs="宋体"/>
                <w:spacing w:val="1"/>
                <w:sz w:val="20"/>
                <w:szCs w:val="20"/>
              </w:rPr>
              <w:t xml:space="preserve">  </w:t>
            </w:r>
            <w:r>
              <w:rPr>
                <w:rFonts w:ascii="宋体" w:hAnsi="宋体" w:eastAsia="宋体" w:cs="宋体"/>
                <w:spacing w:val="8"/>
                <w:sz w:val="20"/>
                <w:szCs w:val="20"/>
              </w:rPr>
              <w:t>要</w:t>
            </w:r>
            <w:r>
              <w:rPr>
                <w:rFonts w:ascii="宋体" w:hAnsi="宋体" w:eastAsia="宋体" w:cs="宋体"/>
                <w:spacing w:val="99"/>
                <w:sz w:val="20"/>
                <w:szCs w:val="20"/>
              </w:rPr>
              <w:t xml:space="preserve"> </w:t>
            </w:r>
            <w:r>
              <w:rPr>
                <w:rFonts w:ascii="宋体" w:hAnsi="宋体" w:eastAsia="宋体" w:cs="宋体"/>
                <w:spacing w:val="8"/>
                <w:sz w:val="20"/>
                <w:szCs w:val="20"/>
              </w:rPr>
              <w:t>求</w:t>
            </w:r>
          </w:p>
        </w:tc>
        <w:tc>
          <w:tcPr>
            <w:tcW w:w="976" w:type="dxa"/>
            <w:vMerge w:val="continue"/>
            <w:tcBorders>
              <w:top w:val="nil"/>
            </w:tcBorders>
            <w:vAlign w:val="top"/>
          </w:tcPr>
          <w:p w14:paraId="02DA1A00">
            <w:pPr>
              <w:rPr>
                <w:rFonts w:ascii="Arial"/>
                <w:sz w:val="21"/>
              </w:rPr>
            </w:pPr>
          </w:p>
        </w:tc>
        <w:tc>
          <w:tcPr>
            <w:tcW w:w="2690" w:type="dxa"/>
            <w:gridSpan w:val="2"/>
            <w:vMerge w:val="continue"/>
            <w:tcBorders>
              <w:top w:val="nil"/>
            </w:tcBorders>
            <w:vAlign w:val="top"/>
          </w:tcPr>
          <w:p w14:paraId="3E63AFCE">
            <w:pPr>
              <w:rPr>
                <w:rFonts w:ascii="Arial"/>
                <w:sz w:val="21"/>
              </w:rPr>
            </w:pPr>
          </w:p>
        </w:tc>
        <w:tc>
          <w:tcPr>
            <w:tcW w:w="2792" w:type="dxa"/>
            <w:gridSpan w:val="2"/>
            <w:vMerge w:val="continue"/>
            <w:tcBorders>
              <w:top w:val="nil"/>
            </w:tcBorders>
            <w:vAlign w:val="top"/>
          </w:tcPr>
          <w:p w14:paraId="66F41414">
            <w:pPr>
              <w:rPr>
                <w:rFonts w:ascii="Arial"/>
                <w:sz w:val="21"/>
              </w:rPr>
            </w:pPr>
          </w:p>
        </w:tc>
        <w:tc>
          <w:tcPr>
            <w:tcW w:w="558" w:type="dxa"/>
            <w:vMerge w:val="continue"/>
            <w:tcBorders>
              <w:top w:val="nil"/>
            </w:tcBorders>
            <w:textDirection w:val="tbRlV"/>
            <w:vAlign w:val="top"/>
          </w:tcPr>
          <w:p w14:paraId="21A335D4">
            <w:pPr>
              <w:rPr>
                <w:rFonts w:ascii="Arial"/>
                <w:sz w:val="21"/>
              </w:rPr>
            </w:pPr>
          </w:p>
        </w:tc>
        <w:tc>
          <w:tcPr>
            <w:tcW w:w="123" w:type="dxa"/>
            <w:vMerge w:val="continue"/>
            <w:tcBorders>
              <w:top w:val="nil"/>
              <w:bottom w:val="nil"/>
              <w:right w:val="single" w:color="000000" w:sz="6" w:space="0"/>
            </w:tcBorders>
            <w:vAlign w:val="top"/>
          </w:tcPr>
          <w:p w14:paraId="2FB2559D">
            <w:pPr>
              <w:rPr>
                <w:rFonts w:ascii="Arial"/>
                <w:sz w:val="21"/>
              </w:rPr>
            </w:pPr>
          </w:p>
        </w:tc>
      </w:tr>
      <w:tr w14:paraId="073B7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1161" w:type="dxa"/>
            <w:vMerge w:val="continue"/>
            <w:tcBorders>
              <w:top w:val="nil"/>
              <w:left w:val="single" w:color="000000" w:sz="6" w:space="0"/>
              <w:bottom w:val="nil"/>
            </w:tcBorders>
            <w:vAlign w:val="top"/>
          </w:tcPr>
          <w:p w14:paraId="57192B3C">
            <w:pPr>
              <w:rPr>
                <w:rFonts w:ascii="Arial"/>
                <w:sz w:val="21"/>
              </w:rPr>
            </w:pPr>
          </w:p>
        </w:tc>
        <w:tc>
          <w:tcPr>
            <w:tcW w:w="113" w:type="dxa"/>
            <w:tcBorders>
              <w:top w:val="nil"/>
              <w:bottom w:val="nil"/>
            </w:tcBorders>
            <w:vAlign w:val="top"/>
          </w:tcPr>
          <w:p w14:paraId="7E2B780A">
            <w:pPr>
              <w:rPr>
                <w:rFonts w:ascii="Arial"/>
                <w:sz w:val="21"/>
              </w:rPr>
            </w:pPr>
          </w:p>
        </w:tc>
        <w:tc>
          <w:tcPr>
            <w:tcW w:w="459" w:type="dxa"/>
            <w:vMerge w:val="continue"/>
            <w:tcBorders>
              <w:top w:val="nil"/>
              <w:bottom w:val="nil"/>
            </w:tcBorders>
            <w:textDirection w:val="tbRlV"/>
            <w:vAlign w:val="top"/>
          </w:tcPr>
          <w:p w14:paraId="4E552972">
            <w:pPr>
              <w:rPr>
                <w:rFonts w:ascii="Arial"/>
                <w:sz w:val="21"/>
              </w:rPr>
            </w:pPr>
          </w:p>
        </w:tc>
        <w:tc>
          <w:tcPr>
            <w:tcW w:w="976" w:type="dxa"/>
            <w:vAlign w:val="top"/>
          </w:tcPr>
          <w:p w14:paraId="6E1E8708">
            <w:pPr>
              <w:spacing w:before="42" w:line="229" w:lineRule="auto"/>
              <w:ind w:left="177"/>
              <w:rPr>
                <w:rFonts w:ascii="宋体" w:hAnsi="宋体" w:eastAsia="宋体" w:cs="宋体"/>
                <w:sz w:val="20"/>
                <w:szCs w:val="20"/>
              </w:rPr>
            </w:pPr>
            <w:r>
              <w:rPr>
                <w:rFonts w:ascii="宋体" w:hAnsi="宋体" w:eastAsia="宋体" w:cs="宋体"/>
                <w:spacing w:val="6"/>
                <w:sz w:val="20"/>
                <w:szCs w:val="20"/>
              </w:rPr>
              <w:t>绿色建</w:t>
            </w:r>
          </w:p>
          <w:p w14:paraId="35259A41">
            <w:pPr>
              <w:spacing w:before="159" w:line="227" w:lineRule="auto"/>
              <w:ind w:left="175"/>
              <w:rPr>
                <w:rFonts w:ascii="宋体" w:hAnsi="宋体" w:eastAsia="宋体" w:cs="宋体"/>
                <w:sz w:val="20"/>
                <w:szCs w:val="20"/>
              </w:rPr>
            </w:pPr>
            <w:r>
              <w:rPr>
                <w:rFonts w:ascii="宋体" w:hAnsi="宋体" w:eastAsia="宋体" w:cs="宋体"/>
                <w:spacing w:val="6"/>
                <w:sz w:val="20"/>
                <w:szCs w:val="20"/>
              </w:rPr>
              <w:t>材产业</w:t>
            </w:r>
          </w:p>
        </w:tc>
        <w:tc>
          <w:tcPr>
            <w:tcW w:w="2690" w:type="dxa"/>
            <w:gridSpan w:val="2"/>
            <w:vMerge w:val="restart"/>
            <w:tcBorders>
              <w:bottom w:val="nil"/>
            </w:tcBorders>
            <w:vAlign w:val="top"/>
          </w:tcPr>
          <w:p w14:paraId="7907B573">
            <w:pPr>
              <w:spacing w:line="247" w:lineRule="auto"/>
              <w:rPr>
                <w:rFonts w:ascii="Arial"/>
                <w:sz w:val="21"/>
              </w:rPr>
            </w:pPr>
          </w:p>
          <w:p w14:paraId="0ED7BC52">
            <w:pPr>
              <w:spacing w:line="247" w:lineRule="auto"/>
              <w:rPr>
                <w:rFonts w:ascii="Arial"/>
                <w:sz w:val="21"/>
              </w:rPr>
            </w:pPr>
          </w:p>
          <w:p w14:paraId="6BC43541">
            <w:pPr>
              <w:spacing w:line="248" w:lineRule="auto"/>
              <w:rPr>
                <w:rFonts w:ascii="Arial"/>
                <w:sz w:val="21"/>
              </w:rPr>
            </w:pPr>
          </w:p>
          <w:p w14:paraId="4EBFD201">
            <w:pPr>
              <w:spacing w:line="248" w:lineRule="auto"/>
              <w:rPr>
                <w:rFonts w:ascii="Arial"/>
                <w:sz w:val="21"/>
              </w:rPr>
            </w:pPr>
          </w:p>
          <w:p w14:paraId="5A317E9B">
            <w:pPr>
              <w:spacing w:before="65" w:line="379" w:lineRule="auto"/>
              <w:ind w:left="111" w:right="106"/>
              <w:rPr>
                <w:rFonts w:ascii="宋体" w:hAnsi="宋体" w:eastAsia="宋体" w:cs="宋体"/>
                <w:sz w:val="20"/>
                <w:szCs w:val="20"/>
              </w:rPr>
            </w:pPr>
            <w:r>
              <w:rPr>
                <w:rFonts w:ascii="宋体" w:hAnsi="宋体" w:eastAsia="宋体" w:cs="宋体"/>
                <w:spacing w:val="9"/>
                <w:sz w:val="20"/>
                <w:szCs w:val="20"/>
              </w:rPr>
              <w:t>禁止生产废水不能循环回</w:t>
            </w:r>
            <w:r>
              <w:rPr>
                <w:rFonts w:ascii="宋体" w:hAnsi="宋体" w:eastAsia="宋体" w:cs="宋体"/>
                <w:spacing w:val="5"/>
                <w:sz w:val="20"/>
                <w:szCs w:val="20"/>
              </w:rPr>
              <w:t>用，且向牛栏江流域排放生</w:t>
            </w:r>
            <w:r>
              <w:rPr>
                <w:rFonts w:ascii="宋体" w:hAnsi="宋体" w:eastAsia="宋体" w:cs="宋体"/>
                <w:spacing w:val="7"/>
                <w:sz w:val="20"/>
                <w:szCs w:val="20"/>
              </w:rPr>
              <w:t>产废水的企业入驻。</w:t>
            </w:r>
          </w:p>
        </w:tc>
        <w:tc>
          <w:tcPr>
            <w:tcW w:w="2792" w:type="dxa"/>
            <w:gridSpan w:val="2"/>
            <w:vMerge w:val="restart"/>
            <w:tcBorders>
              <w:bottom w:val="nil"/>
            </w:tcBorders>
            <w:vAlign w:val="top"/>
          </w:tcPr>
          <w:p w14:paraId="5D595CFB">
            <w:pPr>
              <w:spacing w:before="42" w:line="228" w:lineRule="auto"/>
              <w:ind w:left="117"/>
              <w:rPr>
                <w:rFonts w:ascii="宋体" w:hAnsi="宋体" w:eastAsia="宋体" w:cs="宋体"/>
                <w:sz w:val="20"/>
                <w:szCs w:val="20"/>
              </w:rPr>
            </w:pPr>
            <w:r>
              <w:rPr>
                <w:rFonts w:ascii="宋体" w:hAnsi="宋体" w:eastAsia="宋体" w:cs="宋体"/>
                <w:spacing w:val="8"/>
                <w:sz w:val="20"/>
                <w:szCs w:val="20"/>
              </w:rPr>
              <w:t>厂区实施雨污分流排水体</w:t>
            </w:r>
          </w:p>
          <w:p w14:paraId="15234A99">
            <w:pPr>
              <w:spacing w:before="158" w:line="370" w:lineRule="auto"/>
              <w:ind w:left="113" w:right="102" w:firstLine="1"/>
              <w:rPr>
                <w:rFonts w:ascii="宋体" w:hAnsi="宋体" w:eastAsia="宋体" w:cs="宋体"/>
                <w:sz w:val="20"/>
                <w:szCs w:val="20"/>
              </w:rPr>
            </w:pPr>
            <w:r>
              <w:rPr>
                <w:rFonts w:ascii="宋体" w:hAnsi="宋体" w:eastAsia="宋体" w:cs="宋体"/>
                <w:spacing w:val="4"/>
                <w:sz w:val="20"/>
                <w:szCs w:val="20"/>
              </w:rPr>
              <w:t>制，生活污水经化粪池</w:t>
            </w:r>
            <w:r>
              <w:rPr>
                <w:rFonts w:ascii="Times New Roman" w:hAnsi="Times New Roman" w:eastAsia="Times New Roman" w:cs="Times New Roman"/>
                <w:spacing w:val="4"/>
                <w:sz w:val="20"/>
                <w:szCs w:val="20"/>
              </w:rPr>
              <w:t>+</w:t>
            </w:r>
            <w:r>
              <w:rPr>
                <w:rFonts w:ascii="宋体" w:hAnsi="宋体" w:eastAsia="宋体" w:cs="宋体"/>
                <w:spacing w:val="4"/>
                <w:sz w:val="20"/>
                <w:szCs w:val="20"/>
              </w:rPr>
              <w:t>一体</w:t>
            </w:r>
            <w:r>
              <w:rPr>
                <w:rFonts w:ascii="宋体" w:hAnsi="宋体" w:eastAsia="宋体" w:cs="宋体"/>
                <w:spacing w:val="9"/>
                <w:sz w:val="20"/>
                <w:szCs w:val="20"/>
              </w:rPr>
              <w:t>化污水处理设施处理达标后回用厂区道路洒水降尘及绿化，不外排，其余雨水排入周边地表沟渠，厂区无生产废水产生。本项目不向牛栏</w:t>
            </w:r>
            <w:r>
              <w:rPr>
                <w:rFonts w:ascii="宋体" w:hAnsi="宋体" w:eastAsia="宋体" w:cs="宋体"/>
                <w:spacing w:val="8"/>
                <w:sz w:val="20"/>
                <w:szCs w:val="20"/>
              </w:rPr>
              <w:t>江流域排放生产废水。</w:t>
            </w:r>
          </w:p>
        </w:tc>
        <w:tc>
          <w:tcPr>
            <w:tcW w:w="558" w:type="dxa"/>
            <w:vMerge w:val="restart"/>
            <w:tcBorders>
              <w:bottom w:val="nil"/>
            </w:tcBorders>
            <w:textDirection w:val="tbRlV"/>
            <w:vAlign w:val="top"/>
          </w:tcPr>
          <w:p w14:paraId="0B820360">
            <w:pPr>
              <w:spacing w:before="166" w:line="215" w:lineRule="auto"/>
              <w:ind w:left="1266"/>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1643F185">
            <w:pPr>
              <w:rPr>
                <w:rFonts w:ascii="Arial"/>
                <w:sz w:val="21"/>
              </w:rPr>
            </w:pPr>
          </w:p>
        </w:tc>
      </w:tr>
      <w:tr w14:paraId="03314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3" w:hRule="atLeast"/>
        </w:trPr>
        <w:tc>
          <w:tcPr>
            <w:tcW w:w="1161" w:type="dxa"/>
            <w:vMerge w:val="continue"/>
            <w:tcBorders>
              <w:top w:val="nil"/>
              <w:left w:val="single" w:color="000000" w:sz="6" w:space="0"/>
              <w:bottom w:val="nil"/>
            </w:tcBorders>
            <w:vAlign w:val="top"/>
          </w:tcPr>
          <w:p w14:paraId="08A18C1C">
            <w:pPr>
              <w:rPr>
                <w:rFonts w:ascii="Arial"/>
                <w:sz w:val="21"/>
              </w:rPr>
            </w:pPr>
          </w:p>
        </w:tc>
        <w:tc>
          <w:tcPr>
            <w:tcW w:w="113" w:type="dxa"/>
            <w:tcBorders>
              <w:top w:val="nil"/>
              <w:bottom w:val="nil"/>
            </w:tcBorders>
            <w:vAlign w:val="top"/>
          </w:tcPr>
          <w:p w14:paraId="437222DD">
            <w:pPr>
              <w:rPr>
                <w:rFonts w:ascii="Arial"/>
                <w:sz w:val="21"/>
              </w:rPr>
            </w:pPr>
          </w:p>
        </w:tc>
        <w:tc>
          <w:tcPr>
            <w:tcW w:w="459" w:type="dxa"/>
            <w:vMerge w:val="continue"/>
            <w:tcBorders>
              <w:top w:val="nil"/>
              <w:bottom w:val="nil"/>
            </w:tcBorders>
            <w:textDirection w:val="tbRlV"/>
            <w:vAlign w:val="top"/>
          </w:tcPr>
          <w:p w14:paraId="7659CF81">
            <w:pPr>
              <w:rPr>
                <w:rFonts w:ascii="Arial"/>
                <w:sz w:val="21"/>
              </w:rPr>
            </w:pPr>
          </w:p>
        </w:tc>
        <w:tc>
          <w:tcPr>
            <w:tcW w:w="976" w:type="dxa"/>
            <w:vAlign w:val="top"/>
          </w:tcPr>
          <w:p w14:paraId="4765FE11">
            <w:pPr>
              <w:spacing w:line="287" w:lineRule="auto"/>
              <w:rPr>
                <w:rFonts w:ascii="Arial"/>
                <w:sz w:val="21"/>
              </w:rPr>
            </w:pPr>
          </w:p>
          <w:p w14:paraId="3CE923CA">
            <w:pPr>
              <w:spacing w:line="287" w:lineRule="auto"/>
              <w:rPr>
                <w:rFonts w:ascii="Arial"/>
                <w:sz w:val="21"/>
              </w:rPr>
            </w:pPr>
          </w:p>
          <w:p w14:paraId="42E7E02E">
            <w:pPr>
              <w:spacing w:before="65" w:line="379" w:lineRule="auto"/>
              <w:ind w:left="178" w:right="174" w:firstLine="1"/>
              <w:jc w:val="both"/>
              <w:rPr>
                <w:rFonts w:ascii="宋体" w:hAnsi="宋体" w:eastAsia="宋体" w:cs="宋体"/>
                <w:sz w:val="20"/>
                <w:szCs w:val="20"/>
              </w:rPr>
            </w:pPr>
            <w:r>
              <w:rPr>
                <w:rFonts w:ascii="宋体" w:hAnsi="宋体" w:eastAsia="宋体" w:cs="宋体"/>
                <w:spacing w:val="5"/>
                <w:sz w:val="20"/>
                <w:szCs w:val="20"/>
              </w:rPr>
              <w:t>先进装</w:t>
            </w:r>
            <w:r>
              <w:rPr>
                <w:rFonts w:ascii="宋体" w:hAnsi="宋体" w:eastAsia="宋体" w:cs="宋体"/>
                <w:spacing w:val="6"/>
                <w:sz w:val="20"/>
                <w:szCs w:val="20"/>
              </w:rPr>
              <w:t>备制造</w:t>
            </w:r>
            <w:r>
              <w:rPr>
                <w:rFonts w:ascii="宋体" w:hAnsi="宋体" w:eastAsia="宋体" w:cs="宋体"/>
                <w:spacing w:val="15"/>
                <w:w w:val="120"/>
                <w:sz w:val="20"/>
                <w:szCs w:val="20"/>
              </w:rPr>
              <w:t>产业</w:t>
            </w:r>
          </w:p>
        </w:tc>
        <w:tc>
          <w:tcPr>
            <w:tcW w:w="2690" w:type="dxa"/>
            <w:gridSpan w:val="2"/>
            <w:vMerge w:val="continue"/>
            <w:tcBorders>
              <w:top w:val="nil"/>
            </w:tcBorders>
            <w:vAlign w:val="top"/>
          </w:tcPr>
          <w:p w14:paraId="7BDFB435">
            <w:pPr>
              <w:rPr>
                <w:rFonts w:ascii="Arial"/>
                <w:sz w:val="21"/>
              </w:rPr>
            </w:pPr>
          </w:p>
        </w:tc>
        <w:tc>
          <w:tcPr>
            <w:tcW w:w="2792" w:type="dxa"/>
            <w:gridSpan w:val="2"/>
            <w:vMerge w:val="continue"/>
            <w:tcBorders>
              <w:top w:val="nil"/>
            </w:tcBorders>
            <w:vAlign w:val="top"/>
          </w:tcPr>
          <w:p w14:paraId="05133214">
            <w:pPr>
              <w:rPr>
                <w:rFonts w:ascii="Arial"/>
                <w:sz w:val="21"/>
              </w:rPr>
            </w:pPr>
          </w:p>
        </w:tc>
        <w:tc>
          <w:tcPr>
            <w:tcW w:w="558" w:type="dxa"/>
            <w:vMerge w:val="continue"/>
            <w:tcBorders>
              <w:top w:val="nil"/>
            </w:tcBorders>
            <w:textDirection w:val="tbRlV"/>
            <w:vAlign w:val="top"/>
          </w:tcPr>
          <w:p w14:paraId="6FA7ED81">
            <w:pPr>
              <w:rPr>
                <w:rFonts w:ascii="Arial"/>
                <w:sz w:val="21"/>
              </w:rPr>
            </w:pPr>
          </w:p>
        </w:tc>
        <w:tc>
          <w:tcPr>
            <w:tcW w:w="123" w:type="dxa"/>
            <w:vMerge w:val="continue"/>
            <w:tcBorders>
              <w:top w:val="nil"/>
              <w:bottom w:val="nil"/>
              <w:right w:val="single" w:color="000000" w:sz="6" w:space="0"/>
            </w:tcBorders>
            <w:vAlign w:val="top"/>
          </w:tcPr>
          <w:p w14:paraId="08268AC9">
            <w:pPr>
              <w:rPr>
                <w:rFonts w:ascii="Arial"/>
                <w:sz w:val="21"/>
              </w:rPr>
            </w:pPr>
          </w:p>
        </w:tc>
      </w:tr>
      <w:tr w14:paraId="1BE1B3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0" w:hRule="atLeast"/>
        </w:trPr>
        <w:tc>
          <w:tcPr>
            <w:tcW w:w="1161" w:type="dxa"/>
            <w:vMerge w:val="continue"/>
            <w:tcBorders>
              <w:top w:val="nil"/>
              <w:left w:val="single" w:color="000000" w:sz="6" w:space="0"/>
              <w:bottom w:val="nil"/>
            </w:tcBorders>
            <w:vAlign w:val="top"/>
          </w:tcPr>
          <w:p w14:paraId="35EE8210">
            <w:pPr>
              <w:rPr>
                <w:rFonts w:ascii="Arial"/>
                <w:sz w:val="21"/>
              </w:rPr>
            </w:pPr>
          </w:p>
        </w:tc>
        <w:tc>
          <w:tcPr>
            <w:tcW w:w="113" w:type="dxa"/>
            <w:tcBorders>
              <w:top w:val="nil"/>
              <w:bottom w:val="nil"/>
            </w:tcBorders>
            <w:vAlign w:val="top"/>
          </w:tcPr>
          <w:p w14:paraId="406152B5">
            <w:pPr>
              <w:rPr>
                <w:rFonts w:ascii="Arial"/>
                <w:sz w:val="21"/>
              </w:rPr>
            </w:pPr>
          </w:p>
        </w:tc>
        <w:tc>
          <w:tcPr>
            <w:tcW w:w="459" w:type="dxa"/>
            <w:vMerge w:val="continue"/>
            <w:tcBorders>
              <w:top w:val="nil"/>
            </w:tcBorders>
            <w:textDirection w:val="tbRlV"/>
            <w:vAlign w:val="top"/>
          </w:tcPr>
          <w:p w14:paraId="619C116D">
            <w:pPr>
              <w:rPr>
                <w:rFonts w:ascii="Arial"/>
                <w:sz w:val="21"/>
              </w:rPr>
            </w:pPr>
          </w:p>
        </w:tc>
        <w:tc>
          <w:tcPr>
            <w:tcW w:w="976" w:type="dxa"/>
            <w:vAlign w:val="top"/>
          </w:tcPr>
          <w:p w14:paraId="4BA3CC50">
            <w:pPr>
              <w:spacing w:line="297" w:lineRule="auto"/>
              <w:rPr>
                <w:rFonts w:ascii="Arial"/>
                <w:sz w:val="21"/>
              </w:rPr>
            </w:pPr>
          </w:p>
          <w:p w14:paraId="4CB9048E">
            <w:pPr>
              <w:spacing w:line="298" w:lineRule="auto"/>
              <w:rPr>
                <w:rFonts w:ascii="Arial"/>
                <w:sz w:val="21"/>
              </w:rPr>
            </w:pPr>
          </w:p>
          <w:p w14:paraId="3232E600">
            <w:pPr>
              <w:spacing w:before="65" w:line="378" w:lineRule="auto"/>
              <w:ind w:left="178" w:right="174"/>
              <w:rPr>
                <w:rFonts w:ascii="宋体" w:hAnsi="宋体" w:eastAsia="宋体" w:cs="宋体"/>
                <w:sz w:val="20"/>
                <w:szCs w:val="20"/>
              </w:rPr>
            </w:pPr>
            <w:r>
              <w:rPr>
                <w:rFonts w:ascii="宋体" w:hAnsi="宋体" w:eastAsia="宋体" w:cs="宋体"/>
                <w:spacing w:val="5"/>
                <w:sz w:val="20"/>
                <w:szCs w:val="20"/>
              </w:rPr>
              <w:t>非烟轻</w:t>
            </w:r>
            <w:r>
              <w:rPr>
                <w:rFonts w:ascii="宋体" w:hAnsi="宋体" w:eastAsia="宋体" w:cs="宋体"/>
                <w:spacing w:val="6"/>
                <w:sz w:val="20"/>
                <w:szCs w:val="20"/>
              </w:rPr>
              <w:t>工产业</w:t>
            </w:r>
          </w:p>
        </w:tc>
        <w:tc>
          <w:tcPr>
            <w:tcW w:w="2690" w:type="dxa"/>
            <w:gridSpan w:val="2"/>
            <w:vAlign w:val="top"/>
          </w:tcPr>
          <w:p w14:paraId="125AC997">
            <w:pPr>
              <w:spacing w:before="50" w:line="377" w:lineRule="auto"/>
              <w:ind w:left="110" w:right="116"/>
              <w:rPr>
                <w:rFonts w:ascii="宋体" w:hAnsi="宋体" w:eastAsia="宋体" w:cs="宋体"/>
                <w:sz w:val="20"/>
                <w:szCs w:val="20"/>
              </w:rPr>
            </w:pPr>
            <w:r>
              <w:rPr>
                <w:rFonts w:ascii="宋体" w:hAnsi="宋体" w:eastAsia="宋体" w:cs="宋体"/>
                <w:spacing w:val="4"/>
                <w:sz w:val="20"/>
                <w:szCs w:val="20"/>
              </w:rPr>
              <w:t>①木材加工及家具制造业：</w:t>
            </w:r>
            <w:r>
              <w:rPr>
                <w:rFonts w:ascii="宋体" w:hAnsi="宋体" w:eastAsia="宋体" w:cs="宋体"/>
                <w:spacing w:val="9"/>
                <w:sz w:val="20"/>
                <w:szCs w:val="20"/>
              </w:rPr>
              <w:t>禁止含有制胶工艺的企业</w:t>
            </w:r>
            <w:r>
              <w:rPr>
                <w:rFonts w:ascii="宋体" w:hAnsi="宋体" w:eastAsia="宋体" w:cs="宋体"/>
                <w:spacing w:val="3"/>
                <w:sz w:val="20"/>
                <w:szCs w:val="20"/>
              </w:rPr>
              <w:t>入驻。</w:t>
            </w:r>
          </w:p>
          <w:p w14:paraId="27C08785">
            <w:pPr>
              <w:spacing w:line="357" w:lineRule="auto"/>
              <w:ind w:left="110" w:right="104"/>
              <w:rPr>
                <w:rFonts w:ascii="宋体" w:hAnsi="宋体" w:eastAsia="宋体" w:cs="宋体"/>
                <w:sz w:val="20"/>
                <w:szCs w:val="20"/>
              </w:rPr>
            </w:pPr>
            <w:r>
              <w:rPr>
                <w:rFonts w:ascii="宋体" w:hAnsi="宋体" w:eastAsia="宋体" w:cs="宋体"/>
                <w:spacing w:val="5"/>
                <w:sz w:val="20"/>
                <w:szCs w:val="20"/>
              </w:rPr>
              <w:t>②食品业：要求规上企业工</w:t>
            </w:r>
            <w:r>
              <w:rPr>
                <w:rFonts w:ascii="宋体" w:hAnsi="宋体" w:eastAsia="宋体" w:cs="宋体"/>
                <w:spacing w:val="7"/>
                <w:sz w:val="20"/>
                <w:szCs w:val="20"/>
              </w:rPr>
              <w:t>业用水重复利用率＞</w:t>
            </w:r>
            <w:r>
              <w:rPr>
                <w:rFonts w:ascii="Times New Roman" w:hAnsi="Times New Roman" w:eastAsia="Times New Roman" w:cs="Times New Roman"/>
                <w:spacing w:val="7"/>
                <w:sz w:val="20"/>
                <w:szCs w:val="20"/>
              </w:rPr>
              <w:t>65%</w:t>
            </w:r>
            <w:r>
              <w:rPr>
                <w:rFonts w:ascii="宋体" w:hAnsi="宋体" w:eastAsia="宋体" w:cs="宋体"/>
                <w:spacing w:val="7"/>
                <w:sz w:val="20"/>
                <w:szCs w:val="20"/>
              </w:rPr>
              <w:t>。</w:t>
            </w:r>
          </w:p>
        </w:tc>
        <w:tc>
          <w:tcPr>
            <w:tcW w:w="2792" w:type="dxa"/>
            <w:gridSpan w:val="2"/>
            <w:vAlign w:val="top"/>
          </w:tcPr>
          <w:p w14:paraId="12A36D3C">
            <w:pPr>
              <w:spacing w:before="253" w:line="378" w:lineRule="auto"/>
              <w:ind w:left="115" w:right="162" w:hanging="2"/>
              <w:rPr>
                <w:rFonts w:ascii="宋体" w:hAnsi="宋体" w:eastAsia="宋体" w:cs="宋体"/>
                <w:sz w:val="20"/>
                <w:szCs w:val="20"/>
              </w:rPr>
            </w:pPr>
            <w:r>
              <w:rPr>
                <w:rFonts w:ascii="宋体" w:hAnsi="宋体" w:eastAsia="宋体" w:cs="宋体"/>
                <w:spacing w:val="9"/>
                <w:sz w:val="20"/>
                <w:szCs w:val="20"/>
              </w:rPr>
              <w:t>①本项目为塑料筐生产，不</w:t>
            </w:r>
            <w:r>
              <w:rPr>
                <w:rFonts w:ascii="宋体" w:hAnsi="宋体" w:eastAsia="宋体" w:cs="宋体"/>
                <w:spacing w:val="6"/>
                <w:sz w:val="20"/>
                <w:szCs w:val="20"/>
              </w:rPr>
              <w:t>涉及制胶工艺。</w:t>
            </w:r>
          </w:p>
          <w:p w14:paraId="532E5AE1">
            <w:pPr>
              <w:spacing w:line="379" w:lineRule="auto"/>
              <w:ind w:left="114" w:right="160" w:hanging="2"/>
              <w:rPr>
                <w:rFonts w:ascii="宋体" w:hAnsi="宋体" w:eastAsia="宋体" w:cs="宋体"/>
                <w:sz w:val="20"/>
                <w:szCs w:val="20"/>
              </w:rPr>
            </w:pPr>
            <w:r>
              <w:rPr>
                <w:rFonts w:ascii="宋体" w:hAnsi="宋体" w:eastAsia="宋体" w:cs="宋体"/>
                <w:spacing w:val="9"/>
                <w:sz w:val="20"/>
                <w:szCs w:val="20"/>
              </w:rPr>
              <w:t>②本项目不属于食品业中的</w:t>
            </w:r>
            <w:r>
              <w:rPr>
                <w:rFonts w:ascii="宋体" w:hAnsi="宋体" w:eastAsia="宋体" w:cs="宋体"/>
                <w:spacing w:val="5"/>
                <w:sz w:val="20"/>
                <w:szCs w:val="20"/>
              </w:rPr>
              <w:t>规上企业。</w:t>
            </w:r>
          </w:p>
        </w:tc>
        <w:tc>
          <w:tcPr>
            <w:tcW w:w="558" w:type="dxa"/>
            <w:textDirection w:val="tbRlV"/>
            <w:vAlign w:val="top"/>
          </w:tcPr>
          <w:p w14:paraId="67C3E504">
            <w:pPr>
              <w:spacing w:before="166" w:line="215" w:lineRule="auto"/>
              <w:ind w:left="664"/>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3" w:type="dxa"/>
            <w:vMerge w:val="continue"/>
            <w:tcBorders>
              <w:top w:val="nil"/>
              <w:bottom w:val="nil"/>
              <w:right w:val="single" w:color="000000" w:sz="6" w:space="0"/>
            </w:tcBorders>
            <w:vAlign w:val="top"/>
          </w:tcPr>
          <w:p w14:paraId="245828A4">
            <w:pPr>
              <w:rPr>
                <w:rFonts w:ascii="Arial"/>
                <w:sz w:val="21"/>
              </w:rPr>
            </w:pPr>
          </w:p>
        </w:tc>
      </w:tr>
      <w:tr w14:paraId="59A08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9" w:hRule="atLeast"/>
        </w:trPr>
        <w:tc>
          <w:tcPr>
            <w:tcW w:w="1161" w:type="dxa"/>
            <w:vMerge w:val="continue"/>
            <w:tcBorders>
              <w:top w:val="nil"/>
              <w:left w:val="single" w:color="000000" w:sz="6" w:space="0"/>
              <w:bottom w:val="nil"/>
            </w:tcBorders>
            <w:vAlign w:val="top"/>
          </w:tcPr>
          <w:p w14:paraId="21D7418F">
            <w:pPr>
              <w:rPr>
                <w:rFonts w:ascii="Arial"/>
                <w:sz w:val="21"/>
              </w:rPr>
            </w:pPr>
          </w:p>
        </w:tc>
        <w:tc>
          <w:tcPr>
            <w:tcW w:w="7588" w:type="dxa"/>
            <w:gridSpan w:val="8"/>
            <w:tcBorders>
              <w:right w:val="nil"/>
            </w:tcBorders>
            <w:vAlign w:val="top"/>
          </w:tcPr>
          <w:p w14:paraId="45EF1A4E">
            <w:pPr>
              <w:spacing w:before="43" w:line="359" w:lineRule="auto"/>
              <w:ind w:left="107" w:firstLine="498"/>
              <w:rPr>
                <w:rFonts w:ascii="宋体" w:hAnsi="宋体" w:eastAsia="宋体" w:cs="宋体"/>
                <w:sz w:val="24"/>
                <w:szCs w:val="24"/>
              </w:rPr>
            </w:pPr>
            <w:r>
              <w:rPr>
                <w:rFonts w:ascii="宋体" w:hAnsi="宋体" w:eastAsia="宋体" w:cs="宋体"/>
                <w:sz w:val="24"/>
                <w:szCs w:val="24"/>
              </w:rPr>
              <w:t>因此，本项目不属于工业园区负面清单规定的范围内，符合环境准</w:t>
            </w:r>
            <w:r>
              <w:rPr>
                <w:rFonts w:ascii="宋体" w:hAnsi="宋体" w:eastAsia="宋体" w:cs="宋体"/>
                <w:spacing w:val="-2"/>
                <w:sz w:val="24"/>
                <w:szCs w:val="24"/>
              </w:rPr>
              <w:t>入负面清单要求。</w:t>
            </w:r>
          </w:p>
          <w:p w14:paraId="3A93E2B8">
            <w:pPr>
              <w:spacing w:line="359" w:lineRule="auto"/>
              <w:ind w:left="111" w:firstLine="487"/>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3</w:t>
            </w:r>
            <w:r>
              <w:rPr>
                <w:rFonts w:ascii="宋体" w:hAnsi="宋体" w:eastAsia="宋体" w:cs="宋体"/>
                <w:b/>
                <w:bCs/>
                <w:spacing w:val="-4"/>
                <w:sz w:val="24"/>
                <w:szCs w:val="24"/>
              </w:rPr>
              <w:t>）本项目与规划环评审查意见（昆环审〔</w:t>
            </w:r>
            <w:r>
              <w:rPr>
                <w:rFonts w:ascii="Times New Roman" w:hAnsi="Times New Roman" w:eastAsia="Times New Roman" w:cs="Times New Roman"/>
                <w:b/>
                <w:bCs/>
                <w:spacing w:val="-4"/>
                <w:sz w:val="24"/>
                <w:szCs w:val="24"/>
              </w:rPr>
              <w:t>2023</w:t>
            </w: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5</w:t>
            </w:r>
            <w:r>
              <w:rPr>
                <w:rFonts w:ascii="Times New Roman" w:hAnsi="Times New Roman" w:eastAsia="Times New Roman" w:cs="Times New Roman"/>
                <w:b/>
                <w:bCs/>
                <w:spacing w:val="25"/>
                <w:w w:val="101"/>
                <w:sz w:val="24"/>
                <w:szCs w:val="24"/>
              </w:rPr>
              <w:t xml:space="preserve"> </w:t>
            </w:r>
            <w:r>
              <w:rPr>
                <w:rFonts w:ascii="宋体" w:hAnsi="宋体" w:eastAsia="宋体" w:cs="宋体"/>
                <w:b/>
                <w:bCs/>
                <w:spacing w:val="-4"/>
                <w:sz w:val="24"/>
                <w:szCs w:val="24"/>
              </w:rPr>
              <w:t>号）的符合性</w:t>
            </w:r>
            <w:r>
              <w:rPr>
                <w:rFonts w:ascii="宋体" w:hAnsi="宋体" w:eastAsia="宋体" w:cs="宋体"/>
                <w:b/>
                <w:bCs/>
                <w:spacing w:val="-9"/>
                <w:sz w:val="24"/>
                <w:szCs w:val="24"/>
              </w:rPr>
              <w:t>分析</w:t>
            </w:r>
          </w:p>
          <w:p w14:paraId="508F7DAF">
            <w:pPr>
              <w:spacing w:line="219" w:lineRule="auto"/>
              <w:ind w:left="591"/>
              <w:rPr>
                <w:rFonts w:ascii="宋体" w:hAnsi="宋体" w:eastAsia="宋体" w:cs="宋体"/>
                <w:sz w:val="24"/>
                <w:szCs w:val="24"/>
              </w:rPr>
            </w:pPr>
            <w:r>
              <w:rPr>
                <w:rFonts w:ascii="宋体" w:hAnsi="宋体" w:eastAsia="宋体" w:cs="宋体"/>
                <w:spacing w:val="-1"/>
                <w:sz w:val="24"/>
                <w:szCs w:val="24"/>
              </w:rPr>
              <w:t>项目与规划环评审查意见对照情况如下：</w:t>
            </w:r>
          </w:p>
          <w:p w14:paraId="2F838480">
            <w:pPr>
              <w:spacing w:before="178" w:line="207" w:lineRule="auto"/>
              <w:ind w:left="2477"/>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23"/>
                <w:sz w:val="20"/>
                <w:szCs w:val="20"/>
              </w:rPr>
              <w:t xml:space="preserve"> </w:t>
            </w:r>
            <w:r>
              <w:rPr>
                <w:rFonts w:ascii="Times New Roman" w:hAnsi="Times New Roman" w:eastAsia="Times New Roman" w:cs="Times New Roman"/>
                <w:b/>
                <w:bCs/>
                <w:spacing w:val="5"/>
                <w:sz w:val="20"/>
                <w:szCs w:val="20"/>
              </w:rPr>
              <w:t xml:space="preserve">1-4  </w:t>
            </w:r>
            <w:r>
              <w:rPr>
                <w:rFonts w:ascii="宋体" w:hAnsi="宋体" w:eastAsia="宋体" w:cs="宋体"/>
                <w:b/>
                <w:bCs/>
                <w:spacing w:val="5"/>
                <w:sz w:val="20"/>
                <w:szCs w:val="20"/>
              </w:rPr>
              <w:t>与审查意见相符性分析</w:t>
            </w:r>
          </w:p>
        </w:tc>
        <w:tc>
          <w:tcPr>
            <w:tcW w:w="123" w:type="dxa"/>
            <w:vMerge w:val="restart"/>
            <w:tcBorders>
              <w:top w:val="nil"/>
              <w:bottom w:val="nil"/>
              <w:right w:val="single" w:color="000000" w:sz="6" w:space="0"/>
            </w:tcBorders>
            <w:vAlign w:val="top"/>
          </w:tcPr>
          <w:p w14:paraId="18610225">
            <w:pPr>
              <w:rPr>
                <w:rFonts w:ascii="Arial"/>
                <w:sz w:val="21"/>
              </w:rPr>
            </w:pPr>
          </w:p>
        </w:tc>
      </w:tr>
      <w:tr w14:paraId="24853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161" w:type="dxa"/>
            <w:vMerge w:val="continue"/>
            <w:tcBorders>
              <w:top w:val="nil"/>
              <w:left w:val="single" w:color="000000" w:sz="6" w:space="0"/>
              <w:bottom w:val="nil"/>
            </w:tcBorders>
            <w:vAlign w:val="top"/>
          </w:tcPr>
          <w:p w14:paraId="296EA204">
            <w:pPr>
              <w:rPr>
                <w:rFonts w:ascii="Arial"/>
                <w:sz w:val="21"/>
              </w:rPr>
            </w:pPr>
          </w:p>
        </w:tc>
        <w:tc>
          <w:tcPr>
            <w:tcW w:w="113" w:type="dxa"/>
            <w:tcBorders>
              <w:top w:val="nil"/>
              <w:bottom w:val="nil"/>
            </w:tcBorders>
            <w:vAlign w:val="top"/>
          </w:tcPr>
          <w:p w14:paraId="2E7231DE">
            <w:pPr>
              <w:rPr>
                <w:rFonts w:ascii="Arial"/>
                <w:sz w:val="21"/>
              </w:rPr>
            </w:pPr>
          </w:p>
        </w:tc>
        <w:tc>
          <w:tcPr>
            <w:tcW w:w="3806" w:type="dxa"/>
            <w:gridSpan w:val="3"/>
            <w:vAlign w:val="top"/>
          </w:tcPr>
          <w:p w14:paraId="5E96A220">
            <w:pPr>
              <w:spacing w:before="244" w:line="228" w:lineRule="auto"/>
              <w:ind w:left="1075"/>
              <w:rPr>
                <w:rFonts w:ascii="宋体" w:hAnsi="宋体" w:eastAsia="宋体" w:cs="宋体"/>
                <w:sz w:val="20"/>
                <w:szCs w:val="20"/>
              </w:rPr>
            </w:pPr>
            <w:r>
              <w:rPr>
                <w:rFonts w:ascii="宋体" w:hAnsi="宋体" w:eastAsia="宋体" w:cs="宋体"/>
                <w:b/>
                <w:bCs/>
                <w:spacing w:val="6"/>
                <w:sz w:val="20"/>
                <w:szCs w:val="20"/>
              </w:rPr>
              <w:t>审查意见提出要求</w:t>
            </w:r>
          </w:p>
        </w:tc>
        <w:tc>
          <w:tcPr>
            <w:tcW w:w="2979" w:type="dxa"/>
            <w:gridSpan w:val="2"/>
            <w:vAlign w:val="top"/>
          </w:tcPr>
          <w:p w14:paraId="7D1954E6">
            <w:pPr>
              <w:spacing w:before="244" w:line="227" w:lineRule="auto"/>
              <w:ind w:left="974"/>
              <w:rPr>
                <w:rFonts w:ascii="宋体" w:hAnsi="宋体" w:eastAsia="宋体" w:cs="宋体"/>
                <w:sz w:val="20"/>
                <w:szCs w:val="20"/>
              </w:rPr>
            </w:pPr>
            <w:r>
              <w:rPr>
                <w:rFonts w:ascii="宋体" w:hAnsi="宋体" w:eastAsia="宋体" w:cs="宋体"/>
                <w:b/>
                <w:bCs/>
                <w:spacing w:val="6"/>
                <w:sz w:val="20"/>
                <w:szCs w:val="20"/>
              </w:rPr>
              <w:t>本项目情况</w:t>
            </w:r>
          </w:p>
        </w:tc>
        <w:tc>
          <w:tcPr>
            <w:tcW w:w="690" w:type="dxa"/>
            <w:gridSpan w:val="2"/>
            <w:vAlign w:val="top"/>
          </w:tcPr>
          <w:p w14:paraId="7DF9DA41">
            <w:pPr>
              <w:spacing w:before="41" w:line="355" w:lineRule="auto"/>
              <w:ind w:left="252" w:right="128" w:hanging="108"/>
              <w:rPr>
                <w:rFonts w:ascii="宋体" w:hAnsi="宋体" w:eastAsia="宋体" w:cs="宋体"/>
                <w:sz w:val="20"/>
                <w:szCs w:val="20"/>
              </w:rPr>
            </w:pPr>
            <w:r>
              <w:rPr>
                <w:rFonts w:ascii="宋体" w:hAnsi="宋体" w:eastAsia="宋体" w:cs="宋体"/>
                <w:b/>
                <w:bCs/>
                <w:spacing w:val="3"/>
                <w:sz w:val="20"/>
                <w:szCs w:val="20"/>
              </w:rPr>
              <w:t>相符</w:t>
            </w:r>
            <w:r>
              <w:rPr>
                <w:rFonts w:ascii="宋体" w:hAnsi="宋体" w:eastAsia="宋体" w:cs="宋体"/>
                <w:b/>
                <w:bCs/>
                <w:spacing w:val="-3"/>
                <w:sz w:val="20"/>
                <w:szCs w:val="20"/>
              </w:rPr>
              <w:t>性</w:t>
            </w:r>
          </w:p>
        </w:tc>
        <w:tc>
          <w:tcPr>
            <w:tcW w:w="123" w:type="dxa"/>
            <w:vMerge w:val="continue"/>
            <w:tcBorders>
              <w:top w:val="nil"/>
              <w:bottom w:val="nil"/>
              <w:right w:val="single" w:color="000000" w:sz="6" w:space="0"/>
            </w:tcBorders>
            <w:vAlign w:val="top"/>
          </w:tcPr>
          <w:p w14:paraId="4A558EA7">
            <w:pPr>
              <w:rPr>
                <w:rFonts w:ascii="Arial"/>
                <w:sz w:val="21"/>
              </w:rPr>
            </w:pPr>
          </w:p>
        </w:tc>
      </w:tr>
      <w:tr w14:paraId="69AA5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2" w:hRule="atLeast"/>
        </w:trPr>
        <w:tc>
          <w:tcPr>
            <w:tcW w:w="1161" w:type="dxa"/>
            <w:vMerge w:val="continue"/>
            <w:tcBorders>
              <w:top w:val="nil"/>
              <w:left w:val="single" w:color="000000" w:sz="6" w:space="0"/>
              <w:bottom w:val="single" w:color="000000" w:sz="6" w:space="0"/>
            </w:tcBorders>
            <w:vAlign w:val="top"/>
          </w:tcPr>
          <w:p w14:paraId="5481A332">
            <w:pPr>
              <w:rPr>
                <w:rFonts w:ascii="Arial"/>
                <w:sz w:val="21"/>
              </w:rPr>
            </w:pPr>
          </w:p>
        </w:tc>
        <w:tc>
          <w:tcPr>
            <w:tcW w:w="113" w:type="dxa"/>
            <w:tcBorders>
              <w:top w:val="nil"/>
              <w:bottom w:val="single" w:color="000000" w:sz="6" w:space="0"/>
            </w:tcBorders>
            <w:vAlign w:val="top"/>
          </w:tcPr>
          <w:p w14:paraId="015C6B0A">
            <w:pPr>
              <w:rPr>
                <w:rFonts w:ascii="Arial"/>
                <w:sz w:val="21"/>
              </w:rPr>
            </w:pPr>
          </w:p>
        </w:tc>
        <w:tc>
          <w:tcPr>
            <w:tcW w:w="3806" w:type="dxa"/>
            <w:gridSpan w:val="3"/>
            <w:tcBorders>
              <w:bottom w:val="single" w:color="000000" w:sz="6" w:space="0"/>
            </w:tcBorders>
            <w:vAlign w:val="top"/>
          </w:tcPr>
          <w:p w14:paraId="22DC4B96">
            <w:pPr>
              <w:spacing w:before="42" w:line="377" w:lineRule="auto"/>
              <w:ind w:left="121" w:right="119"/>
              <w:rPr>
                <w:rFonts w:ascii="宋体" w:hAnsi="宋体" w:eastAsia="宋体" w:cs="宋体"/>
                <w:sz w:val="20"/>
                <w:szCs w:val="20"/>
              </w:rPr>
            </w:pPr>
            <w:r>
              <w:rPr>
                <w:rFonts w:ascii="宋体" w:hAnsi="宋体" w:eastAsia="宋体" w:cs="宋体"/>
                <w:spacing w:val="9"/>
                <w:sz w:val="20"/>
                <w:szCs w:val="20"/>
              </w:rPr>
              <w:t>严守环境质量底线、严格新入园项目及现有项目环境管理。制定主要污染物区域削减方案，建立健全主要污染物管理台账，采取有效措施减少氮氧化物、二氧化硫、挥发性有机物、化学需氧量、氨氮等污染物排放总量，确保区域环境</w:t>
            </w:r>
          </w:p>
          <w:p w14:paraId="4FA2D1D2">
            <w:pPr>
              <w:spacing w:line="227" w:lineRule="auto"/>
              <w:ind w:left="1173"/>
              <w:rPr>
                <w:rFonts w:ascii="宋体" w:hAnsi="宋体" w:eastAsia="宋体" w:cs="宋体"/>
                <w:sz w:val="20"/>
                <w:szCs w:val="20"/>
              </w:rPr>
            </w:pPr>
            <w:r>
              <w:rPr>
                <w:rFonts w:ascii="宋体" w:hAnsi="宋体" w:eastAsia="宋体" w:cs="宋体"/>
                <w:spacing w:val="6"/>
                <w:sz w:val="20"/>
                <w:szCs w:val="20"/>
              </w:rPr>
              <w:t>质量持续改善。</w:t>
            </w:r>
          </w:p>
          <w:p w14:paraId="1B7480A6">
            <w:pPr>
              <w:spacing w:before="161" w:line="227" w:lineRule="auto"/>
              <w:ind w:left="120"/>
              <w:rPr>
                <w:rFonts w:ascii="宋体" w:hAnsi="宋体" w:eastAsia="宋体" w:cs="宋体"/>
                <w:sz w:val="20"/>
                <w:szCs w:val="20"/>
              </w:rPr>
            </w:pPr>
            <w:r>
              <w:rPr>
                <w:rFonts w:ascii="宋体" w:hAnsi="宋体" w:eastAsia="宋体" w:cs="宋体"/>
                <w:spacing w:val="8"/>
                <w:sz w:val="20"/>
                <w:szCs w:val="20"/>
              </w:rPr>
              <w:t>入园企业应采用先进的生产工艺路线、</w:t>
            </w:r>
          </w:p>
        </w:tc>
        <w:tc>
          <w:tcPr>
            <w:tcW w:w="2979" w:type="dxa"/>
            <w:gridSpan w:val="2"/>
            <w:tcBorders>
              <w:bottom w:val="single" w:color="000000" w:sz="6" w:space="0"/>
            </w:tcBorders>
            <w:vAlign w:val="top"/>
          </w:tcPr>
          <w:p w14:paraId="31229A8F">
            <w:pPr>
              <w:spacing w:before="39" w:line="373" w:lineRule="auto"/>
              <w:ind w:left="132" w:right="119" w:firstLine="1"/>
              <w:jc w:val="both"/>
              <w:rPr>
                <w:rFonts w:ascii="宋体" w:hAnsi="宋体" w:eastAsia="宋体" w:cs="宋体"/>
                <w:sz w:val="20"/>
                <w:szCs w:val="20"/>
              </w:rPr>
            </w:pPr>
            <w:r>
              <w:rPr>
                <w:rFonts w:ascii="宋体" w:hAnsi="宋体" w:eastAsia="宋体" w:cs="宋体"/>
                <w:spacing w:val="9"/>
                <w:sz w:val="20"/>
                <w:szCs w:val="20"/>
              </w:rPr>
              <w:t>本项目为扩建项目，厂区实施雨污分流排水体制，生活污水</w:t>
            </w:r>
            <w:r>
              <w:rPr>
                <w:rFonts w:ascii="宋体" w:hAnsi="宋体" w:eastAsia="宋体" w:cs="宋体"/>
                <w:spacing w:val="12"/>
                <w:sz w:val="20"/>
                <w:szCs w:val="20"/>
              </w:rPr>
              <w:t>经化粪池</w:t>
            </w:r>
            <w:r>
              <w:rPr>
                <w:rFonts w:ascii="Times New Roman" w:hAnsi="Times New Roman" w:eastAsia="Times New Roman" w:cs="Times New Roman"/>
                <w:spacing w:val="12"/>
                <w:sz w:val="20"/>
                <w:szCs w:val="20"/>
              </w:rPr>
              <w:t>+</w:t>
            </w:r>
            <w:r>
              <w:rPr>
                <w:rFonts w:ascii="宋体" w:hAnsi="宋体" w:eastAsia="宋体" w:cs="宋体"/>
                <w:spacing w:val="12"/>
                <w:sz w:val="20"/>
                <w:szCs w:val="20"/>
              </w:rPr>
              <w:t>一体化污水处理设</w:t>
            </w:r>
            <w:r>
              <w:rPr>
                <w:rFonts w:ascii="宋体" w:hAnsi="宋体" w:eastAsia="宋体" w:cs="宋体"/>
                <w:spacing w:val="9"/>
                <w:sz w:val="20"/>
                <w:szCs w:val="20"/>
              </w:rPr>
              <w:t>施处理达标后回用厂区道路洒水降尘及绿化，不外排，其余雨水排入周边地表沟渠，厂区无生产废水产生；产生的大气</w:t>
            </w:r>
            <w:r>
              <w:rPr>
                <w:rFonts w:ascii="宋体" w:hAnsi="宋体" w:eastAsia="宋体" w:cs="宋体"/>
                <w:spacing w:val="8"/>
                <w:sz w:val="20"/>
                <w:szCs w:val="20"/>
              </w:rPr>
              <w:t>污染类型主要为非甲烷总烃、</w:t>
            </w:r>
          </w:p>
        </w:tc>
        <w:tc>
          <w:tcPr>
            <w:tcW w:w="690" w:type="dxa"/>
            <w:gridSpan w:val="2"/>
            <w:tcBorders>
              <w:bottom w:val="single" w:color="000000" w:sz="6" w:space="0"/>
            </w:tcBorders>
            <w:vAlign w:val="top"/>
          </w:tcPr>
          <w:p w14:paraId="1D3BF8DD">
            <w:pPr>
              <w:spacing w:line="279" w:lineRule="auto"/>
              <w:rPr>
                <w:rFonts w:ascii="Arial"/>
                <w:sz w:val="21"/>
              </w:rPr>
            </w:pPr>
          </w:p>
          <w:p w14:paraId="7BA764D0">
            <w:pPr>
              <w:spacing w:line="279" w:lineRule="auto"/>
              <w:rPr>
                <w:rFonts w:ascii="Arial"/>
                <w:sz w:val="21"/>
              </w:rPr>
            </w:pPr>
          </w:p>
          <w:p w14:paraId="2E27773E">
            <w:pPr>
              <w:spacing w:line="279" w:lineRule="auto"/>
              <w:rPr>
                <w:rFonts w:ascii="Arial"/>
                <w:sz w:val="21"/>
              </w:rPr>
            </w:pPr>
          </w:p>
          <w:p w14:paraId="36C87665">
            <w:pPr>
              <w:spacing w:line="280" w:lineRule="auto"/>
              <w:rPr>
                <w:rFonts w:ascii="Arial"/>
                <w:sz w:val="21"/>
              </w:rPr>
            </w:pPr>
          </w:p>
          <w:p w14:paraId="0CA0C350">
            <w:pPr>
              <w:spacing w:line="280" w:lineRule="auto"/>
              <w:rPr>
                <w:rFonts w:ascii="Arial"/>
                <w:sz w:val="21"/>
              </w:rPr>
            </w:pPr>
          </w:p>
          <w:p w14:paraId="5ACF3CC9">
            <w:pPr>
              <w:spacing w:before="65" w:line="228" w:lineRule="auto"/>
              <w:ind w:left="147"/>
              <w:rPr>
                <w:rFonts w:ascii="宋体" w:hAnsi="宋体" w:eastAsia="宋体" w:cs="宋体"/>
                <w:sz w:val="20"/>
                <w:szCs w:val="20"/>
              </w:rPr>
            </w:pPr>
            <w:r>
              <w:rPr>
                <w:rFonts w:ascii="宋体" w:hAnsi="宋体" w:eastAsia="宋体" w:cs="宋体"/>
                <w:spacing w:val="4"/>
                <w:sz w:val="20"/>
                <w:szCs w:val="20"/>
              </w:rPr>
              <w:t>相符</w:t>
            </w:r>
          </w:p>
        </w:tc>
        <w:tc>
          <w:tcPr>
            <w:tcW w:w="123" w:type="dxa"/>
            <w:vMerge w:val="continue"/>
            <w:tcBorders>
              <w:top w:val="nil"/>
              <w:bottom w:val="single" w:color="000000" w:sz="6" w:space="0"/>
              <w:right w:val="single" w:color="000000" w:sz="6" w:space="0"/>
            </w:tcBorders>
            <w:vAlign w:val="top"/>
          </w:tcPr>
          <w:p w14:paraId="1FFDBB48">
            <w:pPr>
              <w:rPr>
                <w:rFonts w:ascii="Arial"/>
                <w:sz w:val="21"/>
              </w:rPr>
            </w:pPr>
          </w:p>
        </w:tc>
      </w:tr>
    </w:tbl>
    <w:p w14:paraId="5F12A220">
      <w:pPr>
        <w:pStyle w:val="2"/>
      </w:pPr>
    </w:p>
    <w:p w14:paraId="713E843D">
      <w:pPr>
        <w:sectPr>
          <w:footerReference r:id="rId23" w:type="default"/>
          <w:pgSz w:w="11906" w:h="16839"/>
          <w:pgMar w:top="400" w:right="1509" w:bottom="1329" w:left="1509" w:header="0" w:footer="1113" w:gutter="0"/>
          <w:cols w:space="720" w:num="1"/>
        </w:sectPr>
      </w:pPr>
    </w:p>
    <w:p w14:paraId="20D95003">
      <w:pPr>
        <w:spacing w:before="19"/>
      </w:pPr>
    </w:p>
    <w:p w14:paraId="7F8D16AB">
      <w:pPr>
        <w:spacing w:before="19"/>
      </w:pPr>
    </w:p>
    <w:p w14:paraId="139A7AA4">
      <w:pPr>
        <w:spacing w:before="19"/>
      </w:pPr>
    </w:p>
    <w:p w14:paraId="303D5334">
      <w:pPr>
        <w:spacing w:before="18"/>
      </w:pPr>
    </w:p>
    <w:p w14:paraId="46843751">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4"/>
        <w:gridCol w:w="3806"/>
        <w:gridCol w:w="2979"/>
        <w:gridCol w:w="688"/>
        <w:gridCol w:w="124"/>
      </w:tblGrid>
      <w:tr w14:paraId="3C554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86" w:hRule="atLeast"/>
        </w:trPr>
        <w:tc>
          <w:tcPr>
            <w:tcW w:w="1161" w:type="dxa"/>
            <w:vMerge w:val="restart"/>
            <w:tcBorders>
              <w:top w:val="single" w:color="000000" w:sz="6" w:space="0"/>
              <w:left w:val="single" w:color="000000" w:sz="6" w:space="0"/>
              <w:bottom w:val="nil"/>
            </w:tcBorders>
            <w:vAlign w:val="top"/>
          </w:tcPr>
          <w:p w14:paraId="28EC54AF">
            <w:pPr>
              <w:rPr>
                <w:rFonts w:ascii="Arial"/>
                <w:sz w:val="21"/>
              </w:rPr>
            </w:pPr>
          </w:p>
        </w:tc>
        <w:tc>
          <w:tcPr>
            <w:tcW w:w="114" w:type="dxa"/>
            <w:tcBorders>
              <w:top w:val="single" w:color="000000" w:sz="6" w:space="0"/>
              <w:bottom w:val="nil"/>
            </w:tcBorders>
            <w:vAlign w:val="top"/>
          </w:tcPr>
          <w:p w14:paraId="3A587B47">
            <w:pPr>
              <w:rPr>
                <w:rFonts w:ascii="Arial"/>
                <w:sz w:val="21"/>
              </w:rPr>
            </w:pPr>
          </w:p>
        </w:tc>
        <w:tc>
          <w:tcPr>
            <w:tcW w:w="3806" w:type="dxa"/>
            <w:vAlign w:val="top"/>
          </w:tcPr>
          <w:p w14:paraId="52CBADF0">
            <w:pPr>
              <w:spacing w:before="37" w:line="377" w:lineRule="auto"/>
              <w:ind w:left="109" w:right="105" w:firstLine="13"/>
              <w:jc w:val="both"/>
              <w:rPr>
                <w:rFonts w:ascii="宋体" w:hAnsi="宋体" w:eastAsia="宋体" w:cs="宋体"/>
                <w:sz w:val="20"/>
                <w:szCs w:val="20"/>
              </w:rPr>
            </w:pPr>
            <w:r>
              <w:rPr>
                <w:rFonts w:ascii="宋体" w:hAnsi="宋体" w:eastAsia="宋体" w:cs="宋体"/>
                <w:spacing w:val="9"/>
                <w:sz w:val="20"/>
                <w:szCs w:val="20"/>
              </w:rPr>
              <w:t>设备、清洁能源与原料，从源头上控制</w:t>
            </w:r>
            <w:r>
              <w:rPr>
                <w:rFonts w:ascii="宋体" w:hAnsi="宋体" w:eastAsia="宋体" w:cs="宋体"/>
                <w:spacing w:val="7"/>
                <w:sz w:val="20"/>
                <w:szCs w:val="20"/>
              </w:rPr>
              <w:t>污染物的产生。高度重视园区废水收集</w:t>
            </w:r>
            <w:r>
              <w:rPr>
                <w:rFonts w:ascii="Times New Roman" w:hAnsi="Times New Roman" w:eastAsia="Times New Roman" w:cs="Times New Roman"/>
                <w:spacing w:val="7"/>
                <w:sz w:val="20"/>
                <w:szCs w:val="20"/>
              </w:rPr>
              <w:t>.</w:t>
            </w:r>
            <w:r>
              <w:rPr>
                <w:rFonts w:ascii="宋体" w:hAnsi="宋体" w:eastAsia="宋体" w:cs="宋体"/>
                <w:spacing w:val="4"/>
                <w:sz w:val="20"/>
                <w:szCs w:val="20"/>
              </w:rPr>
              <w:t>处理、回用、排放的环境管理。实施</w:t>
            </w:r>
            <w:r>
              <w:rPr>
                <w:rFonts w:ascii="Times New Roman" w:hAnsi="Times New Roman" w:eastAsia="Times New Roman" w:cs="Times New Roman"/>
                <w:spacing w:val="4"/>
                <w:sz w:val="20"/>
                <w:szCs w:val="20"/>
              </w:rPr>
              <w:t>“</w:t>
            </w:r>
            <w:r>
              <w:rPr>
                <w:rFonts w:ascii="Times New Roman" w:hAnsi="Times New Roman" w:eastAsia="Times New Roman" w:cs="Times New Roman"/>
                <w:spacing w:val="-27"/>
                <w:sz w:val="20"/>
                <w:szCs w:val="20"/>
              </w:rPr>
              <w:t xml:space="preserve"> </w:t>
            </w:r>
            <w:r>
              <w:rPr>
                <w:rFonts w:ascii="宋体" w:hAnsi="宋体" w:eastAsia="宋体" w:cs="宋体"/>
                <w:spacing w:val="4"/>
                <w:sz w:val="20"/>
                <w:szCs w:val="20"/>
              </w:rPr>
              <w:t>雨</w:t>
            </w:r>
            <w:r>
              <w:rPr>
                <w:rFonts w:ascii="宋体" w:hAnsi="宋体" w:eastAsia="宋体" w:cs="宋体"/>
                <w:spacing w:val="5"/>
                <w:sz w:val="20"/>
                <w:szCs w:val="20"/>
              </w:rPr>
              <w:t>污分流</w:t>
            </w:r>
            <w:r>
              <w:rPr>
                <w:rFonts w:ascii="Times New Roman" w:hAnsi="Times New Roman" w:eastAsia="Times New Roman" w:cs="Times New Roman"/>
                <w:spacing w:val="5"/>
                <w:sz w:val="20"/>
                <w:szCs w:val="20"/>
              </w:rPr>
              <w:t>”</w:t>
            </w:r>
            <w:r>
              <w:rPr>
                <w:rFonts w:ascii="宋体" w:hAnsi="宋体" w:eastAsia="宋体" w:cs="宋体"/>
                <w:spacing w:val="5"/>
                <w:sz w:val="20"/>
                <w:szCs w:val="20"/>
              </w:rPr>
              <w:t>，加强天生桥组团、金所组团初</w:t>
            </w:r>
            <w:r>
              <w:rPr>
                <w:rFonts w:ascii="宋体" w:hAnsi="宋体" w:eastAsia="宋体" w:cs="宋体"/>
                <w:spacing w:val="10"/>
                <w:sz w:val="20"/>
                <w:szCs w:val="20"/>
              </w:rPr>
              <w:t>期雨水的收集、处理，加快园区污水处</w:t>
            </w:r>
            <w:r>
              <w:rPr>
                <w:rFonts w:ascii="宋体" w:hAnsi="宋体" w:eastAsia="宋体" w:cs="宋体"/>
                <w:spacing w:val="9"/>
                <w:sz w:val="20"/>
                <w:szCs w:val="20"/>
              </w:rPr>
              <w:t>理厂再生水处理设施及配套管网建设。</w:t>
            </w:r>
          </w:p>
          <w:p w14:paraId="655802FB">
            <w:pPr>
              <w:spacing w:line="227" w:lineRule="auto"/>
              <w:ind w:left="120"/>
              <w:rPr>
                <w:rFonts w:ascii="宋体" w:hAnsi="宋体" w:eastAsia="宋体" w:cs="宋体"/>
                <w:sz w:val="20"/>
                <w:szCs w:val="20"/>
              </w:rPr>
            </w:pPr>
            <w:r>
              <w:rPr>
                <w:rFonts w:ascii="宋体" w:hAnsi="宋体" w:eastAsia="宋体" w:cs="宋体"/>
                <w:spacing w:val="9"/>
                <w:sz w:val="20"/>
                <w:szCs w:val="20"/>
              </w:rPr>
              <w:t>严格落实牛栏江流域严禁新改扩建工业</w:t>
            </w:r>
          </w:p>
          <w:p w14:paraId="66679D0F">
            <w:pPr>
              <w:spacing w:before="160" w:line="228" w:lineRule="auto"/>
              <w:ind w:left="196"/>
              <w:rPr>
                <w:rFonts w:ascii="宋体" w:hAnsi="宋体" w:eastAsia="宋体" w:cs="宋体"/>
                <w:sz w:val="20"/>
                <w:szCs w:val="20"/>
              </w:rPr>
            </w:pPr>
            <w:r>
              <w:rPr>
                <w:rFonts w:ascii="宋体" w:hAnsi="宋体" w:eastAsia="宋体" w:cs="宋体"/>
                <w:spacing w:val="8"/>
                <w:sz w:val="20"/>
                <w:szCs w:val="20"/>
              </w:rPr>
              <w:t>废水排污口的要求</w:t>
            </w:r>
            <w:r>
              <w:rPr>
                <w:rFonts w:ascii="Times New Roman" w:hAnsi="Times New Roman" w:eastAsia="Times New Roman" w:cs="Times New Roman"/>
                <w:spacing w:val="8"/>
                <w:sz w:val="20"/>
                <w:szCs w:val="20"/>
              </w:rPr>
              <w:t>:</w:t>
            </w:r>
            <w:r>
              <w:rPr>
                <w:rFonts w:ascii="宋体" w:hAnsi="宋体" w:eastAsia="宋体" w:cs="宋体"/>
                <w:spacing w:val="8"/>
                <w:sz w:val="20"/>
                <w:szCs w:val="20"/>
              </w:rPr>
              <w:t>强化园区生活污水</w:t>
            </w:r>
          </w:p>
          <w:p w14:paraId="57F3AAE5">
            <w:pPr>
              <w:spacing w:before="161" w:line="228" w:lineRule="auto"/>
              <w:ind w:left="127"/>
              <w:rPr>
                <w:rFonts w:ascii="宋体" w:hAnsi="宋体" w:eastAsia="宋体" w:cs="宋体"/>
                <w:sz w:val="20"/>
                <w:szCs w:val="20"/>
              </w:rPr>
            </w:pPr>
            <w:r>
              <w:rPr>
                <w:rFonts w:ascii="宋体" w:hAnsi="宋体" w:eastAsia="宋体" w:cs="宋体"/>
                <w:spacing w:val="9"/>
                <w:sz w:val="20"/>
                <w:szCs w:val="20"/>
              </w:rPr>
              <w:t>收集处理回用，加强区域水环境综合整</w:t>
            </w:r>
          </w:p>
          <w:p w14:paraId="07EA923B">
            <w:pPr>
              <w:spacing w:before="161" w:line="228" w:lineRule="auto"/>
              <w:ind w:right="11"/>
              <w:jc w:val="right"/>
              <w:rPr>
                <w:rFonts w:ascii="宋体" w:hAnsi="宋体" w:eastAsia="宋体" w:cs="宋体"/>
                <w:sz w:val="20"/>
                <w:szCs w:val="20"/>
              </w:rPr>
            </w:pPr>
            <w:r>
              <w:rPr>
                <w:rFonts w:ascii="宋体" w:hAnsi="宋体" w:eastAsia="宋体" w:cs="宋体"/>
                <w:spacing w:val="4"/>
                <w:sz w:val="20"/>
                <w:szCs w:val="20"/>
              </w:rPr>
              <w:t>治，确保实现区域水环境质量改善目标。</w:t>
            </w:r>
          </w:p>
          <w:p w14:paraId="781CAA3C">
            <w:pPr>
              <w:spacing w:before="163" w:line="227" w:lineRule="auto"/>
              <w:ind w:left="137"/>
              <w:rPr>
                <w:rFonts w:ascii="宋体" w:hAnsi="宋体" w:eastAsia="宋体" w:cs="宋体"/>
                <w:sz w:val="20"/>
                <w:szCs w:val="20"/>
              </w:rPr>
            </w:pPr>
            <w:r>
              <w:rPr>
                <w:rFonts w:ascii="宋体" w:hAnsi="宋体" w:eastAsia="宋体" w:cs="宋体"/>
                <w:spacing w:val="8"/>
                <w:sz w:val="20"/>
                <w:szCs w:val="20"/>
              </w:rPr>
              <w:t>园区在产业布局和入园项目建设时应充</w:t>
            </w:r>
          </w:p>
          <w:p w14:paraId="3A819A6E">
            <w:pPr>
              <w:spacing w:before="163" w:line="226" w:lineRule="auto"/>
              <w:ind w:left="122"/>
              <w:rPr>
                <w:rFonts w:ascii="宋体" w:hAnsi="宋体" w:eastAsia="宋体" w:cs="宋体"/>
                <w:sz w:val="20"/>
                <w:szCs w:val="20"/>
              </w:rPr>
            </w:pPr>
            <w:r>
              <w:rPr>
                <w:rFonts w:ascii="宋体" w:hAnsi="宋体" w:eastAsia="宋体" w:cs="宋体"/>
                <w:spacing w:val="9"/>
                <w:sz w:val="20"/>
                <w:szCs w:val="20"/>
              </w:rPr>
              <w:t>分考虑对地下水环境影响，按照《报告</w:t>
            </w:r>
          </w:p>
          <w:p w14:paraId="7F0BC6E8">
            <w:pPr>
              <w:spacing w:before="163" w:line="227" w:lineRule="auto"/>
              <w:ind w:left="124"/>
              <w:rPr>
                <w:rFonts w:ascii="宋体" w:hAnsi="宋体" w:eastAsia="宋体" w:cs="宋体"/>
                <w:sz w:val="20"/>
                <w:szCs w:val="20"/>
              </w:rPr>
            </w:pPr>
            <w:r>
              <w:rPr>
                <w:rFonts w:ascii="宋体" w:hAnsi="宋体" w:eastAsia="宋体" w:cs="宋体"/>
                <w:spacing w:val="8"/>
                <w:sz w:val="20"/>
                <w:szCs w:val="20"/>
              </w:rPr>
              <w:t>书》提出的重点保护区、重点控制区、</w:t>
            </w:r>
          </w:p>
          <w:p w14:paraId="07F06B00">
            <w:pPr>
              <w:spacing w:before="161" w:line="228" w:lineRule="auto"/>
              <w:ind w:left="120"/>
              <w:rPr>
                <w:rFonts w:ascii="宋体" w:hAnsi="宋体" w:eastAsia="宋体" w:cs="宋体"/>
                <w:sz w:val="20"/>
                <w:szCs w:val="20"/>
              </w:rPr>
            </w:pPr>
            <w:r>
              <w:rPr>
                <w:rFonts w:ascii="宋体" w:hAnsi="宋体" w:eastAsia="宋体" w:cs="宋体"/>
                <w:spacing w:val="9"/>
                <w:sz w:val="20"/>
                <w:szCs w:val="20"/>
              </w:rPr>
              <w:t>其他区域三类区域进行分级管控。严格</w:t>
            </w:r>
          </w:p>
          <w:p w14:paraId="721C2E05">
            <w:pPr>
              <w:spacing w:before="161" w:line="228" w:lineRule="auto"/>
              <w:ind w:left="122"/>
              <w:rPr>
                <w:rFonts w:ascii="宋体" w:hAnsi="宋体" w:eastAsia="宋体" w:cs="宋体"/>
                <w:sz w:val="20"/>
                <w:szCs w:val="20"/>
              </w:rPr>
            </w:pPr>
            <w:r>
              <w:rPr>
                <w:rFonts w:ascii="宋体" w:hAnsi="宋体" w:eastAsia="宋体" w:cs="宋体"/>
                <w:spacing w:val="9"/>
                <w:sz w:val="20"/>
                <w:szCs w:val="20"/>
              </w:rPr>
              <w:t>水文地质、工程地质勘察做好地下水污</w:t>
            </w:r>
          </w:p>
          <w:p w14:paraId="577F7BE2">
            <w:pPr>
              <w:spacing w:before="162" w:line="227" w:lineRule="auto"/>
              <w:ind w:left="123"/>
              <w:rPr>
                <w:rFonts w:ascii="宋体" w:hAnsi="宋体" w:eastAsia="宋体" w:cs="宋体"/>
                <w:sz w:val="20"/>
                <w:szCs w:val="20"/>
              </w:rPr>
            </w:pPr>
            <w:r>
              <w:rPr>
                <w:rFonts w:ascii="宋体" w:hAnsi="宋体" w:eastAsia="宋体" w:cs="宋体"/>
                <w:spacing w:val="9"/>
                <w:sz w:val="20"/>
                <w:szCs w:val="20"/>
              </w:rPr>
              <w:t>染防治和监控，按相关规范要求采取针</w:t>
            </w:r>
          </w:p>
          <w:p w14:paraId="5CEF4895">
            <w:pPr>
              <w:spacing w:before="164" w:line="228" w:lineRule="auto"/>
              <w:ind w:left="119"/>
              <w:rPr>
                <w:rFonts w:ascii="宋体" w:hAnsi="宋体" w:eastAsia="宋体" w:cs="宋体"/>
                <w:sz w:val="20"/>
                <w:szCs w:val="20"/>
              </w:rPr>
            </w:pPr>
            <w:r>
              <w:rPr>
                <w:rFonts w:ascii="宋体" w:hAnsi="宋体" w:eastAsia="宋体" w:cs="宋体"/>
                <w:spacing w:val="9"/>
                <w:sz w:val="20"/>
                <w:szCs w:val="20"/>
              </w:rPr>
              <w:t>对性防渗措施，严格执行《地下水管理</w:t>
            </w:r>
          </w:p>
          <w:p w14:paraId="0F9DD462">
            <w:pPr>
              <w:spacing w:before="161" w:line="228" w:lineRule="auto"/>
              <w:ind w:left="961"/>
              <w:rPr>
                <w:rFonts w:ascii="宋体" w:hAnsi="宋体" w:eastAsia="宋体" w:cs="宋体"/>
                <w:sz w:val="20"/>
                <w:szCs w:val="20"/>
              </w:rPr>
            </w:pPr>
            <w:r>
              <w:rPr>
                <w:rFonts w:ascii="宋体" w:hAnsi="宋体" w:eastAsia="宋体" w:cs="宋体"/>
                <w:spacing w:val="7"/>
                <w:sz w:val="20"/>
                <w:szCs w:val="20"/>
              </w:rPr>
              <w:t>条例》等相关规定。</w:t>
            </w:r>
          </w:p>
          <w:p w14:paraId="39D64454">
            <w:pPr>
              <w:spacing w:before="161" w:line="228" w:lineRule="auto"/>
              <w:ind w:left="118"/>
              <w:rPr>
                <w:rFonts w:ascii="宋体" w:hAnsi="宋体" w:eastAsia="宋体" w:cs="宋体"/>
                <w:sz w:val="20"/>
                <w:szCs w:val="20"/>
              </w:rPr>
            </w:pPr>
            <w:r>
              <w:rPr>
                <w:rFonts w:ascii="宋体" w:hAnsi="宋体" w:eastAsia="宋体" w:cs="宋体"/>
                <w:spacing w:val="9"/>
                <w:sz w:val="20"/>
                <w:szCs w:val="20"/>
              </w:rPr>
              <w:t>将土壤污染防治工作纳入园区规划及相</w:t>
            </w:r>
          </w:p>
          <w:p w14:paraId="3AB3527D">
            <w:pPr>
              <w:spacing w:before="161" w:line="227" w:lineRule="auto"/>
              <w:ind w:left="123"/>
              <w:rPr>
                <w:rFonts w:ascii="宋体" w:hAnsi="宋体" w:eastAsia="宋体" w:cs="宋体"/>
                <w:sz w:val="20"/>
                <w:szCs w:val="20"/>
              </w:rPr>
            </w:pPr>
            <w:r>
              <w:rPr>
                <w:rFonts w:ascii="宋体" w:hAnsi="宋体" w:eastAsia="宋体" w:cs="宋体"/>
                <w:spacing w:val="9"/>
                <w:sz w:val="20"/>
                <w:szCs w:val="20"/>
              </w:rPr>
              <w:t>关生态环境保护规划，采取有效预防措</w:t>
            </w:r>
          </w:p>
          <w:p w14:paraId="51F869C0">
            <w:pPr>
              <w:spacing w:before="164" w:line="228" w:lineRule="auto"/>
              <w:ind w:left="119"/>
              <w:rPr>
                <w:rFonts w:ascii="宋体" w:hAnsi="宋体" w:eastAsia="宋体" w:cs="宋体"/>
                <w:sz w:val="20"/>
                <w:szCs w:val="20"/>
              </w:rPr>
            </w:pPr>
            <w:r>
              <w:rPr>
                <w:rFonts w:ascii="宋体" w:hAnsi="宋体" w:eastAsia="宋体" w:cs="宋体"/>
                <w:spacing w:val="9"/>
                <w:sz w:val="20"/>
                <w:szCs w:val="20"/>
              </w:rPr>
              <w:t>施，防止、减少土壤污染，确保满足土</w:t>
            </w:r>
          </w:p>
          <w:p w14:paraId="4475D42C">
            <w:pPr>
              <w:spacing w:before="161" w:line="228" w:lineRule="auto"/>
              <w:ind w:left="1065"/>
              <w:rPr>
                <w:rFonts w:ascii="宋体" w:hAnsi="宋体" w:eastAsia="宋体" w:cs="宋体"/>
                <w:sz w:val="20"/>
                <w:szCs w:val="20"/>
              </w:rPr>
            </w:pPr>
            <w:r>
              <w:rPr>
                <w:rFonts w:ascii="宋体" w:hAnsi="宋体" w:eastAsia="宋体" w:cs="宋体"/>
                <w:spacing w:val="7"/>
                <w:sz w:val="20"/>
                <w:szCs w:val="20"/>
              </w:rPr>
              <w:t>壤环境管控要求。</w:t>
            </w:r>
          </w:p>
        </w:tc>
        <w:tc>
          <w:tcPr>
            <w:tcW w:w="2979" w:type="dxa"/>
            <w:vAlign w:val="top"/>
          </w:tcPr>
          <w:p w14:paraId="2820880D">
            <w:pPr>
              <w:spacing w:before="37" w:line="227" w:lineRule="auto"/>
              <w:ind w:left="131"/>
              <w:rPr>
                <w:rFonts w:ascii="宋体" w:hAnsi="宋体" w:eastAsia="宋体" w:cs="宋体"/>
                <w:sz w:val="20"/>
                <w:szCs w:val="20"/>
              </w:rPr>
            </w:pPr>
            <w:r>
              <w:rPr>
                <w:rFonts w:ascii="宋体" w:hAnsi="宋体" w:eastAsia="宋体" w:cs="宋体"/>
                <w:spacing w:val="9"/>
                <w:sz w:val="20"/>
                <w:szCs w:val="20"/>
              </w:rPr>
              <w:t>颗粒物，大气污染物经采取措</w:t>
            </w:r>
          </w:p>
          <w:p w14:paraId="21110A43">
            <w:pPr>
              <w:spacing w:before="162" w:line="227" w:lineRule="auto"/>
              <w:ind w:left="131"/>
              <w:rPr>
                <w:rFonts w:ascii="宋体" w:hAnsi="宋体" w:eastAsia="宋体" w:cs="宋体"/>
                <w:sz w:val="20"/>
                <w:szCs w:val="20"/>
              </w:rPr>
            </w:pPr>
            <w:r>
              <w:rPr>
                <w:rFonts w:ascii="宋体" w:hAnsi="宋体" w:eastAsia="宋体" w:cs="宋体"/>
                <w:spacing w:val="9"/>
                <w:sz w:val="20"/>
                <w:szCs w:val="20"/>
              </w:rPr>
              <w:t>施治理后达标排放，处理成本</w:t>
            </w:r>
          </w:p>
          <w:p w14:paraId="04EBA56F">
            <w:pPr>
              <w:spacing w:before="162" w:line="227" w:lineRule="auto"/>
              <w:ind w:left="135"/>
              <w:rPr>
                <w:rFonts w:ascii="宋体" w:hAnsi="宋体" w:eastAsia="宋体" w:cs="宋体"/>
                <w:sz w:val="20"/>
                <w:szCs w:val="20"/>
              </w:rPr>
            </w:pPr>
            <w:r>
              <w:rPr>
                <w:rFonts w:ascii="宋体" w:hAnsi="宋体" w:eastAsia="宋体" w:cs="宋体"/>
                <w:spacing w:val="9"/>
                <w:sz w:val="20"/>
                <w:szCs w:val="20"/>
              </w:rPr>
              <w:t>一般。本项目选用先进的生产</w:t>
            </w:r>
          </w:p>
          <w:p w14:paraId="081E8076">
            <w:pPr>
              <w:spacing w:before="162" w:line="228" w:lineRule="auto"/>
              <w:ind w:left="135"/>
              <w:rPr>
                <w:rFonts w:ascii="宋体" w:hAnsi="宋体" w:eastAsia="宋体" w:cs="宋体"/>
                <w:sz w:val="20"/>
                <w:szCs w:val="20"/>
              </w:rPr>
            </w:pPr>
            <w:r>
              <w:rPr>
                <w:rFonts w:ascii="宋体" w:hAnsi="宋体" w:eastAsia="宋体" w:cs="宋体"/>
                <w:spacing w:val="9"/>
                <w:sz w:val="20"/>
                <w:szCs w:val="20"/>
              </w:rPr>
              <w:t>设备及工艺，项目在已建厂房</w:t>
            </w:r>
          </w:p>
          <w:p w14:paraId="76689B88">
            <w:pPr>
              <w:spacing w:before="160" w:line="227" w:lineRule="auto"/>
              <w:ind w:left="157"/>
              <w:rPr>
                <w:rFonts w:ascii="宋体" w:hAnsi="宋体" w:eastAsia="宋体" w:cs="宋体"/>
                <w:sz w:val="20"/>
                <w:szCs w:val="20"/>
              </w:rPr>
            </w:pPr>
            <w:r>
              <w:rPr>
                <w:rFonts w:ascii="宋体" w:hAnsi="宋体" w:eastAsia="宋体" w:cs="宋体"/>
                <w:spacing w:val="7"/>
                <w:sz w:val="20"/>
                <w:szCs w:val="20"/>
              </w:rPr>
              <w:t>内扩建一条塑料筐生产线，本</w:t>
            </w:r>
          </w:p>
          <w:p w14:paraId="625127BE">
            <w:pPr>
              <w:spacing w:before="161" w:line="228" w:lineRule="auto"/>
              <w:ind w:left="135"/>
              <w:rPr>
                <w:rFonts w:ascii="宋体" w:hAnsi="宋体" w:eastAsia="宋体" w:cs="宋体"/>
                <w:sz w:val="20"/>
                <w:szCs w:val="20"/>
              </w:rPr>
            </w:pPr>
            <w:r>
              <w:rPr>
                <w:rFonts w:ascii="宋体" w:hAnsi="宋体" w:eastAsia="宋体" w:cs="宋体"/>
                <w:spacing w:val="9"/>
                <w:sz w:val="20"/>
                <w:szCs w:val="20"/>
              </w:rPr>
              <w:t>项目的建设符合国家和云南省</w:t>
            </w:r>
          </w:p>
          <w:p w14:paraId="73FB094B">
            <w:pPr>
              <w:spacing w:before="163" w:line="228" w:lineRule="auto"/>
              <w:ind w:left="133"/>
              <w:rPr>
                <w:rFonts w:ascii="宋体" w:hAnsi="宋体" w:eastAsia="宋体" w:cs="宋体"/>
                <w:sz w:val="20"/>
                <w:szCs w:val="20"/>
              </w:rPr>
            </w:pPr>
            <w:r>
              <w:rPr>
                <w:rFonts w:ascii="宋体" w:hAnsi="宋体" w:eastAsia="宋体" w:cs="宋体"/>
                <w:spacing w:val="9"/>
                <w:sz w:val="20"/>
                <w:szCs w:val="20"/>
              </w:rPr>
              <w:t>有关地下水、土壤污染防治措</w:t>
            </w:r>
          </w:p>
          <w:p w14:paraId="42FD05AE">
            <w:pPr>
              <w:spacing w:before="162" w:line="227" w:lineRule="auto"/>
              <w:ind w:left="131"/>
              <w:rPr>
                <w:rFonts w:ascii="宋体" w:hAnsi="宋体" w:eastAsia="宋体" w:cs="宋体"/>
                <w:sz w:val="20"/>
                <w:szCs w:val="20"/>
              </w:rPr>
            </w:pPr>
            <w:r>
              <w:rPr>
                <w:rFonts w:ascii="宋体" w:hAnsi="宋体" w:eastAsia="宋体" w:cs="宋体"/>
                <w:spacing w:val="9"/>
                <w:sz w:val="20"/>
                <w:szCs w:val="20"/>
              </w:rPr>
              <w:t>施及相关要求。本项目使用自</w:t>
            </w:r>
          </w:p>
          <w:p w14:paraId="483639F1">
            <w:pPr>
              <w:spacing w:before="161" w:line="228" w:lineRule="auto"/>
              <w:ind w:left="133"/>
              <w:rPr>
                <w:rFonts w:ascii="宋体" w:hAnsi="宋体" w:eastAsia="宋体" w:cs="宋体"/>
                <w:sz w:val="20"/>
                <w:szCs w:val="20"/>
              </w:rPr>
            </w:pPr>
            <w:r>
              <w:rPr>
                <w:rFonts w:ascii="宋体" w:hAnsi="宋体" w:eastAsia="宋体" w:cs="宋体"/>
                <w:spacing w:val="9"/>
                <w:sz w:val="20"/>
                <w:szCs w:val="20"/>
              </w:rPr>
              <w:t>来水，不抽取地下水；严格执</w:t>
            </w:r>
          </w:p>
          <w:p w14:paraId="6AC607C4">
            <w:pPr>
              <w:spacing w:before="162" w:line="228" w:lineRule="auto"/>
              <w:ind w:left="347"/>
              <w:rPr>
                <w:rFonts w:ascii="宋体" w:hAnsi="宋体" w:eastAsia="宋体" w:cs="宋体"/>
                <w:sz w:val="20"/>
                <w:szCs w:val="20"/>
              </w:rPr>
            </w:pPr>
            <w:r>
              <w:rPr>
                <w:rFonts w:ascii="宋体" w:hAnsi="宋体" w:eastAsia="宋体" w:cs="宋体"/>
                <w:spacing w:val="7"/>
                <w:sz w:val="20"/>
                <w:szCs w:val="20"/>
              </w:rPr>
              <w:t>行土壤及生态保护措施。</w:t>
            </w:r>
          </w:p>
        </w:tc>
        <w:tc>
          <w:tcPr>
            <w:tcW w:w="688" w:type="dxa"/>
            <w:vAlign w:val="top"/>
          </w:tcPr>
          <w:p w14:paraId="5B9122EE">
            <w:pPr>
              <w:rPr>
                <w:rFonts w:ascii="Arial"/>
                <w:sz w:val="21"/>
              </w:rPr>
            </w:pPr>
          </w:p>
        </w:tc>
        <w:tc>
          <w:tcPr>
            <w:tcW w:w="124" w:type="dxa"/>
            <w:vMerge w:val="restart"/>
            <w:tcBorders>
              <w:top w:val="single" w:color="000000" w:sz="6" w:space="0"/>
              <w:bottom w:val="nil"/>
              <w:right w:val="single" w:color="000000" w:sz="6" w:space="0"/>
            </w:tcBorders>
            <w:vAlign w:val="top"/>
          </w:tcPr>
          <w:p w14:paraId="770F02D1">
            <w:pPr>
              <w:rPr>
                <w:rFonts w:ascii="Arial"/>
                <w:sz w:val="21"/>
              </w:rPr>
            </w:pPr>
          </w:p>
        </w:tc>
      </w:tr>
      <w:tr w14:paraId="46186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9" w:hRule="atLeast"/>
        </w:trPr>
        <w:tc>
          <w:tcPr>
            <w:tcW w:w="1161" w:type="dxa"/>
            <w:vMerge w:val="continue"/>
            <w:tcBorders>
              <w:top w:val="nil"/>
              <w:left w:val="single" w:color="000000" w:sz="6" w:space="0"/>
              <w:bottom w:val="single" w:color="000000" w:sz="6" w:space="0"/>
            </w:tcBorders>
            <w:vAlign w:val="top"/>
          </w:tcPr>
          <w:p w14:paraId="24B5A6E7">
            <w:pPr>
              <w:rPr>
                <w:rFonts w:ascii="Arial"/>
                <w:sz w:val="21"/>
              </w:rPr>
            </w:pPr>
          </w:p>
        </w:tc>
        <w:tc>
          <w:tcPr>
            <w:tcW w:w="114" w:type="dxa"/>
            <w:tcBorders>
              <w:top w:val="nil"/>
              <w:bottom w:val="single" w:color="000000" w:sz="6" w:space="0"/>
            </w:tcBorders>
            <w:vAlign w:val="top"/>
          </w:tcPr>
          <w:p w14:paraId="42E55FBE">
            <w:pPr>
              <w:rPr>
                <w:rFonts w:ascii="Arial"/>
                <w:sz w:val="21"/>
              </w:rPr>
            </w:pPr>
          </w:p>
        </w:tc>
        <w:tc>
          <w:tcPr>
            <w:tcW w:w="3806" w:type="dxa"/>
            <w:vAlign w:val="top"/>
          </w:tcPr>
          <w:p w14:paraId="30C8F688">
            <w:pPr>
              <w:spacing w:before="37" w:line="374" w:lineRule="auto"/>
              <w:ind w:left="120" w:right="120" w:firstLine="2"/>
              <w:jc w:val="both"/>
              <w:rPr>
                <w:rFonts w:ascii="宋体" w:hAnsi="宋体" w:eastAsia="宋体" w:cs="宋体"/>
                <w:sz w:val="20"/>
                <w:szCs w:val="20"/>
              </w:rPr>
            </w:pPr>
            <w:r>
              <w:rPr>
                <w:rFonts w:ascii="宋体" w:hAnsi="宋体" w:eastAsia="宋体" w:cs="宋体"/>
                <w:spacing w:val="9"/>
                <w:sz w:val="20"/>
                <w:szCs w:val="20"/>
              </w:rPr>
              <w:t>建立环境风险防控体系，提高环境应急能力，加强区内重要环境风险源管控，严控高风险产业发展规模。强化园区危险化学品储运的环境风险管理，加强金所组团现有煤、磷盐化工企业和天生桥组团磷化工企业环境风险管控。制定厂区园区、区域三级防控措施，强化园区环境监测与预警能力建设环境风险应急与防范措施，建立应急响应联动机制和风险防控体系。重点关注地表水环境风</w:t>
            </w:r>
          </w:p>
        </w:tc>
        <w:tc>
          <w:tcPr>
            <w:tcW w:w="2979" w:type="dxa"/>
            <w:vAlign w:val="top"/>
          </w:tcPr>
          <w:p w14:paraId="3E0782C4">
            <w:pPr>
              <w:spacing w:before="41" w:line="227" w:lineRule="auto"/>
              <w:ind w:left="133"/>
              <w:rPr>
                <w:rFonts w:ascii="宋体" w:hAnsi="宋体" w:eastAsia="宋体" w:cs="宋体"/>
                <w:sz w:val="20"/>
                <w:szCs w:val="20"/>
              </w:rPr>
            </w:pPr>
            <w:r>
              <w:rPr>
                <w:rFonts w:ascii="宋体" w:hAnsi="宋体" w:eastAsia="宋体" w:cs="宋体"/>
                <w:spacing w:val="9"/>
                <w:sz w:val="20"/>
                <w:szCs w:val="20"/>
              </w:rPr>
              <w:t>本项目不属于煤、磷盐化工企</w:t>
            </w:r>
          </w:p>
          <w:p w14:paraId="1138AB4F">
            <w:pPr>
              <w:spacing w:before="162" w:line="227" w:lineRule="auto"/>
              <w:ind w:left="131"/>
              <w:rPr>
                <w:rFonts w:ascii="宋体" w:hAnsi="宋体" w:eastAsia="宋体" w:cs="宋体"/>
                <w:sz w:val="20"/>
                <w:szCs w:val="20"/>
              </w:rPr>
            </w:pPr>
            <w:r>
              <w:rPr>
                <w:rFonts w:ascii="宋体" w:hAnsi="宋体" w:eastAsia="宋体" w:cs="宋体"/>
                <w:spacing w:val="9"/>
                <w:sz w:val="20"/>
                <w:szCs w:val="20"/>
              </w:rPr>
              <w:t>业，项目危废主要为废机油和</w:t>
            </w:r>
          </w:p>
          <w:p w14:paraId="0B8F3B56">
            <w:pPr>
              <w:spacing w:before="164" w:line="228" w:lineRule="auto"/>
              <w:ind w:left="131"/>
              <w:rPr>
                <w:rFonts w:ascii="宋体" w:hAnsi="宋体" w:eastAsia="宋体" w:cs="宋体"/>
                <w:sz w:val="20"/>
                <w:szCs w:val="20"/>
              </w:rPr>
            </w:pPr>
            <w:r>
              <w:rPr>
                <w:rFonts w:ascii="宋体" w:hAnsi="宋体" w:eastAsia="宋体" w:cs="宋体"/>
                <w:spacing w:val="9"/>
                <w:sz w:val="20"/>
                <w:szCs w:val="20"/>
              </w:rPr>
              <w:t>废旧活性炭，最大储存量均为</w:t>
            </w:r>
          </w:p>
          <w:p w14:paraId="147093B6">
            <w:pPr>
              <w:spacing w:before="161" w:line="228" w:lineRule="auto"/>
              <w:ind w:left="131"/>
              <w:rPr>
                <w:rFonts w:ascii="宋体" w:hAnsi="宋体" w:eastAsia="宋体" w:cs="宋体"/>
                <w:sz w:val="20"/>
                <w:szCs w:val="20"/>
              </w:rPr>
            </w:pPr>
            <w:r>
              <w:rPr>
                <w:rFonts w:ascii="宋体" w:hAnsi="宋体" w:eastAsia="宋体" w:cs="宋体"/>
                <w:spacing w:val="8"/>
                <w:sz w:val="20"/>
                <w:szCs w:val="20"/>
              </w:rPr>
              <w:t>超过临界值，环境风险一般，</w:t>
            </w:r>
          </w:p>
          <w:p w14:paraId="07D39F27">
            <w:pPr>
              <w:spacing w:before="160" w:line="228" w:lineRule="auto"/>
              <w:ind w:left="135"/>
              <w:rPr>
                <w:rFonts w:ascii="宋体" w:hAnsi="宋体" w:eastAsia="宋体" w:cs="宋体"/>
                <w:sz w:val="20"/>
                <w:szCs w:val="20"/>
              </w:rPr>
            </w:pPr>
            <w:r>
              <w:rPr>
                <w:rFonts w:ascii="宋体" w:hAnsi="宋体" w:eastAsia="宋体" w:cs="宋体"/>
                <w:spacing w:val="9"/>
                <w:sz w:val="20"/>
                <w:szCs w:val="20"/>
              </w:rPr>
              <w:t>厂区内危废暂存间已按照《危</w:t>
            </w:r>
          </w:p>
          <w:p w14:paraId="6045826C">
            <w:pPr>
              <w:spacing w:before="161" w:line="228" w:lineRule="auto"/>
              <w:ind w:left="249"/>
              <w:rPr>
                <w:rFonts w:ascii="宋体" w:hAnsi="宋体" w:eastAsia="宋体" w:cs="宋体"/>
                <w:sz w:val="20"/>
                <w:szCs w:val="20"/>
              </w:rPr>
            </w:pPr>
            <w:r>
              <w:rPr>
                <w:rFonts w:ascii="宋体" w:hAnsi="宋体" w:eastAsia="宋体" w:cs="宋体"/>
                <w:spacing w:val="7"/>
                <w:sz w:val="20"/>
                <w:szCs w:val="20"/>
              </w:rPr>
              <w:t>险废物贮存污染控制标准》</w:t>
            </w:r>
          </w:p>
          <w:p w14:paraId="59A838B9">
            <w:pPr>
              <w:spacing w:before="163" w:line="227" w:lineRule="auto"/>
              <w:ind w:left="125"/>
              <w:rPr>
                <w:rFonts w:ascii="宋体" w:hAnsi="宋体" w:eastAsia="宋体" w:cs="宋体"/>
                <w:sz w:val="20"/>
                <w:szCs w:val="20"/>
              </w:rPr>
            </w:pPr>
            <w:r>
              <w:rPr>
                <w:rFonts w:ascii="宋体" w:hAnsi="宋体" w:eastAsia="宋体" w:cs="宋体"/>
                <w:sz w:val="20"/>
                <w:szCs w:val="20"/>
              </w:rPr>
              <w:t>（</w:t>
            </w:r>
            <w:r>
              <w:rPr>
                <w:rFonts w:ascii="Times New Roman" w:hAnsi="Times New Roman" w:eastAsia="Times New Roman" w:cs="Times New Roman"/>
                <w:sz w:val="20"/>
                <w:szCs w:val="20"/>
              </w:rPr>
              <w:t>GB18597-2023</w:t>
            </w:r>
            <w:r>
              <w:rPr>
                <w:rFonts w:ascii="宋体" w:hAnsi="宋体" w:eastAsia="宋体" w:cs="宋体"/>
                <w:sz w:val="20"/>
                <w:szCs w:val="20"/>
              </w:rPr>
              <w:t>）要求采用</w:t>
            </w:r>
            <w:r>
              <w:rPr>
                <w:rFonts w:ascii="Times New Roman" w:hAnsi="Times New Roman" w:eastAsia="Times New Roman" w:cs="Times New Roman"/>
                <w:sz w:val="20"/>
                <w:szCs w:val="20"/>
              </w:rPr>
              <w:t>“</w:t>
            </w:r>
            <w:r>
              <w:rPr>
                <w:rFonts w:ascii="宋体" w:hAnsi="宋体" w:eastAsia="宋体" w:cs="宋体"/>
                <w:sz w:val="20"/>
                <w:szCs w:val="20"/>
              </w:rPr>
              <w:t>混</w:t>
            </w:r>
          </w:p>
          <w:p w14:paraId="4498C79A">
            <w:pPr>
              <w:spacing w:before="163" w:line="228" w:lineRule="auto"/>
              <w:ind w:left="179"/>
              <w:rPr>
                <w:rFonts w:ascii="宋体" w:hAnsi="宋体" w:eastAsia="宋体" w:cs="宋体"/>
                <w:sz w:val="20"/>
                <w:szCs w:val="20"/>
              </w:rPr>
            </w:pPr>
            <w:r>
              <w:rPr>
                <w:rFonts w:ascii="宋体" w:hAnsi="宋体" w:eastAsia="宋体" w:cs="宋体"/>
                <w:spacing w:val="8"/>
                <w:sz w:val="20"/>
                <w:szCs w:val="20"/>
              </w:rPr>
              <w:t>凝土硬化</w:t>
            </w:r>
            <w:r>
              <w:rPr>
                <w:rFonts w:ascii="Times New Roman" w:hAnsi="Times New Roman" w:eastAsia="Times New Roman" w:cs="Times New Roman"/>
                <w:spacing w:val="8"/>
                <w:sz w:val="20"/>
                <w:szCs w:val="20"/>
              </w:rPr>
              <w:t>+</w:t>
            </w:r>
            <w:r>
              <w:rPr>
                <w:rFonts w:ascii="宋体" w:hAnsi="宋体" w:eastAsia="宋体" w:cs="宋体"/>
                <w:spacing w:val="8"/>
                <w:sz w:val="20"/>
                <w:szCs w:val="20"/>
              </w:rPr>
              <w:t>对墙面地面涂刷环</w:t>
            </w:r>
          </w:p>
          <w:p w14:paraId="5F1A3272">
            <w:pPr>
              <w:spacing w:before="160" w:line="227" w:lineRule="auto"/>
              <w:ind w:left="193"/>
              <w:rPr>
                <w:rFonts w:ascii="宋体" w:hAnsi="宋体" w:eastAsia="宋体" w:cs="宋体"/>
                <w:sz w:val="20"/>
                <w:szCs w:val="20"/>
              </w:rPr>
            </w:pPr>
            <w:r>
              <w:rPr>
                <w:rFonts w:ascii="宋体" w:hAnsi="宋体" w:eastAsia="宋体" w:cs="宋体"/>
                <w:spacing w:val="8"/>
                <w:sz w:val="20"/>
                <w:szCs w:val="20"/>
              </w:rPr>
              <w:t>氧树脂涂料</w:t>
            </w:r>
            <w:r>
              <w:rPr>
                <w:rFonts w:ascii="Times New Roman" w:hAnsi="Times New Roman" w:eastAsia="Times New Roman" w:cs="Times New Roman"/>
                <w:spacing w:val="8"/>
                <w:sz w:val="20"/>
                <w:szCs w:val="20"/>
              </w:rPr>
              <w:t>”</w:t>
            </w:r>
            <w:r>
              <w:rPr>
                <w:rFonts w:ascii="宋体" w:hAnsi="宋体" w:eastAsia="宋体" w:cs="宋体"/>
                <w:spacing w:val="8"/>
                <w:sz w:val="20"/>
                <w:szCs w:val="20"/>
              </w:rPr>
              <w:t>进行重点防渗处</w:t>
            </w:r>
          </w:p>
          <w:p w14:paraId="2C9CFB27">
            <w:pPr>
              <w:spacing w:before="162" w:line="228" w:lineRule="auto"/>
              <w:ind w:left="118"/>
              <w:rPr>
                <w:rFonts w:ascii="宋体" w:hAnsi="宋体" w:eastAsia="宋体" w:cs="宋体"/>
                <w:sz w:val="20"/>
                <w:szCs w:val="20"/>
              </w:rPr>
            </w:pPr>
            <w:r>
              <w:rPr>
                <w:rFonts w:ascii="宋体" w:hAnsi="宋体" w:eastAsia="宋体" w:cs="宋体"/>
                <w:sz w:val="20"/>
                <w:szCs w:val="20"/>
              </w:rPr>
              <w:t>理，渗透系数</w:t>
            </w:r>
            <w:r>
              <w:rPr>
                <w:rFonts w:ascii="宋体" w:hAnsi="宋体" w:eastAsia="宋体" w:cs="宋体"/>
                <w:spacing w:val="-17"/>
                <w:sz w:val="20"/>
                <w:szCs w:val="20"/>
              </w:rPr>
              <w:t xml:space="preserve"> </w:t>
            </w:r>
            <w:r>
              <w:rPr>
                <w:rFonts w:ascii="Times New Roman" w:hAnsi="Times New Roman" w:eastAsia="Times New Roman" w:cs="Times New Roman"/>
                <w:sz w:val="20"/>
                <w:szCs w:val="20"/>
              </w:rPr>
              <w:t>1×≤10</w:t>
            </w:r>
            <w:r>
              <w:rPr>
                <w:rFonts w:ascii="Times New Roman" w:hAnsi="Times New Roman" w:eastAsia="Times New Roman" w:cs="Times New Roman"/>
                <w:position w:val="6"/>
                <w:sz w:val="13"/>
                <w:szCs w:val="13"/>
              </w:rPr>
              <w:t>-10</w:t>
            </w:r>
            <w:r>
              <w:rPr>
                <w:rFonts w:ascii="Times New Roman" w:hAnsi="Times New Roman" w:eastAsia="Times New Roman" w:cs="Times New Roman"/>
                <w:sz w:val="20"/>
                <w:szCs w:val="20"/>
              </w:rPr>
              <w:t>cm/s</w:t>
            </w:r>
            <w:r>
              <w:rPr>
                <w:rFonts w:ascii="宋体" w:hAnsi="宋体" w:eastAsia="宋体" w:cs="宋体"/>
                <w:sz w:val="20"/>
                <w:szCs w:val="20"/>
              </w:rPr>
              <w:t>，并</w:t>
            </w:r>
          </w:p>
        </w:tc>
        <w:tc>
          <w:tcPr>
            <w:tcW w:w="688" w:type="dxa"/>
            <w:vAlign w:val="top"/>
          </w:tcPr>
          <w:p w14:paraId="7BC554CD">
            <w:pPr>
              <w:spacing w:line="257" w:lineRule="auto"/>
              <w:rPr>
                <w:rFonts w:ascii="Arial"/>
                <w:sz w:val="21"/>
              </w:rPr>
            </w:pPr>
          </w:p>
          <w:p w14:paraId="364BDD5C">
            <w:pPr>
              <w:spacing w:line="257" w:lineRule="auto"/>
              <w:rPr>
                <w:rFonts w:ascii="Arial"/>
                <w:sz w:val="21"/>
              </w:rPr>
            </w:pPr>
          </w:p>
          <w:p w14:paraId="54CA87F5">
            <w:pPr>
              <w:spacing w:line="257" w:lineRule="auto"/>
              <w:rPr>
                <w:rFonts w:ascii="Arial"/>
                <w:sz w:val="21"/>
              </w:rPr>
            </w:pPr>
          </w:p>
          <w:p w14:paraId="432A0261">
            <w:pPr>
              <w:spacing w:line="258" w:lineRule="auto"/>
              <w:rPr>
                <w:rFonts w:ascii="Arial"/>
                <w:sz w:val="21"/>
              </w:rPr>
            </w:pPr>
          </w:p>
          <w:p w14:paraId="1E5732A8">
            <w:pPr>
              <w:spacing w:line="258" w:lineRule="auto"/>
              <w:rPr>
                <w:rFonts w:ascii="Arial"/>
                <w:sz w:val="21"/>
              </w:rPr>
            </w:pPr>
          </w:p>
          <w:p w14:paraId="2ECFBDD9">
            <w:pPr>
              <w:spacing w:line="258" w:lineRule="auto"/>
              <w:rPr>
                <w:rFonts w:ascii="Arial"/>
                <w:sz w:val="21"/>
              </w:rPr>
            </w:pPr>
          </w:p>
          <w:p w14:paraId="773557AA">
            <w:pPr>
              <w:spacing w:line="258" w:lineRule="auto"/>
              <w:rPr>
                <w:rFonts w:ascii="Arial"/>
                <w:sz w:val="21"/>
              </w:rPr>
            </w:pPr>
          </w:p>
          <w:p w14:paraId="6164952F">
            <w:pPr>
              <w:spacing w:before="65" w:line="228" w:lineRule="auto"/>
              <w:ind w:left="146"/>
              <w:rPr>
                <w:rFonts w:ascii="宋体" w:hAnsi="宋体" w:eastAsia="宋体" w:cs="宋体"/>
                <w:sz w:val="20"/>
                <w:szCs w:val="20"/>
              </w:rPr>
            </w:pPr>
            <w:r>
              <w:rPr>
                <w:rFonts w:ascii="宋体" w:hAnsi="宋体" w:eastAsia="宋体" w:cs="宋体"/>
                <w:spacing w:val="4"/>
                <w:sz w:val="20"/>
                <w:szCs w:val="20"/>
              </w:rPr>
              <w:t>相符</w:t>
            </w:r>
          </w:p>
        </w:tc>
        <w:tc>
          <w:tcPr>
            <w:tcW w:w="124" w:type="dxa"/>
            <w:vMerge w:val="continue"/>
            <w:tcBorders>
              <w:top w:val="nil"/>
              <w:bottom w:val="single" w:color="000000" w:sz="6" w:space="0"/>
              <w:right w:val="single" w:color="000000" w:sz="6" w:space="0"/>
            </w:tcBorders>
            <w:vAlign w:val="top"/>
          </w:tcPr>
          <w:p w14:paraId="33976894">
            <w:pPr>
              <w:rPr>
                <w:rFonts w:ascii="Arial"/>
                <w:sz w:val="21"/>
              </w:rPr>
            </w:pPr>
          </w:p>
        </w:tc>
      </w:tr>
    </w:tbl>
    <w:p w14:paraId="03681904">
      <w:pPr>
        <w:pStyle w:val="2"/>
      </w:pPr>
    </w:p>
    <w:p w14:paraId="2C8A0FA3">
      <w:pPr>
        <w:sectPr>
          <w:footerReference r:id="rId24" w:type="default"/>
          <w:pgSz w:w="11906" w:h="16839"/>
          <w:pgMar w:top="400" w:right="1509" w:bottom="1329" w:left="1509" w:header="0" w:footer="1113" w:gutter="0"/>
          <w:cols w:space="720" w:num="1"/>
        </w:sectPr>
      </w:pPr>
    </w:p>
    <w:p w14:paraId="2BF929BD">
      <w:pPr>
        <w:spacing w:before="19"/>
      </w:pPr>
    </w:p>
    <w:p w14:paraId="55A0D254">
      <w:pPr>
        <w:spacing w:before="19"/>
      </w:pPr>
    </w:p>
    <w:p w14:paraId="0EB42E8D">
      <w:pPr>
        <w:spacing w:before="19"/>
      </w:pPr>
    </w:p>
    <w:p w14:paraId="39F1D93F">
      <w:pPr>
        <w:spacing w:before="18"/>
      </w:pPr>
    </w:p>
    <w:p w14:paraId="3B889341">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4"/>
        <w:gridCol w:w="3806"/>
        <w:gridCol w:w="2979"/>
        <w:gridCol w:w="688"/>
        <w:gridCol w:w="124"/>
      </w:tblGrid>
      <w:tr w14:paraId="0C6FB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161" w:type="dxa"/>
            <w:vMerge w:val="restart"/>
            <w:tcBorders>
              <w:top w:val="single" w:color="000000" w:sz="6" w:space="0"/>
              <w:left w:val="single" w:color="000000" w:sz="6" w:space="0"/>
              <w:bottom w:val="nil"/>
            </w:tcBorders>
            <w:vAlign w:val="top"/>
          </w:tcPr>
          <w:p w14:paraId="485B9E5D">
            <w:pPr>
              <w:rPr>
                <w:rFonts w:ascii="Arial"/>
                <w:sz w:val="21"/>
              </w:rPr>
            </w:pPr>
          </w:p>
        </w:tc>
        <w:tc>
          <w:tcPr>
            <w:tcW w:w="114" w:type="dxa"/>
            <w:tcBorders>
              <w:top w:val="single" w:color="000000" w:sz="6" w:space="0"/>
              <w:bottom w:val="nil"/>
            </w:tcBorders>
            <w:vAlign w:val="top"/>
          </w:tcPr>
          <w:p w14:paraId="17B96332">
            <w:pPr>
              <w:rPr>
                <w:rFonts w:ascii="Arial"/>
                <w:sz w:val="21"/>
              </w:rPr>
            </w:pPr>
          </w:p>
        </w:tc>
        <w:tc>
          <w:tcPr>
            <w:tcW w:w="3806" w:type="dxa"/>
            <w:tcBorders>
              <w:top w:val="single" w:color="000000" w:sz="6" w:space="0"/>
            </w:tcBorders>
            <w:vAlign w:val="top"/>
          </w:tcPr>
          <w:p w14:paraId="0903AE61">
            <w:pPr>
              <w:spacing w:before="37" w:line="228" w:lineRule="auto"/>
              <w:ind w:left="131"/>
              <w:rPr>
                <w:rFonts w:ascii="宋体" w:hAnsi="宋体" w:eastAsia="宋体" w:cs="宋体"/>
                <w:sz w:val="20"/>
                <w:szCs w:val="20"/>
              </w:rPr>
            </w:pPr>
            <w:r>
              <w:rPr>
                <w:rFonts w:ascii="宋体" w:hAnsi="宋体" w:eastAsia="宋体" w:cs="宋体"/>
                <w:spacing w:val="8"/>
                <w:sz w:val="20"/>
                <w:szCs w:val="20"/>
              </w:rPr>
              <w:t>险防控措施，应确保事故状态下工业废</w:t>
            </w:r>
          </w:p>
          <w:p w14:paraId="512B0D19">
            <w:pPr>
              <w:spacing w:before="160" w:line="228" w:lineRule="auto"/>
              <w:ind w:right="11"/>
              <w:jc w:val="right"/>
              <w:rPr>
                <w:rFonts w:ascii="宋体" w:hAnsi="宋体" w:eastAsia="宋体" w:cs="宋体"/>
                <w:sz w:val="20"/>
                <w:szCs w:val="20"/>
              </w:rPr>
            </w:pPr>
            <w:r>
              <w:rPr>
                <w:rFonts w:ascii="宋体" w:hAnsi="宋体" w:eastAsia="宋体" w:cs="宋体"/>
                <w:spacing w:val="4"/>
                <w:sz w:val="20"/>
                <w:szCs w:val="20"/>
              </w:rPr>
              <w:t>水零排放。编制突发环境事件应急预案，</w:t>
            </w:r>
          </w:p>
          <w:p w14:paraId="31BC35B5">
            <w:pPr>
              <w:spacing w:before="161" w:line="228" w:lineRule="auto"/>
              <w:ind w:left="133"/>
              <w:rPr>
                <w:rFonts w:ascii="宋体" w:hAnsi="宋体" w:eastAsia="宋体" w:cs="宋体"/>
                <w:sz w:val="20"/>
                <w:szCs w:val="20"/>
              </w:rPr>
            </w:pPr>
            <w:r>
              <w:rPr>
                <w:rFonts w:ascii="宋体" w:hAnsi="宋体" w:eastAsia="宋体" w:cs="宋体"/>
                <w:spacing w:val="8"/>
                <w:sz w:val="20"/>
                <w:szCs w:val="20"/>
              </w:rPr>
              <w:t>防范环境风险避免事故排放，保障区域</w:t>
            </w:r>
          </w:p>
          <w:p w14:paraId="687A513F">
            <w:pPr>
              <w:spacing w:before="161" w:line="228" w:lineRule="auto"/>
              <w:ind w:left="1380"/>
              <w:rPr>
                <w:rFonts w:ascii="宋体" w:hAnsi="宋体" w:eastAsia="宋体" w:cs="宋体"/>
                <w:sz w:val="20"/>
                <w:szCs w:val="20"/>
              </w:rPr>
            </w:pPr>
            <w:r>
              <w:rPr>
                <w:rFonts w:ascii="宋体" w:hAnsi="宋体" w:eastAsia="宋体" w:cs="宋体"/>
                <w:spacing w:val="5"/>
                <w:sz w:val="20"/>
                <w:szCs w:val="20"/>
              </w:rPr>
              <w:t>环境安全。</w:t>
            </w:r>
          </w:p>
        </w:tc>
        <w:tc>
          <w:tcPr>
            <w:tcW w:w="2979" w:type="dxa"/>
            <w:tcBorders>
              <w:top w:val="single" w:color="000000" w:sz="6" w:space="0"/>
            </w:tcBorders>
            <w:vAlign w:val="top"/>
          </w:tcPr>
          <w:p w14:paraId="3C58841F">
            <w:pPr>
              <w:spacing w:before="37" w:line="228" w:lineRule="auto"/>
              <w:ind w:right="7"/>
              <w:jc w:val="right"/>
              <w:rPr>
                <w:rFonts w:ascii="宋体" w:hAnsi="宋体" w:eastAsia="宋体" w:cs="宋体"/>
                <w:sz w:val="20"/>
                <w:szCs w:val="20"/>
              </w:rPr>
            </w:pPr>
            <w:r>
              <w:rPr>
                <w:rFonts w:ascii="宋体" w:hAnsi="宋体" w:eastAsia="宋体" w:cs="宋体"/>
                <w:spacing w:val="3"/>
                <w:sz w:val="20"/>
                <w:szCs w:val="20"/>
              </w:rPr>
              <w:t>设置围堰、事故池等应急设施，</w:t>
            </w:r>
          </w:p>
          <w:p w14:paraId="40B4645C">
            <w:pPr>
              <w:spacing w:before="161" w:line="227" w:lineRule="auto"/>
              <w:ind w:left="131"/>
              <w:rPr>
                <w:rFonts w:ascii="宋体" w:hAnsi="宋体" w:eastAsia="宋体" w:cs="宋体"/>
                <w:sz w:val="20"/>
                <w:szCs w:val="20"/>
              </w:rPr>
            </w:pPr>
            <w:r>
              <w:rPr>
                <w:rFonts w:ascii="宋体" w:hAnsi="宋体" w:eastAsia="宋体" w:cs="宋体"/>
                <w:spacing w:val="9"/>
                <w:sz w:val="20"/>
                <w:szCs w:val="20"/>
              </w:rPr>
              <w:t>在采取相应的措施后，环境风</w:t>
            </w:r>
          </w:p>
          <w:p w14:paraId="1CBEFFCF">
            <w:pPr>
              <w:spacing w:before="161" w:line="228" w:lineRule="auto"/>
              <w:ind w:left="144"/>
              <w:rPr>
                <w:rFonts w:ascii="宋体" w:hAnsi="宋体" w:eastAsia="宋体" w:cs="宋体"/>
                <w:sz w:val="20"/>
                <w:szCs w:val="20"/>
              </w:rPr>
            </w:pPr>
            <w:r>
              <w:rPr>
                <w:rFonts w:ascii="宋体" w:hAnsi="宋体" w:eastAsia="宋体" w:cs="宋体"/>
                <w:spacing w:val="8"/>
                <w:sz w:val="20"/>
                <w:szCs w:val="20"/>
              </w:rPr>
              <w:t>险能达到可接受水平。待项目</w:t>
            </w:r>
          </w:p>
          <w:p w14:paraId="748D3473">
            <w:pPr>
              <w:spacing w:before="160" w:line="228" w:lineRule="auto"/>
              <w:ind w:left="135"/>
              <w:rPr>
                <w:rFonts w:ascii="宋体" w:hAnsi="宋体" w:eastAsia="宋体" w:cs="宋体"/>
                <w:sz w:val="20"/>
                <w:szCs w:val="20"/>
              </w:rPr>
            </w:pPr>
            <w:r>
              <w:rPr>
                <w:rFonts w:ascii="宋体" w:hAnsi="宋体" w:eastAsia="宋体" w:cs="宋体"/>
                <w:spacing w:val="9"/>
                <w:sz w:val="20"/>
                <w:szCs w:val="20"/>
              </w:rPr>
              <w:t>取得批复后修编应急预案并报</w:t>
            </w:r>
          </w:p>
          <w:p w14:paraId="760C7F57">
            <w:pPr>
              <w:spacing w:before="161" w:line="228" w:lineRule="auto"/>
              <w:ind w:left="157"/>
              <w:rPr>
                <w:rFonts w:ascii="宋体" w:hAnsi="宋体" w:eastAsia="宋体" w:cs="宋体"/>
                <w:sz w:val="20"/>
                <w:szCs w:val="20"/>
              </w:rPr>
            </w:pPr>
            <w:r>
              <w:rPr>
                <w:rFonts w:ascii="宋体" w:hAnsi="宋体" w:eastAsia="宋体" w:cs="宋体"/>
                <w:spacing w:val="7"/>
                <w:sz w:val="20"/>
                <w:szCs w:val="20"/>
              </w:rPr>
              <w:t>昆明市生态环境局寻甸分局备</w:t>
            </w:r>
          </w:p>
          <w:p w14:paraId="34E4A1D4">
            <w:pPr>
              <w:spacing w:before="161" w:line="228" w:lineRule="auto"/>
              <w:ind w:left="1291"/>
              <w:rPr>
                <w:rFonts w:ascii="宋体" w:hAnsi="宋体" w:eastAsia="宋体" w:cs="宋体"/>
                <w:sz w:val="20"/>
                <w:szCs w:val="20"/>
              </w:rPr>
            </w:pPr>
            <w:r>
              <w:rPr>
                <w:rFonts w:ascii="宋体" w:hAnsi="宋体" w:eastAsia="宋体" w:cs="宋体"/>
                <w:spacing w:val="-1"/>
                <w:sz w:val="20"/>
                <w:szCs w:val="20"/>
              </w:rPr>
              <w:t>案。</w:t>
            </w:r>
          </w:p>
        </w:tc>
        <w:tc>
          <w:tcPr>
            <w:tcW w:w="688" w:type="dxa"/>
            <w:tcBorders>
              <w:top w:val="single" w:color="000000" w:sz="6" w:space="0"/>
            </w:tcBorders>
            <w:vAlign w:val="top"/>
          </w:tcPr>
          <w:p w14:paraId="74F05537">
            <w:pPr>
              <w:rPr>
                <w:rFonts w:ascii="Arial"/>
                <w:sz w:val="21"/>
              </w:rPr>
            </w:pPr>
          </w:p>
        </w:tc>
        <w:tc>
          <w:tcPr>
            <w:tcW w:w="124" w:type="dxa"/>
            <w:vMerge w:val="restart"/>
            <w:tcBorders>
              <w:top w:val="single" w:color="000000" w:sz="6" w:space="0"/>
              <w:bottom w:val="nil"/>
              <w:right w:val="single" w:color="000000" w:sz="6" w:space="0"/>
            </w:tcBorders>
            <w:vAlign w:val="top"/>
          </w:tcPr>
          <w:p w14:paraId="46DFBED1">
            <w:pPr>
              <w:rPr>
                <w:rFonts w:ascii="Arial"/>
                <w:sz w:val="21"/>
              </w:rPr>
            </w:pPr>
          </w:p>
        </w:tc>
      </w:tr>
      <w:tr w14:paraId="543FDF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0" w:hRule="atLeast"/>
        </w:trPr>
        <w:tc>
          <w:tcPr>
            <w:tcW w:w="1161" w:type="dxa"/>
            <w:vMerge w:val="continue"/>
            <w:tcBorders>
              <w:top w:val="nil"/>
              <w:left w:val="single" w:color="000000" w:sz="6" w:space="0"/>
              <w:bottom w:val="nil"/>
            </w:tcBorders>
            <w:vAlign w:val="top"/>
          </w:tcPr>
          <w:p w14:paraId="3DC85656">
            <w:pPr>
              <w:rPr>
                <w:rFonts w:ascii="Arial"/>
                <w:sz w:val="21"/>
              </w:rPr>
            </w:pPr>
          </w:p>
        </w:tc>
        <w:tc>
          <w:tcPr>
            <w:tcW w:w="114" w:type="dxa"/>
            <w:tcBorders>
              <w:top w:val="nil"/>
              <w:bottom w:val="nil"/>
            </w:tcBorders>
            <w:vAlign w:val="top"/>
          </w:tcPr>
          <w:p w14:paraId="490CD64C">
            <w:pPr>
              <w:rPr>
                <w:rFonts w:ascii="Arial"/>
                <w:sz w:val="21"/>
              </w:rPr>
            </w:pPr>
          </w:p>
        </w:tc>
        <w:tc>
          <w:tcPr>
            <w:tcW w:w="3806" w:type="dxa"/>
            <w:vAlign w:val="top"/>
          </w:tcPr>
          <w:p w14:paraId="60F96932">
            <w:pPr>
              <w:spacing w:before="34" w:line="227" w:lineRule="auto"/>
              <w:ind w:left="120"/>
              <w:rPr>
                <w:rFonts w:ascii="宋体" w:hAnsi="宋体" w:eastAsia="宋体" w:cs="宋体"/>
                <w:sz w:val="20"/>
                <w:szCs w:val="20"/>
              </w:rPr>
            </w:pPr>
            <w:r>
              <w:rPr>
                <w:rFonts w:ascii="宋体" w:hAnsi="宋体" w:eastAsia="宋体" w:cs="宋体"/>
                <w:spacing w:val="9"/>
                <w:sz w:val="20"/>
                <w:szCs w:val="20"/>
              </w:rPr>
              <w:t>拟入园建设项目，应结合规划环评提出</w:t>
            </w:r>
          </w:p>
          <w:p w14:paraId="599752F6">
            <w:pPr>
              <w:spacing w:before="162" w:line="226" w:lineRule="auto"/>
              <w:ind w:left="137"/>
              <w:rPr>
                <w:rFonts w:ascii="宋体" w:hAnsi="宋体" w:eastAsia="宋体" w:cs="宋体"/>
                <w:sz w:val="20"/>
                <w:szCs w:val="20"/>
              </w:rPr>
            </w:pPr>
            <w:r>
              <w:rPr>
                <w:rFonts w:ascii="宋体" w:hAnsi="宋体" w:eastAsia="宋体" w:cs="宋体"/>
                <w:spacing w:val="8"/>
                <w:sz w:val="20"/>
                <w:szCs w:val="20"/>
              </w:rPr>
              <w:t>的指导意见做好环境影响评价工作，严</w:t>
            </w:r>
          </w:p>
          <w:p w14:paraId="080A9ACB">
            <w:pPr>
              <w:spacing w:before="163" w:line="226" w:lineRule="auto"/>
              <w:ind w:left="120"/>
              <w:rPr>
                <w:rFonts w:ascii="宋体" w:hAnsi="宋体" w:eastAsia="宋体" w:cs="宋体"/>
                <w:sz w:val="20"/>
                <w:szCs w:val="20"/>
              </w:rPr>
            </w:pPr>
            <w:r>
              <w:rPr>
                <w:rFonts w:ascii="宋体" w:hAnsi="宋体" w:eastAsia="宋体" w:cs="宋体"/>
                <w:spacing w:val="9"/>
                <w:sz w:val="20"/>
                <w:szCs w:val="20"/>
              </w:rPr>
              <w:t>格落实《报告书》提出的要求，加强与</w:t>
            </w:r>
          </w:p>
          <w:p w14:paraId="3C6E71D9">
            <w:pPr>
              <w:spacing w:before="163" w:line="226" w:lineRule="auto"/>
              <w:ind w:left="120"/>
              <w:rPr>
                <w:rFonts w:ascii="宋体" w:hAnsi="宋体" w:eastAsia="宋体" w:cs="宋体"/>
                <w:sz w:val="20"/>
                <w:szCs w:val="20"/>
              </w:rPr>
            </w:pPr>
            <w:r>
              <w:rPr>
                <w:rFonts w:ascii="宋体" w:hAnsi="宋体" w:eastAsia="宋体" w:cs="宋体"/>
                <w:spacing w:val="9"/>
                <w:sz w:val="20"/>
                <w:szCs w:val="20"/>
              </w:rPr>
              <w:t>规划环评的联动。在项目环境影响评价</w:t>
            </w:r>
          </w:p>
          <w:p w14:paraId="6A246209">
            <w:pPr>
              <w:spacing w:before="164" w:line="228" w:lineRule="auto"/>
              <w:ind w:left="139"/>
              <w:rPr>
                <w:rFonts w:ascii="宋体" w:hAnsi="宋体" w:eastAsia="宋体" w:cs="宋体"/>
                <w:sz w:val="20"/>
                <w:szCs w:val="20"/>
              </w:rPr>
            </w:pPr>
            <w:r>
              <w:rPr>
                <w:rFonts w:ascii="宋体" w:hAnsi="宋体" w:eastAsia="宋体" w:cs="宋体"/>
                <w:spacing w:val="8"/>
                <w:sz w:val="20"/>
                <w:szCs w:val="20"/>
              </w:rPr>
              <w:t>中应重点开展工程分析、污染物允许排</w:t>
            </w:r>
          </w:p>
          <w:p w14:paraId="6CDB72B5">
            <w:pPr>
              <w:spacing w:before="161" w:line="228" w:lineRule="auto"/>
              <w:ind w:left="120"/>
              <w:rPr>
                <w:rFonts w:ascii="宋体" w:hAnsi="宋体" w:eastAsia="宋体" w:cs="宋体"/>
                <w:sz w:val="20"/>
                <w:szCs w:val="20"/>
              </w:rPr>
            </w:pPr>
            <w:r>
              <w:rPr>
                <w:rFonts w:ascii="宋体" w:hAnsi="宋体" w:eastAsia="宋体" w:cs="宋体"/>
                <w:spacing w:val="9"/>
                <w:sz w:val="20"/>
                <w:szCs w:val="20"/>
              </w:rPr>
              <w:t>放量测算和环保措施的可行性论证等内</w:t>
            </w:r>
          </w:p>
          <w:p w14:paraId="500ACC79">
            <w:pPr>
              <w:spacing w:before="161" w:line="228" w:lineRule="auto"/>
              <w:ind w:left="122"/>
              <w:rPr>
                <w:rFonts w:ascii="宋体" w:hAnsi="宋体" w:eastAsia="宋体" w:cs="宋体"/>
                <w:sz w:val="20"/>
                <w:szCs w:val="20"/>
              </w:rPr>
            </w:pPr>
            <w:r>
              <w:rPr>
                <w:rFonts w:ascii="宋体" w:hAnsi="宋体" w:eastAsia="宋体" w:cs="宋体"/>
                <w:spacing w:val="9"/>
                <w:sz w:val="20"/>
                <w:szCs w:val="20"/>
              </w:rPr>
              <w:t>容，执行污染物排放总量控制制度，强</w:t>
            </w:r>
          </w:p>
          <w:p w14:paraId="66CC200C">
            <w:pPr>
              <w:spacing w:before="161" w:line="228" w:lineRule="auto"/>
              <w:ind w:left="120"/>
              <w:rPr>
                <w:rFonts w:ascii="宋体" w:hAnsi="宋体" w:eastAsia="宋体" w:cs="宋体"/>
                <w:sz w:val="20"/>
                <w:szCs w:val="20"/>
              </w:rPr>
            </w:pPr>
            <w:r>
              <w:rPr>
                <w:rFonts w:ascii="宋体" w:hAnsi="宋体" w:eastAsia="宋体" w:cs="宋体"/>
                <w:spacing w:val="9"/>
                <w:sz w:val="20"/>
                <w:szCs w:val="20"/>
              </w:rPr>
              <w:t>化环境监测和环境管理措施的落实。对</w:t>
            </w:r>
          </w:p>
          <w:p w14:paraId="3EE6EF65">
            <w:pPr>
              <w:spacing w:before="163" w:line="228" w:lineRule="auto"/>
              <w:ind w:left="121"/>
              <w:rPr>
                <w:rFonts w:ascii="宋体" w:hAnsi="宋体" w:eastAsia="宋体" w:cs="宋体"/>
                <w:sz w:val="20"/>
                <w:szCs w:val="20"/>
              </w:rPr>
            </w:pPr>
            <w:r>
              <w:rPr>
                <w:rFonts w:ascii="宋体" w:hAnsi="宋体" w:eastAsia="宋体" w:cs="宋体"/>
                <w:spacing w:val="9"/>
                <w:sz w:val="20"/>
                <w:szCs w:val="20"/>
              </w:rPr>
              <w:t>符合规划环评环境管控要求和生态环境</w:t>
            </w:r>
          </w:p>
          <w:p w14:paraId="794DCA0B">
            <w:pPr>
              <w:spacing w:before="161" w:line="228" w:lineRule="auto"/>
              <w:ind w:left="121"/>
              <w:rPr>
                <w:rFonts w:ascii="宋体" w:hAnsi="宋体" w:eastAsia="宋体" w:cs="宋体"/>
                <w:sz w:val="20"/>
                <w:szCs w:val="20"/>
              </w:rPr>
            </w:pPr>
            <w:r>
              <w:rPr>
                <w:rFonts w:ascii="宋体" w:hAnsi="宋体" w:eastAsia="宋体" w:cs="宋体"/>
                <w:spacing w:val="9"/>
                <w:sz w:val="20"/>
                <w:szCs w:val="20"/>
              </w:rPr>
              <w:t>准入清单的具体建设项目，环评文件中</w:t>
            </w:r>
          </w:p>
          <w:p w14:paraId="56E0A001">
            <w:pPr>
              <w:spacing w:before="162" w:line="226" w:lineRule="auto"/>
              <w:ind w:left="119"/>
              <w:rPr>
                <w:rFonts w:ascii="宋体" w:hAnsi="宋体" w:eastAsia="宋体" w:cs="宋体"/>
                <w:sz w:val="20"/>
                <w:szCs w:val="20"/>
              </w:rPr>
            </w:pPr>
            <w:r>
              <w:rPr>
                <w:rFonts w:ascii="宋体" w:hAnsi="宋体" w:eastAsia="宋体" w:cs="宋体"/>
                <w:spacing w:val="9"/>
                <w:sz w:val="20"/>
                <w:szCs w:val="20"/>
              </w:rPr>
              <w:t>选址、环境现状调查与评价结果仍具有</w:t>
            </w:r>
          </w:p>
          <w:p w14:paraId="33329C62">
            <w:pPr>
              <w:spacing w:before="163" w:line="226" w:lineRule="auto"/>
              <w:ind w:left="129"/>
              <w:rPr>
                <w:rFonts w:ascii="宋体" w:hAnsi="宋体" w:eastAsia="宋体" w:cs="宋体"/>
                <w:sz w:val="20"/>
                <w:szCs w:val="20"/>
              </w:rPr>
            </w:pPr>
            <w:r>
              <w:rPr>
                <w:rFonts w:ascii="宋体" w:hAnsi="宋体" w:eastAsia="宋体" w:cs="宋体"/>
                <w:spacing w:val="8"/>
                <w:sz w:val="20"/>
                <w:szCs w:val="20"/>
              </w:rPr>
              <w:t>时效性时，建设项目相应环境影响评价</w:t>
            </w:r>
          </w:p>
          <w:p w14:paraId="19FBD84D">
            <w:pPr>
              <w:spacing w:before="163" w:line="227" w:lineRule="auto"/>
              <w:ind w:left="459"/>
              <w:rPr>
                <w:rFonts w:ascii="宋体" w:hAnsi="宋体" w:eastAsia="宋体" w:cs="宋体"/>
                <w:sz w:val="20"/>
                <w:szCs w:val="20"/>
              </w:rPr>
            </w:pPr>
            <w:r>
              <w:rPr>
                <w:rFonts w:ascii="宋体" w:hAnsi="宋体" w:eastAsia="宋体" w:cs="宋体"/>
                <w:spacing w:val="6"/>
                <w:sz w:val="20"/>
                <w:szCs w:val="20"/>
              </w:rPr>
              <w:t>内容可结合实际情况予以简化。</w:t>
            </w:r>
          </w:p>
        </w:tc>
        <w:tc>
          <w:tcPr>
            <w:tcW w:w="2979" w:type="dxa"/>
            <w:vAlign w:val="top"/>
          </w:tcPr>
          <w:p w14:paraId="7C9E5A47">
            <w:pPr>
              <w:spacing w:line="245" w:lineRule="auto"/>
              <w:rPr>
                <w:rFonts w:ascii="Arial"/>
                <w:sz w:val="21"/>
              </w:rPr>
            </w:pPr>
          </w:p>
          <w:p w14:paraId="6A7235E3">
            <w:pPr>
              <w:spacing w:line="246" w:lineRule="auto"/>
              <w:rPr>
                <w:rFonts w:ascii="Arial"/>
                <w:sz w:val="21"/>
              </w:rPr>
            </w:pPr>
          </w:p>
          <w:p w14:paraId="2A3FB689">
            <w:pPr>
              <w:spacing w:line="246" w:lineRule="auto"/>
              <w:rPr>
                <w:rFonts w:ascii="Arial"/>
                <w:sz w:val="21"/>
              </w:rPr>
            </w:pPr>
          </w:p>
          <w:p w14:paraId="70C9D8DA">
            <w:pPr>
              <w:spacing w:line="246" w:lineRule="auto"/>
              <w:rPr>
                <w:rFonts w:ascii="Arial"/>
                <w:sz w:val="21"/>
              </w:rPr>
            </w:pPr>
          </w:p>
          <w:p w14:paraId="7ED1337E">
            <w:pPr>
              <w:spacing w:before="65" w:line="226" w:lineRule="auto"/>
              <w:ind w:left="133"/>
              <w:rPr>
                <w:rFonts w:ascii="宋体" w:hAnsi="宋体" w:eastAsia="宋体" w:cs="宋体"/>
                <w:sz w:val="20"/>
                <w:szCs w:val="20"/>
              </w:rPr>
            </w:pPr>
            <w:r>
              <w:rPr>
                <w:rFonts w:ascii="宋体" w:hAnsi="宋体" w:eastAsia="宋体" w:cs="宋体"/>
                <w:spacing w:val="9"/>
                <w:sz w:val="20"/>
                <w:szCs w:val="20"/>
              </w:rPr>
              <w:t>本次评价结合了规划环评提出</w:t>
            </w:r>
          </w:p>
          <w:p w14:paraId="23576D8B">
            <w:pPr>
              <w:spacing w:before="162" w:line="228" w:lineRule="auto"/>
              <w:ind w:left="149"/>
              <w:rPr>
                <w:rFonts w:ascii="宋体" w:hAnsi="宋体" w:eastAsia="宋体" w:cs="宋体"/>
                <w:sz w:val="20"/>
                <w:szCs w:val="20"/>
              </w:rPr>
            </w:pPr>
            <w:r>
              <w:rPr>
                <w:rFonts w:ascii="宋体" w:hAnsi="宋体" w:eastAsia="宋体" w:cs="宋体"/>
                <w:spacing w:val="7"/>
                <w:sz w:val="20"/>
                <w:szCs w:val="20"/>
              </w:rPr>
              <w:t>的指导意见，落实了规划环评</w:t>
            </w:r>
          </w:p>
          <w:p w14:paraId="6ECAF95D">
            <w:pPr>
              <w:spacing w:before="161" w:line="228" w:lineRule="auto"/>
              <w:ind w:left="133"/>
              <w:rPr>
                <w:rFonts w:ascii="宋体" w:hAnsi="宋体" w:eastAsia="宋体" w:cs="宋体"/>
                <w:sz w:val="20"/>
                <w:szCs w:val="20"/>
              </w:rPr>
            </w:pPr>
            <w:r>
              <w:rPr>
                <w:rFonts w:ascii="宋体" w:hAnsi="宋体" w:eastAsia="宋体" w:cs="宋体"/>
                <w:spacing w:val="9"/>
                <w:sz w:val="20"/>
                <w:szCs w:val="20"/>
              </w:rPr>
              <w:t>提出的要求，加强与规划环评</w:t>
            </w:r>
          </w:p>
          <w:p w14:paraId="1B22F650">
            <w:pPr>
              <w:spacing w:before="161" w:line="228" w:lineRule="auto"/>
              <w:ind w:right="4"/>
              <w:jc w:val="right"/>
              <w:rPr>
                <w:rFonts w:ascii="宋体" w:hAnsi="宋体" w:eastAsia="宋体" w:cs="宋体"/>
                <w:sz w:val="20"/>
                <w:szCs w:val="20"/>
              </w:rPr>
            </w:pPr>
            <w:r>
              <w:rPr>
                <w:rFonts w:ascii="宋体" w:hAnsi="宋体" w:eastAsia="宋体" w:cs="宋体"/>
                <w:spacing w:val="2"/>
                <w:sz w:val="20"/>
                <w:szCs w:val="20"/>
              </w:rPr>
              <w:t>的联动，重点开展了工程分析、</w:t>
            </w:r>
          </w:p>
          <w:p w14:paraId="752BD2B0">
            <w:pPr>
              <w:spacing w:before="162" w:line="228" w:lineRule="auto"/>
              <w:ind w:left="134"/>
              <w:rPr>
                <w:rFonts w:ascii="宋体" w:hAnsi="宋体" w:eastAsia="宋体" w:cs="宋体"/>
                <w:sz w:val="20"/>
                <w:szCs w:val="20"/>
              </w:rPr>
            </w:pPr>
            <w:r>
              <w:rPr>
                <w:rFonts w:ascii="宋体" w:hAnsi="宋体" w:eastAsia="宋体" w:cs="宋体"/>
                <w:spacing w:val="9"/>
                <w:sz w:val="20"/>
                <w:szCs w:val="20"/>
              </w:rPr>
              <w:t>污染物允许排放量测算和环保</w:t>
            </w:r>
          </w:p>
          <w:p w14:paraId="3D437BF6">
            <w:pPr>
              <w:spacing w:before="161" w:line="228" w:lineRule="auto"/>
              <w:ind w:left="132"/>
              <w:rPr>
                <w:rFonts w:ascii="宋体" w:hAnsi="宋体" w:eastAsia="宋体" w:cs="宋体"/>
                <w:sz w:val="20"/>
                <w:szCs w:val="20"/>
              </w:rPr>
            </w:pPr>
            <w:r>
              <w:rPr>
                <w:rFonts w:ascii="宋体" w:hAnsi="宋体" w:eastAsia="宋体" w:cs="宋体"/>
                <w:spacing w:val="9"/>
                <w:sz w:val="20"/>
                <w:szCs w:val="20"/>
              </w:rPr>
              <w:t>措施的可行性论证等内容，强</w:t>
            </w:r>
          </w:p>
          <w:p w14:paraId="4CE8D804">
            <w:pPr>
              <w:spacing w:before="162" w:line="228" w:lineRule="auto"/>
              <w:ind w:left="133"/>
              <w:rPr>
                <w:rFonts w:ascii="宋体" w:hAnsi="宋体" w:eastAsia="宋体" w:cs="宋体"/>
                <w:sz w:val="20"/>
                <w:szCs w:val="20"/>
              </w:rPr>
            </w:pPr>
            <w:r>
              <w:rPr>
                <w:rFonts w:ascii="宋体" w:hAnsi="宋体" w:eastAsia="宋体" w:cs="宋体"/>
                <w:spacing w:val="9"/>
                <w:sz w:val="20"/>
                <w:szCs w:val="20"/>
              </w:rPr>
              <w:t>化环境监测和环境保护相关措</w:t>
            </w:r>
          </w:p>
          <w:p w14:paraId="40586069">
            <w:pPr>
              <w:spacing w:before="161" w:line="228" w:lineRule="auto"/>
              <w:ind w:left="971"/>
              <w:rPr>
                <w:rFonts w:ascii="宋体" w:hAnsi="宋体" w:eastAsia="宋体" w:cs="宋体"/>
                <w:sz w:val="20"/>
                <w:szCs w:val="20"/>
              </w:rPr>
            </w:pPr>
            <w:r>
              <w:rPr>
                <w:rFonts w:ascii="宋体" w:hAnsi="宋体" w:eastAsia="宋体" w:cs="宋体"/>
                <w:spacing w:val="6"/>
                <w:sz w:val="20"/>
                <w:szCs w:val="20"/>
              </w:rPr>
              <w:t>施的落实。</w:t>
            </w:r>
          </w:p>
        </w:tc>
        <w:tc>
          <w:tcPr>
            <w:tcW w:w="688" w:type="dxa"/>
            <w:vAlign w:val="top"/>
          </w:tcPr>
          <w:p w14:paraId="69AC59D7">
            <w:pPr>
              <w:rPr>
                <w:rFonts w:ascii="Arial"/>
                <w:sz w:val="21"/>
              </w:rPr>
            </w:pPr>
          </w:p>
          <w:p w14:paraId="248C4B96">
            <w:pPr>
              <w:rPr>
                <w:rFonts w:ascii="Arial"/>
                <w:sz w:val="21"/>
              </w:rPr>
            </w:pPr>
          </w:p>
          <w:p w14:paraId="796B7582">
            <w:pPr>
              <w:rPr>
                <w:rFonts w:ascii="Arial"/>
                <w:sz w:val="21"/>
              </w:rPr>
            </w:pPr>
          </w:p>
          <w:p w14:paraId="22BCE618">
            <w:pPr>
              <w:rPr>
                <w:rFonts w:ascii="Arial"/>
                <w:sz w:val="21"/>
              </w:rPr>
            </w:pPr>
          </w:p>
          <w:p w14:paraId="05CDF11D">
            <w:pPr>
              <w:rPr>
                <w:rFonts w:ascii="Arial"/>
                <w:sz w:val="21"/>
              </w:rPr>
            </w:pPr>
          </w:p>
          <w:p w14:paraId="1C0367BA">
            <w:pPr>
              <w:rPr>
                <w:rFonts w:ascii="Arial"/>
                <w:sz w:val="21"/>
              </w:rPr>
            </w:pPr>
          </w:p>
          <w:p w14:paraId="65B59AE3">
            <w:pPr>
              <w:spacing w:line="241" w:lineRule="auto"/>
              <w:rPr>
                <w:rFonts w:ascii="Arial"/>
                <w:sz w:val="21"/>
              </w:rPr>
            </w:pPr>
          </w:p>
          <w:p w14:paraId="120CE028">
            <w:pPr>
              <w:spacing w:line="241" w:lineRule="auto"/>
              <w:rPr>
                <w:rFonts w:ascii="Arial"/>
                <w:sz w:val="21"/>
              </w:rPr>
            </w:pPr>
          </w:p>
          <w:p w14:paraId="7576939B">
            <w:pPr>
              <w:spacing w:line="241" w:lineRule="auto"/>
              <w:rPr>
                <w:rFonts w:ascii="Arial"/>
                <w:sz w:val="21"/>
              </w:rPr>
            </w:pPr>
          </w:p>
          <w:p w14:paraId="25611A46">
            <w:pPr>
              <w:spacing w:line="241" w:lineRule="auto"/>
              <w:rPr>
                <w:rFonts w:ascii="Arial"/>
                <w:sz w:val="21"/>
              </w:rPr>
            </w:pPr>
          </w:p>
          <w:p w14:paraId="0CC40A9F">
            <w:pPr>
              <w:spacing w:before="65" w:line="228" w:lineRule="auto"/>
              <w:ind w:left="146"/>
              <w:rPr>
                <w:rFonts w:ascii="宋体" w:hAnsi="宋体" w:eastAsia="宋体" w:cs="宋体"/>
                <w:sz w:val="20"/>
                <w:szCs w:val="20"/>
              </w:rPr>
            </w:pPr>
            <w:r>
              <w:rPr>
                <w:rFonts w:ascii="宋体" w:hAnsi="宋体" w:eastAsia="宋体" w:cs="宋体"/>
                <w:spacing w:val="4"/>
                <w:sz w:val="20"/>
                <w:szCs w:val="20"/>
              </w:rPr>
              <w:t>相符</w:t>
            </w:r>
          </w:p>
        </w:tc>
        <w:tc>
          <w:tcPr>
            <w:tcW w:w="124" w:type="dxa"/>
            <w:vMerge w:val="continue"/>
            <w:tcBorders>
              <w:top w:val="nil"/>
              <w:bottom w:val="nil"/>
              <w:right w:val="single" w:color="000000" w:sz="6" w:space="0"/>
            </w:tcBorders>
            <w:vAlign w:val="top"/>
          </w:tcPr>
          <w:p w14:paraId="18EB586A">
            <w:pPr>
              <w:rPr>
                <w:rFonts w:ascii="Arial"/>
                <w:sz w:val="21"/>
              </w:rPr>
            </w:pPr>
          </w:p>
        </w:tc>
      </w:tr>
      <w:tr w14:paraId="473FD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161" w:type="dxa"/>
            <w:vMerge w:val="continue"/>
            <w:tcBorders>
              <w:top w:val="nil"/>
              <w:left w:val="single" w:color="000000" w:sz="6" w:space="0"/>
            </w:tcBorders>
            <w:vAlign w:val="top"/>
          </w:tcPr>
          <w:p w14:paraId="32867580">
            <w:pPr>
              <w:rPr>
                <w:rFonts w:ascii="Arial"/>
                <w:sz w:val="21"/>
              </w:rPr>
            </w:pPr>
          </w:p>
        </w:tc>
        <w:tc>
          <w:tcPr>
            <w:tcW w:w="7711" w:type="dxa"/>
            <w:gridSpan w:val="5"/>
            <w:tcBorders>
              <w:right w:val="single" w:color="000000" w:sz="6" w:space="0"/>
            </w:tcBorders>
            <w:vAlign w:val="top"/>
          </w:tcPr>
          <w:p w14:paraId="5ED0993B">
            <w:pPr>
              <w:spacing w:before="43" w:line="340" w:lineRule="auto"/>
              <w:ind w:left="119" w:right="123" w:firstLine="471"/>
              <w:rPr>
                <w:rFonts w:ascii="宋体" w:hAnsi="宋体" w:eastAsia="宋体" w:cs="宋体"/>
                <w:sz w:val="24"/>
                <w:szCs w:val="24"/>
              </w:rPr>
            </w:pPr>
            <w:r>
              <w:rPr>
                <w:rFonts w:ascii="宋体" w:hAnsi="宋体" w:eastAsia="宋体" w:cs="宋体"/>
                <w:spacing w:val="14"/>
                <w:sz w:val="24"/>
                <w:szCs w:val="24"/>
              </w:rPr>
              <w:t>综上所述</w:t>
            </w:r>
            <w:r>
              <w:rPr>
                <w:rFonts w:ascii="宋体" w:hAnsi="宋体" w:eastAsia="宋体" w:cs="宋体"/>
                <w:spacing w:val="-70"/>
                <w:sz w:val="24"/>
                <w:szCs w:val="24"/>
              </w:rPr>
              <w:t xml:space="preserve"> </w:t>
            </w:r>
            <w:r>
              <w:rPr>
                <w:rFonts w:ascii="宋体" w:hAnsi="宋体" w:eastAsia="宋体" w:cs="宋体"/>
                <w:spacing w:val="14"/>
                <w:sz w:val="24"/>
                <w:szCs w:val="24"/>
              </w:rPr>
              <w:t>，项</w:t>
            </w:r>
            <w:r>
              <w:rPr>
                <w:rFonts w:ascii="宋体" w:hAnsi="宋体" w:eastAsia="宋体" w:cs="宋体"/>
                <w:spacing w:val="-43"/>
                <w:sz w:val="24"/>
                <w:szCs w:val="24"/>
              </w:rPr>
              <w:t xml:space="preserve"> </w:t>
            </w:r>
            <w:r>
              <w:rPr>
                <w:rFonts w:ascii="宋体" w:hAnsi="宋体" w:eastAsia="宋体" w:cs="宋体"/>
                <w:spacing w:val="14"/>
                <w:sz w:val="24"/>
                <w:szCs w:val="24"/>
              </w:rPr>
              <w:t>目建设与《寻甸特色产业园区总体规划（修编）</w:t>
            </w:r>
            <w:r>
              <w:rPr>
                <w:rFonts w:ascii="宋体" w:hAnsi="宋体" w:eastAsia="宋体" w:cs="宋体"/>
                <w:sz w:val="24"/>
                <w:szCs w:val="24"/>
              </w:rPr>
              <w:t xml:space="preserve"> </w:t>
            </w:r>
            <w:r>
              <w:rPr>
                <w:rFonts w:ascii="宋体" w:hAnsi="宋体" w:eastAsia="宋体" w:cs="宋体"/>
                <w:spacing w:val="-1"/>
                <w:sz w:val="24"/>
                <w:szCs w:val="24"/>
              </w:rPr>
              <w:t>（</w:t>
            </w:r>
            <w:r>
              <w:rPr>
                <w:rFonts w:ascii="Times New Roman" w:hAnsi="Times New Roman" w:eastAsia="Times New Roman" w:cs="Times New Roman"/>
                <w:spacing w:val="-1"/>
                <w:sz w:val="24"/>
                <w:szCs w:val="24"/>
              </w:rPr>
              <w:t>2018-2035</w:t>
            </w:r>
            <w:r>
              <w:rPr>
                <w:rFonts w:ascii="宋体" w:hAnsi="宋体" w:eastAsia="宋体" w:cs="宋体"/>
                <w:spacing w:val="-1"/>
                <w:sz w:val="24"/>
                <w:szCs w:val="24"/>
              </w:rPr>
              <w:t>）环境影响报告书》规划环评及审查意见相符。</w:t>
            </w:r>
          </w:p>
        </w:tc>
      </w:tr>
      <w:tr w14:paraId="5E161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0" w:hRule="atLeast"/>
        </w:trPr>
        <w:tc>
          <w:tcPr>
            <w:tcW w:w="1161" w:type="dxa"/>
            <w:tcBorders>
              <w:left w:val="single" w:color="000000" w:sz="6" w:space="0"/>
              <w:bottom w:val="single" w:color="000000" w:sz="6" w:space="0"/>
            </w:tcBorders>
            <w:vAlign w:val="top"/>
          </w:tcPr>
          <w:p w14:paraId="12AA9A87">
            <w:pPr>
              <w:spacing w:line="264" w:lineRule="auto"/>
              <w:rPr>
                <w:rFonts w:ascii="Arial"/>
                <w:sz w:val="21"/>
              </w:rPr>
            </w:pPr>
          </w:p>
          <w:p w14:paraId="463CC229">
            <w:pPr>
              <w:spacing w:line="265" w:lineRule="auto"/>
              <w:rPr>
                <w:rFonts w:ascii="Arial"/>
                <w:sz w:val="21"/>
              </w:rPr>
            </w:pPr>
          </w:p>
          <w:p w14:paraId="63011801">
            <w:pPr>
              <w:spacing w:line="265" w:lineRule="auto"/>
              <w:rPr>
                <w:rFonts w:ascii="Arial"/>
                <w:sz w:val="21"/>
              </w:rPr>
            </w:pPr>
          </w:p>
          <w:p w14:paraId="22BA1176">
            <w:pPr>
              <w:spacing w:line="265" w:lineRule="auto"/>
              <w:rPr>
                <w:rFonts w:ascii="Arial"/>
                <w:sz w:val="21"/>
              </w:rPr>
            </w:pPr>
          </w:p>
          <w:p w14:paraId="7901FB67">
            <w:pPr>
              <w:spacing w:line="265" w:lineRule="auto"/>
              <w:rPr>
                <w:rFonts w:ascii="Arial"/>
                <w:sz w:val="21"/>
              </w:rPr>
            </w:pPr>
          </w:p>
          <w:p w14:paraId="2C01E8BC">
            <w:pPr>
              <w:spacing w:line="265" w:lineRule="auto"/>
              <w:rPr>
                <w:rFonts w:ascii="Arial"/>
                <w:sz w:val="21"/>
              </w:rPr>
            </w:pPr>
          </w:p>
          <w:p w14:paraId="7C713AC1">
            <w:pPr>
              <w:spacing w:before="78" w:line="219" w:lineRule="auto"/>
              <w:ind w:left="221"/>
              <w:rPr>
                <w:rFonts w:ascii="宋体" w:hAnsi="宋体" w:eastAsia="宋体" w:cs="宋体"/>
                <w:sz w:val="24"/>
                <w:szCs w:val="24"/>
              </w:rPr>
            </w:pPr>
            <w:r>
              <w:rPr>
                <w:rFonts w:ascii="宋体" w:hAnsi="宋体" w:eastAsia="宋体" w:cs="宋体"/>
                <w:spacing w:val="-4"/>
                <w:sz w:val="24"/>
                <w:szCs w:val="24"/>
              </w:rPr>
              <w:t>其他符</w:t>
            </w:r>
          </w:p>
          <w:p w14:paraId="3188AAEA">
            <w:pPr>
              <w:spacing w:before="180" w:line="220" w:lineRule="auto"/>
              <w:ind w:left="221"/>
              <w:rPr>
                <w:rFonts w:ascii="宋体" w:hAnsi="宋体" w:eastAsia="宋体" w:cs="宋体"/>
                <w:sz w:val="24"/>
                <w:szCs w:val="24"/>
              </w:rPr>
            </w:pPr>
            <w:r>
              <w:rPr>
                <w:rFonts w:ascii="宋体" w:hAnsi="宋体" w:eastAsia="宋体" w:cs="宋体"/>
                <w:spacing w:val="-4"/>
                <w:sz w:val="24"/>
                <w:szCs w:val="24"/>
              </w:rPr>
              <w:t>合性分</w:t>
            </w:r>
          </w:p>
          <w:p w14:paraId="487FE95F">
            <w:pPr>
              <w:spacing w:before="181" w:line="220" w:lineRule="auto"/>
              <w:ind w:left="462"/>
              <w:rPr>
                <w:rFonts w:ascii="宋体" w:hAnsi="宋体" w:eastAsia="宋体" w:cs="宋体"/>
                <w:sz w:val="24"/>
                <w:szCs w:val="24"/>
              </w:rPr>
            </w:pPr>
            <w:r>
              <w:rPr>
                <w:rFonts w:ascii="宋体" w:hAnsi="宋体" w:eastAsia="宋体" w:cs="宋体"/>
                <w:sz w:val="24"/>
                <w:szCs w:val="24"/>
              </w:rPr>
              <w:t>析</w:t>
            </w:r>
          </w:p>
        </w:tc>
        <w:tc>
          <w:tcPr>
            <w:tcW w:w="7711" w:type="dxa"/>
            <w:gridSpan w:val="5"/>
            <w:tcBorders>
              <w:bottom w:val="single" w:color="000000" w:sz="6" w:space="0"/>
              <w:right w:val="single" w:color="000000" w:sz="6" w:space="0"/>
            </w:tcBorders>
            <w:vAlign w:val="top"/>
          </w:tcPr>
          <w:p w14:paraId="60C0139F">
            <w:pPr>
              <w:spacing w:before="45" w:line="219" w:lineRule="auto"/>
              <w:ind w:left="594"/>
              <w:rPr>
                <w:rFonts w:ascii="宋体" w:hAnsi="宋体" w:eastAsia="宋体" w:cs="宋体"/>
                <w:sz w:val="24"/>
                <w:szCs w:val="24"/>
              </w:rPr>
            </w:pPr>
            <w:r>
              <w:rPr>
                <w:rFonts w:ascii="Times New Roman" w:hAnsi="Times New Roman" w:eastAsia="Times New Roman" w:cs="Times New Roman"/>
                <w:b/>
                <w:bCs/>
                <w:spacing w:val="-6"/>
                <w:sz w:val="24"/>
                <w:szCs w:val="24"/>
              </w:rPr>
              <w:t>1</w:t>
            </w:r>
            <w:r>
              <w:rPr>
                <w:rFonts w:ascii="Times New Roman" w:hAnsi="Times New Roman" w:eastAsia="Times New Roman" w:cs="Times New Roman"/>
                <w:b/>
                <w:bCs/>
                <w:spacing w:val="-27"/>
                <w:sz w:val="24"/>
                <w:szCs w:val="24"/>
              </w:rPr>
              <w:t xml:space="preserve"> </w:t>
            </w:r>
            <w:r>
              <w:rPr>
                <w:rFonts w:ascii="宋体" w:hAnsi="宋体" w:eastAsia="宋体" w:cs="宋体"/>
                <w:b/>
                <w:bCs/>
                <w:spacing w:val="-6"/>
                <w:sz w:val="24"/>
                <w:szCs w:val="24"/>
              </w:rPr>
              <w:t>、产业政策符合性分析</w:t>
            </w:r>
          </w:p>
          <w:p w14:paraId="285CED61">
            <w:pPr>
              <w:spacing w:before="182" w:line="359" w:lineRule="auto"/>
              <w:ind w:left="108" w:firstLine="479"/>
              <w:jc w:val="both"/>
              <w:rPr>
                <w:rFonts w:ascii="宋体" w:hAnsi="宋体" w:eastAsia="宋体" w:cs="宋体"/>
                <w:sz w:val="24"/>
                <w:szCs w:val="24"/>
              </w:rPr>
            </w:pPr>
            <w:r>
              <w:rPr>
                <w:rFonts w:ascii="宋体" w:hAnsi="宋体" w:eastAsia="宋体" w:cs="宋体"/>
                <w:spacing w:val="-3"/>
                <w:sz w:val="24"/>
                <w:szCs w:val="24"/>
              </w:rPr>
              <w:t>根据《国民经济行业分类》（</w:t>
            </w:r>
            <w:r>
              <w:rPr>
                <w:rFonts w:ascii="Times New Roman" w:hAnsi="Times New Roman" w:eastAsia="Times New Roman" w:cs="Times New Roman"/>
                <w:spacing w:val="-3"/>
                <w:sz w:val="24"/>
                <w:szCs w:val="24"/>
              </w:rPr>
              <w:t>GB/T4754-2017</w:t>
            </w:r>
            <w:r>
              <w:rPr>
                <w:rFonts w:ascii="宋体" w:hAnsi="宋体" w:eastAsia="宋体" w:cs="宋体"/>
                <w:spacing w:val="-10"/>
                <w:sz w:val="24"/>
                <w:szCs w:val="24"/>
              </w:rPr>
              <w:t>），</w:t>
            </w:r>
            <w:r>
              <w:rPr>
                <w:rFonts w:ascii="宋体" w:hAnsi="宋体" w:eastAsia="宋体" w:cs="宋体"/>
                <w:spacing w:val="-3"/>
                <w:sz w:val="24"/>
                <w:szCs w:val="24"/>
              </w:rPr>
              <w:t>本项目属于</w:t>
            </w:r>
            <w:r>
              <w:rPr>
                <w:rFonts w:ascii="Times New Roman" w:hAnsi="Times New Roman" w:eastAsia="Times New Roman" w:cs="Times New Roman"/>
                <w:spacing w:val="-3"/>
                <w:sz w:val="24"/>
                <w:szCs w:val="24"/>
              </w:rPr>
              <w:t>“C2926</w:t>
            </w:r>
            <w:r>
              <w:rPr>
                <w:rFonts w:ascii="宋体" w:hAnsi="宋体" w:eastAsia="宋体" w:cs="宋体"/>
                <w:spacing w:val="-13"/>
                <w:sz w:val="24"/>
                <w:szCs w:val="24"/>
              </w:rPr>
              <w:t>塑料包装箱及容器制造</w:t>
            </w:r>
            <w:r>
              <w:rPr>
                <w:rFonts w:ascii="Times New Roman" w:hAnsi="Times New Roman" w:eastAsia="Times New Roman" w:cs="Times New Roman"/>
                <w:spacing w:val="-13"/>
                <w:sz w:val="24"/>
                <w:szCs w:val="24"/>
              </w:rPr>
              <w:t>”</w:t>
            </w:r>
            <w:r>
              <w:rPr>
                <w:rFonts w:ascii="宋体" w:hAnsi="宋体" w:eastAsia="宋体" w:cs="宋体"/>
                <w:spacing w:val="-13"/>
                <w:sz w:val="24"/>
                <w:szCs w:val="24"/>
              </w:rPr>
              <w:t>项目。根据《产业结构调整</w:t>
            </w:r>
            <w:r>
              <w:rPr>
                <w:rFonts w:ascii="宋体" w:hAnsi="宋体" w:eastAsia="宋体" w:cs="宋体"/>
                <w:spacing w:val="-14"/>
                <w:sz w:val="24"/>
                <w:szCs w:val="24"/>
              </w:rPr>
              <w:t>指导目录（</w:t>
            </w:r>
            <w:r>
              <w:rPr>
                <w:rFonts w:ascii="Times New Roman" w:hAnsi="Times New Roman" w:eastAsia="Times New Roman" w:cs="Times New Roman"/>
                <w:spacing w:val="-14"/>
                <w:sz w:val="24"/>
                <w:szCs w:val="24"/>
              </w:rPr>
              <w:t xml:space="preserve">2024 </w:t>
            </w:r>
            <w:r>
              <w:rPr>
                <w:rFonts w:ascii="宋体" w:hAnsi="宋体" w:eastAsia="宋体" w:cs="宋体"/>
                <w:spacing w:val="-14"/>
                <w:sz w:val="24"/>
                <w:szCs w:val="24"/>
              </w:rPr>
              <w:t>年本）》</w:t>
            </w:r>
            <w:r>
              <w:rPr>
                <w:rFonts w:ascii="宋体" w:hAnsi="宋体" w:eastAsia="宋体" w:cs="宋体"/>
                <w:sz w:val="24"/>
                <w:szCs w:val="24"/>
              </w:rPr>
              <w:t xml:space="preserve"> </w:t>
            </w:r>
            <w:r>
              <w:rPr>
                <w:rFonts w:ascii="宋体" w:hAnsi="宋体" w:eastAsia="宋体" w:cs="宋体"/>
                <w:spacing w:val="-2"/>
                <w:sz w:val="24"/>
                <w:szCs w:val="24"/>
              </w:rPr>
              <w:t>（中华人民共和国国家发展和改革委员会令 第</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7</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号</w:t>
            </w:r>
            <w:r>
              <w:rPr>
                <w:rFonts w:ascii="宋体" w:hAnsi="宋体" w:eastAsia="宋体" w:cs="宋体"/>
                <w:spacing w:val="-19"/>
                <w:sz w:val="24"/>
                <w:szCs w:val="24"/>
              </w:rPr>
              <w:t>），</w:t>
            </w:r>
            <w:r>
              <w:rPr>
                <w:rFonts w:ascii="宋体" w:hAnsi="宋体" w:eastAsia="宋体" w:cs="宋体"/>
                <w:spacing w:val="-2"/>
                <w:sz w:val="24"/>
                <w:szCs w:val="24"/>
              </w:rPr>
              <w:t>本项目不属于国</w:t>
            </w:r>
            <w:r>
              <w:rPr>
                <w:rFonts w:ascii="宋体" w:hAnsi="宋体" w:eastAsia="宋体" w:cs="宋体"/>
                <w:spacing w:val="-3"/>
                <w:sz w:val="24"/>
                <w:szCs w:val="24"/>
              </w:rPr>
              <w:t>家产业政策鼓励类、限制类及淘汰类项目</w:t>
            </w:r>
            <w:r>
              <w:rPr>
                <w:rFonts w:ascii="Times New Roman" w:hAnsi="Times New Roman" w:eastAsia="Times New Roman" w:cs="Times New Roman"/>
                <w:spacing w:val="-3"/>
                <w:sz w:val="24"/>
                <w:szCs w:val="24"/>
              </w:rPr>
              <w:t>”</w:t>
            </w:r>
            <w:r>
              <w:rPr>
                <w:rFonts w:ascii="Times New Roman" w:hAnsi="Times New Roman" w:eastAsia="Times New Roman" w:cs="Times New Roman"/>
                <w:spacing w:val="-25"/>
                <w:sz w:val="24"/>
                <w:szCs w:val="24"/>
              </w:rPr>
              <w:t xml:space="preserve"> </w:t>
            </w:r>
            <w:r>
              <w:rPr>
                <w:rFonts w:ascii="宋体" w:hAnsi="宋体" w:eastAsia="宋体" w:cs="宋体"/>
                <w:spacing w:val="-3"/>
                <w:sz w:val="24"/>
                <w:szCs w:val="24"/>
              </w:rPr>
              <w:t>，属于允许类项目。对照《云</w:t>
            </w:r>
            <w:r>
              <w:rPr>
                <w:rFonts w:ascii="宋体" w:hAnsi="宋体" w:eastAsia="宋体" w:cs="宋体"/>
                <w:sz w:val="24"/>
                <w:szCs w:val="24"/>
              </w:rPr>
              <w:t>南省工业产业结构调整指导目录》（</w:t>
            </w:r>
            <w:r>
              <w:rPr>
                <w:rFonts w:ascii="Times New Roman" w:hAnsi="Times New Roman" w:eastAsia="Times New Roman" w:cs="Times New Roman"/>
                <w:sz w:val="24"/>
                <w:szCs w:val="24"/>
              </w:rPr>
              <w:t>2014</w:t>
            </w:r>
            <w:r>
              <w:rPr>
                <w:rFonts w:ascii="Times New Roman" w:hAnsi="Times New Roman" w:eastAsia="Times New Roman" w:cs="Times New Roman"/>
                <w:spacing w:val="-1"/>
                <w:sz w:val="24"/>
                <w:szCs w:val="24"/>
              </w:rPr>
              <w:t xml:space="preserve"> </w:t>
            </w:r>
            <w:r>
              <w:rPr>
                <w:rFonts w:ascii="宋体" w:hAnsi="宋体" w:eastAsia="宋体" w:cs="宋体"/>
                <w:spacing w:val="-1"/>
                <w:sz w:val="24"/>
                <w:szCs w:val="24"/>
              </w:rPr>
              <w:t>年本）内容，项目不属于该指</w:t>
            </w:r>
            <w:r>
              <w:rPr>
                <w:rFonts w:ascii="宋体" w:hAnsi="宋体" w:eastAsia="宋体" w:cs="宋体"/>
                <w:spacing w:val="1"/>
                <w:sz w:val="24"/>
                <w:szCs w:val="24"/>
              </w:rPr>
              <w:t>导目录中的限制类、淘汰类项目。同时，本项目设备不属于国家明令淘</w:t>
            </w:r>
            <w:r>
              <w:rPr>
                <w:rFonts w:ascii="宋体" w:hAnsi="宋体" w:eastAsia="宋体" w:cs="宋体"/>
                <w:spacing w:val="-1"/>
                <w:sz w:val="24"/>
                <w:szCs w:val="24"/>
              </w:rPr>
              <w:t>汰的落后设备，符合国家和云南省现行相关产业政策。</w:t>
            </w:r>
          </w:p>
          <w:p w14:paraId="3868108E">
            <w:pPr>
              <w:spacing w:line="219" w:lineRule="auto"/>
              <w:ind w:left="591"/>
              <w:rPr>
                <w:rFonts w:ascii="宋体" w:hAnsi="宋体" w:eastAsia="宋体" w:cs="宋体"/>
                <w:sz w:val="24"/>
                <w:szCs w:val="24"/>
              </w:rPr>
            </w:pPr>
            <w:r>
              <w:rPr>
                <w:rFonts w:ascii="宋体" w:hAnsi="宋体" w:eastAsia="宋体" w:cs="宋体"/>
                <w:spacing w:val="-1"/>
                <w:sz w:val="24"/>
                <w:szCs w:val="24"/>
              </w:rPr>
              <w:t>综上分析，项目的建设符合国家及地方产业政策。</w:t>
            </w:r>
          </w:p>
          <w:p w14:paraId="4482B237">
            <w:pPr>
              <w:spacing w:before="180" w:line="219" w:lineRule="auto"/>
              <w:ind w:left="584"/>
              <w:rPr>
                <w:rFonts w:ascii="宋体" w:hAnsi="宋体" w:eastAsia="宋体" w:cs="宋体"/>
                <w:sz w:val="24"/>
                <w:szCs w:val="24"/>
              </w:rPr>
            </w:pPr>
            <w:r>
              <w:rPr>
                <w:rFonts w:ascii="Times New Roman" w:hAnsi="Times New Roman" w:eastAsia="Times New Roman" w:cs="Times New Roman"/>
                <w:b/>
                <w:bCs/>
                <w:spacing w:val="-2"/>
                <w:sz w:val="24"/>
                <w:szCs w:val="24"/>
              </w:rPr>
              <w:t>2</w:t>
            </w:r>
            <w:r>
              <w:rPr>
                <w:rFonts w:ascii="Times New Roman" w:hAnsi="Times New Roman" w:eastAsia="Times New Roman" w:cs="Times New Roman"/>
                <w:b/>
                <w:bCs/>
                <w:spacing w:val="-34"/>
                <w:sz w:val="24"/>
                <w:szCs w:val="24"/>
              </w:rPr>
              <w:t xml:space="preserve"> </w:t>
            </w:r>
            <w:r>
              <w:rPr>
                <w:rFonts w:ascii="宋体" w:hAnsi="宋体" w:eastAsia="宋体" w:cs="宋体"/>
                <w:b/>
                <w:bCs/>
                <w:spacing w:val="-2"/>
                <w:sz w:val="24"/>
                <w:szCs w:val="24"/>
              </w:rPr>
              <w:t>、与《昆明市生态环境分区管控动态更新方案</w:t>
            </w:r>
            <w:r>
              <w:rPr>
                <w:rFonts w:ascii="宋体" w:hAnsi="宋体" w:eastAsia="宋体" w:cs="宋体"/>
                <w:b/>
                <w:bCs/>
                <w:spacing w:val="-3"/>
                <w:sz w:val="24"/>
                <w:szCs w:val="24"/>
              </w:rPr>
              <w:t>（</w:t>
            </w:r>
            <w:r>
              <w:rPr>
                <w:rFonts w:ascii="Times New Roman" w:hAnsi="Times New Roman" w:eastAsia="Times New Roman" w:cs="Times New Roman"/>
                <w:b/>
                <w:bCs/>
                <w:spacing w:val="-3"/>
                <w:sz w:val="24"/>
                <w:szCs w:val="24"/>
              </w:rPr>
              <w:t xml:space="preserve">2023 </w:t>
            </w:r>
            <w:r>
              <w:rPr>
                <w:rFonts w:ascii="宋体" w:hAnsi="宋体" w:eastAsia="宋体" w:cs="宋体"/>
                <w:b/>
                <w:bCs/>
                <w:spacing w:val="-3"/>
                <w:sz w:val="24"/>
                <w:szCs w:val="24"/>
              </w:rPr>
              <w:t>年）》的符</w:t>
            </w:r>
          </w:p>
        </w:tc>
      </w:tr>
    </w:tbl>
    <w:p w14:paraId="4DD2D720">
      <w:pPr>
        <w:pStyle w:val="2"/>
      </w:pPr>
    </w:p>
    <w:p w14:paraId="755324DF">
      <w:pPr>
        <w:sectPr>
          <w:footerReference r:id="rId25" w:type="default"/>
          <w:pgSz w:w="11906" w:h="16839"/>
          <w:pgMar w:top="400" w:right="1509" w:bottom="1329" w:left="1509" w:header="0" w:footer="1113" w:gutter="0"/>
          <w:cols w:space="720" w:num="1"/>
        </w:sectPr>
      </w:pPr>
    </w:p>
    <w:p w14:paraId="0CD8E3D8">
      <w:pPr>
        <w:spacing w:before="19"/>
      </w:pPr>
      <w:r>
        <w:pict>
          <v:shape id="_x0000_s1036" o:spid="_x0000_s1036" style="position:absolute;left:0pt;margin-left:139pt;margin-top:748.35pt;height:0.5pt;width:374.65pt;mso-position-horizontal-relative:page;mso-position-vertical-relative:page;z-index:251659264;mso-width-relative:page;mso-height-relative:page;" filled="f" stroked="t" coordsize="7492,10" o:allowincell="f" path="m0,4l7492,4e">
            <v:fill on="f" focussize="0,0"/>
            <v:stroke weight="0.48pt" color="#000000" miterlimit="2" joinstyle="bevel"/>
            <v:imagedata o:title=""/>
            <o:lock v:ext="edit"/>
          </v:shape>
        </w:pict>
      </w:r>
    </w:p>
    <w:p w14:paraId="38C4DCF2">
      <w:pPr>
        <w:spacing w:before="19"/>
      </w:pPr>
    </w:p>
    <w:p w14:paraId="0A617B14">
      <w:pPr>
        <w:spacing w:before="19"/>
      </w:pPr>
    </w:p>
    <w:p w14:paraId="43D6A280">
      <w:pPr>
        <w:spacing w:before="18"/>
      </w:pPr>
    </w:p>
    <w:p w14:paraId="49FD974E">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690"/>
        <w:gridCol w:w="2779"/>
        <w:gridCol w:w="3298"/>
        <w:gridCol w:w="703"/>
        <w:gridCol w:w="128"/>
      </w:tblGrid>
      <w:tr w14:paraId="3CE9D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4" w:hRule="atLeast"/>
        </w:trPr>
        <w:tc>
          <w:tcPr>
            <w:tcW w:w="1161" w:type="dxa"/>
            <w:vMerge w:val="restart"/>
            <w:tcBorders>
              <w:top w:val="single" w:color="000000" w:sz="6" w:space="0"/>
              <w:left w:val="single" w:color="000000" w:sz="6" w:space="0"/>
              <w:bottom w:val="nil"/>
            </w:tcBorders>
            <w:vAlign w:val="top"/>
          </w:tcPr>
          <w:p w14:paraId="7190DF55">
            <w:pPr>
              <w:rPr>
                <w:rFonts w:ascii="Arial"/>
                <w:sz w:val="21"/>
              </w:rPr>
            </w:pPr>
          </w:p>
        </w:tc>
        <w:tc>
          <w:tcPr>
            <w:tcW w:w="7711" w:type="dxa"/>
            <w:gridSpan w:val="6"/>
            <w:tcBorders>
              <w:top w:val="single" w:color="000000" w:sz="6" w:space="0"/>
              <w:right w:val="single" w:color="000000" w:sz="6" w:space="0"/>
            </w:tcBorders>
            <w:vAlign w:val="top"/>
          </w:tcPr>
          <w:p w14:paraId="3D3E3894">
            <w:pPr>
              <w:spacing w:before="30" w:line="220" w:lineRule="auto"/>
              <w:ind w:left="109"/>
              <w:rPr>
                <w:rFonts w:ascii="宋体" w:hAnsi="宋体" w:eastAsia="宋体" w:cs="宋体"/>
                <w:sz w:val="24"/>
                <w:szCs w:val="24"/>
              </w:rPr>
            </w:pPr>
            <w:r>
              <w:rPr>
                <w:rFonts w:ascii="宋体" w:hAnsi="宋体" w:eastAsia="宋体" w:cs="宋体"/>
                <w:b/>
                <w:bCs/>
                <w:spacing w:val="-5"/>
                <w:sz w:val="24"/>
                <w:szCs w:val="24"/>
              </w:rPr>
              <w:t>合性分析</w:t>
            </w:r>
          </w:p>
          <w:p w14:paraId="7C16369E">
            <w:pPr>
              <w:spacing w:before="177" w:line="359" w:lineRule="auto"/>
              <w:ind w:left="109" w:right="102" w:firstLine="480"/>
              <w:jc w:val="both"/>
              <w:rPr>
                <w:rFonts w:ascii="宋体" w:hAnsi="宋体" w:eastAsia="宋体" w:cs="宋体"/>
                <w:sz w:val="24"/>
                <w:szCs w:val="24"/>
              </w:rPr>
            </w:pPr>
            <w:r>
              <w:rPr>
                <w:rFonts w:ascii="宋体" w:hAnsi="宋体" w:eastAsia="宋体" w:cs="宋体"/>
                <w:spacing w:val="2"/>
                <w:sz w:val="24"/>
                <w:szCs w:val="24"/>
              </w:rPr>
              <w:t>本项目位于云南寻甸特色产业园区金所片区</w:t>
            </w:r>
            <w:r>
              <w:rPr>
                <w:rFonts w:ascii="宋体" w:hAnsi="宋体" w:eastAsia="宋体" w:cs="宋体"/>
                <w:spacing w:val="1"/>
                <w:sz w:val="24"/>
                <w:szCs w:val="24"/>
              </w:rPr>
              <w:t>，根据《昆明市生态环境分区管控动态更新方案（</w:t>
            </w:r>
            <w:r>
              <w:rPr>
                <w:rFonts w:ascii="Times New Roman" w:hAnsi="Times New Roman" w:eastAsia="Times New Roman" w:cs="Times New Roman"/>
                <w:spacing w:val="1"/>
                <w:sz w:val="24"/>
                <w:szCs w:val="24"/>
              </w:rPr>
              <w:t>2023</w:t>
            </w:r>
            <w:r>
              <w:rPr>
                <w:rFonts w:ascii="宋体" w:hAnsi="宋体" w:eastAsia="宋体" w:cs="宋体"/>
                <w:spacing w:val="1"/>
                <w:sz w:val="24"/>
                <w:szCs w:val="24"/>
              </w:rPr>
              <w:t>年）》，本项目属于云南寻甸产业园区</w:t>
            </w:r>
            <w:r>
              <w:rPr>
                <w:rFonts w:ascii="宋体" w:hAnsi="宋体" w:eastAsia="宋体" w:cs="宋体"/>
                <w:spacing w:val="-4"/>
                <w:sz w:val="24"/>
                <w:szCs w:val="24"/>
              </w:rPr>
              <w:t>重点管控单元，符合性分析见表</w:t>
            </w:r>
            <w:r>
              <w:rPr>
                <w:rFonts w:ascii="宋体" w:hAnsi="宋体" w:eastAsia="宋体" w:cs="宋体"/>
                <w:spacing w:val="-22"/>
                <w:sz w:val="24"/>
                <w:szCs w:val="24"/>
              </w:rPr>
              <w:t xml:space="preserve"> </w:t>
            </w:r>
            <w:r>
              <w:rPr>
                <w:rFonts w:ascii="Times New Roman" w:hAnsi="Times New Roman" w:eastAsia="Times New Roman" w:cs="Times New Roman"/>
                <w:spacing w:val="-4"/>
                <w:sz w:val="24"/>
                <w:szCs w:val="24"/>
              </w:rPr>
              <w:t>1-5</w:t>
            </w:r>
            <w:r>
              <w:rPr>
                <w:rFonts w:ascii="宋体" w:hAnsi="宋体" w:eastAsia="宋体" w:cs="宋体"/>
                <w:spacing w:val="-4"/>
                <w:sz w:val="24"/>
                <w:szCs w:val="24"/>
              </w:rPr>
              <w:t>，与《昆明市生态环境分区管控动态</w:t>
            </w:r>
            <w:r>
              <w:rPr>
                <w:rFonts w:ascii="宋体" w:hAnsi="宋体" w:eastAsia="宋体" w:cs="宋体"/>
                <w:spacing w:val="-2"/>
                <w:sz w:val="24"/>
                <w:szCs w:val="24"/>
              </w:rPr>
              <w:t>更新方案（</w:t>
            </w:r>
            <w:r>
              <w:rPr>
                <w:rFonts w:ascii="Times New Roman" w:hAnsi="Times New Roman" w:eastAsia="Times New Roman" w:cs="Times New Roman"/>
                <w:spacing w:val="-2"/>
                <w:sz w:val="24"/>
                <w:szCs w:val="24"/>
              </w:rPr>
              <w:t xml:space="preserve">2023 </w:t>
            </w:r>
            <w:r>
              <w:rPr>
                <w:rFonts w:ascii="宋体" w:hAnsi="宋体" w:eastAsia="宋体" w:cs="宋体"/>
                <w:spacing w:val="-2"/>
                <w:sz w:val="24"/>
                <w:szCs w:val="24"/>
              </w:rPr>
              <w:t>年）》叠图详见附图</w:t>
            </w:r>
            <w:r>
              <w:rPr>
                <w:rFonts w:ascii="宋体" w:hAnsi="宋体" w:eastAsia="宋体" w:cs="宋体"/>
                <w:spacing w:val="-30"/>
                <w:sz w:val="24"/>
                <w:szCs w:val="24"/>
              </w:rPr>
              <w:t xml:space="preserve"> </w:t>
            </w:r>
            <w:r>
              <w:rPr>
                <w:rFonts w:ascii="Times New Roman" w:hAnsi="Times New Roman" w:eastAsia="Times New Roman" w:cs="Times New Roman"/>
                <w:spacing w:val="-2"/>
                <w:sz w:val="24"/>
                <w:szCs w:val="24"/>
              </w:rPr>
              <w:t>8</w:t>
            </w:r>
            <w:r>
              <w:rPr>
                <w:rFonts w:ascii="宋体" w:hAnsi="宋体" w:eastAsia="宋体" w:cs="宋体"/>
                <w:spacing w:val="-2"/>
                <w:sz w:val="24"/>
                <w:szCs w:val="24"/>
              </w:rPr>
              <w:t>。</w:t>
            </w:r>
          </w:p>
          <w:p w14:paraId="7EAADE81">
            <w:pPr>
              <w:spacing w:line="215" w:lineRule="auto"/>
              <w:ind w:left="106"/>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31"/>
                <w:sz w:val="20"/>
                <w:szCs w:val="20"/>
              </w:rPr>
              <w:t xml:space="preserve"> </w:t>
            </w:r>
            <w:r>
              <w:rPr>
                <w:rFonts w:ascii="Times New Roman" w:hAnsi="Times New Roman" w:eastAsia="Times New Roman" w:cs="Times New Roman"/>
                <w:b/>
                <w:bCs/>
                <w:spacing w:val="6"/>
                <w:sz w:val="20"/>
                <w:szCs w:val="20"/>
              </w:rPr>
              <w:t xml:space="preserve">1-5    </w:t>
            </w:r>
            <w:r>
              <w:rPr>
                <w:rFonts w:ascii="宋体" w:hAnsi="宋体" w:eastAsia="宋体" w:cs="宋体"/>
                <w:b/>
                <w:bCs/>
                <w:spacing w:val="6"/>
                <w:sz w:val="20"/>
                <w:szCs w:val="20"/>
              </w:rPr>
              <w:t>项目与《昆明市生态环境分区</w:t>
            </w:r>
            <w:r>
              <w:rPr>
                <w:rFonts w:ascii="宋体" w:hAnsi="宋体" w:eastAsia="宋体" w:cs="宋体"/>
                <w:b/>
                <w:bCs/>
                <w:spacing w:val="5"/>
                <w:sz w:val="20"/>
                <w:szCs w:val="20"/>
              </w:rPr>
              <w:t>管控动态更新方案（</w:t>
            </w:r>
            <w:r>
              <w:rPr>
                <w:rFonts w:ascii="Times New Roman" w:hAnsi="Times New Roman" w:eastAsia="Times New Roman" w:cs="Times New Roman"/>
                <w:b/>
                <w:bCs/>
                <w:spacing w:val="5"/>
                <w:sz w:val="20"/>
                <w:szCs w:val="20"/>
              </w:rPr>
              <w:t xml:space="preserve">2023 </w:t>
            </w:r>
            <w:r>
              <w:rPr>
                <w:rFonts w:ascii="宋体" w:hAnsi="宋体" w:eastAsia="宋体" w:cs="宋体"/>
                <w:b/>
                <w:bCs/>
                <w:spacing w:val="5"/>
                <w:sz w:val="20"/>
                <w:szCs w:val="20"/>
              </w:rPr>
              <w:t>年）》符合性分析</w:t>
            </w:r>
          </w:p>
        </w:tc>
      </w:tr>
      <w:tr w14:paraId="05679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161" w:type="dxa"/>
            <w:vMerge w:val="continue"/>
            <w:tcBorders>
              <w:top w:val="nil"/>
              <w:left w:val="single" w:color="000000" w:sz="6" w:space="0"/>
              <w:bottom w:val="nil"/>
            </w:tcBorders>
            <w:vAlign w:val="top"/>
          </w:tcPr>
          <w:p w14:paraId="3165C2AE">
            <w:pPr>
              <w:rPr>
                <w:rFonts w:ascii="Arial"/>
                <w:sz w:val="21"/>
              </w:rPr>
            </w:pPr>
          </w:p>
        </w:tc>
        <w:tc>
          <w:tcPr>
            <w:tcW w:w="113" w:type="dxa"/>
            <w:tcBorders>
              <w:top w:val="nil"/>
              <w:bottom w:val="nil"/>
            </w:tcBorders>
            <w:vAlign w:val="top"/>
          </w:tcPr>
          <w:p w14:paraId="49368D88">
            <w:pPr>
              <w:rPr>
                <w:rFonts w:ascii="Arial"/>
                <w:sz w:val="21"/>
              </w:rPr>
            </w:pPr>
          </w:p>
        </w:tc>
        <w:tc>
          <w:tcPr>
            <w:tcW w:w="690" w:type="dxa"/>
            <w:vAlign w:val="top"/>
          </w:tcPr>
          <w:p w14:paraId="4109F68D">
            <w:pPr>
              <w:spacing w:before="236" w:line="228" w:lineRule="auto"/>
              <w:ind w:left="133"/>
              <w:rPr>
                <w:rFonts w:ascii="宋体" w:hAnsi="宋体" w:eastAsia="宋体" w:cs="宋体"/>
                <w:sz w:val="20"/>
                <w:szCs w:val="20"/>
              </w:rPr>
            </w:pPr>
            <w:r>
              <w:rPr>
                <w:rFonts w:ascii="宋体" w:hAnsi="宋体" w:eastAsia="宋体" w:cs="宋体"/>
                <w:b/>
                <w:bCs/>
                <w:spacing w:val="3"/>
                <w:sz w:val="20"/>
                <w:szCs w:val="20"/>
              </w:rPr>
              <w:t>类别</w:t>
            </w:r>
          </w:p>
        </w:tc>
        <w:tc>
          <w:tcPr>
            <w:tcW w:w="2779" w:type="dxa"/>
            <w:vAlign w:val="top"/>
          </w:tcPr>
          <w:p w14:paraId="2F3816CB">
            <w:pPr>
              <w:spacing w:before="236" w:line="228" w:lineRule="auto"/>
              <w:ind w:left="974"/>
              <w:rPr>
                <w:rFonts w:ascii="宋体" w:hAnsi="宋体" w:eastAsia="宋体" w:cs="宋体"/>
                <w:sz w:val="20"/>
                <w:szCs w:val="20"/>
              </w:rPr>
            </w:pPr>
            <w:r>
              <w:rPr>
                <w:rFonts w:ascii="宋体" w:hAnsi="宋体" w:eastAsia="宋体" w:cs="宋体"/>
                <w:b/>
                <w:bCs/>
                <w:spacing w:val="5"/>
                <w:sz w:val="20"/>
                <w:szCs w:val="20"/>
              </w:rPr>
              <w:t>管控要求</w:t>
            </w:r>
          </w:p>
        </w:tc>
        <w:tc>
          <w:tcPr>
            <w:tcW w:w="3298" w:type="dxa"/>
            <w:vAlign w:val="top"/>
          </w:tcPr>
          <w:p w14:paraId="134C9741">
            <w:pPr>
              <w:spacing w:before="236" w:line="227" w:lineRule="auto"/>
              <w:ind w:left="1131"/>
              <w:rPr>
                <w:rFonts w:ascii="宋体" w:hAnsi="宋体" w:eastAsia="宋体" w:cs="宋体"/>
                <w:sz w:val="20"/>
                <w:szCs w:val="20"/>
              </w:rPr>
            </w:pPr>
            <w:r>
              <w:rPr>
                <w:rFonts w:ascii="宋体" w:hAnsi="宋体" w:eastAsia="宋体" w:cs="宋体"/>
                <w:b/>
                <w:bCs/>
                <w:spacing w:val="6"/>
                <w:sz w:val="20"/>
                <w:szCs w:val="20"/>
              </w:rPr>
              <w:t>本项目情况</w:t>
            </w:r>
          </w:p>
        </w:tc>
        <w:tc>
          <w:tcPr>
            <w:tcW w:w="703" w:type="dxa"/>
            <w:vAlign w:val="top"/>
          </w:tcPr>
          <w:p w14:paraId="539681E2">
            <w:pPr>
              <w:spacing w:before="33" w:line="359" w:lineRule="auto"/>
              <w:ind w:left="259" w:right="132" w:hanging="104"/>
              <w:rPr>
                <w:rFonts w:ascii="宋体" w:hAnsi="宋体" w:eastAsia="宋体" w:cs="宋体"/>
                <w:sz w:val="20"/>
                <w:szCs w:val="20"/>
              </w:rPr>
            </w:pPr>
            <w:r>
              <w:rPr>
                <w:rFonts w:ascii="宋体" w:hAnsi="宋体" w:eastAsia="宋体" w:cs="宋体"/>
                <w:b/>
                <w:bCs/>
                <w:spacing w:val="3"/>
                <w:sz w:val="20"/>
                <w:szCs w:val="20"/>
              </w:rPr>
              <w:t>符合</w:t>
            </w:r>
            <w:r>
              <w:rPr>
                <w:rFonts w:ascii="宋体" w:hAnsi="宋体" w:eastAsia="宋体" w:cs="宋体"/>
                <w:b/>
                <w:bCs/>
                <w:spacing w:val="-3"/>
                <w:sz w:val="20"/>
                <w:szCs w:val="20"/>
              </w:rPr>
              <w:t>性</w:t>
            </w:r>
          </w:p>
        </w:tc>
        <w:tc>
          <w:tcPr>
            <w:tcW w:w="128" w:type="dxa"/>
            <w:vMerge w:val="restart"/>
            <w:tcBorders>
              <w:top w:val="nil"/>
              <w:bottom w:val="nil"/>
              <w:right w:val="single" w:color="000000" w:sz="6" w:space="0"/>
            </w:tcBorders>
            <w:vAlign w:val="top"/>
          </w:tcPr>
          <w:p w14:paraId="71A7A61F">
            <w:pPr>
              <w:rPr>
                <w:rFonts w:ascii="Arial"/>
                <w:sz w:val="21"/>
              </w:rPr>
            </w:pPr>
          </w:p>
        </w:tc>
      </w:tr>
      <w:tr w14:paraId="3D4F7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3" w:hRule="atLeast"/>
        </w:trPr>
        <w:tc>
          <w:tcPr>
            <w:tcW w:w="1161" w:type="dxa"/>
            <w:vMerge w:val="continue"/>
            <w:tcBorders>
              <w:top w:val="nil"/>
              <w:left w:val="single" w:color="000000" w:sz="6" w:space="0"/>
              <w:bottom w:val="nil"/>
            </w:tcBorders>
            <w:vAlign w:val="top"/>
          </w:tcPr>
          <w:p w14:paraId="16E223A8">
            <w:pPr>
              <w:rPr>
                <w:rFonts w:ascii="Arial"/>
                <w:sz w:val="21"/>
              </w:rPr>
            </w:pPr>
          </w:p>
        </w:tc>
        <w:tc>
          <w:tcPr>
            <w:tcW w:w="113" w:type="dxa"/>
            <w:tcBorders>
              <w:top w:val="nil"/>
              <w:bottom w:val="nil"/>
            </w:tcBorders>
            <w:vAlign w:val="top"/>
          </w:tcPr>
          <w:p w14:paraId="14E36AAB">
            <w:pPr>
              <w:rPr>
                <w:rFonts w:ascii="Arial"/>
                <w:sz w:val="21"/>
              </w:rPr>
            </w:pPr>
          </w:p>
        </w:tc>
        <w:tc>
          <w:tcPr>
            <w:tcW w:w="690" w:type="dxa"/>
            <w:vAlign w:val="top"/>
          </w:tcPr>
          <w:p w14:paraId="25B62A06">
            <w:pPr>
              <w:spacing w:line="265" w:lineRule="auto"/>
              <w:rPr>
                <w:rFonts w:ascii="Arial"/>
                <w:sz w:val="21"/>
              </w:rPr>
            </w:pPr>
          </w:p>
          <w:p w14:paraId="57122D48">
            <w:pPr>
              <w:spacing w:line="265" w:lineRule="auto"/>
              <w:rPr>
                <w:rFonts w:ascii="Arial"/>
                <w:sz w:val="21"/>
              </w:rPr>
            </w:pPr>
          </w:p>
          <w:p w14:paraId="16B00F17">
            <w:pPr>
              <w:spacing w:line="265" w:lineRule="auto"/>
              <w:rPr>
                <w:rFonts w:ascii="Arial"/>
                <w:sz w:val="21"/>
              </w:rPr>
            </w:pPr>
          </w:p>
          <w:p w14:paraId="712121DD">
            <w:pPr>
              <w:spacing w:line="265" w:lineRule="auto"/>
              <w:rPr>
                <w:rFonts w:ascii="Arial"/>
                <w:sz w:val="21"/>
              </w:rPr>
            </w:pPr>
          </w:p>
          <w:p w14:paraId="266FD6FB">
            <w:pPr>
              <w:spacing w:line="265" w:lineRule="auto"/>
              <w:rPr>
                <w:rFonts w:ascii="Arial"/>
                <w:sz w:val="21"/>
              </w:rPr>
            </w:pPr>
          </w:p>
          <w:p w14:paraId="68FD6285">
            <w:pPr>
              <w:spacing w:line="266" w:lineRule="auto"/>
              <w:rPr>
                <w:rFonts w:ascii="Arial"/>
                <w:sz w:val="21"/>
              </w:rPr>
            </w:pPr>
          </w:p>
          <w:p w14:paraId="2DFEDE43">
            <w:pPr>
              <w:spacing w:before="65" w:line="379" w:lineRule="auto"/>
              <w:ind w:left="107" w:right="168"/>
              <w:jc w:val="both"/>
              <w:rPr>
                <w:rFonts w:ascii="宋体" w:hAnsi="宋体" w:eastAsia="宋体" w:cs="宋体"/>
                <w:sz w:val="20"/>
                <w:szCs w:val="20"/>
              </w:rPr>
            </w:pPr>
            <w:r>
              <w:rPr>
                <w:rFonts w:ascii="宋体" w:hAnsi="宋体" w:eastAsia="宋体" w:cs="宋体"/>
                <w:spacing w:val="3"/>
                <w:sz w:val="20"/>
                <w:szCs w:val="20"/>
              </w:rPr>
              <w:t>生态</w:t>
            </w:r>
            <w:r>
              <w:rPr>
                <w:rFonts w:ascii="宋体" w:hAnsi="宋体" w:eastAsia="宋体" w:cs="宋体"/>
                <w:spacing w:val="4"/>
                <w:sz w:val="20"/>
                <w:szCs w:val="20"/>
              </w:rPr>
              <w:t>保护红线</w:t>
            </w:r>
          </w:p>
        </w:tc>
        <w:tc>
          <w:tcPr>
            <w:tcW w:w="2779" w:type="dxa"/>
            <w:vAlign w:val="top"/>
          </w:tcPr>
          <w:p w14:paraId="651A348B">
            <w:pPr>
              <w:spacing w:before="33" w:line="377" w:lineRule="auto"/>
              <w:ind w:left="112" w:right="156" w:hanging="3"/>
              <w:rPr>
                <w:rFonts w:ascii="宋体" w:hAnsi="宋体" w:eastAsia="宋体" w:cs="宋体"/>
                <w:sz w:val="20"/>
                <w:szCs w:val="20"/>
              </w:rPr>
            </w:pPr>
            <w:r>
              <w:rPr>
                <w:rFonts w:ascii="宋体" w:hAnsi="宋体" w:eastAsia="宋体" w:cs="宋体"/>
                <w:spacing w:val="8"/>
                <w:sz w:val="20"/>
                <w:szCs w:val="20"/>
              </w:rPr>
              <w:t>生态保护红线全面与《昆明市国土空间总体规划</w:t>
            </w:r>
          </w:p>
          <w:p w14:paraId="22FDF1DC">
            <w:pPr>
              <w:spacing w:before="1" w:line="377" w:lineRule="auto"/>
              <w:ind w:left="113" w:right="105" w:firstLine="4"/>
              <w:rPr>
                <w:rFonts w:ascii="宋体" w:hAnsi="宋体" w:eastAsia="宋体" w:cs="宋体"/>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 xml:space="preserve">2021-2035 </w:t>
            </w:r>
            <w:r>
              <w:rPr>
                <w:rFonts w:ascii="宋体" w:hAnsi="宋体" w:eastAsia="宋体" w:cs="宋体"/>
                <w:spacing w:val="1"/>
                <w:sz w:val="20"/>
                <w:szCs w:val="20"/>
              </w:rPr>
              <w:t>年）》衔接，全</w:t>
            </w:r>
            <w:r>
              <w:rPr>
                <w:rFonts w:ascii="宋体" w:hAnsi="宋体" w:eastAsia="宋体" w:cs="宋体"/>
                <w:spacing w:val="8"/>
                <w:sz w:val="20"/>
                <w:szCs w:val="20"/>
              </w:rPr>
              <w:t>市生态保护红线面积</w:t>
            </w:r>
          </w:p>
          <w:p w14:paraId="40ED0193">
            <w:pPr>
              <w:spacing w:line="377" w:lineRule="auto"/>
              <w:ind w:left="106" w:right="108" w:hanging="3"/>
              <w:rPr>
                <w:rFonts w:ascii="宋体" w:hAnsi="宋体" w:eastAsia="宋体" w:cs="宋体"/>
                <w:sz w:val="20"/>
                <w:szCs w:val="20"/>
              </w:rPr>
            </w:pPr>
            <w:r>
              <w:rPr>
                <w:rFonts w:ascii="Times New Roman" w:hAnsi="Times New Roman" w:eastAsia="Times New Roman" w:cs="Times New Roman"/>
                <w:spacing w:val="3"/>
                <w:sz w:val="20"/>
                <w:szCs w:val="20"/>
              </w:rPr>
              <w:t xml:space="preserve">4274.70 </w:t>
            </w:r>
            <w:r>
              <w:rPr>
                <w:rFonts w:ascii="宋体" w:hAnsi="宋体" w:eastAsia="宋体" w:cs="宋体"/>
                <w:spacing w:val="3"/>
                <w:sz w:val="20"/>
                <w:szCs w:val="20"/>
              </w:rPr>
              <w:t>平方公里，占全市国土面积的</w:t>
            </w:r>
            <w:r>
              <w:rPr>
                <w:rFonts w:ascii="宋体" w:hAnsi="宋体" w:eastAsia="宋体" w:cs="宋体"/>
                <w:spacing w:val="-31"/>
                <w:sz w:val="20"/>
                <w:szCs w:val="20"/>
              </w:rPr>
              <w:t xml:space="preserve"> </w:t>
            </w:r>
            <w:r>
              <w:rPr>
                <w:rFonts w:ascii="Times New Roman" w:hAnsi="Times New Roman" w:eastAsia="Times New Roman" w:cs="Times New Roman"/>
                <w:spacing w:val="3"/>
                <w:sz w:val="20"/>
                <w:szCs w:val="20"/>
              </w:rPr>
              <w:t>20.34%</w:t>
            </w:r>
            <w:r>
              <w:rPr>
                <w:rFonts w:ascii="Times New Roman" w:hAnsi="Times New Roman" w:eastAsia="Times New Roman" w:cs="Times New Roman"/>
                <w:spacing w:val="-24"/>
                <w:sz w:val="20"/>
                <w:szCs w:val="20"/>
              </w:rPr>
              <w:t xml:space="preserve"> </w:t>
            </w:r>
            <w:r>
              <w:rPr>
                <w:rFonts w:ascii="宋体" w:hAnsi="宋体" w:eastAsia="宋体" w:cs="宋体"/>
                <w:spacing w:val="3"/>
                <w:sz w:val="20"/>
                <w:szCs w:val="20"/>
              </w:rPr>
              <w:t>，较原有面积占比减少</w:t>
            </w:r>
            <w:r>
              <w:rPr>
                <w:rFonts w:ascii="宋体" w:hAnsi="宋体" w:eastAsia="宋体" w:cs="宋体"/>
                <w:spacing w:val="-13"/>
                <w:sz w:val="20"/>
                <w:szCs w:val="20"/>
              </w:rPr>
              <w:t xml:space="preserve"> </w:t>
            </w:r>
            <w:r>
              <w:rPr>
                <w:rFonts w:ascii="Times New Roman" w:hAnsi="Times New Roman" w:eastAsia="Times New Roman" w:cs="Times New Roman"/>
                <w:spacing w:val="3"/>
                <w:sz w:val="20"/>
                <w:szCs w:val="20"/>
              </w:rPr>
              <w:t>1.85%</w:t>
            </w:r>
            <w:r>
              <w:rPr>
                <w:rFonts w:ascii="Times New Roman" w:hAnsi="Times New Roman" w:eastAsia="Times New Roman" w:cs="Times New Roman"/>
                <w:spacing w:val="-23"/>
                <w:sz w:val="20"/>
                <w:szCs w:val="20"/>
              </w:rPr>
              <w:t xml:space="preserve"> </w:t>
            </w:r>
            <w:r>
              <w:rPr>
                <w:rFonts w:ascii="宋体" w:hAnsi="宋体" w:eastAsia="宋体" w:cs="宋体"/>
                <w:spacing w:val="3"/>
                <w:sz w:val="20"/>
                <w:szCs w:val="20"/>
              </w:rPr>
              <w:t>。全市一</w:t>
            </w:r>
            <w:r>
              <w:rPr>
                <w:rFonts w:ascii="宋体" w:hAnsi="宋体" w:eastAsia="宋体" w:cs="宋体"/>
                <w:spacing w:val="8"/>
                <w:sz w:val="20"/>
                <w:szCs w:val="20"/>
              </w:rPr>
              <w:t>般生态空间面积</w:t>
            </w:r>
          </w:p>
          <w:p w14:paraId="400FA09E">
            <w:pPr>
              <w:spacing w:before="3" w:line="362" w:lineRule="auto"/>
              <w:ind w:left="107" w:right="108" w:firstLine="1"/>
              <w:rPr>
                <w:rFonts w:ascii="宋体" w:hAnsi="宋体" w:eastAsia="宋体" w:cs="宋体"/>
                <w:sz w:val="20"/>
                <w:szCs w:val="20"/>
              </w:rPr>
            </w:pPr>
            <w:r>
              <w:rPr>
                <w:rFonts w:ascii="Times New Roman" w:hAnsi="Times New Roman" w:eastAsia="Times New Roman" w:cs="Times New Roman"/>
                <w:spacing w:val="2"/>
                <w:sz w:val="20"/>
                <w:szCs w:val="20"/>
              </w:rPr>
              <w:t>5151.56</w:t>
            </w:r>
            <w:r>
              <w:rPr>
                <w:rFonts w:ascii="Times New Roman" w:hAnsi="Times New Roman" w:eastAsia="Times New Roman" w:cs="Times New Roman"/>
                <w:sz w:val="20"/>
                <w:szCs w:val="20"/>
              </w:rPr>
              <w:t>km</w:t>
            </w:r>
            <w:r>
              <w:rPr>
                <w:rFonts w:ascii="Times New Roman" w:hAnsi="Times New Roman" w:eastAsia="Times New Roman" w:cs="Times New Roman"/>
                <w:spacing w:val="2"/>
                <w:position w:val="6"/>
                <w:sz w:val="13"/>
                <w:szCs w:val="13"/>
              </w:rPr>
              <w:t>2</w:t>
            </w:r>
            <w:r>
              <w:rPr>
                <w:rFonts w:ascii="Times New Roman" w:hAnsi="Times New Roman" w:eastAsia="Times New Roman" w:cs="Times New Roman"/>
                <w:spacing w:val="-7"/>
                <w:position w:val="6"/>
                <w:sz w:val="13"/>
                <w:szCs w:val="13"/>
              </w:rPr>
              <w:t xml:space="preserve"> </w:t>
            </w:r>
            <w:r>
              <w:rPr>
                <w:rFonts w:ascii="宋体" w:hAnsi="宋体" w:eastAsia="宋体" w:cs="宋体"/>
                <w:spacing w:val="2"/>
                <w:sz w:val="20"/>
                <w:szCs w:val="20"/>
              </w:rPr>
              <w:t>，</w:t>
            </w:r>
            <w:r>
              <w:rPr>
                <w:rFonts w:ascii="宋体" w:hAnsi="宋体" w:eastAsia="宋体" w:cs="宋体"/>
                <w:spacing w:val="-51"/>
                <w:sz w:val="20"/>
                <w:szCs w:val="20"/>
              </w:rPr>
              <w:t xml:space="preserve"> </w:t>
            </w:r>
            <w:r>
              <w:rPr>
                <w:rFonts w:ascii="宋体" w:hAnsi="宋体" w:eastAsia="宋体" w:cs="宋体"/>
                <w:spacing w:val="2"/>
                <w:sz w:val="20"/>
                <w:szCs w:val="20"/>
              </w:rPr>
              <w:t>占国土空间面</w:t>
            </w:r>
            <w:r>
              <w:rPr>
                <w:rFonts w:ascii="宋体" w:hAnsi="宋体" w:eastAsia="宋体" w:cs="宋体"/>
                <w:spacing w:val="3"/>
                <w:sz w:val="20"/>
                <w:szCs w:val="20"/>
              </w:rPr>
              <w:t>积的</w:t>
            </w:r>
            <w:r>
              <w:rPr>
                <w:rFonts w:ascii="宋体" w:hAnsi="宋体" w:eastAsia="宋体" w:cs="宋体"/>
                <w:spacing w:val="-32"/>
                <w:sz w:val="20"/>
                <w:szCs w:val="20"/>
              </w:rPr>
              <w:t xml:space="preserve"> </w:t>
            </w:r>
            <w:r>
              <w:rPr>
                <w:rFonts w:ascii="Times New Roman" w:hAnsi="Times New Roman" w:eastAsia="Times New Roman" w:cs="Times New Roman"/>
                <w:spacing w:val="3"/>
                <w:sz w:val="20"/>
                <w:szCs w:val="20"/>
              </w:rPr>
              <w:t>24.37%</w:t>
            </w:r>
            <w:r>
              <w:rPr>
                <w:rFonts w:ascii="Times New Roman" w:hAnsi="Times New Roman" w:eastAsia="Times New Roman" w:cs="Times New Roman"/>
                <w:spacing w:val="-23"/>
                <w:sz w:val="20"/>
                <w:szCs w:val="20"/>
              </w:rPr>
              <w:t xml:space="preserve"> </w:t>
            </w:r>
            <w:r>
              <w:rPr>
                <w:rFonts w:ascii="宋体" w:hAnsi="宋体" w:eastAsia="宋体" w:cs="宋体"/>
                <w:spacing w:val="3"/>
                <w:sz w:val="20"/>
                <w:szCs w:val="20"/>
              </w:rPr>
              <w:t>，较原有面积占</w:t>
            </w:r>
            <w:r>
              <w:rPr>
                <w:rFonts w:ascii="宋体" w:hAnsi="宋体" w:eastAsia="宋体" w:cs="宋体"/>
                <w:spacing w:val="4"/>
                <w:sz w:val="20"/>
                <w:szCs w:val="20"/>
              </w:rPr>
              <w:t>比增加</w:t>
            </w:r>
            <w:r>
              <w:rPr>
                <w:rFonts w:ascii="宋体" w:hAnsi="宋体" w:eastAsia="宋体" w:cs="宋体"/>
                <w:spacing w:val="-37"/>
                <w:sz w:val="20"/>
                <w:szCs w:val="20"/>
              </w:rPr>
              <w:t xml:space="preserve"> </w:t>
            </w:r>
            <w:r>
              <w:rPr>
                <w:rFonts w:ascii="Times New Roman" w:hAnsi="Times New Roman" w:eastAsia="Times New Roman" w:cs="Times New Roman"/>
                <w:spacing w:val="4"/>
                <w:sz w:val="20"/>
                <w:szCs w:val="20"/>
              </w:rPr>
              <w:t>2.45%</w:t>
            </w:r>
            <w:r>
              <w:rPr>
                <w:rFonts w:ascii="宋体" w:hAnsi="宋体" w:eastAsia="宋体" w:cs="宋体"/>
                <w:spacing w:val="4"/>
                <w:sz w:val="20"/>
                <w:szCs w:val="20"/>
              </w:rPr>
              <w:t>。</w:t>
            </w:r>
          </w:p>
        </w:tc>
        <w:tc>
          <w:tcPr>
            <w:tcW w:w="3298" w:type="dxa"/>
            <w:vAlign w:val="top"/>
          </w:tcPr>
          <w:p w14:paraId="7CC72F35">
            <w:pPr>
              <w:spacing w:before="240" w:line="377" w:lineRule="auto"/>
              <w:ind w:left="112" w:right="74"/>
              <w:rPr>
                <w:rFonts w:ascii="宋体" w:hAnsi="宋体" w:eastAsia="宋体" w:cs="宋体"/>
                <w:sz w:val="20"/>
                <w:szCs w:val="20"/>
              </w:rPr>
            </w:pPr>
            <w:r>
              <w:rPr>
                <w:rFonts w:ascii="宋体" w:hAnsi="宋体" w:eastAsia="宋体" w:cs="宋体"/>
                <w:spacing w:val="9"/>
                <w:sz w:val="20"/>
                <w:szCs w:val="20"/>
              </w:rPr>
              <w:t>本项目位于云南寻甸产业园区金所片区，项目用地性质为工业用</w:t>
            </w:r>
            <w:r>
              <w:rPr>
                <w:rFonts w:ascii="宋体" w:hAnsi="宋体" w:eastAsia="宋体" w:cs="宋体"/>
                <w:spacing w:val="7"/>
                <w:sz w:val="20"/>
                <w:szCs w:val="20"/>
              </w:rPr>
              <w:t>地，项目评价范围内无名胜古迹、</w:t>
            </w:r>
            <w:r>
              <w:rPr>
                <w:rFonts w:ascii="宋体" w:hAnsi="宋体" w:eastAsia="宋体" w:cs="宋体"/>
                <w:spacing w:val="5"/>
                <w:sz w:val="20"/>
                <w:szCs w:val="20"/>
              </w:rPr>
              <w:t>风景名胜区、自然保护区、饮用水水源保护区等生态保护目标，不取</w:t>
            </w:r>
            <w:r>
              <w:rPr>
                <w:rFonts w:ascii="宋体" w:hAnsi="宋体" w:eastAsia="宋体" w:cs="宋体"/>
                <w:spacing w:val="7"/>
                <w:sz w:val="20"/>
                <w:szCs w:val="20"/>
              </w:rPr>
              <w:t>用地下水，项目不涉及基本农田，</w:t>
            </w:r>
            <w:r>
              <w:rPr>
                <w:rFonts w:ascii="宋体" w:hAnsi="宋体" w:eastAsia="宋体" w:cs="宋体"/>
                <w:spacing w:val="5"/>
                <w:sz w:val="20"/>
                <w:szCs w:val="20"/>
              </w:rPr>
              <w:t>不在禁止开发区域，项目区不涉及生态保护红线，即不在生态保护红线范围之内，因此项目建设符合生</w:t>
            </w:r>
            <w:r>
              <w:rPr>
                <w:rFonts w:ascii="宋体" w:hAnsi="宋体" w:eastAsia="宋体" w:cs="宋体"/>
                <w:spacing w:val="7"/>
                <w:sz w:val="20"/>
                <w:szCs w:val="20"/>
              </w:rPr>
              <w:t>态保护红线要求。</w:t>
            </w:r>
          </w:p>
        </w:tc>
        <w:tc>
          <w:tcPr>
            <w:tcW w:w="703" w:type="dxa"/>
            <w:vAlign w:val="top"/>
          </w:tcPr>
          <w:p w14:paraId="197C62D1">
            <w:pPr>
              <w:spacing w:line="249" w:lineRule="auto"/>
              <w:rPr>
                <w:rFonts w:ascii="Arial"/>
                <w:sz w:val="21"/>
              </w:rPr>
            </w:pPr>
          </w:p>
          <w:p w14:paraId="08B456C0">
            <w:pPr>
              <w:spacing w:line="250" w:lineRule="auto"/>
              <w:rPr>
                <w:rFonts w:ascii="Arial"/>
                <w:sz w:val="21"/>
              </w:rPr>
            </w:pPr>
          </w:p>
          <w:p w14:paraId="36F54DAF">
            <w:pPr>
              <w:spacing w:line="250" w:lineRule="auto"/>
              <w:rPr>
                <w:rFonts w:ascii="Arial"/>
                <w:sz w:val="21"/>
              </w:rPr>
            </w:pPr>
          </w:p>
          <w:p w14:paraId="5CF2491B">
            <w:pPr>
              <w:spacing w:line="250" w:lineRule="auto"/>
              <w:rPr>
                <w:rFonts w:ascii="Arial"/>
                <w:sz w:val="21"/>
              </w:rPr>
            </w:pPr>
          </w:p>
          <w:p w14:paraId="50861622">
            <w:pPr>
              <w:spacing w:line="250" w:lineRule="auto"/>
              <w:rPr>
                <w:rFonts w:ascii="Arial"/>
                <w:sz w:val="21"/>
              </w:rPr>
            </w:pPr>
          </w:p>
          <w:p w14:paraId="2A2E565B">
            <w:pPr>
              <w:spacing w:line="250" w:lineRule="auto"/>
              <w:rPr>
                <w:rFonts w:ascii="Arial"/>
                <w:sz w:val="21"/>
              </w:rPr>
            </w:pPr>
          </w:p>
          <w:p w14:paraId="76ADBEFB">
            <w:pPr>
              <w:spacing w:line="250" w:lineRule="auto"/>
              <w:rPr>
                <w:rFonts w:ascii="Arial"/>
                <w:sz w:val="21"/>
              </w:rPr>
            </w:pPr>
          </w:p>
          <w:p w14:paraId="40B89201">
            <w:pPr>
              <w:spacing w:line="250" w:lineRule="auto"/>
              <w:rPr>
                <w:rFonts w:ascii="Arial"/>
                <w:sz w:val="21"/>
              </w:rPr>
            </w:pPr>
          </w:p>
          <w:p w14:paraId="6DB91377">
            <w:pPr>
              <w:spacing w:before="65" w:line="228" w:lineRule="auto"/>
              <w:ind w:left="121"/>
              <w:rPr>
                <w:rFonts w:ascii="宋体" w:hAnsi="宋体" w:eastAsia="宋体" w:cs="宋体"/>
                <w:sz w:val="20"/>
                <w:szCs w:val="20"/>
              </w:rPr>
            </w:pPr>
            <w:r>
              <w:rPr>
                <w:rFonts w:ascii="宋体" w:hAnsi="宋体" w:eastAsia="宋体" w:cs="宋体"/>
                <w:spacing w:val="3"/>
                <w:sz w:val="20"/>
                <w:szCs w:val="20"/>
              </w:rPr>
              <w:t>符合</w:t>
            </w:r>
          </w:p>
        </w:tc>
        <w:tc>
          <w:tcPr>
            <w:tcW w:w="128" w:type="dxa"/>
            <w:vMerge w:val="continue"/>
            <w:tcBorders>
              <w:top w:val="nil"/>
              <w:bottom w:val="nil"/>
              <w:right w:val="single" w:color="000000" w:sz="6" w:space="0"/>
            </w:tcBorders>
            <w:vAlign w:val="top"/>
          </w:tcPr>
          <w:p w14:paraId="01B06234">
            <w:pPr>
              <w:rPr>
                <w:rFonts w:ascii="Arial"/>
                <w:sz w:val="21"/>
              </w:rPr>
            </w:pPr>
          </w:p>
        </w:tc>
      </w:tr>
      <w:tr w14:paraId="71718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2" w:hRule="atLeast"/>
        </w:trPr>
        <w:tc>
          <w:tcPr>
            <w:tcW w:w="1161" w:type="dxa"/>
            <w:vMerge w:val="continue"/>
            <w:tcBorders>
              <w:top w:val="nil"/>
              <w:left w:val="single" w:color="000000" w:sz="6" w:space="0"/>
              <w:bottom w:val="single" w:color="000000" w:sz="6" w:space="0"/>
            </w:tcBorders>
            <w:vAlign w:val="top"/>
          </w:tcPr>
          <w:p w14:paraId="003942F3">
            <w:pPr>
              <w:rPr>
                <w:rFonts w:ascii="Arial"/>
                <w:sz w:val="21"/>
              </w:rPr>
            </w:pPr>
          </w:p>
        </w:tc>
        <w:tc>
          <w:tcPr>
            <w:tcW w:w="113" w:type="dxa"/>
            <w:tcBorders>
              <w:top w:val="nil"/>
              <w:bottom w:val="single" w:color="000000" w:sz="6" w:space="0"/>
            </w:tcBorders>
            <w:vAlign w:val="top"/>
          </w:tcPr>
          <w:p w14:paraId="7F85E0DE">
            <w:pPr>
              <w:rPr>
                <w:rFonts w:ascii="Arial"/>
                <w:sz w:val="21"/>
              </w:rPr>
            </w:pPr>
          </w:p>
        </w:tc>
        <w:tc>
          <w:tcPr>
            <w:tcW w:w="690" w:type="dxa"/>
            <w:tcBorders>
              <w:bottom w:val="single" w:color="000000" w:sz="6" w:space="0"/>
            </w:tcBorders>
            <w:vAlign w:val="top"/>
          </w:tcPr>
          <w:p w14:paraId="110C8F32">
            <w:pPr>
              <w:spacing w:line="250" w:lineRule="auto"/>
              <w:rPr>
                <w:rFonts w:ascii="Arial"/>
                <w:sz w:val="21"/>
              </w:rPr>
            </w:pPr>
          </w:p>
          <w:p w14:paraId="53C3E974">
            <w:pPr>
              <w:spacing w:line="250" w:lineRule="auto"/>
              <w:rPr>
                <w:rFonts w:ascii="Arial"/>
                <w:sz w:val="21"/>
              </w:rPr>
            </w:pPr>
          </w:p>
          <w:p w14:paraId="78E626DC">
            <w:pPr>
              <w:spacing w:line="250" w:lineRule="auto"/>
              <w:rPr>
                <w:rFonts w:ascii="Arial"/>
                <w:sz w:val="21"/>
              </w:rPr>
            </w:pPr>
          </w:p>
          <w:p w14:paraId="6708EB7E">
            <w:pPr>
              <w:spacing w:line="250" w:lineRule="auto"/>
              <w:rPr>
                <w:rFonts w:ascii="Arial"/>
                <w:sz w:val="21"/>
              </w:rPr>
            </w:pPr>
          </w:p>
          <w:p w14:paraId="68322B94">
            <w:pPr>
              <w:spacing w:line="250" w:lineRule="auto"/>
              <w:rPr>
                <w:rFonts w:ascii="Arial"/>
                <w:sz w:val="21"/>
              </w:rPr>
            </w:pPr>
          </w:p>
          <w:p w14:paraId="52ADC510">
            <w:pPr>
              <w:spacing w:line="251" w:lineRule="auto"/>
              <w:rPr>
                <w:rFonts w:ascii="Arial"/>
                <w:sz w:val="21"/>
              </w:rPr>
            </w:pPr>
          </w:p>
          <w:p w14:paraId="3A4E0EB6">
            <w:pPr>
              <w:spacing w:line="251" w:lineRule="auto"/>
              <w:rPr>
                <w:rFonts w:ascii="Arial"/>
                <w:sz w:val="21"/>
              </w:rPr>
            </w:pPr>
          </w:p>
          <w:p w14:paraId="7C867F1E">
            <w:pPr>
              <w:spacing w:line="251" w:lineRule="auto"/>
              <w:rPr>
                <w:rFonts w:ascii="Arial"/>
                <w:sz w:val="21"/>
              </w:rPr>
            </w:pPr>
          </w:p>
          <w:p w14:paraId="119BA106">
            <w:pPr>
              <w:spacing w:before="65" w:line="379" w:lineRule="auto"/>
              <w:ind w:left="105" w:right="168"/>
              <w:jc w:val="both"/>
              <w:rPr>
                <w:rFonts w:ascii="宋体" w:hAnsi="宋体" w:eastAsia="宋体" w:cs="宋体"/>
                <w:sz w:val="20"/>
                <w:szCs w:val="20"/>
              </w:rPr>
            </w:pPr>
            <w:r>
              <w:rPr>
                <w:rFonts w:ascii="宋体" w:hAnsi="宋体" w:eastAsia="宋体" w:cs="宋体"/>
                <w:spacing w:val="4"/>
                <w:sz w:val="20"/>
                <w:szCs w:val="20"/>
              </w:rPr>
              <w:t>环境</w:t>
            </w:r>
            <w:r>
              <w:rPr>
                <w:rFonts w:ascii="宋体" w:hAnsi="宋体" w:eastAsia="宋体" w:cs="宋体"/>
                <w:spacing w:val="5"/>
                <w:sz w:val="20"/>
                <w:szCs w:val="20"/>
              </w:rPr>
              <w:t>质量底线</w:t>
            </w:r>
          </w:p>
        </w:tc>
        <w:tc>
          <w:tcPr>
            <w:tcW w:w="2779" w:type="dxa"/>
            <w:tcBorders>
              <w:bottom w:val="single" w:color="000000" w:sz="6" w:space="0"/>
            </w:tcBorders>
            <w:vAlign w:val="top"/>
          </w:tcPr>
          <w:p w14:paraId="4657442D">
            <w:pPr>
              <w:spacing w:before="39" w:line="377" w:lineRule="auto"/>
              <w:ind w:left="107" w:right="106" w:firstLine="6"/>
              <w:rPr>
                <w:rFonts w:ascii="宋体" w:hAnsi="宋体" w:eastAsia="宋体" w:cs="宋体"/>
                <w:sz w:val="20"/>
                <w:szCs w:val="20"/>
              </w:rPr>
            </w:pPr>
            <w:r>
              <w:rPr>
                <w:rFonts w:ascii="宋体" w:hAnsi="宋体" w:eastAsia="宋体" w:cs="宋体"/>
                <w:spacing w:val="3"/>
                <w:sz w:val="20"/>
                <w:szCs w:val="20"/>
              </w:rPr>
              <w:t>到</w:t>
            </w:r>
            <w:r>
              <w:rPr>
                <w:rFonts w:ascii="宋体" w:hAnsi="宋体" w:eastAsia="宋体" w:cs="宋体"/>
                <w:spacing w:val="-42"/>
                <w:sz w:val="20"/>
                <w:szCs w:val="20"/>
              </w:rPr>
              <w:t xml:space="preserve"> </w:t>
            </w:r>
            <w:r>
              <w:rPr>
                <w:rFonts w:ascii="Times New Roman" w:hAnsi="Times New Roman" w:eastAsia="Times New Roman" w:cs="Times New Roman"/>
                <w:spacing w:val="3"/>
                <w:sz w:val="20"/>
                <w:szCs w:val="20"/>
              </w:rPr>
              <w:t xml:space="preserve">2025 </w:t>
            </w:r>
            <w:r>
              <w:rPr>
                <w:rFonts w:ascii="宋体" w:hAnsi="宋体" w:eastAsia="宋体" w:cs="宋体"/>
                <w:spacing w:val="3"/>
                <w:sz w:val="20"/>
                <w:szCs w:val="20"/>
              </w:rPr>
              <w:t>年，昆明市地表水国</w:t>
            </w:r>
            <w:r>
              <w:rPr>
                <w:rFonts w:ascii="宋体" w:hAnsi="宋体" w:eastAsia="宋体" w:cs="宋体"/>
                <w:spacing w:val="9"/>
                <w:sz w:val="20"/>
                <w:szCs w:val="20"/>
              </w:rPr>
              <w:t>控断面达到或好于</w:t>
            </w:r>
            <w:r>
              <w:rPr>
                <w:rFonts w:ascii="Times New Roman" w:hAnsi="Times New Roman" w:eastAsia="Times New Roman" w:cs="Times New Roman"/>
                <w:spacing w:val="9"/>
                <w:sz w:val="20"/>
                <w:szCs w:val="20"/>
              </w:rPr>
              <w:t>Ⅲ</w:t>
            </w:r>
            <w:r>
              <w:rPr>
                <w:rFonts w:ascii="宋体" w:hAnsi="宋体" w:eastAsia="宋体" w:cs="宋体"/>
                <w:spacing w:val="9"/>
                <w:sz w:val="20"/>
                <w:szCs w:val="20"/>
              </w:rPr>
              <w:t>类水体</w:t>
            </w:r>
            <w:r>
              <w:rPr>
                <w:rFonts w:ascii="宋体" w:hAnsi="宋体" w:eastAsia="宋体" w:cs="宋体"/>
                <w:spacing w:val="4"/>
                <w:sz w:val="20"/>
                <w:szCs w:val="20"/>
              </w:rPr>
              <w:t>比例应达到</w:t>
            </w:r>
            <w:r>
              <w:rPr>
                <w:rFonts w:ascii="宋体" w:hAnsi="宋体" w:eastAsia="宋体" w:cs="宋体"/>
                <w:spacing w:val="-29"/>
                <w:sz w:val="20"/>
                <w:szCs w:val="20"/>
              </w:rPr>
              <w:t xml:space="preserve"> </w:t>
            </w:r>
            <w:r>
              <w:rPr>
                <w:rFonts w:ascii="Times New Roman" w:hAnsi="Times New Roman" w:eastAsia="Times New Roman" w:cs="Times New Roman"/>
                <w:spacing w:val="4"/>
                <w:sz w:val="20"/>
                <w:szCs w:val="20"/>
              </w:rPr>
              <w:t>81.5%</w:t>
            </w:r>
            <w:r>
              <w:rPr>
                <w:rFonts w:ascii="Times New Roman" w:hAnsi="Times New Roman" w:eastAsia="Times New Roman" w:cs="Times New Roman"/>
                <w:spacing w:val="-26"/>
                <w:sz w:val="20"/>
                <w:szCs w:val="20"/>
              </w:rPr>
              <w:t xml:space="preserve"> </w:t>
            </w:r>
            <w:r>
              <w:rPr>
                <w:rFonts w:ascii="宋体" w:hAnsi="宋体" w:eastAsia="宋体" w:cs="宋体"/>
                <w:spacing w:val="4"/>
                <w:sz w:val="20"/>
                <w:szCs w:val="20"/>
              </w:rPr>
              <w:t>，</w:t>
            </w:r>
            <w:r>
              <w:rPr>
                <w:rFonts w:ascii="Times New Roman" w:hAnsi="Times New Roman" w:eastAsia="Times New Roman" w:cs="Times New Roman"/>
                <w:spacing w:val="4"/>
                <w:sz w:val="20"/>
                <w:szCs w:val="20"/>
              </w:rPr>
              <w:t xml:space="preserve">45 </w:t>
            </w:r>
            <w:r>
              <w:rPr>
                <w:rFonts w:ascii="宋体" w:hAnsi="宋体" w:eastAsia="宋体" w:cs="宋体"/>
                <w:spacing w:val="4"/>
                <w:sz w:val="20"/>
                <w:szCs w:val="20"/>
              </w:rPr>
              <w:t>个省</w:t>
            </w:r>
            <w:r>
              <w:rPr>
                <w:rFonts w:ascii="宋体" w:hAnsi="宋体" w:eastAsia="宋体" w:cs="宋体"/>
                <w:spacing w:val="9"/>
                <w:sz w:val="20"/>
                <w:szCs w:val="20"/>
              </w:rPr>
              <w:t>控断面达到或好于</w:t>
            </w:r>
            <w:r>
              <w:rPr>
                <w:rFonts w:ascii="Times New Roman" w:hAnsi="Times New Roman" w:eastAsia="Times New Roman" w:cs="Times New Roman"/>
                <w:spacing w:val="9"/>
                <w:sz w:val="20"/>
                <w:szCs w:val="20"/>
              </w:rPr>
              <w:t>Ⅲ</w:t>
            </w:r>
            <w:r>
              <w:rPr>
                <w:rFonts w:ascii="宋体" w:hAnsi="宋体" w:eastAsia="宋体" w:cs="宋体"/>
                <w:spacing w:val="9"/>
                <w:sz w:val="20"/>
                <w:szCs w:val="20"/>
              </w:rPr>
              <w:t>类水体</w:t>
            </w:r>
            <w:r>
              <w:rPr>
                <w:rFonts w:ascii="宋体" w:hAnsi="宋体" w:eastAsia="宋体" w:cs="宋体"/>
                <w:spacing w:val="5"/>
                <w:sz w:val="20"/>
                <w:szCs w:val="20"/>
              </w:rPr>
              <w:t>比例应达到</w:t>
            </w:r>
            <w:r>
              <w:rPr>
                <w:rFonts w:ascii="宋体" w:hAnsi="宋体" w:eastAsia="宋体" w:cs="宋体"/>
                <w:spacing w:val="-34"/>
                <w:sz w:val="20"/>
                <w:szCs w:val="20"/>
              </w:rPr>
              <w:t xml:space="preserve"> </w:t>
            </w:r>
            <w:r>
              <w:rPr>
                <w:rFonts w:ascii="Times New Roman" w:hAnsi="Times New Roman" w:eastAsia="Times New Roman" w:cs="Times New Roman"/>
                <w:spacing w:val="5"/>
                <w:sz w:val="20"/>
                <w:szCs w:val="20"/>
              </w:rPr>
              <w:t>80%</w:t>
            </w:r>
            <w:r>
              <w:rPr>
                <w:rFonts w:ascii="Times New Roman" w:hAnsi="Times New Roman" w:eastAsia="Times New Roman" w:cs="Times New Roman"/>
                <w:spacing w:val="-24"/>
                <w:sz w:val="20"/>
                <w:szCs w:val="20"/>
              </w:rPr>
              <w:t xml:space="preserve"> </w:t>
            </w:r>
            <w:r>
              <w:rPr>
                <w:rFonts w:ascii="宋体" w:hAnsi="宋体" w:eastAsia="宋体" w:cs="宋体"/>
                <w:spacing w:val="5"/>
                <w:sz w:val="20"/>
                <w:szCs w:val="20"/>
              </w:rPr>
              <w:t>，劣</w:t>
            </w:r>
            <w:r>
              <w:rPr>
                <w:rFonts w:ascii="Times New Roman" w:hAnsi="Times New Roman" w:eastAsia="Times New Roman" w:cs="Times New Roman"/>
                <w:spacing w:val="5"/>
                <w:sz w:val="20"/>
                <w:szCs w:val="20"/>
              </w:rPr>
              <w:t>Ⅴ</w:t>
            </w:r>
            <w:r>
              <w:rPr>
                <w:rFonts w:ascii="宋体" w:hAnsi="宋体" w:eastAsia="宋体" w:cs="宋体"/>
                <w:spacing w:val="5"/>
                <w:sz w:val="20"/>
                <w:szCs w:val="20"/>
              </w:rPr>
              <w:t>类水</w:t>
            </w:r>
            <w:r>
              <w:rPr>
                <w:rFonts w:ascii="宋体" w:hAnsi="宋体" w:eastAsia="宋体" w:cs="宋体"/>
                <w:spacing w:val="9"/>
                <w:sz w:val="20"/>
                <w:szCs w:val="20"/>
              </w:rPr>
              <w:t>体全面消除，县级及以上集中式饮用水水源地水质达标</w:t>
            </w:r>
            <w:r>
              <w:rPr>
                <w:rFonts w:ascii="宋体" w:hAnsi="宋体" w:eastAsia="宋体" w:cs="宋体"/>
                <w:spacing w:val="1"/>
                <w:sz w:val="20"/>
                <w:szCs w:val="20"/>
              </w:rPr>
              <w:t>率</w:t>
            </w:r>
            <w:r>
              <w:rPr>
                <w:rFonts w:ascii="宋体" w:hAnsi="宋体" w:eastAsia="宋体" w:cs="宋体"/>
                <w:spacing w:val="-23"/>
                <w:sz w:val="20"/>
                <w:szCs w:val="20"/>
              </w:rPr>
              <w:t xml:space="preserve"> </w:t>
            </w:r>
            <w:r>
              <w:rPr>
                <w:rFonts w:ascii="Times New Roman" w:hAnsi="Times New Roman" w:eastAsia="Times New Roman" w:cs="Times New Roman"/>
                <w:spacing w:val="1"/>
                <w:sz w:val="20"/>
                <w:szCs w:val="20"/>
              </w:rPr>
              <w:t>100%</w:t>
            </w:r>
            <w:r>
              <w:rPr>
                <w:rFonts w:ascii="宋体" w:hAnsi="宋体" w:eastAsia="宋体" w:cs="宋体"/>
                <w:spacing w:val="1"/>
                <w:sz w:val="20"/>
                <w:szCs w:val="20"/>
              </w:rPr>
              <w:t>；空气质量优良天数</w:t>
            </w:r>
            <w:r>
              <w:rPr>
                <w:rFonts w:ascii="宋体" w:hAnsi="宋体" w:eastAsia="宋体" w:cs="宋体"/>
                <w:spacing w:val="3"/>
                <w:sz w:val="20"/>
                <w:szCs w:val="20"/>
              </w:rPr>
              <w:t>比率达</w:t>
            </w:r>
            <w:r>
              <w:rPr>
                <w:rFonts w:ascii="宋体" w:hAnsi="宋体" w:eastAsia="宋体" w:cs="宋体"/>
                <w:spacing w:val="-40"/>
                <w:sz w:val="20"/>
                <w:szCs w:val="20"/>
              </w:rPr>
              <w:t xml:space="preserve"> </w:t>
            </w:r>
            <w:r>
              <w:rPr>
                <w:rFonts w:ascii="Times New Roman" w:hAnsi="Times New Roman" w:eastAsia="Times New Roman" w:cs="Times New Roman"/>
                <w:spacing w:val="3"/>
                <w:sz w:val="20"/>
                <w:szCs w:val="20"/>
              </w:rPr>
              <w:t>99.</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w:t>
            </w:r>
            <w:r>
              <w:rPr>
                <w:rFonts w:ascii="Times New Roman" w:hAnsi="Times New Roman" w:eastAsia="Times New Roman" w:cs="Times New Roman"/>
                <w:spacing w:val="-26"/>
                <w:sz w:val="20"/>
                <w:szCs w:val="20"/>
              </w:rPr>
              <w:t xml:space="preserve"> </w:t>
            </w:r>
            <w:r>
              <w:rPr>
                <w:rFonts w:ascii="宋体" w:hAnsi="宋体" w:eastAsia="宋体" w:cs="宋体"/>
                <w:spacing w:val="3"/>
                <w:sz w:val="20"/>
                <w:szCs w:val="20"/>
              </w:rPr>
              <w:t>，细颗粒物</w:t>
            </w:r>
          </w:p>
          <w:p w14:paraId="27B10D63">
            <w:pPr>
              <w:spacing w:line="373" w:lineRule="auto"/>
              <w:ind w:left="107" w:right="53" w:firstLine="10"/>
              <w:rPr>
                <w:rFonts w:ascii="宋体" w:hAnsi="宋体" w:eastAsia="宋体" w:cs="宋体"/>
                <w:sz w:val="20"/>
                <w:szCs w:val="20"/>
              </w:rPr>
            </w:pPr>
            <w:r>
              <w:rPr>
                <w:rFonts w:ascii="宋体" w:hAnsi="宋体" w:eastAsia="宋体" w:cs="宋体"/>
                <w:spacing w:val="6"/>
                <w:sz w:val="20"/>
                <w:szCs w:val="20"/>
              </w:rPr>
              <w:t>（</w:t>
            </w:r>
            <w:r>
              <w:rPr>
                <w:rFonts w:ascii="Times New Roman" w:hAnsi="Times New Roman" w:eastAsia="Times New Roman" w:cs="Times New Roman"/>
                <w:sz w:val="20"/>
                <w:szCs w:val="20"/>
              </w:rPr>
              <w:t>PM</w:t>
            </w:r>
            <w:r>
              <w:rPr>
                <w:rFonts w:ascii="Times New Roman" w:hAnsi="Times New Roman" w:eastAsia="Times New Roman" w:cs="Times New Roman"/>
                <w:spacing w:val="6"/>
                <w:sz w:val="20"/>
                <w:szCs w:val="20"/>
              </w:rPr>
              <w:t>2.5</w:t>
            </w:r>
            <w:r>
              <w:rPr>
                <w:rFonts w:ascii="宋体" w:hAnsi="宋体" w:eastAsia="宋体" w:cs="宋体"/>
                <w:spacing w:val="6"/>
                <w:sz w:val="20"/>
                <w:szCs w:val="20"/>
              </w:rPr>
              <w:t>）浓度不高于</w:t>
            </w:r>
            <w:r>
              <w:rPr>
                <w:rFonts w:ascii="宋体" w:hAnsi="宋体" w:eastAsia="宋体" w:cs="宋体"/>
                <w:spacing w:val="-32"/>
                <w:sz w:val="20"/>
                <w:szCs w:val="20"/>
              </w:rPr>
              <w:t xml:space="preserve"> </w:t>
            </w:r>
            <w:r>
              <w:rPr>
                <w:rFonts w:ascii="Times New Roman" w:hAnsi="Times New Roman" w:eastAsia="Times New Roman" w:cs="Times New Roman"/>
                <w:spacing w:val="6"/>
                <w:sz w:val="20"/>
                <w:szCs w:val="20"/>
              </w:rPr>
              <w:t xml:space="preserve">24 </w:t>
            </w:r>
            <w:r>
              <w:rPr>
                <w:rFonts w:ascii="宋体" w:hAnsi="宋体" w:eastAsia="宋体" w:cs="宋体"/>
                <w:spacing w:val="6"/>
                <w:sz w:val="20"/>
                <w:szCs w:val="20"/>
              </w:rPr>
              <w:t>微</w:t>
            </w:r>
            <w:r>
              <w:rPr>
                <w:rFonts w:ascii="宋体" w:hAnsi="宋体" w:eastAsia="宋体" w:cs="宋体"/>
                <w:spacing w:val="4"/>
                <w:sz w:val="20"/>
                <w:szCs w:val="20"/>
              </w:rPr>
              <w:t>克</w:t>
            </w:r>
            <w:r>
              <w:rPr>
                <w:rFonts w:ascii="Times New Roman" w:hAnsi="Times New Roman" w:eastAsia="Times New Roman" w:cs="Times New Roman"/>
                <w:spacing w:val="4"/>
                <w:sz w:val="20"/>
                <w:szCs w:val="20"/>
              </w:rPr>
              <w:t>/</w:t>
            </w:r>
            <w:r>
              <w:rPr>
                <w:rFonts w:ascii="宋体" w:hAnsi="宋体" w:eastAsia="宋体" w:cs="宋体"/>
                <w:spacing w:val="4"/>
                <w:sz w:val="20"/>
                <w:szCs w:val="20"/>
              </w:rPr>
              <w:t>立方米，重污染天数为</w:t>
            </w:r>
            <w:r>
              <w:rPr>
                <w:rFonts w:ascii="Times New Roman" w:hAnsi="Times New Roman" w:eastAsia="Times New Roman" w:cs="Times New Roman"/>
                <w:spacing w:val="4"/>
                <w:sz w:val="20"/>
                <w:szCs w:val="20"/>
              </w:rPr>
              <w:t>0</w:t>
            </w:r>
            <w:r>
              <w:rPr>
                <w:rFonts w:ascii="宋体" w:hAnsi="宋体" w:eastAsia="宋体" w:cs="宋体"/>
                <w:spacing w:val="4"/>
                <w:sz w:val="20"/>
                <w:szCs w:val="20"/>
              </w:rPr>
              <w:t>；</w:t>
            </w:r>
            <w:r>
              <w:rPr>
                <w:rFonts w:ascii="宋体" w:hAnsi="宋体" w:eastAsia="宋体" w:cs="宋体"/>
                <w:spacing w:val="9"/>
                <w:sz w:val="20"/>
                <w:szCs w:val="20"/>
              </w:rPr>
              <w:t>全市土壤环境质量总体保持稳定，局部稳中向好，受污</w:t>
            </w:r>
          </w:p>
        </w:tc>
        <w:tc>
          <w:tcPr>
            <w:tcW w:w="3298" w:type="dxa"/>
            <w:tcBorders>
              <w:bottom w:val="single" w:color="000000" w:sz="6" w:space="0"/>
            </w:tcBorders>
            <w:vAlign w:val="top"/>
          </w:tcPr>
          <w:p w14:paraId="6BA051A7">
            <w:pPr>
              <w:spacing w:before="36" w:line="376" w:lineRule="auto"/>
              <w:ind w:left="112" w:right="101" w:firstLine="1"/>
              <w:rPr>
                <w:rFonts w:ascii="宋体" w:hAnsi="宋体" w:eastAsia="宋体" w:cs="宋体"/>
                <w:sz w:val="20"/>
                <w:szCs w:val="20"/>
              </w:rPr>
            </w:pPr>
            <w:r>
              <w:rPr>
                <w:rFonts w:ascii="宋体" w:hAnsi="宋体" w:eastAsia="宋体" w:cs="宋体"/>
                <w:spacing w:val="9"/>
                <w:sz w:val="20"/>
                <w:szCs w:val="20"/>
              </w:rPr>
              <w:t>本项目位于云南寻甸产业园区金所片区，在已建成的厂房进行生</w:t>
            </w:r>
            <w:r>
              <w:rPr>
                <w:rFonts w:ascii="宋体" w:hAnsi="宋体" w:eastAsia="宋体" w:cs="宋体"/>
                <w:spacing w:val="5"/>
                <w:sz w:val="20"/>
                <w:szCs w:val="20"/>
              </w:rPr>
              <w:t>产，项目所在区域为环境空气质量达标区，项目运营期废气可达标排放，对大气环境影响不大，不会突破区域环境空气质量底线。，厂区实施雨污分流排水体制，生活污水</w:t>
            </w:r>
            <w:r>
              <w:rPr>
                <w:rFonts w:ascii="宋体" w:hAnsi="宋体" w:eastAsia="宋体" w:cs="宋体"/>
                <w:spacing w:val="9"/>
                <w:sz w:val="20"/>
                <w:szCs w:val="20"/>
              </w:rPr>
              <w:t>经化粪池</w:t>
            </w:r>
            <w:r>
              <w:rPr>
                <w:rFonts w:ascii="Times New Roman" w:hAnsi="Times New Roman" w:eastAsia="Times New Roman" w:cs="Times New Roman"/>
                <w:spacing w:val="9"/>
                <w:sz w:val="20"/>
                <w:szCs w:val="20"/>
              </w:rPr>
              <w:t>+</w:t>
            </w:r>
            <w:r>
              <w:rPr>
                <w:rFonts w:ascii="宋体" w:hAnsi="宋体" w:eastAsia="宋体" w:cs="宋体"/>
                <w:spacing w:val="9"/>
                <w:sz w:val="20"/>
                <w:szCs w:val="20"/>
              </w:rPr>
              <w:t>一体化污水处理设施处理达标后回用厂区道路洒水降尘</w:t>
            </w:r>
            <w:r>
              <w:rPr>
                <w:rFonts w:ascii="宋体" w:hAnsi="宋体" w:eastAsia="宋体" w:cs="宋体"/>
                <w:spacing w:val="5"/>
                <w:sz w:val="20"/>
                <w:szCs w:val="20"/>
              </w:rPr>
              <w:t>及绿化，不外排，其余雨水排入周</w:t>
            </w:r>
            <w:r>
              <w:rPr>
                <w:rFonts w:ascii="宋体" w:hAnsi="宋体" w:eastAsia="宋体" w:cs="宋体"/>
                <w:spacing w:val="9"/>
                <w:sz w:val="20"/>
                <w:szCs w:val="20"/>
              </w:rPr>
              <w:t>边地表沟渠，厂区无生产废水产</w:t>
            </w:r>
            <w:r>
              <w:rPr>
                <w:rFonts w:ascii="宋体" w:hAnsi="宋体" w:eastAsia="宋体" w:cs="宋体"/>
                <w:spacing w:val="5"/>
                <w:sz w:val="20"/>
                <w:szCs w:val="20"/>
              </w:rPr>
              <w:t>生；水资源消耗较小，符合地表水环境质量底线要求。项目无废水向</w:t>
            </w:r>
          </w:p>
        </w:tc>
        <w:tc>
          <w:tcPr>
            <w:tcW w:w="703" w:type="dxa"/>
            <w:tcBorders>
              <w:bottom w:val="single" w:color="000000" w:sz="6" w:space="0"/>
            </w:tcBorders>
            <w:vAlign w:val="top"/>
          </w:tcPr>
          <w:p w14:paraId="04DD08B9">
            <w:pPr>
              <w:rPr>
                <w:rFonts w:ascii="Arial"/>
                <w:sz w:val="21"/>
              </w:rPr>
            </w:pPr>
          </w:p>
          <w:p w14:paraId="16E15620">
            <w:pPr>
              <w:spacing w:line="241" w:lineRule="auto"/>
              <w:rPr>
                <w:rFonts w:ascii="Arial"/>
                <w:sz w:val="21"/>
              </w:rPr>
            </w:pPr>
          </w:p>
          <w:p w14:paraId="18FD28CA">
            <w:pPr>
              <w:spacing w:line="241" w:lineRule="auto"/>
              <w:rPr>
                <w:rFonts w:ascii="Arial"/>
                <w:sz w:val="21"/>
              </w:rPr>
            </w:pPr>
          </w:p>
          <w:p w14:paraId="1AFD3E52">
            <w:pPr>
              <w:spacing w:line="241" w:lineRule="auto"/>
              <w:rPr>
                <w:rFonts w:ascii="Arial"/>
                <w:sz w:val="21"/>
              </w:rPr>
            </w:pPr>
          </w:p>
          <w:p w14:paraId="74AFBC0A">
            <w:pPr>
              <w:spacing w:line="241" w:lineRule="auto"/>
              <w:rPr>
                <w:rFonts w:ascii="Arial"/>
                <w:sz w:val="21"/>
              </w:rPr>
            </w:pPr>
          </w:p>
          <w:p w14:paraId="7946FA77">
            <w:pPr>
              <w:spacing w:line="241" w:lineRule="auto"/>
              <w:rPr>
                <w:rFonts w:ascii="Arial"/>
                <w:sz w:val="21"/>
              </w:rPr>
            </w:pPr>
          </w:p>
          <w:p w14:paraId="34CA0FA7">
            <w:pPr>
              <w:spacing w:line="241" w:lineRule="auto"/>
              <w:rPr>
                <w:rFonts w:ascii="Arial"/>
                <w:sz w:val="21"/>
              </w:rPr>
            </w:pPr>
          </w:p>
          <w:p w14:paraId="7825B6BE">
            <w:pPr>
              <w:spacing w:line="241" w:lineRule="auto"/>
              <w:rPr>
                <w:rFonts w:ascii="Arial"/>
                <w:sz w:val="21"/>
              </w:rPr>
            </w:pPr>
          </w:p>
          <w:p w14:paraId="4CFE04BE">
            <w:pPr>
              <w:spacing w:line="241" w:lineRule="auto"/>
              <w:rPr>
                <w:rFonts w:ascii="Arial"/>
                <w:sz w:val="21"/>
              </w:rPr>
            </w:pPr>
          </w:p>
          <w:p w14:paraId="5F10ACA5">
            <w:pPr>
              <w:spacing w:line="241" w:lineRule="auto"/>
              <w:rPr>
                <w:rFonts w:ascii="Arial"/>
                <w:sz w:val="21"/>
              </w:rPr>
            </w:pPr>
          </w:p>
          <w:p w14:paraId="7EB73C8A">
            <w:pPr>
              <w:spacing w:before="65" w:line="228" w:lineRule="auto"/>
              <w:ind w:left="121"/>
              <w:rPr>
                <w:rFonts w:ascii="宋体" w:hAnsi="宋体" w:eastAsia="宋体" w:cs="宋体"/>
                <w:sz w:val="20"/>
                <w:szCs w:val="20"/>
              </w:rPr>
            </w:pPr>
            <w:r>
              <w:rPr>
                <w:rFonts w:ascii="宋体" w:hAnsi="宋体" w:eastAsia="宋体" w:cs="宋体"/>
                <w:spacing w:val="3"/>
                <w:sz w:val="20"/>
                <w:szCs w:val="20"/>
              </w:rPr>
              <w:t>符合</w:t>
            </w:r>
          </w:p>
        </w:tc>
        <w:tc>
          <w:tcPr>
            <w:tcW w:w="128" w:type="dxa"/>
            <w:vMerge w:val="continue"/>
            <w:tcBorders>
              <w:top w:val="nil"/>
              <w:bottom w:val="single" w:color="000000" w:sz="6" w:space="0"/>
              <w:right w:val="single" w:color="000000" w:sz="6" w:space="0"/>
            </w:tcBorders>
            <w:vAlign w:val="top"/>
          </w:tcPr>
          <w:p w14:paraId="2C9C06A2">
            <w:pPr>
              <w:rPr>
                <w:rFonts w:ascii="Arial"/>
                <w:sz w:val="21"/>
              </w:rPr>
            </w:pPr>
          </w:p>
        </w:tc>
      </w:tr>
    </w:tbl>
    <w:p w14:paraId="4487F84D">
      <w:pPr>
        <w:pStyle w:val="2"/>
      </w:pPr>
    </w:p>
    <w:p w14:paraId="3FEAB9E2">
      <w:pPr>
        <w:sectPr>
          <w:footerReference r:id="rId26" w:type="default"/>
          <w:pgSz w:w="11906" w:h="16839"/>
          <w:pgMar w:top="400" w:right="1509" w:bottom="1329" w:left="1509" w:header="0" w:footer="1113" w:gutter="0"/>
          <w:cols w:space="720" w:num="1"/>
        </w:sectPr>
      </w:pPr>
    </w:p>
    <w:p w14:paraId="218A24CA">
      <w:pPr>
        <w:spacing w:before="19"/>
      </w:pPr>
      <w:r>
        <w:pict>
          <v:shape id="_x0000_s1037" o:spid="_x0000_s1037" style="position:absolute;left:0pt;margin-left:139pt;margin-top:741.6pt;height:0.5pt;width:374.65pt;mso-position-horizontal-relative:page;mso-position-vertical-relative:page;z-index:-251656192;mso-width-relative:page;mso-height-relative:page;" filled="f" stroked="t" coordsize="7492,10" o:allowincell="f" path="m0,4l7492,4e">
            <v:fill on="f" focussize="0,0"/>
            <v:stroke weight="0.48pt" color="#000000" miterlimit="2" joinstyle="bevel"/>
            <v:imagedata o:title=""/>
            <o:lock v:ext="edit"/>
          </v:shape>
        </w:pict>
      </w:r>
    </w:p>
    <w:p w14:paraId="5C159554">
      <w:pPr>
        <w:spacing w:before="19"/>
      </w:pPr>
    </w:p>
    <w:p w14:paraId="70A7036E">
      <w:pPr>
        <w:spacing w:before="19"/>
      </w:pPr>
    </w:p>
    <w:p w14:paraId="25054F5F">
      <w:pPr>
        <w:spacing w:before="18"/>
      </w:pPr>
    </w:p>
    <w:p w14:paraId="0F54FEA5">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690"/>
        <w:gridCol w:w="486"/>
        <w:gridCol w:w="2293"/>
        <w:gridCol w:w="3298"/>
        <w:gridCol w:w="703"/>
        <w:gridCol w:w="128"/>
      </w:tblGrid>
      <w:tr w14:paraId="0925E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1161" w:type="dxa"/>
            <w:vMerge w:val="restart"/>
            <w:tcBorders>
              <w:top w:val="single" w:color="000000" w:sz="6" w:space="0"/>
              <w:left w:val="single" w:color="000000" w:sz="6" w:space="0"/>
              <w:bottom w:val="nil"/>
            </w:tcBorders>
            <w:vAlign w:val="top"/>
          </w:tcPr>
          <w:p w14:paraId="562D9DE6">
            <w:pPr>
              <w:rPr>
                <w:rFonts w:ascii="Arial"/>
                <w:sz w:val="21"/>
              </w:rPr>
            </w:pPr>
          </w:p>
        </w:tc>
        <w:tc>
          <w:tcPr>
            <w:tcW w:w="113" w:type="dxa"/>
            <w:tcBorders>
              <w:top w:val="single" w:color="000000" w:sz="6" w:space="0"/>
              <w:bottom w:val="nil"/>
            </w:tcBorders>
            <w:vAlign w:val="top"/>
          </w:tcPr>
          <w:p w14:paraId="5C1A20F9">
            <w:pPr>
              <w:rPr>
                <w:rFonts w:ascii="Arial"/>
                <w:sz w:val="21"/>
              </w:rPr>
            </w:pPr>
          </w:p>
        </w:tc>
        <w:tc>
          <w:tcPr>
            <w:tcW w:w="690" w:type="dxa"/>
            <w:vAlign w:val="top"/>
          </w:tcPr>
          <w:p w14:paraId="0CD1E220">
            <w:pPr>
              <w:rPr>
                <w:rFonts w:ascii="Arial"/>
                <w:sz w:val="21"/>
              </w:rPr>
            </w:pPr>
          </w:p>
        </w:tc>
        <w:tc>
          <w:tcPr>
            <w:tcW w:w="2779" w:type="dxa"/>
            <w:gridSpan w:val="2"/>
            <w:vAlign w:val="top"/>
          </w:tcPr>
          <w:p w14:paraId="62A328FD">
            <w:pPr>
              <w:spacing w:before="37" w:line="365" w:lineRule="auto"/>
              <w:ind w:left="108" w:right="192" w:firstLine="3"/>
              <w:rPr>
                <w:rFonts w:ascii="宋体" w:hAnsi="宋体" w:eastAsia="宋体" w:cs="宋体"/>
                <w:sz w:val="20"/>
                <w:szCs w:val="20"/>
              </w:rPr>
            </w:pPr>
            <w:r>
              <w:rPr>
                <w:rFonts w:ascii="宋体" w:hAnsi="宋体" w:eastAsia="宋体" w:cs="宋体"/>
                <w:spacing w:val="8"/>
                <w:sz w:val="20"/>
                <w:szCs w:val="20"/>
              </w:rPr>
              <w:t>染耕地安全利用率不低于</w:t>
            </w:r>
            <w:r>
              <w:rPr>
                <w:rFonts w:ascii="宋体" w:hAnsi="宋体" w:eastAsia="宋体" w:cs="宋体"/>
                <w:spacing w:val="4"/>
                <w:sz w:val="20"/>
                <w:szCs w:val="20"/>
              </w:rPr>
              <w:t xml:space="preserve"> </w:t>
            </w:r>
            <w:r>
              <w:rPr>
                <w:rFonts w:ascii="Times New Roman" w:hAnsi="Times New Roman" w:eastAsia="Times New Roman" w:cs="Times New Roman"/>
                <w:spacing w:val="6"/>
                <w:sz w:val="20"/>
                <w:szCs w:val="20"/>
              </w:rPr>
              <w:t>90%</w:t>
            </w:r>
            <w:r>
              <w:rPr>
                <w:rFonts w:ascii="Times New Roman" w:hAnsi="Times New Roman" w:eastAsia="Times New Roman" w:cs="Times New Roman"/>
                <w:spacing w:val="-23"/>
                <w:sz w:val="20"/>
                <w:szCs w:val="20"/>
              </w:rPr>
              <w:t xml:space="preserve"> </w:t>
            </w:r>
            <w:r>
              <w:rPr>
                <w:rFonts w:ascii="宋体" w:hAnsi="宋体" w:eastAsia="宋体" w:cs="宋体"/>
                <w:spacing w:val="6"/>
                <w:sz w:val="20"/>
                <w:szCs w:val="20"/>
              </w:rPr>
              <w:t>，重点建设用地安全利</w:t>
            </w:r>
            <w:r>
              <w:rPr>
                <w:rFonts w:ascii="宋体" w:hAnsi="宋体" w:eastAsia="宋体" w:cs="宋体"/>
                <w:spacing w:val="7"/>
                <w:sz w:val="20"/>
                <w:szCs w:val="20"/>
              </w:rPr>
              <w:t>用得到有效保障。</w:t>
            </w:r>
          </w:p>
        </w:tc>
        <w:tc>
          <w:tcPr>
            <w:tcW w:w="3298" w:type="dxa"/>
            <w:vAlign w:val="top"/>
          </w:tcPr>
          <w:p w14:paraId="0F1CA435">
            <w:pPr>
              <w:spacing w:before="37" w:line="365" w:lineRule="auto"/>
              <w:ind w:left="112" w:right="101"/>
              <w:jc w:val="both"/>
              <w:rPr>
                <w:rFonts w:ascii="宋体" w:hAnsi="宋体" w:eastAsia="宋体" w:cs="宋体"/>
                <w:sz w:val="20"/>
                <w:szCs w:val="20"/>
              </w:rPr>
            </w:pPr>
            <w:r>
              <w:rPr>
                <w:rFonts w:ascii="宋体" w:hAnsi="宋体" w:eastAsia="宋体" w:cs="宋体"/>
                <w:spacing w:val="5"/>
                <w:sz w:val="20"/>
                <w:szCs w:val="20"/>
              </w:rPr>
              <w:t>地表水体排放，不会降低地表水功能。项目无土壤污染途径，符合土</w:t>
            </w:r>
            <w:r>
              <w:rPr>
                <w:rFonts w:ascii="宋体" w:hAnsi="宋体" w:eastAsia="宋体" w:cs="宋体"/>
                <w:spacing w:val="8"/>
                <w:sz w:val="20"/>
                <w:szCs w:val="20"/>
              </w:rPr>
              <w:t>壤环境风险防控底线。</w:t>
            </w:r>
          </w:p>
        </w:tc>
        <w:tc>
          <w:tcPr>
            <w:tcW w:w="703" w:type="dxa"/>
            <w:vAlign w:val="top"/>
          </w:tcPr>
          <w:p w14:paraId="6E473FBA">
            <w:pPr>
              <w:rPr>
                <w:rFonts w:ascii="Arial"/>
                <w:sz w:val="21"/>
              </w:rPr>
            </w:pPr>
          </w:p>
        </w:tc>
        <w:tc>
          <w:tcPr>
            <w:tcW w:w="128" w:type="dxa"/>
            <w:vMerge w:val="restart"/>
            <w:tcBorders>
              <w:top w:val="single" w:color="000000" w:sz="6" w:space="0"/>
              <w:bottom w:val="nil"/>
              <w:right w:val="single" w:color="000000" w:sz="6" w:space="0"/>
            </w:tcBorders>
            <w:vAlign w:val="top"/>
          </w:tcPr>
          <w:p w14:paraId="6716D1DF">
            <w:pPr>
              <w:rPr>
                <w:rFonts w:ascii="Arial"/>
                <w:sz w:val="21"/>
              </w:rPr>
            </w:pPr>
          </w:p>
        </w:tc>
      </w:tr>
      <w:tr w14:paraId="20F6C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9" w:hRule="atLeast"/>
        </w:trPr>
        <w:tc>
          <w:tcPr>
            <w:tcW w:w="1161" w:type="dxa"/>
            <w:vMerge w:val="continue"/>
            <w:tcBorders>
              <w:top w:val="nil"/>
              <w:left w:val="single" w:color="000000" w:sz="6" w:space="0"/>
              <w:bottom w:val="nil"/>
            </w:tcBorders>
            <w:vAlign w:val="top"/>
          </w:tcPr>
          <w:p w14:paraId="56923B15">
            <w:pPr>
              <w:rPr>
                <w:rFonts w:ascii="Arial"/>
                <w:sz w:val="21"/>
              </w:rPr>
            </w:pPr>
          </w:p>
        </w:tc>
        <w:tc>
          <w:tcPr>
            <w:tcW w:w="113" w:type="dxa"/>
            <w:tcBorders>
              <w:top w:val="nil"/>
              <w:bottom w:val="nil"/>
            </w:tcBorders>
            <w:vAlign w:val="top"/>
          </w:tcPr>
          <w:p w14:paraId="33A3FB1E">
            <w:pPr>
              <w:rPr>
                <w:rFonts w:ascii="Arial"/>
                <w:sz w:val="21"/>
              </w:rPr>
            </w:pPr>
          </w:p>
        </w:tc>
        <w:tc>
          <w:tcPr>
            <w:tcW w:w="690" w:type="dxa"/>
            <w:vAlign w:val="top"/>
          </w:tcPr>
          <w:p w14:paraId="2EDAA511">
            <w:pPr>
              <w:spacing w:line="249" w:lineRule="auto"/>
              <w:rPr>
                <w:rFonts w:ascii="Arial"/>
                <w:sz w:val="21"/>
              </w:rPr>
            </w:pPr>
          </w:p>
          <w:p w14:paraId="0EA8E41D">
            <w:pPr>
              <w:spacing w:line="249" w:lineRule="auto"/>
              <w:rPr>
                <w:rFonts w:ascii="Arial"/>
                <w:sz w:val="21"/>
              </w:rPr>
            </w:pPr>
          </w:p>
          <w:p w14:paraId="26A8CCA8">
            <w:pPr>
              <w:spacing w:line="249" w:lineRule="auto"/>
              <w:rPr>
                <w:rFonts w:ascii="Arial"/>
                <w:sz w:val="21"/>
              </w:rPr>
            </w:pPr>
          </w:p>
          <w:p w14:paraId="554BF54F">
            <w:pPr>
              <w:spacing w:line="249" w:lineRule="auto"/>
              <w:rPr>
                <w:rFonts w:ascii="Arial"/>
                <w:sz w:val="21"/>
              </w:rPr>
            </w:pPr>
          </w:p>
          <w:p w14:paraId="09FE85EE">
            <w:pPr>
              <w:spacing w:line="250" w:lineRule="auto"/>
              <w:rPr>
                <w:rFonts w:ascii="Arial"/>
                <w:sz w:val="21"/>
              </w:rPr>
            </w:pPr>
          </w:p>
          <w:p w14:paraId="5F644FC6">
            <w:pPr>
              <w:spacing w:line="250" w:lineRule="auto"/>
              <w:rPr>
                <w:rFonts w:ascii="Arial"/>
                <w:sz w:val="21"/>
              </w:rPr>
            </w:pPr>
          </w:p>
          <w:p w14:paraId="11D99B3C">
            <w:pPr>
              <w:spacing w:line="250" w:lineRule="auto"/>
              <w:rPr>
                <w:rFonts w:ascii="Arial"/>
                <w:sz w:val="21"/>
              </w:rPr>
            </w:pPr>
          </w:p>
          <w:p w14:paraId="58C5F5BA">
            <w:pPr>
              <w:spacing w:line="250" w:lineRule="auto"/>
              <w:rPr>
                <w:rFonts w:ascii="Arial"/>
                <w:sz w:val="21"/>
              </w:rPr>
            </w:pPr>
          </w:p>
          <w:p w14:paraId="4DF1D898">
            <w:pPr>
              <w:spacing w:before="65" w:line="378" w:lineRule="auto"/>
              <w:ind w:left="107" w:right="168" w:firstLine="8"/>
              <w:jc w:val="both"/>
              <w:rPr>
                <w:rFonts w:ascii="宋体" w:hAnsi="宋体" w:eastAsia="宋体" w:cs="宋体"/>
                <w:sz w:val="20"/>
                <w:szCs w:val="20"/>
              </w:rPr>
            </w:pPr>
            <w:r>
              <w:rPr>
                <w:rFonts w:ascii="宋体" w:hAnsi="宋体" w:eastAsia="宋体" w:cs="宋体"/>
                <w:sz w:val="20"/>
                <w:szCs w:val="20"/>
              </w:rPr>
              <w:t>资源</w:t>
            </w:r>
            <w:r>
              <w:rPr>
                <w:rFonts w:ascii="宋体" w:hAnsi="宋体" w:eastAsia="宋体" w:cs="宋体"/>
                <w:spacing w:val="4"/>
                <w:sz w:val="20"/>
                <w:szCs w:val="20"/>
              </w:rPr>
              <w:t>利用上线</w:t>
            </w:r>
          </w:p>
        </w:tc>
        <w:tc>
          <w:tcPr>
            <w:tcW w:w="2779" w:type="dxa"/>
            <w:gridSpan w:val="2"/>
            <w:vAlign w:val="top"/>
          </w:tcPr>
          <w:p w14:paraId="78155BDD">
            <w:pPr>
              <w:spacing w:before="31" w:line="374" w:lineRule="auto"/>
              <w:ind w:left="107" w:right="35" w:firstLine="5"/>
              <w:rPr>
                <w:rFonts w:ascii="宋体" w:hAnsi="宋体" w:eastAsia="宋体" w:cs="宋体"/>
                <w:sz w:val="20"/>
                <w:szCs w:val="20"/>
              </w:rPr>
            </w:pPr>
            <w:r>
              <w:rPr>
                <w:rFonts w:ascii="宋体" w:hAnsi="宋体" w:eastAsia="宋体" w:cs="宋体"/>
                <w:spacing w:val="7"/>
                <w:sz w:val="20"/>
                <w:szCs w:val="20"/>
              </w:rPr>
              <w:t>到</w:t>
            </w:r>
            <w:r>
              <w:rPr>
                <w:rFonts w:ascii="宋体" w:hAnsi="宋体" w:eastAsia="宋体" w:cs="宋体"/>
                <w:spacing w:val="-31"/>
                <w:sz w:val="20"/>
                <w:szCs w:val="20"/>
              </w:rPr>
              <w:t xml:space="preserve"> </w:t>
            </w:r>
            <w:r>
              <w:rPr>
                <w:rFonts w:ascii="Times New Roman" w:hAnsi="Times New Roman" w:eastAsia="Times New Roman" w:cs="Times New Roman"/>
                <w:spacing w:val="7"/>
                <w:sz w:val="20"/>
                <w:szCs w:val="20"/>
              </w:rPr>
              <w:t xml:space="preserve">2025 </w:t>
            </w:r>
            <w:r>
              <w:rPr>
                <w:rFonts w:ascii="宋体" w:hAnsi="宋体" w:eastAsia="宋体" w:cs="宋体"/>
                <w:spacing w:val="7"/>
                <w:sz w:val="20"/>
                <w:szCs w:val="20"/>
              </w:rPr>
              <w:t>年，按照国家、省、</w:t>
            </w:r>
            <w:r>
              <w:rPr>
                <w:rFonts w:ascii="宋体" w:hAnsi="宋体" w:eastAsia="宋体" w:cs="宋体"/>
                <w:spacing w:val="9"/>
                <w:sz w:val="20"/>
                <w:szCs w:val="20"/>
              </w:rPr>
              <w:t>市有关要求和规划，按时完</w:t>
            </w:r>
            <w:r>
              <w:rPr>
                <w:rFonts w:ascii="宋体" w:hAnsi="宋体" w:eastAsia="宋体" w:cs="宋体"/>
                <w:spacing w:val="2"/>
                <w:sz w:val="20"/>
                <w:szCs w:val="20"/>
              </w:rPr>
              <w:t>成全市用水总量、用水效率、</w:t>
            </w:r>
            <w:r>
              <w:rPr>
                <w:rFonts w:ascii="宋体" w:hAnsi="宋体" w:eastAsia="宋体" w:cs="宋体"/>
                <w:spacing w:val="8"/>
                <w:sz w:val="20"/>
                <w:szCs w:val="20"/>
              </w:rPr>
              <w:t>限制纳污</w:t>
            </w:r>
            <w:r>
              <w:rPr>
                <w:rFonts w:ascii="Times New Roman" w:hAnsi="Times New Roman" w:eastAsia="Times New Roman" w:cs="Times New Roman"/>
                <w:spacing w:val="8"/>
                <w:sz w:val="20"/>
                <w:szCs w:val="20"/>
              </w:rPr>
              <w:t>“</w:t>
            </w:r>
            <w:r>
              <w:rPr>
                <w:rFonts w:ascii="宋体" w:hAnsi="宋体" w:eastAsia="宋体" w:cs="宋体"/>
                <w:spacing w:val="8"/>
                <w:sz w:val="20"/>
                <w:szCs w:val="20"/>
              </w:rPr>
              <w:t>三条红线</w:t>
            </w:r>
            <w:r>
              <w:rPr>
                <w:rFonts w:ascii="Times New Roman" w:hAnsi="Times New Roman" w:eastAsia="Times New Roman" w:cs="Times New Roman"/>
                <w:spacing w:val="8"/>
                <w:sz w:val="20"/>
                <w:szCs w:val="20"/>
              </w:rPr>
              <w:t>”</w:t>
            </w:r>
            <w:r>
              <w:rPr>
                <w:rFonts w:ascii="宋体" w:hAnsi="宋体" w:eastAsia="宋体" w:cs="宋体"/>
                <w:spacing w:val="8"/>
                <w:sz w:val="20"/>
                <w:szCs w:val="20"/>
              </w:rPr>
              <w:t>水资源</w:t>
            </w:r>
            <w:r>
              <w:rPr>
                <w:rFonts w:ascii="宋体" w:hAnsi="宋体" w:eastAsia="宋体" w:cs="宋体"/>
                <w:spacing w:val="9"/>
                <w:sz w:val="20"/>
                <w:szCs w:val="20"/>
              </w:rPr>
              <w:t>上限控制指标；按时完成耕地保有量、基本农田保护面积、建设用地总规模等土地资源利用上限控制指标；按</w:t>
            </w:r>
            <w:r>
              <w:rPr>
                <w:rFonts w:ascii="宋体" w:hAnsi="宋体" w:eastAsia="宋体" w:cs="宋体"/>
                <w:spacing w:val="8"/>
                <w:sz w:val="20"/>
                <w:szCs w:val="20"/>
              </w:rPr>
              <w:t>时完成单位</w:t>
            </w:r>
            <w:r>
              <w:rPr>
                <w:rFonts w:ascii="宋体" w:hAnsi="宋体" w:eastAsia="宋体" w:cs="宋体"/>
                <w:spacing w:val="-40"/>
                <w:sz w:val="20"/>
                <w:szCs w:val="20"/>
              </w:rPr>
              <w:t xml:space="preserve"> </w:t>
            </w:r>
            <w:r>
              <w:rPr>
                <w:rFonts w:ascii="Times New Roman" w:hAnsi="Times New Roman" w:eastAsia="Times New Roman" w:cs="Times New Roman"/>
                <w:sz w:val="20"/>
                <w:szCs w:val="20"/>
              </w:rPr>
              <w:t>GDP</w:t>
            </w:r>
            <w:r>
              <w:rPr>
                <w:rFonts w:ascii="Times New Roman" w:hAnsi="Times New Roman" w:eastAsia="Times New Roman" w:cs="Times New Roman"/>
                <w:spacing w:val="23"/>
                <w:sz w:val="20"/>
                <w:szCs w:val="20"/>
              </w:rPr>
              <w:t xml:space="preserve"> </w:t>
            </w:r>
            <w:r>
              <w:rPr>
                <w:rFonts w:ascii="宋体" w:hAnsi="宋体" w:eastAsia="宋体" w:cs="宋体"/>
                <w:spacing w:val="8"/>
                <w:sz w:val="20"/>
                <w:szCs w:val="20"/>
              </w:rPr>
              <w:t>能耗下降</w:t>
            </w:r>
            <w:r>
              <w:rPr>
                <w:rFonts w:ascii="宋体" w:hAnsi="宋体" w:eastAsia="宋体" w:cs="宋体"/>
                <w:sz w:val="20"/>
                <w:szCs w:val="20"/>
              </w:rPr>
              <w:t xml:space="preserve"> </w:t>
            </w:r>
            <w:r>
              <w:rPr>
                <w:rFonts w:ascii="宋体" w:hAnsi="宋体" w:eastAsia="宋体" w:cs="宋体"/>
                <w:spacing w:val="9"/>
                <w:sz w:val="20"/>
                <w:szCs w:val="20"/>
              </w:rPr>
              <w:t>率、能源消费总量等能源控制指标；矿产资源开采与保护达到预期目标；河湖岸线</w:t>
            </w:r>
            <w:r>
              <w:rPr>
                <w:rFonts w:ascii="宋体" w:hAnsi="宋体" w:eastAsia="宋体" w:cs="宋体"/>
                <w:spacing w:val="8"/>
                <w:sz w:val="20"/>
                <w:szCs w:val="20"/>
              </w:rPr>
              <w:t>资源管控达到相关要求。</w:t>
            </w:r>
          </w:p>
        </w:tc>
        <w:tc>
          <w:tcPr>
            <w:tcW w:w="3298" w:type="dxa"/>
            <w:vAlign w:val="top"/>
          </w:tcPr>
          <w:p w14:paraId="337999F1">
            <w:pPr>
              <w:spacing w:line="278" w:lineRule="auto"/>
              <w:rPr>
                <w:rFonts w:ascii="Arial"/>
                <w:sz w:val="21"/>
              </w:rPr>
            </w:pPr>
          </w:p>
          <w:p w14:paraId="719B62B7">
            <w:pPr>
              <w:spacing w:line="278" w:lineRule="auto"/>
              <w:rPr>
                <w:rFonts w:ascii="Arial"/>
                <w:sz w:val="21"/>
              </w:rPr>
            </w:pPr>
          </w:p>
          <w:p w14:paraId="4594F5F1">
            <w:pPr>
              <w:spacing w:line="278" w:lineRule="auto"/>
              <w:rPr>
                <w:rFonts w:ascii="Arial"/>
                <w:sz w:val="21"/>
              </w:rPr>
            </w:pPr>
          </w:p>
          <w:p w14:paraId="33752DCE">
            <w:pPr>
              <w:spacing w:line="278" w:lineRule="auto"/>
              <w:rPr>
                <w:rFonts w:ascii="Arial"/>
                <w:sz w:val="21"/>
              </w:rPr>
            </w:pPr>
          </w:p>
          <w:p w14:paraId="77E58D00">
            <w:pPr>
              <w:spacing w:line="278" w:lineRule="auto"/>
              <w:rPr>
                <w:rFonts w:ascii="Arial"/>
                <w:sz w:val="21"/>
              </w:rPr>
            </w:pPr>
          </w:p>
          <w:p w14:paraId="63904799">
            <w:pPr>
              <w:spacing w:before="65" w:line="377" w:lineRule="auto"/>
              <w:ind w:left="112" w:right="101" w:firstLine="4"/>
              <w:jc w:val="both"/>
              <w:rPr>
                <w:rFonts w:ascii="宋体" w:hAnsi="宋体" w:eastAsia="宋体" w:cs="宋体"/>
                <w:sz w:val="20"/>
                <w:szCs w:val="20"/>
              </w:rPr>
            </w:pPr>
            <w:r>
              <w:rPr>
                <w:rFonts w:ascii="宋体" w:hAnsi="宋体" w:eastAsia="宋体" w:cs="宋体"/>
                <w:spacing w:val="5"/>
                <w:sz w:val="20"/>
                <w:szCs w:val="20"/>
              </w:rPr>
              <w:t>项目用水由自来水管网提供，本项目生产用水为循环冷却用水，定期添加，无废水产生、不外排，生产用水量较小，资源消耗量相对区域资源利用总量较少，不会对当地资</w:t>
            </w:r>
            <w:r>
              <w:rPr>
                <w:rFonts w:ascii="宋体" w:hAnsi="宋体" w:eastAsia="宋体" w:cs="宋体"/>
                <w:spacing w:val="8"/>
                <w:sz w:val="20"/>
                <w:szCs w:val="20"/>
              </w:rPr>
              <w:t>源利用上线造成较大影响。</w:t>
            </w:r>
          </w:p>
        </w:tc>
        <w:tc>
          <w:tcPr>
            <w:tcW w:w="703" w:type="dxa"/>
            <w:vAlign w:val="top"/>
          </w:tcPr>
          <w:p w14:paraId="592C053E">
            <w:pPr>
              <w:rPr>
                <w:rFonts w:ascii="Arial"/>
                <w:sz w:val="21"/>
              </w:rPr>
            </w:pPr>
          </w:p>
          <w:p w14:paraId="1A9AB8C0">
            <w:pPr>
              <w:rPr>
                <w:rFonts w:ascii="Arial"/>
                <w:sz w:val="21"/>
              </w:rPr>
            </w:pPr>
          </w:p>
          <w:p w14:paraId="0ABBEEDB">
            <w:pPr>
              <w:rPr>
                <w:rFonts w:ascii="Arial"/>
                <w:sz w:val="21"/>
              </w:rPr>
            </w:pPr>
          </w:p>
          <w:p w14:paraId="179AE4CC">
            <w:pPr>
              <w:rPr>
                <w:rFonts w:ascii="Arial"/>
                <w:sz w:val="21"/>
              </w:rPr>
            </w:pPr>
          </w:p>
          <w:p w14:paraId="41719931">
            <w:pPr>
              <w:rPr>
                <w:rFonts w:ascii="Arial"/>
                <w:sz w:val="21"/>
              </w:rPr>
            </w:pPr>
          </w:p>
          <w:p w14:paraId="34DCADC1">
            <w:pPr>
              <w:rPr>
                <w:rFonts w:ascii="Arial"/>
                <w:sz w:val="21"/>
              </w:rPr>
            </w:pPr>
          </w:p>
          <w:p w14:paraId="7CC97A5B">
            <w:pPr>
              <w:rPr>
                <w:rFonts w:ascii="Arial"/>
                <w:sz w:val="21"/>
              </w:rPr>
            </w:pPr>
          </w:p>
          <w:p w14:paraId="70219DBD">
            <w:pPr>
              <w:rPr>
                <w:rFonts w:ascii="Arial"/>
                <w:sz w:val="21"/>
              </w:rPr>
            </w:pPr>
          </w:p>
          <w:p w14:paraId="3DBC9854">
            <w:pPr>
              <w:spacing w:line="241" w:lineRule="auto"/>
              <w:rPr>
                <w:rFonts w:ascii="Arial"/>
                <w:sz w:val="21"/>
              </w:rPr>
            </w:pPr>
          </w:p>
          <w:p w14:paraId="325A5EAC">
            <w:pPr>
              <w:spacing w:line="241" w:lineRule="auto"/>
              <w:rPr>
                <w:rFonts w:ascii="Arial"/>
                <w:sz w:val="21"/>
              </w:rPr>
            </w:pPr>
          </w:p>
          <w:p w14:paraId="350C64D9">
            <w:pPr>
              <w:spacing w:before="65" w:line="228" w:lineRule="auto"/>
              <w:ind w:left="121"/>
              <w:rPr>
                <w:rFonts w:ascii="宋体" w:hAnsi="宋体" w:eastAsia="宋体" w:cs="宋体"/>
                <w:sz w:val="20"/>
                <w:szCs w:val="20"/>
              </w:rPr>
            </w:pPr>
            <w:r>
              <w:rPr>
                <w:rFonts w:ascii="宋体" w:hAnsi="宋体" w:eastAsia="宋体" w:cs="宋体"/>
                <w:spacing w:val="3"/>
                <w:sz w:val="20"/>
                <w:szCs w:val="20"/>
              </w:rPr>
              <w:t>符合</w:t>
            </w:r>
          </w:p>
        </w:tc>
        <w:tc>
          <w:tcPr>
            <w:tcW w:w="128" w:type="dxa"/>
            <w:vMerge w:val="continue"/>
            <w:tcBorders>
              <w:top w:val="nil"/>
              <w:bottom w:val="nil"/>
              <w:right w:val="single" w:color="000000" w:sz="6" w:space="0"/>
            </w:tcBorders>
            <w:vAlign w:val="top"/>
          </w:tcPr>
          <w:p w14:paraId="72A0A84E">
            <w:pPr>
              <w:rPr>
                <w:rFonts w:ascii="Arial"/>
                <w:sz w:val="21"/>
              </w:rPr>
            </w:pPr>
          </w:p>
        </w:tc>
      </w:tr>
      <w:tr w14:paraId="78B27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1" w:hRule="atLeast"/>
        </w:trPr>
        <w:tc>
          <w:tcPr>
            <w:tcW w:w="1161" w:type="dxa"/>
            <w:vMerge w:val="continue"/>
            <w:tcBorders>
              <w:top w:val="nil"/>
              <w:left w:val="single" w:color="000000" w:sz="6" w:space="0"/>
              <w:bottom w:val="nil"/>
            </w:tcBorders>
            <w:vAlign w:val="top"/>
          </w:tcPr>
          <w:p w14:paraId="5A0DD046">
            <w:pPr>
              <w:rPr>
                <w:rFonts w:ascii="Arial"/>
                <w:sz w:val="21"/>
              </w:rPr>
            </w:pPr>
          </w:p>
        </w:tc>
        <w:tc>
          <w:tcPr>
            <w:tcW w:w="113" w:type="dxa"/>
            <w:tcBorders>
              <w:top w:val="nil"/>
              <w:bottom w:val="nil"/>
            </w:tcBorders>
            <w:vAlign w:val="top"/>
          </w:tcPr>
          <w:p w14:paraId="1761BC46">
            <w:pPr>
              <w:rPr>
                <w:rFonts w:ascii="Arial"/>
                <w:sz w:val="21"/>
              </w:rPr>
            </w:pPr>
          </w:p>
        </w:tc>
        <w:tc>
          <w:tcPr>
            <w:tcW w:w="690" w:type="dxa"/>
            <w:vMerge w:val="restart"/>
            <w:tcBorders>
              <w:bottom w:val="nil"/>
            </w:tcBorders>
            <w:vAlign w:val="top"/>
          </w:tcPr>
          <w:p w14:paraId="34B073CD">
            <w:pPr>
              <w:spacing w:line="258" w:lineRule="auto"/>
              <w:rPr>
                <w:rFonts w:ascii="Arial"/>
                <w:sz w:val="21"/>
              </w:rPr>
            </w:pPr>
          </w:p>
          <w:p w14:paraId="5B47011F">
            <w:pPr>
              <w:spacing w:line="258" w:lineRule="auto"/>
              <w:rPr>
                <w:rFonts w:ascii="Arial"/>
                <w:sz w:val="21"/>
              </w:rPr>
            </w:pPr>
          </w:p>
          <w:p w14:paraId="0A927571">
            <w:pPr>
              <w:spacing w:line="258" w:lineRule="auto"/>
              <w:rPr>
                <w:rFonts w:ascii="Arial"/>
                <w:sz w:val="21"/>
              </w:rPr>
            </w:pPr>
          </w:p>
          <w:p w14:paraId="7D10C9E0">
            <w:pPr>
              <w:spacing w:line="259" w:lineRule="auto"/>
              <w:rPr>
                <w:rFonts w:ascii="Arial"/>
                <w:sz w:val="21"/>
              </w:rPr>
            </w:pPr>
          </w:p>
          <w:p w14:paraId="55C6A7E8">
            <w:pPr>
              <w:spacing w:line="259" w:lineRule="auto"/>
              <w:rPr>
                <w:rFonts w:ascii="Arial"/>
                <w:sz w:val="21"/>
              </w:rPr>
            </w:pPr>
          </w:p>
          <w:p w14:paraId="0C10C511">
            <w:pPr>
              <w:spacing w:line="259" w:lineRule="auto"/>
              <w:rPr>
                <w:rFonts w:ascii="Arial"/>
                <w:sz w:val="21"/>
              </w:rPr>
            </w:pPr>
          </w:p>
          <w:p w14:paraId="0CDDAAC9">
            <w:pPr>
              <w:spacing w:line="259" w:lineRule="auto"/>
              <w:rPr>
                <w:rFonts w:ascii="Arial"/>
                <w:sz w:val="21"/>
              </w:rPr>
            </w:pPr>
          </w:p>
          <w:p w14:paraId="5BD76B24">
            <w:pPr>
              <w:spacing w:before="65" w:line="230" w:lineRule="auto"/>
              <w:ind w:left="141"/>
              <w:rPr>
                <w:rFonts w:ascii="宋体" w:hAnsi="宋体" w:eastAsia="宋体" w:cs="宋体"/>
                <w:sz w:val="20"/>
                <w:szCs w:val="20"/>
              </w:rPr>
            </w:pPr>
            <w:r>
              <w:rPr>
                <w:rFonts w:ascii="宋体" w:hAnsi="宋体" w:eastAsia="宋体" w:cs="宋体"/>
                <w:spacing w:val="2"/>
                <w:sz w:val="20"/>
                <w:szCs w:val="20"/>
              </w:rPr>
              <w:t>云南</w:t>
            </w:r>
          </w:p>
          <w:p w14:paraId="12D9140B">
            <w:pPr>
              <w:spacing w:before="158" w:line="228" w:lineRule="auto"/>
              <w:ind w:left="139"/>
              <w:rPr>
                <w:rFonts w:ascii="宋体" w:hAnsi="宋体" w:eastAsia="宋体" w:cs="宋体"/>
                <w:sz w:val="20"/>
                <w:szCs w:val="20"/>
              </w:rPr>
            </w:pPr>
            <w:r>
              <w:rPr>
                <w:rFonts w:ascii="宋体" w:hAnsi="宋体" w:eastAsia="宋体" w:cs="宋体"/>
                <w:spacing w:val="2"/>
                <w:sz w:val="20"/>
                <w:szCs w:val="20"/>
              </w:rPr>
              <w:t>寻甸</w:t>
            </w:r>
          </w:p>
          <w:p w14:paraId="049AC759">
            <w:pPr>
              <w:spacing w:before="163" w:line="228" w:lineRule="auto"/>
              <w:ind w:left="135"/>
              <w:rPr>
                <w:rFonts w:ascii="宋体" w:hAnsi="宋体" w:eastAsia="宋体" w:cs="宋体"/>
                <w:sz w:val="20"/>
                <w:szCs w:val="20"/>
              </w:rPr>
            </w:pPr>
            <w:r>
              <w:rPr>
                <w:rFonts w:ascii="宋体" w:hAnsi="宋体" w:eastAsia="宋体" w:cs="宋体"/>
                <w:spacing w:val="4"/>
                <w:sz w:val="20"/>
                <w:szCs w:val="20"/>
              </w:rPr>
              <w:t>产业</w:t>
            </w:r>
          </w:p>
          <w:p w14:paraId="505EF788">
            <w:pPr>
              <w:spacing w:before="161" w:line="229" w:lineRule="auto"/>
              <w:ind w:left="152"/>
              <w:rPr>
                <w:rFonts w:ascii="宋体" w:hAnsi="宋体" w:eastAsia="宋体" w:cs="宋体"/>
                <w:sz w:val="20"/>
                <w:szCs w:val="20"/>
              </w:rPr>
            </w:pPr>
            <w:r>
              <w:rPr>
                <w:rFonts w:ascii="宋体" w:hAnsi="宋体" w:eastAsia="宋体" w:cs="宋体"/>
                <w:spacing w:val="-4"/>
                <w:sz w:val="20"/>
                <w:szCs w:val="20"/>
              </w:rPr>
              <w:t>园区</w:t>
            </w:r>
          </w:p>
          <w:p w14:paraId="3EB8A6DB">
            <w:pPr>
              <w:spacing w:before="159" w:line="232" w:lineRule="auto"/>
              <w:ind w:left="136"/>
              <w:rPr>
                <w:rFonts w:ascii="宋体" w:hAnsi="宋体" w:eastAsia="宋体" w:cs="宋体"/>
                <w:sz w:val="20"/>
                <w:szCs w:val="20"/>
              </w:rPr>
            </w:pPr>
            <w:r>
              <w:rPr>
                <w:rFonts w:ascii="宋体" w:hAnsi="宋体" w:eastAsia="宋体" w:cs="宋体"/>
                <w:spacing w:val="4"/>
                <w:sz w:val="20"/>
                <w:szCs w:val="20"/>
              </w:rPr>
              <w:t>重点</w:t>
            </w:r>
          </w:p>
          <w:p w14:paraId="693063E7">
            <w:pPr>
              <w:spacing w:before="157" w:line="228" w:lineRule="auto"/>
              <w:ind w:left="140"/>
              <w:rPr>
                <w:rFonts w:ascii="宋体" w:hAnsi="宋体" w:eastAsia="宋体" w:cs="宋体"/>
                <w:sz w:val="20"/>
                <w:szCs w:val="20"/>
              </w:rPr>
            </w:pPr>
            <w:r>
              <w:rPr>
                <w:rFonts w:ascii="宋体" w:hAnsi="宋体" w:eastAsia="宋体" w:cs="宋体"/>
                <w:spacing w:val="2"/>
                <w:sz w:val="20"/>
                <w:szCs w:val="20"/>
              </w:rPr>
              <w:t>管控</w:t>
            </w:r>
          </w:p>
          <w:p w14:paraId="37651C70">
            <w:pPr>
              <w:spacing w:before="161" w:line="228" w:lineRule="auto"/>
              <w:ind w:left="137"/>
              <w:rPr>
                <w:rFonts w:ascii="宋体" w:hAnsi="宋体" w:eastAsia="宋体" w:cs="宋体"/>
                <w:sz w:val="20"/>
                <w:szCs w:val="20"/>
              </w:rPr>
            </w:pPr>
            <w:r>
              <w:rPr>
                <w:rFonts w:ascii="宋体" w:hAnsi="宋体" w:eastAsia="宋体" w:cs="宋体"/>
                <w:spacing w:val="3"/>
                <w:sz w:val="20"/>
                <w:szCs w:val="20"/>
              </w:rPr>
              <w:t>单元</w:t>
            </w:r>
          </w:p>
        </w:tc>
        <w:tc>
          <w:tcPr>
            <w:tcW w:w="486" w:type="dxa"/>
            <w:vMerge w:val="restart"/>
            <w:tcBorders>
              <w:bottom w:val="nil"/>
            </w:tcBorders>
            <w:textDirection w:val="tbRlV"/>
            <w:vAlign w:val="top"/>
          </w:tcPr>
          <w:p w14:paraId="77A20B11">
            <w:pPr>
              <w:spacing w:before="140" w:line="215" w:lineRule="auto"/>
              <w:ind w:left="2090"/>
              <w:rPr>
                <w:rFonts w:ascii="宋体" w:hAnsi="宋体" w:eastAsia="宋体" w:cs="宋体"/>
                <w:sz w:val="20"/>
                <w:szCs w:val="20"/>
              </w:rPr>
            </w:pPr>
            <w:r>
              <w:rPr>
                <w:rFonts w:ascii="宋体" w:hAnsi="宋体" w:eastAsia="宋体" w:cs="宋体"/>
                <w:spacing w:val="8"/>
                <w:sz w:val="20"/>
                <w:szCs w:val="20"/>
              </w:rPr>
              <w:t>空</w:t>
            </w:r>
            <w:r>
              <w:rPr>
                <w:rFonts w:ascii="宋体" w:hAnsi="宋体" w:eastAsia="宋体" w:cs="宋体"/>
                <w:spacing w:val="102"/>
                <w:sz w:val="20"/>
                <w:szCs w:val="20"/>
              </w:rPr>
              <w:t xml:space="preserve"> </w:t>
            </w:r>
            <w:r>
              <w:rPr>
                <w:rFonts w:ascii="宋体" w:hAnsi="宋体" w:eastAsia="宋体" w:cs="宋体"/>
                <w:spacing w:val="8"/>
                <w:sz w:val="20"/>
                <w:szCs w:val="20"/>
              </w:rPr>
              <w:t>间</w:t>
            </w:r>
            <w:r>
              <w:rPr>
                <w:rFonts w:ascii="宋体" w:hAnsi="宋体" w:eastAsia="宋体" w:cs="宋体"/>
                <w:spacing w:val="1"/>
                <w:sz w:val="20"/>
                <w:szCs w:val="20"/>
              </w:rPr>
              <w:t xml:space="preserve">  </w:t>
            </w:r>
            <w:r>
              <w:rPr>
                <w:rFonts w:ascii="宋体" w:hAnsi="宋体" w:eastAsia="宋体" w:cs="宋体"/>
                <w:spacing w:val="8"/>
                <w:sz w:val="20"/>
                <w:szCs w:val="20"/>
              </w:rPr>
              <w:t>布</w:t>
            </w:r>
            <w:r>
              <w:rPr>
                <w:rFonts w:ascii="宋体" w:hAnsi="宋体" w:eastAsia="宋体" w:cs="宋体"/>
                <w:spacing w:val="99"/>
                <w:sz w:val="20"/>
                <w:szCs w:val="20"/>
              </w:rPr>
              <w:t xml:space="preserve"> </w:t>
            </w:r>
            <w:r>
              <w:rPr>
                <w:rFonts w:ascii="宋体" w:hAnsi="宋体" w:eastAsia="宋体" w:cs="宋体"/>
                <w:spacing w:val="8"/>
                <w:sz w:val="20"/>
                <w:szCs w:val="20"/>
              </w:rPr>
              <w:t>局</w:t>
            </w:r>
            <w:r>
              <w:rPr>
                <w:rFonts w:ascii="宋体" w:hAnsi="宋体" w:eastAsia="宋体" w:cs="宋体"/>
                <w:spacing w:val="100"/>
                <w:sz w:val="20"/>
                <w:szCs w:val="20"/>
              </w:rPr>
              <w:t xml:space="preserve"> </w:t>
            </w:r>
            <w:r>
              <w:rPr>
                <w:rFonts w:ascii="宋体" w:hAnsi="宋体" w:eastAsia="宋体" w:cs="宋体"/>
                <w:spacing w:val="8"/>
                <w:sz w:val="20"/>
                <w:szCs w:val="20"/>
              </w:rPr>
              <w:t>约</w:t>
            </w:r>
            <w:r>
              <w:rPr>
                <w:rFonts w:ascii="宋体" w:hAnsi="宋体" w:eastAsia="宋体" w:cs="宋体"/>
                <w:spacing w:val="99"/>
                <w:sz w:val="20"/>
                <w:szCs w:val="20"/>
              </w:rPr>
              <w:t xml:space="preserve"> </w:t>
            </w:r>
            <w:r>
              <w:rPr>
                <w:rFonts w:ascii="宋体" w:hAnsi="宋体" w:eastAsia="宋体" w:cs="宋体"/>
                <w:spacing w:val="8"/>
                <w:sz w:val="20"/>
                <w:szCs w:val="20"/>
              </w:rPr>
              <w:t>束</w:t>
            </w:r>
          </w:p>
        </w:tc>
        <w:tc>
          <w:tcPr>
            <w:tcW w:w="2293" w:type="dxa"/>
            <w:vAlign w:val="top"/>
          </w:tcPr>
          <w:p w14:paraId="61538DBE">
            <w:pPr>
              <w:spacing w:before="38" w:line="378" w:lineRule="auto"/>
              <w:ind w:left="110" w:right="192" w:firstLine="14"/>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1"/>
                <w:sz w:val="20"/>
                <w:szCs w:val="20"/>
              </w:rPr>
              <w:t xml:space="preserve"> </w:t>
            </w:r>
            <w:r>
              <w:rPr>
                <w:rFonts w:ascii="宋体" w:hAnsi="宋体" w:eastAsia="宋体" w:cs="宋体"/>
                <w:spacing w:val="4"/>
                <w:sz w:val="20"/>
                <w:szCs w:val="20"/>
              </w:rPr>
              <w:t>、入驻项目须符合国</w:t>
            </w:r>
            <w:r>
              <w:rPr>
                <w:rFonts w:ascii="宋体" w:hAnsi="宋体" w:eastAsia="宋体" w:cs="宋体"/>
                <w:spacing w:val="8"/>
                <w:sz w:val="20"/>
                <w:szCs w:val="20"/>
              </w:rPr>
              <w:t>家及云南省相关产业</w:t>
            </w:r>
          </w:p>
          <w:p w14:paraId="324CF830">
            <w:pPr>
              <w:spacing w:before="1" w:line="347" w:lineRule="auto"/>
              <w:ind w:left="108" w:right="106"/>
              <w:rPr>
                <w:rFonts w:ascii="宋体" w:hAnsi="宋体" w:eastAsia="宋体" w:cs="宋体"/>
                <w:sz w:val="20"/>
                <w:szCs w:val="20"/>
              </w:rPr>
            </w:pPr>
            <w:r>
              <w:rPr>
                <w:rFonts w:ascii="宋体" w:hAnsi="宋体" w:eastAsia="宋体" w:cs="宋体"/>
                <w:spacing w:val="7"/>
                <w:sz w:val="20"/>
                <w:szCs w:val="20"/>
              </w:rPr>
              <w:t>政策、符合园区规划产</w:t>
            </w:r>
            <w:r>
              <w:rPr>
                <w:rFonts w:ascii="宋体" w:hAnsi="宋体" w:eastAsia="宋体" w:cs="宋体"/>
                <w:spacing w:val="5"/>
                <w:sz w:val="20"/>
                <w:szCs w:val="20"/>
              </w:rPr>
              <w:t>业布局。</w:t>
            </w:r>
          </w:p>
        </w:tc>
        <w:tc>
          <w:tcPr>
            <w:tcW w:w="3298" w:type="dxa"/>
            <w:vAlign w:val="top"/>
          </w:tcPr>
          <w:p w14:paraId="0AD54E42">
            <w:pPr>
              <w:spacing w:before="241" w:line="379" w:lineRule="auto"/>
              <w:ind w:left="113" w:right="101"/>
              <w:jc w:val="both"/>
              <w:rPr>
                <w:rFonts w:ascii="宋体" w:hAnsi="宋体" w:eastAsia="宋体" w:cs="宋体"/>
                <w:sz w:val="20"/>
                <w:szCs w:val="20"/>
              </w:rPr>
            </w:pPr>
            <w:r>
              <w:rPr>
                <w:rFonts w:ascii="宋体" w:hAnsi="宋体" w:eastAsia="宋体" w:cs="宋体"/>
                <w:spacing w:val="5"/>
                <w:sz w:val="20"/>
                <w:szCs w:val="20"/>
              </w:rPr>
              <w:t>本项目为塑料筐生产项目，取得入</w:t>
            </w:r>
            <w:r>
              <w:rPr>
                <w:rFonts w:ascii="宋体" w:hAnsi="宋体" w:eastAsia="宋体" w:cs="宋体"/>
                <w:spacing w:val="11"/>
                <w:sz w:val="20"/>
                <w:szCs w:val="20"/>
              </w:rPr>
              <w:t>园意见（附件</w:t>
            </w:r>
            <w:r>
              <w:rPr>
                <w:rFonts w:ascii="Times New Roman" w:hAnsi="Times New Roman" w:eastAsia="Times New Roman" w:cs="Times New Roman"/>
                <w:spacing w:val="11"/>
                <w:sz w:val="20"/>
                <w:szCs w:val="20"/>
              </w:rPr>
              <w:t>2</w:t>
            </w:r>
            <w:r>
              <w:rPr>
                <w:rFonts w:ascii="宋体" w:hAnsi="宋体" w:eastAsia="宋体" w:cs="宋体"/>
                <w:spacing w:val="16"/>
                <w:sz w:val="20"/>
                <w:szCs w:val="20"/>
              </w:rPr>
              <w:t>），</w:t>
            </w:r>
            <w:r>
              <w:rPr>
                <w:rFonts w:ascii="宋体" w:hAnsi="宋体" w:eastAsia="宋体" w:cs="宋体"/>
                <w:spacing w:val="11"/>
                <w:sz w:val="20"/>
                <w:szCs w:val="20"/>
              </w:rPr>
              <w:t>符合国家及地</w:t>
            </w:r>
            <w:r>
              <w:rPr>
                <w:rFonts w:ascii="宋体" w:hAnsi="宋体" w:eastAsia="宋体" w:cs="宋体"/>
                <w:spacing w:val="7"/>
                <w:sz w:val="20"/>
                <w:szCs w:val="20"/>
              </w:rPr>
              <w:t>方产业政策要求。</w:t>
            </w:r>
          </w:p>
        </w:tc>
        <w:tc>
          <w:tcPr>
            <w:tcW w:w="703" w:type="dxa"/>
            <w:vAlign w:val="top"/>
          </w:tcPr>
          <w:p w14:paraId="4BB27CA9">
            <w:pPr>
              <w:spacing w:line="290" w:lineRule="auto"/>
              <w:rPr>
                <w:rFonts w:ascii="Arial"/>
                <w:sz w:val="21"/>
              </w:rPr>
            </w:pPr>
          </w:p>
          <w:p w14:paraId="3164A205">
            <w:pPr>
              <w:spacing w:line="291" w:lineRule="auto"/>
              <w:rPr>
                <w:rFonts w:ascii="Arial"/>
                <w:sz w:val="21"/>
              </w:rPr>
            </w:pPr>
          </w:p>
          <w:p w14:paraId="4613D78E">
            <w:pPr>
              <w:spacing w:before="65" w:line="228" w:lineRule="auto"/>
              <w:ind w:left="155"/>
              <w:rPr>
                <w:rFonts w:ascii="宋体" w:hAnsi="宋体" w:eastAsia="宋体" w:cs="宋体"/>
                <w:sz w:val="20"/>
                <w:szCs w:val="20"/>
              </w:rPr>
            </w:pPr>
            <w:r>
              <w:rPr>
                <w:rFonts w:ascii="宋体" w:hAnsi="宋体" w:eastAsia="宋体" w:cs="宋体"/>
                <w:spacing w:val="3"/>
                <w:sz w:val="20"/>
                <w:szCs w:val="20"/>
              </w:rPr>
              <w:t>符合</w:t>
            </w:r>
          </w:p>
        </w:tc>
        <w:tc>
          <w:tcPr>
            <w:tcW w:w="128" w:type="dxa"/>
            <w:vMerge w:val="continue"/>
            <w:tcBorders>
              <w:top w:val="nil"/>
              <w:bottom w:val="nil"/>
              <w:right w:val="single" w:color="000000" w:sz="6" w:space="0"/>
            </w:tcBorders>
            <w:vAlign w:val="top"/>
          </w:tcPr>
          <w:p w14:paraId="5E94D163">
            <w:pPr>
              <w:rPr>
                <w:rFonts w:ascii="Arial"/>
                <w:sz w:val="21"/>
              </w:rPr>
            </w:pPr>
          </w:p>
        </w:tc>
      </w:tr>
      <w:tr w14:paraId="597EE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1161" w:type="dxa"/>
            <w:vMerge w:val="continue"/>
            <w:tcBorders>
              <w:top w:val="nil"/>
              <w:left w:val="single" w:color="000000" w:sz="6" w:space="0"/>
              <w:bottom w:val="nil"/>
            </w:tcBorders>
            <w:vAlign w:val="top"/>
          </w:tcPr>
          <w:p w14:paraId="143A2EF3">
            <w:pPr>
              <w:rPr>
                <w:rFonts w:ascii="Arial"/>
                <w:sz w:val="21"/>
              </w:rPr>
            </w:pPr>
          </w:p>
        </w:tc>
        <w:tc>
          <w:tcPr>
            <w:tcW w:w="113" w:type="dxa"/>
            <w:tcBorders>
              <w:top w:val="nil"/>
              <w:bottom w:val="nil"/>
            </w:tcBorders>
            <w:vAlign w:val="top"/>
          </w:tcPr>
          <w:p w14:paraId="52235239">
            <w:pPr>
              <w:rPr>
                <w:rFonts w:ascii="Arial"/>
                <w:sz w:val="21"/>
              </w:rPr>
            </w:pPr>
          </w:p>
        </w:tc>
        <w:tc>
          <w:tcPr>
            <w:tcW w:w="690" w:type="dxa"/>
            <w:vMerge w:val="continue"/>
            <w:tcBorders>
              <w:top w:val="nil"/>
              <w:bottom w:val="nil"/>
            </w:tcBorders>
            <w:vAlign w:val="top"/>
          </w:tcPr>
          <w:p w14:paraId="675A06CE">
            <w:pPr>
              <w:rPr>
                <w:rFonts w:ascii="Arial"/>
                <w:sz w:val="21"/>
              </w:rPr>
            </w:pPr>
          </w:p>
        </w:tc>
        <w:tc>
          <w:tcPr>
            <w:tcW w:w="486" w:type="dxa"/>
            <w:vMerge w:val="continue"/>
            <w:tcBorders>
              <w:top w:val="nil"/>
              <w:bottom w:val="nil"/>
            </w:tcBorders>
            <w:textDirection w:val="tbRlV"/>
            <w:vAlign w:val="top"/>
          </w:tcPr>
          <w:p w14:paraId="0056D63C">
            <w:pPr>
              <w:rPr>
                <w:rFonts w:ascii="Arial"/>
                <w:sz w:val="21"/>
              </w:rPr>
            </w:pPr>
          </w:p>
        </w:tc>
        <w:tc>
          <w:tcPr>
            <w:tcW w:w="2293" w:type="dxa"/>
            <w:vAlign w:val="top"/>
          </w:tcPr>
          <w:p w14:paraId="3AB55A55">
            <w:pPr>
              <w:spacing w:before="259" w:line="380" w:lineRule="auto"/>
              <w:ind w:left="109" w:right="192" w:hanging="4"/>
              <w:jc w:val="both"/>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21"/>
                <w:sz w:val="20"/>
                <w:szCs w:val="20"/>
              </w:rPr>
              <w:t xml:space="preserve"> </w:t>
            </w:r>
            <w:r>
              <w:rPr>
                <w:rFonts w:ascii="宋体" w:hAnsi="宋体" w:eastAsia="宋体" w:cs="宋体"/>
                <w:spacing w:val="6"/>
                <w:sz w:val="20"/>
                <w:szCs w:val="20"/>
              </w:rPr>
              <w:t>、严禁不符合要求的</w:t>
            </w:r>
            <w:r>
              <w:rPr>
                <w:rFonts w:ascii="宋体" w:hAnsi="宋体" w:eastAsia="宋体" w:cs="宋体"/>
                <w:spacing w:val="8"/>
                <w:sz w:val="20"/>
                <w:szCs w:val="20"/>
              </w:rPr>
              <w:t>高风险高污染行业入</w:t>
            </w:r>
            <w:r>
              <w:rPr>
                <w:rFonts w:ascii="宋体" w:hAnsi="宋体" w:eastAsia="宋体" w:cs="宋体"/>
                <w:sz w:val="20"/>
                <w:szCs w:val="20"/>
              </w:rPr>
              <w:t>驻。</w:t>
            </w:r>
          </w:p>
        </w:tc>
        <w:tc>
          <w:tcPr>
            <w:tcW w:w="3298" w:type="dxa"/>
            <w:vAlign w:val="top"/>
          </w:tcPr>
          <w:p w14:paraId="3B211A7B">
            <w:pPr>
              <w:spacing w:before="56" w:line="364" w:lineRule="auto"/>
              <w:ind w:left="112" w:right="30" w:firstLine="1"/>
              <w:jc w:val="both"/>
              <w:rPr>
                <w:rFonts w:ascii="宋体" w:hAnsi="宋体" w:eastAsia="宋体" w:cs="宋体"/>
                <w:sz w:val="20"/>
                <w:szCs w:val="20"/>
              </w:rPr>
            </w:pPr>
            <w:r>
              <w:rPr>
                <w:rFonts w:ascii="宋体" w:hAnsi="宋体" w:eastAsia="宋体" w:cs="宋体"/>
                <w:spacing w:val="5"/>
                <w:sz w:val="20"/>
                <w:szCs w:val="20"/>
              </w:rPr>
              <w:t>本项目为塑料筐生产项目，不属于环境污染大、资源消耗高、技术落</w:t>
            </w:r>
            <w:r>
              <w:rPr>
                <w:rFonts w:ascii="宋体" w:hAnsi="宋体" w:eastAsia="宋体" w:cs="宋体"/>
                <w:spacing w:val="-4"/>
                <w:sz w:val="20"/>
                <w:szCs w:val="20"/>
              </w:rPr>
              <w:t>后的项目，不属于高耗能、高排放、</w:t>
            </w:r>
            <w:r>
              <w:rPr>
                <w:rFonts w:ascii="宋体" w:hAnsi="宋体" w:eastAsia="宋体" w:cs="宋体"/>
                <w:spacing w:val="6"/>
                <w:sz w:val="20"/>
                <w:szCs w:val="20"/>
              </w:rPr>
              <w:t>低水平项目。</w:t>
            </w:r>
          </w:p>
        </w:tc>
        <w:tc>
          <w:tcPr>
            <w:tcW w:w="703" w:type="dxa"/>
            <w:vAlign w:val="top"/>
          </w:tcPr>
          <w:p w14:paraId="7E142177">
            <w:pPr>
              <w:spacing w:line="299" w:lineRule="auto"/>
              <w:rPr>
                <w:rFonts w:ascii="Arial"/>
                <w:sz w:val="21"/>
              </w:rPr>
            </w:pPr>
          </w:p>
          <w:p w14:paraId="59297590">
            <w:pPr>
              <w:spacing w:line="300" w:lineRule="auto"/>
              <w:rPr>
                <w:rFonts w:ascii="Arial"/>
                <w:sz w:val="21"/>
              </w:rPr>
            </w:pPr>
          </w:p>
          <w:p w14:paraId="681E04AE">
            <w:pPr>
              <w:spacing w:before="65" w:line="228" w:lineRule="auto"/>
              <w:ind w:left="155"/>
              <w:rPr>
                <w:rFonts w:ascii="宋体" w:hAnsi="宋体" w:eastAsia="宋体" w:cs="宋体"/>
                <w:sz w:val="20"/>
                <w:szCs w:val="20"/>
              </w:rPr>
            </w:pPr>
            <w:r>
              <w:rPr>
                <w:rFonts w:ascii="宋体" w:hAnsi="宋体" w:eastAsia="宋体" w:cs="宋体"/>
                <w:spacing w:val="3"/>
                <w:sz w:val="20"/>
                <w:szCs w:val="20"/>
              </w:rPr>
              <w:t>符合</w:t>
            </w:r>
          </w:p>
        </w:tc>
        <w:tc>
          <w:tcPr>
            <w:tcW w:w="128" w:type="dxa"/>
            <w:vMerge w:val="continue"/>
            <w:tcBorders>
              <w:top w:val="nil"/>
              <w:bottom w:val="nil"/>
              <w:right w:val="single" w:color="000000" w:sz="6" w:space="0"/>
            </w:tcBorders>
            <w:vAlign w:val="top"/>
          </w:tcPr>
          <w:p w14:paraId="294EA20B">
            <w:pPr>
              <w:rPr>
                <w:rFonts w:ascii="Arial"/>
                <w:sz w:val="21"/>
              </w:rPr>
            </w:pPr>
          </w:p>
        </w:tc>
      </w:tr>
      <w:tr w14:paraId="3E8D0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2" w:hRule="atLeast"/>
        </w:trPr>
        <w:tc>
          <w:tcPr>
            <w:tcW w:w="1161" w:type="dxa"/>
            <w:vMerge w:val="continue"/>
            <w:tcBorders>
              <w:top w:val="nil"/>
              <w:left w:val="single" w:color="000000" w:sz="6" w:space="0"/>
              <w:bottom w:val="single" w:color="000000" w:sz="6" w:space="0"/>
            </w:tcBorders>
            <w:vAlign w:val="top"/>
          </w:tcPr>
          <w:p w14:paraId="51396C88">
            <w:pPr>
              <w:rPr>
                <w:rFonts w:ascii="Arial"/>
                <w:sz w:val="21"/>
              </w:rPr>
            </w:pPr>
          </w:p>
        </w:tc>
        <w:tc>
          <w:tcPr>
            <w:tcW w:w="113" w:type="dxa"/>
            <w:tcBorders>
              <w:top w:val="nil"/>
              <w:bottom w:val="single" w:color="000000" w:sz="6" w:space="0"/>
            </w:tcBorders>
            <w:vAlign w:val="top"/>
          </w:tcPr>
          <w:p w14:paraId="15D02F5F">
            <w:pPr>
              <w:rPr>
                <w:rFonts w:ascii="Arial"/>
                <w:sz w:val="21"/>
              </w:rPr>
            </w:pPr>
          </w:p>
        </w:tc>
        <w:tc>
          <w:tcPr>
            <w:tcW w:w="690" w:type="dxa"/>
            <w:vMerge w:val="continue"/>
            <w:tcBorders>
              <w:top w:val="nil"/>
              <w:bottom w:val="single" w:color="000000" w:sz="6" w:space="0"/>
            </w:tcBorders>
            <w:vAlign w:val="top"/>
          </w:tcPr>
          <w:p w14:paraId="7DF5251E">
            <w:pPr>
              <w:rPr>
                <w:rFonts w:ascii="Arial"/>
                <w:sz w:val="21"/>
              </w:rPr>
            </w:pPr>
          </w:p>
        </w:tc>
        <w:tc>
          <w:tcPr>
            <w:tcW w:w="486" w:type="dxa"/>
            <w:vMerge w:val="continue"/>
            <w:tcBorders>
              <w:top w:val="nil"/>
              <w:bottom w:val="single" w:color="000000" w:sz="6" w:space="0"/>
            </w:tcBorders>
            <w:textDirection w:val="tbRlV"/>
            <w:vAlign w:val="top"/>
          </w:tcPr>
          <w:p w14:paraId="20F1EB5E">
            <w:pPr>
              <w:rPr>
                <w:rFonts w:ascii="Arial"/>
                <w:sz w:val="21"/>
              </w:rPr>
            </w:pPr>
          </w:p>
        </w:tc>
        <w:tc>
          <w:tcPr>
            <w:tcW w:w="2293" w:type="dxa"/>
            <w:tcBorders>
              <w:bottom w:val="single" w:color="000000" w:sz="6" w:space="0"/>
            </w:tcBorders>
            <w:vAlign w:val="top"/>
          </w:tcPr>
          <w:p w14:paraId="78D5539B">
            <w:pPr>
              <w:spacing w:before="255" w:line="228" w:lineRule="auto"/>
              <w:ind w:left="109"/>
              <w:rPr>
                <w:rFonts w:ascii="宋体" w:hAnsi="宋体" w:eastAsia="宋体" w:cs="宋体"/>
                <w:sz w:val="20"/>
                <w:szCs w:val="20"/>
              </w:rPr>
            </w:pPr>
            <w:r>
              <w:rPr>
                <w:rFonts w:ascii="Times New Roman" w:hAnsi="Times New Roman" w:eastAsia="Times New Roman" w:cs="Times New Roman"/>
                <w:spacing w:val="6"/>
                <w:sz w:val="20"/>
                <w:szCs w:val="20"/>
              </w:rPr>
              <w:t>3</w:t>
            </w:r>
            <w:r>
              <w:rPr>
                <w:rFonts w:ascii="Times New Roman" w:hAnsi="Times New Roman" w:eastAsia="Times New Roman" w:cs="Times New Roman"/>
                <w:spacing w:val="-26"/>
                <w:sz w:val="20"/>
                <w:szCs w:val="20"/>
              </w:rPr>
              <w:t xml:space="preserve"> </w:t>
            </w:r>
            <w:r>
              <w:rPr>
                <w:rFonts w:ascii="宋体" w:hAnsi="宋体" w:eastAsia="宋体" w:cs="宋体"/>
                <w:spacing w:val="6"/>
                <w:sz w:val="20"/>
                <w:szCs w:val="20"/>
              </w:rPr>
              <w:t>、金所片区：禁止引</w:t>
            </w:r>
          </w:p>
          <w:p w14:paraId="5C45E4E6">
            <w:pPr>
              <w:spacing w:before="161" w:line="228" w:lineRule="auto"/>
              <w:ind w:left="108"/>
              <w:rPr>
                <w:rFonts w:ascii="宋体" w:hAnsi="宋体" w:eastAsia="宋体" w:cs="宋体"/>
                <w:sz w:val="20"/>
                <w:szCs w:val="20"/>
              </w:rPr>
            </w:pPr>
            <w:r>
              <w:rPr>
                <w:rFonts w:ascii="宋体" w:hAnsi="宋体" w:eastAsia="宋体" w:cs="宋体"/>
                <w:spacing w:val="7"/>
                <w:sz w:val="20"/>
                <w:szCs w:val="20"/>
              </w:rPr>
              <w:t>入需水量大，生产废水</w:t>
            </w:r>
          </w:p>
          <w:p w14:paraId="76C14991">
            <w:pPr>
              <w:spacing w:before="163" w:line="228" w:lineRule="auto"/>
              <w:ind w:left="112"/>
              <w:rPr>
                <w:rFonts w:ascii="宋体" w:hAnsi="宋体" w:eastAsia="宋体" w:cs="宋体"/>
                <w:sz w:val="20"/>
                <w:szCs w:val="20"/>
              </w:rPr>
            </w:pPr>
            <w:r>
              <w:rPr>
                <w:rFonts w:ascii="宋体" w:hAnsi="宋体" w:eastAsia="宋体" w:cs="宋体"/>
                <w:spacing w:val="8"/>
                <w:sz w:val="20"/>
                <w:szCs w:val="20"/>
              </w:rPr>
              <w:t>不能实现循环回用不</w:t>
            </w:r>
          </w:p>
          <w:p w14:paraId="7E7D4F73">
            <w:pPr>
              <w:spacing w:before="161" w:line="228" w:lineRule="auto"/>
              <w:ind w:left="113"/>
              <w:rPr>
                <w:rFonts w:ascii="宋体" w:hAnsi="宋体" w:eastAsia="宋体" w:cs="宋体"/>
                <w:sz w:val="20"/>
                <w:szCs w:val="20"/>
              </w:rPr>
            </w:pPr>
            <w:r>
              <w:rPr>
                <w:rFonts w:ascii="宋体" w:hAnsi="宋体" w:eastAsia="宋体" w:cs="宋体"/>
                <w:spacing w:val="5"/>
                <w:sz w:val="20"/>
                <w:szCs w:val="20"/>
              </w:rPr>
              <w:t>外排的企业。</w:t>
            </w:r>
            <w:r>
              <w:rPr>
                <w:rFonts w:ascii="Times New Roman" w:hAnsi="Times New Roman" w:eastAsia="Times New Roman" w:cs="Times New Roman"/>
                <w:spacing w:val="5"/>
                <w:sz w:val="20"/>
                <w:szCs w:val="20"/>
              </w:rPr>
              <w:t>4</w:t>
            </w:r>
            <w:r>
              <w:rPr>
                <w:rFonts w:ascii="Times New Roman" w:hAnsi="Times New Roman" w:eastAsia="Times New Roman" w:cs="Times New Roman"/>
                <w:spacing w:val="-19"/>
                <w:sz w:val="20"/>
                <w:szCs w:val="20"/>
              </w:rPr>
              <w:t xml:space="preserve"> </w:t>
            </w:r>
            <w:r>
              <w:rPr>
                <w:rFonts w:ascii="宋体" w:hAnsi="宋体" w:eastAsia="宋体" w:cs="宋体"/>
                <w:spacing w:val="5"/>
                <w:sz w:val="20"/>
                <w:szCs w:val="20"/>
              </w:rPr>
              <w:t>、金所</w:t>
            </w:r>
          </w:p>
          <w:p w14:paraId="56D73B1B">
            <w:pPr>
              <w:spacing w:before="160" w:line="228" w:lineRule="auto"/>
              <w:ind w:left="114"/>
              <w:rPr>
                <w:rFonts w:ascii="宋体" w:hAnsi="宋体" w:eastAsia="宋体" w:cs="宋体"/>
                <w:sz w:val="20"/>
                <w:szCs w:val="20"/>
              </w:rPr>
            </w:pPr>
            <w:r>
              <w:rPr>
                <w:rFonts w:ascii="宋体" w:hAnsi="宋体" w:eastAsia="宋体" w:cs="宋体"/>
                <w:spacing w:val="8"/>
                <w:sz w:val="20"/>
                <w:szCs w:val="20"/>
              </w:rPr>
              <w:t>片区金所组团禁止新</w:t>
            </w:r>
          </w:p>
          <w:p w14:paraId="6BBF1B9A">
            <w:pPr>
              <w:spacing w:before="161" w:line="228" w:lineRule="auto"/>
              <w:ind w:left="111"/>
              <w:rPr>
                <w:rFonts w:ascii="宋体" w:hAnsi="宋体" w:eastAsia="宋体" w:cs="宋体"/>
                <w:sz w:val="20"/>
                <w:szCs w:val="20"/>
              </w:rPr>
            </w:pPr>
            <w:r>
              <w:rPr>
                <w:rFonts w:ascii="宋体" w:hAnsi="宋体" w:eastAsia="宋体" w:cs="宋体"/>
                <w:spacing w:val="7"/>
                <w:sz w:val="20"/>
                <w:szCs w:val="20"/>
              </w:rPr>
              <w:t>建、改建、扩建化工生</w:t>
            </w:r>
          </w:p>
          <w:p w14:paraId="5CD0E4CA">
            <w:pPr>
              <w:spacing w:before="161" w:line="228" w:lineRule="auto"/>
              <w:ind w:left="109"/>
              <w:rPr>
                <w:rFonts w:ascii="宋体" w:hAnsi="宋体" w:eastAsia="宋体" w:cs="宋体"/>
                <w:sz w:val="20"/>
                <w:szCs w:val="20"/>
              </w:rPr>
            </w:pPr>
            <w:r>
              <w:rPr>
                <w:rFonts w:ascii="宋体" w:hAnsi="宋体" w:eastAsia="宋体" w:cs="宋体"/>
                <w:spacing w:val="5"/>
                <w:sz w:val="20"/>
                <w:szCs w:val="20"/>
              </w:rPr>
              <w:t>产线项目。</w:t>
            </w:r>
          </w:p>
        </w:tc>
        <w:tc>
          <w:tcPr>
            <w:tcW w:w="3298" w:type="dxa"/>
            <w:tcBorders>
              <w:bottom w:val="single" w:color="000000" w:sz="6" w:space="0"/>
            </w:tcBorders>
            <w:vAlign w:val="top"/>
          </w:tcPr>
          <w:p w14:paraId="2F04C42A">
            <w:pPr>
              <w:spacing w:before="52" w:line="375" w:lineRule="auto"/>
              <w:ind w:left="113" w:right="101"/>
              <w:rPr>
                <w:rFonts w:ascii="宋体" w:hAnsi="宋体" w:eastAsia="宋体" w:cs="宋体"/>
                <w:sz w:val="20"/>
                <w:szCs w:val="20"/>
              </w:rPr>
            </w:pPr>
            <w:r>
              <w:rPr>
                <w:rFonts w:ascii="宋体" w:hAnsi="宋体" w:eastAsia="宋体" w:cs="宋体"/>
                <w:spacing w:val="9"/>
                <w:sz w:val="20"/>
                <w:szCs w:val="20"/>
              </w:rPr>
              <w:t>本项目为塑料筐生产项目，属于《云南寻甸产业园区总体规划修</w:t>
            </w:r>
            <w:r>
              <w:rPr>
                <w:rFonts w:ascii="宋体" w:hAnsi="宋体" w:eastAsia="宋体" w:cs="宋体"/>
                <w:spacing w:val="7"/>
                <w:sz w:val="20"/>
                <w:szCs w:val="20"/>
              </w:rPr>
              <w:t>编（</w:t>
            </w:r>
            <w:r>
              <w:rPr>
                <w:rFonts w:ascii="Times New Roman" w:hAnsi="Times New Roman" w:eastAsia="Times New Roman" w:cs="Times New Roman"/>
                <w:spacing w:val="7"/>
                <w:sz w:val="20"/>
                <w:szCs w:val="20"/>
              </w:rPr>
              <w:t>2021-2035</w:t>
            </w:r>
            <w:r>
              <w:rPr>
                <w:rFonts w:ascii="宋体" w:hAnsi="宋体" w:eastAsia="宋体" w:cs="宋体"/>
                <w:spacing w:val="7"/>
                <w:sz w:val="20"/>
                <w:szCs w:val="20"/>
              </w:rPr>
              <w:t>）》金所片区，厂</w:t>
            </w:r>
            <w:r>
              <w:rPr>
                <w:rFonts w:ascii="宋体" w:hAnsi="宋体" w:eastAsia="宋体" w:cs="宋体"/>
                <w:spacing w:val="5"/>
                <w:sz w:val="20"/>
                <w:szCs w:val="20"/>
              </w:rPr>
              <w:t>区实施雨污分流排水体制，生活污</w:t>
            </w:r>
            <w:r>
              <w:rPr>
                <w:rFonts w:ascii="宋体" w:hAnsi="宋体" w:eastAsia="宋体" w:cs="宋体"/>
                <w:spacing w:val="9"/>
                <w:sz w:val="20"/>
                <w:szCs w:val="20"/>
              </w:rPr>
              <w:t>水经化粪池</w:t>
            </w:r>
            <w:r>
              <w:rPr>
                <w:rFonts w:ascii="Times New Roman" w:hAnsi="Times New Roman" w:eastAsia="Times New Roman" w:cs="Times New Roman"/>
                <w:spacing w:val="9"/>
                <w:sz w:val="20"/>
                <w:szCs w:val="20"/>
              </w:rPr>
              <w:t>+</w:t>
            </w:r>
            <w:r>
              <w:rPr>
                <w:rFonts w:ascii="宋体" w:hAnsi="宋体" w:eastAsia="宋体" w:cs="宋体"/>
                <w:spacing w:val="9"/>
                <w:sz w:val="20"/>
                <w:szCs w:val="20"/>
              </w:rPr>
              <w:t>一体化污水处理设施处理达标后回用厂区道路洒水降</w:t>
            </w:r>
            <w:r>
              <w:rPr>
                <w:rFonts w:ascii="宋体" w:hAnsi="宋体" w:eastAsia="宋体" w:cs="宋体"/>
                <w:spacing w:val="5"/>
                <w:sz w:val="20"/>
                <w:szCs w:val="20"/>
              </w:rPr>
              <w:t>尘及绿化，不外排，其余雨水排入周边地表沟渠，厂区无生产废水产</w:t>
            </w:r>
          </w:p>
        </w:tc>
        <w:tc>
          <w:tcPr>
            <w:tcW w:w="703" w:type="dxa"/>
            <w:tcBorders>
              <w:bottom w:val="single" w:color="000000" w:sz="6" w:space="0"/>
            </w:tcBorders>
            <w:vAlign w:val="top"/>
          </w:tcPr>
          <w:p w14:paraId="0FDE5E24">
            <w:pPr>
              <w:spacing w:line="281" w:lineRule="auto"/>
              <w:rPr>
                <w:rFonts w:ascii="Arial"/>
                <w:sz w:val="21"/>
              </w:rPr>
            </w:pPr>
          </w:p>
          <w:p w14:paraId="2AC555C3">
            <w:pPr>
              <w:spacing w:line="281" w:lineRule="auto"/>
              <w:rPr>
                <w:rFonts w:ascii="Arial"/>
                <w:sz w:val="21"/>
              </w:rPr>
            </w:pPr>
          </w:p>
          <w:p w14:paraId="37D4B6BD">
            <w:pPr>
              <w:spacing w:line="282" w:lineRule="auto"/>
              <w:rPr>
                <w:rFonts w:ascii="Arial"/>
                <w:sz w:val="21"/>
              </w:rPr>
            </w:pPr>
          </w:p>
          <w:p w14:paraId="69786613">
            <w:pPr>
              <w:spacing w:line="282" w:lineRule="auto"/>
              <w:rPr>
                <w:rFonts w:ascii="Arial"/>
                <w:sz w:val="21"/>
              </w:rPr>
            </w:pPr>
          </w:p>
          <w:p w14:paraId="68F1B70A">
            <w:pPr>
              <w:spacing w:line="282" w:lineRule="auto"/>
              <w:rPr>
                <w:rFonts w:ascii="Arial"/>
                <w:sz w:val="21"/>
              </w:rPr>
            </w:pPr>
          </w:p>
          <w:p w14:paraId="219848FA">
            <w:pPr>
              <w:spacing w:before="65" w:line="228" w:lineRule="auto"/>
              <w:ind w:left="155"/>
              <w:rPr>
                <w:rFonts w:ascii="宋体" w:hAnsi="宋体" w:eastAsia="宋体" w:cs="宋体"/>
                <w:sz w:val="20"/>
                <w:szCs w:val="20"/>
              </w:rPr>
            </w:pPr>
            <w:r>
              <w:rPr>
                <w:rFonts w:ascii="宋体" w:hAnsi="宋体" w:eastAsia="宋体" w:cs="宋体"/>
                <w:spacing w:val="3"/>
                <w:sz w:val="20"/>
                <w:szCs w:val="20"/>
              </w:rPr>
              <w:t>符合</w:t>
            </w:r>
          </w:p>
        </w:tc>
        <w:tc>
          <w:tcPr>
            <w:tcW w:w="128" w:type="dxa"/>
            <w:vMerge w:val="continue"/>
            <w:tcBorders>
              <w:top w:val="nil"/>
              <w:bottom w:val="single" w:color="000000" w:sz="6" w:space="0"/>
              <w:right w:val="single" w:color="000000" w:sz="6" w:space="0"/>
            </w:tcBorders>
            <w:vAlign w:val="top"/>
          </w:tcPr>
          <w:p w14:paraId="35868708">
            <w:pPr>
              <w:rPr>
                <w:rFonts w:ascii="Arial"/>
                <w:sz w:val="21"/>
              </w:rPr>
            </w:pPr>
          </w:p>
        </w:tc>
      </w:tr>
    </w:tbl>
    <w:p w14:paraId="5771C164">
      <w:pPr>
        <w:pStyle w:val="2"/>
      </w:pPr>
    </w:p>
    <w:p w14:paraId="3542719D">
      <w:pPr>
        <w:sectPr>
          <w:footerReference r:id="rId27" w:type="default"/>
          <w:pgSz w:w="11906" w:h="16839"/>
          <w:pgMar w:top="400" w:right="1509" w:bottom="1329" w:left="1509" w:header="0" w:footer="1113" w:gutter="0"/>
          <w:cols w:space="720" w:num="1"/>
        </w:sectPr>
      </w:pPr>
    </w:p>
    <w:p w14:paraId="0C1A74D9">
      <w:pPr>
        <w:spacing w:before="19"/>
      </w:pPr>
      <w:r>
        <w:pict>
          <v:shape id="_x0000_s1038" o:spid="_x0000_s1038" style="position:absolute;left:0pt;margin-left:139pt;margin-top:742.1pt;height:0.5pt;width:374.65pt;mso-position-horizontal-relative:page;mso-position-vertical-relative:page;z-index:-251655168;mso-width-relative:page;mso-height-relative:page;" filled="f" stroked="t" coordsize="7492,10" o:allowincell="f" path="m0,4l7492,4e">
            <v:fill on="f" focussize="0,0"/>
            <v:stroke weight="0.48pt" color="#000000" miterlimit="2" joinstyle="bevel"/>
            <v:imagedata o:title=""/>
            <o:lock v:ext="edit"/>
          </v:shape>
        </w:pict>
      </w:r>
    </w:p>
    <w:p w14:paraId="65F48F56">
      <w:pPr>
        <w:spacing w:before="19"/>
      </w:pPr>
    </w:p>
    <w:p w14:paraId="57AC7FEE">
      <w:pPr>
        <w:spacing w:before="19"/>
      </w:pPr>
    </w:p>
    <w:p w14:paraId="346FCA9B">
      <w:pPr>
        <w:spacing w:before="18"/>
      </w:pPr>
    </w:p>
    <w:p w14:paraId="5DAF282C">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690"/>
        <w:gridCol w:w="486"/>
        <w:gridCol w:w="2293"/>
        <w:gridCol w:w="3298"/>
        <w:gridCol w:w="703"/>
        <w:gridCol w:w="128"/>
      </w:tblGrid>
      <w:tr w14:paraId="12B67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161" w:type="dxa"/>
            <w:vMerge w:val="restart"/>
            <w:tcBorders>
              <w:top w:val="single" w:color="000000" w:sz="6" w:space="0"/>
              <w:left w:val="single" w:color="000000" w:sz="6" w:space="0"/>
              <w:bottom w:val="nil"/>
            </w:tcBorders>
            <w:vAlign w:val="top"/>
          </w:tcPr>
          <w:p w14:paraId="1B1D0FBE">
            <w:pPr>
              <w:rPr>
                <w:rFonts w:ascii="Arial"/>
                <w:sz w:val="21"/>
              </w:rPr>
            </w:pPr>
          </w:p>
        </w:tc>
        <w:tc>
          <w:tcPr>
            <w:tcW w:w="113" w:type="dxa"/>
            <w:tcBorders>
              <w:top w:val="single" w:color="000000" w:sz="6" w:space="0"/>
              <w:bottom w:val="nil"/>
            </w:tcBorders>
            <w:vAlign w:val="top"/>
          </w:tcPr>
          <w:p w14:paraId="786649D2">
            <w:pPr>
              <w:rPr>
                <w:rFonts w:ascii="Arial"/>
                <w:sz w:val="21"/>
              </w:rPr>
            </w:pPr>
          </w:p>
        </w:tc>
        <w:tc>
          <w:tcPr>
            <w:tcW w:w="690" w:type="dxa"/>
            <w:vMerge w:val="restart"/>
            <w:tcBorders>
              <w:bottom w:val="nil"/>
            </w:tcBorders>
            <w:vAlign w:val="top"/>
          </w:tcPr>
          <w:p w14:paraId="52FF4E07">
            <w:pPr>
              <w:rPr>
                <w:rFonts w:ascii="Arial"/>
                <w:sz w:val="21"/>
              </w:rPr>
            </w:pPr>
          </w:p>
        </w:tc>
        <w:tc>
          <w:tcPr>
            <w:tcW w:w="486" w:type="dxa"/>
            <w:vAlign w:val="top"/>
          </w:tcPr>
          <w:p w14:paraId="1B1D62EE">
            <w:pPr>
              <w:rPr>
                <w:rFonts w:ascii="Arial"/>
                <w:sz w:val="21"/>
              </w:rPr>
            </w:pPr>
          </w:p>
        </w:tc>
        <w:tc>
          <w:tcPr>
            <w:tcW w:w="2293" w:type="dxa"/>
            <w:vAlign w:val="top"/>
          </w:tcPr>
          <w:p w14:paraId="09734F70">
            <w:pPr>
              <w:rPr>
                <w:rFonts w:ascii="Arial"/>
                <w:sz w:val="21"/>
              </w:rPr>
            </w:pPr>
          </w:p>
        </w:tc>
        <w:tc>
          <w:tcPr>
            <w:tcW w:w="3298" w:type="dxa"/>
            <w:vAlign w:val="top"/>
          </w:tcPr>
          <w:p w14:paraId="0FC285D3">
            <w:pPr>
              <w:spacing w:before="37" w:line="230" w:lineRule="auto"/>
              <w:ind w:left="114"/>
              <w:rPr>
                <w:rFonts w:ascii="宋体" w:hAnsi="宋体" w:eastAsia="宋体" w:cs="宋体"/>
                <w:sz w:val="20"/>
                <w:szCs w:val="20"/>
              </w:rPr>
            </w:pPr>
            <w:r>
              <w:rPr>
                <w:rFonts w:ascii="宋体" w:hAnsi="宋体" w:eastAsia="宋体" w:cs="宋体"/>
                <w:spacing w:val="-1"/>
                <w:sz w:val="20"/>
                <w:szCs w:val="20"/>
              </w:rPr>
              <w:t>生；</w:t>
            </w:r>
          </w:p>
        </w:tc>
        <w:tc>
          <w:tcPr>
            <w:tcW w:w="703" w:type="dxa"/>
            <w:vAlign w:val="top"/>
          </w:tcPr>
          <w:p w14:paraId="26C2F265">
            <w:pPr>
              <w:rPr>
                <w:rFonts w:ascii="Arial"/>
                <w:sz w:val="21"/>
              </w:rPr>
            </w:pPr>
          </w:p>
        </w:tc>
        <w:tc>
          <w:tcPr>
            <w:tcW w:w="128" w:type="dxa"/>
            <w:vMerge w:val="restart"/>
            <w:tcBorders>
              <w:top w:val="single" w:color="000000" w:sz="6" w:space="0"/>
              <w:bottom w:val="nil"/>
              <w:right w:val="single" w:color="000000" w:sz="6" w:space="0"/>
            </w:tcBorders>
            <w:vAlign w:val="top"/>
          </w:tcPr>
          <w:p w14:paraId="42435D8C">
            <w:pPr>
              <w:rPr>
                <w:rFonts w:ascii="Arial"/>
                <w:sz w:val="21"/>
              </w:rPr>
            </w:pPr>
          </w:p>
        </w:tc>
      </w:tr>
      <w:tr w14:paraId="15E7C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9" w:hRule="atLeast"/>
        </w:trPr>
        <w:tc>
          <w:tcPr>
            <w:tcW w:w="1161" w:type="dxa"/>
            <w:vMerge w:val="continue"/>
            <w:tcBorders>
              <w:top w:val="nil"/>
              <w:left w:val="single" w:color="000000" w:sz="6" w:space="0"/>
              <w:bottom w:val="nil"/>
            </w:tcBorders>
            <w:vAlign w:val="top"/>
          </w:tcPr>
          <w:p w14:paraId="0FFA41D1">
            <w:pPr>
              <w:rPr>
                <w:rFonts w:ascii="Arial"/>
                <w:sz w:val="21"/>
              </w:rPr>
            </w:pPr>
          </w:p>
        </w:tc>
        <w:tc>
          <w:tcPr>
            <w:tcW w:w="113" w:type="dxa"/>
            <w:tcBorders>
              <w:top w:val="nil"/>
              <w:bottom w:val="nil"/>
            </w:tcBorders>
            <w:vAlign w:val="top"/>
          </w:tcPr>
          <w:p w14:paraId="19FEE4C7">
            <w:pPr>
              <w:rPr>
                <w:rFonts w:ascii="Arial"/>
                <w:sz w:val="21"/>
              </w:rPr>
            </w:pPr>
          </w:p>
        </w:tc>
        <w:tc>
          <w:tcPr>
            <w:tcW w:w="690" w:type="dxa"/>
            <w:vMerge w:val="continue"/>
            <w:tcBorders>
              <w:top w:val="nil"/>
              <w:bottom w:val="nil"/>
            </w:tcBorders>
            <w:vAlign w:val="top"/>
          </w:tcPr>
          <w:p w14:paraId="71B54FA3">
            <w:pPr>
              <w:rPr>
                <w:rFonts w:ascii="Arial"/>
                <w:sz w:val="21"/>
              </w:rPr>
            </w:pPr>
          </w:p>
        </w:tc>
        <w:tc>
          <w:tcPr>
            <w:tcW w:w="486" w:type="dxa"/>
            <w:vMerge w:val="restart"/>
            <w:tcBorders>
              <w:bottom w:val="nil"/>
            </w:tcBorders>
            <w:textDirection w:val="tbRlV"/>
            <w:vAlign w:val="top"/>
          </w:tcPr>
          <w:p w14:paraId="3DD1DAD5">
            <w:pPr>
              <w:spacing w:before="141" w:line="216" w:lineRule="auto"/>
              <w:ind w:left="4134"/>
              <w:rPr>
                <w:rFonts w:ascii="宋体" w:hAnsi="宋体" w:eastAsia="宋体" w:cs="宋体"/>
                <w:sz w:val="20"/>
                <w:szCs w:val="20"/>
              </w:rPr>
            </w:pPr>
            <w:r>
              <w:rPr>
                <w:rFonts w:ascii="宋体" w:hAnsi="宋体" w:eastAsia="宋体" w:cs="宋体"/>
                <w:spacing w:val="8"/>
                <w:sz w:val="20"/>
                <w:szCs w:val="20"/>
              </w:rPr>
              <w:t>污</w:t>
            </w:r>
            <w:r>
              <w:rPr>
                <w:rFonts w:ascii="宋体" w:hAnsi="宋体" w:eastAsia="宋体" w:cs="宋体"/>
                <w:spacing w:val="103"/>
                <w:sz w:val="20"/>
                <w:szCs w:val="20"/>
              </w:rPr>
              <w:t xml:space="preserve"> </w:t>
            </w:r>
            <w:r>
              <w:rPr>
                <w:rFonts w:ascii="宋体" w:hAnsi="宋体" w:eastAsia="宋体" w:cs="宋体"/>
                <w:spacing w:val="8"/>
                <w:sz w:val="20"/>
                <w:szCs w:val="20"/>
              </w:rPr>
              <w:t>染</w:t>
            </w:r>
            <w:r>
              <w:rPr>
                <w:rFonts w:ascii="宋体" w:hAnsi="宋体" w:eastAsia="宋体" w:cs="宋体"/>
                <w:spacing w:val="99"/>
                <w:sz w:val="20"/>
                <w:szCs w:val="20"/>
              </w:rPr>
              <w:t xml:space="preserve"> </w:t>
            </w:r>
            <w:r>
              <w:rPr>
                <w:rFonts w:ascii="宋体" w:hAnsi="宋体" w:eastAsia="宋体" w:cs="宋体"/>
                <w:spacing w:val="8"/>
                <w:sz w:val="20"/>
                <w:szCs w:val="20"/>
              </w:rPr>
              <w:t>物</w:t>
            </w:r>
            <w:r>
              <w:rPr>
                <w:rFonts w:ascii="宋体" w:hAnsi="宋体" w:eastAsia="宋体" w:cs="宋体"/>
                <w:spacing w:val="100"/>
                <w:sz w:val="20"/>
                <w:szCs w:val="20"/>
              </w:rPr>
              <w:t xml:space="preserve"> </w:t>
            </w:r>
            <w:r>
              <w:rPr>
                <w:rFonts w:ascii="宋体" w:hAnsi="宋体" w:eastAsia="宋体" w:cs="宋体"/>
                <w:spacing w:val="8"/>
                <w:sz w:val="20"/>
                <w:szCs w:val="20"/>
              </w:rPr>
              <w:t>排</w:t>
            </w:r>
            <w:r>
              <w:rPr>
                <w:rFonts w:ascii="宋体" w:hAnsi="宋体" w:eastAsia="宋体" w:cs="宋体"/>
                <w:spacing w:val="99"/>
                <w:sz w:val="20"/>
                <w:szCs w:val="20"/>
              </w:rPr>
              <w:t xml:space="preserve"> </w:t>
            </w:r>
            <w:r>
              <w:rPr>
                <w:rFonts w:ascii="宋体" w:hAnsi="宋体" w:eastAsia="宋体" w:cs="宋体"/>
                <w:spacing w:val="8"/>
                <w:sz w:val="20"/>
                <w:szCs w:val="20"/>
              </w:rPr>
              <w:t>放</w:t>
            </w:r>
            <w:r>
              <w:rPr>
                <w:rFonts w:ascii="宋体" w:hAnsi="宋体" w:eastAsia="宋体" w:cs="宋体"/>
                <w:spacing w:val="99"/>
                <w:sz w:val="20"/>
                <w:szCs w:val="20"/>
              </w:rPr>
              <w:t xml:space="preserve"> </w:t>
            </w:r>
            <w:r>
              <w:rPr>
                <w:rFonts w:ascii="宋体" w:hAnsi="宋体" w:eastAsia="宋体" w:cs="宋体"/>
                <w:spacing w:val="8"/>
                <w:sz w:val="20"/>
                <w:szCs w:val="20"/>
              </w:rPr>
              <w:t>管</w:t>
            </w:r>
            <w:r>
              <w:rPr>
                <w:rFonts w:ascii="宋体" w:hAnsi="宋体" w:eastAsia="宋体" w:cs="宋体"/>
                <w:spacing w:val="1"/>
                <w:sz w:val="20"/>
                <w:szCs w:val="20"/>
              </w:rPr>
              <w:t xml:space="preserve">  </w:t>
            </w:r>
            <w:r>
              <w:rPr>
                <w:rFonts w:ascii="宋体" w:hAnsi="宋体" w:eastAsia="宋体" w:cs="宋体"/>
                <w:spacing w:val="8"/>
                <w:sz w:val="20"/>
                <w:szCs w:val="20"/>
              </w:rPr>
              <w:t>控</w:t>
            </w:r>
          </w:p>
        </w:tc>
        <w:tc>
          <w:tcPr>
            <w:tcW w:w="2293" w:type="dxa"/>
            <w:vAlign w:val="top"/>
          </w:tcPr>
          <w:p w14:paraId="020233D5">
            <w:pPr>
              <w:spacing w:before="236" w:line="227" w:lineRule="auto"/>
              <w:ind w:right="11"/>
              <w:jc w:val="right"/>
              <w:rPr>
                <w:rFonts w:ascii="宋体" w:hAnsi="宋体" w:eastAsia="宋体" w:cs="宋体"/>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23"/>
                <w:sz w:val="20"/>
                <w:szCs w:val="20"/>
              </w:rPr>
              <w:t xml:space="preserve"> </w:t>
            </w:r>
            <w:r>
              <w:rPr>
                <w:rFonts w:ascii="宋体" w:hAnsi="宋体" w:eastAsia="宋体" w:cs="宋体"/>
                <w:spacing w:val="2"/>
                <w:sz w:val="20"/>
                <w:szCs w:val="20"/>
              </w:rPr>
              <w:t>、主要指标二氧化硫、</w:t>
            </w:r>
          </w:p>
          <w:p w14:paraId="51C3DA82">
            <w:pPr>
              <w:spacing w:before="162" w:line="227" w:lineRule="auto"/>
              <w:ind w:left="107"/>
              <w:rPr>
                <w:rFonts w:ascii="宋体" w:hAnsi="宋体" w:eastAsia="宋体" w:cs="宋体"/>
                <w:sz w:val="20"/>
                <w:szCs w:val="20"/>
              </w:rPr>
            </w:pPr>
            <w:r>
              <w:rPr>
                <w:rFonts w:ascii="宋体" w:hAnsi="宋体" w:eastAsia="宋体" w:cs="宋体"/>
                <w:spacing w:val="7"/>
                <w:sz w:val="20"/>
                <w:szCs w:val="20"/>
              </w:rPr>
              <w:t>氮氧化物、挥发性有机</w:t>
            </w:r>
          </w:p>
          <w:p w14:paraId="5A8CECAC">
            <w:pPr>
              <w:spacing w:before="164" w:line="228" w:lineRule="auto"/>
              <w:ind w:left="108"/>
              <w:rPr>
                <w:rFonts w:ascii="宋体" w:hAnsi="宋体" w:eastAsia="宋体" w:cs="宋体"/>
                <w:sz w:val="20"/>
                <w:szCs w:val="20"/>
              </w:rPr>
            </w:pPr>
            <w:r>
              <w:rPr>
                <w:rFonts w:ascii="宋体" w:hAnsi="宋体" w:eastAsia="宋体" w:cs="宋体"/>
                <w:spacing w:val="7"/>
                <w:sz w:val="20"/>
                <w:szCs w:val="20"/>
              </w:rPr>
              <w:t>废气达到《环境空气质</w:t>
            </w:r>
          </w:p>
          <w:p w14:paraId="2E8A3A6B">
            <w:pPr>
              <w:spacing w:before="160" w:line="228" w:lineRule="auto"/>
              <w:ind w:left="109"/>
              <w:rPr>
                <w:rFonts w:ascii="宋体" w:hAnsi="宋体" w:eastAsia="宋体" w:cs="宋体"/>
                <w:sz w:val="20"/>
                <w:szCs w:val="20"/>
              </w:rPr>
            </w:pPr>
            <w:r>
              <w:rPr>
                <w:rFonts w:ascii="宋体" w:hAnsi="宋体" w:eastAsia="宋体" w:cs="宋体"/>
                <w:spacing w:val="5"/>
                <w:sz w:val="20"/>
                <w:szCs w:val="20"/>
              </w:rPr>
              <w:t>量标准》</w:t>
            </w:r>
          </w:p>
          <w:p w14:paraId="7F29E858">
            <w:pPr>
              <w:spacing w:before="161" w:line="230" w:lineRule="auto"/>
              <w:ind w:left="119"/>
              <w:rPr>
                <w:rFonts w:ascii="宋体" w:hAnsi="宋体" w:eastAsia="宋体" w:cs="宋体"/>
                <w:sz w:val="20"/>
                <w:szCs w:val="20"/>
              </w:rPr>
            </w:pPr>
            <w:r>
              <w:rPr>
                <w:rFonts w:ascii="宋体" w:hAnsi="宋体" w:eastAsia="宋体" w:cs="宋体"/>
                <w:spacing w:val="5"/>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3095-2012</w:t>
            </w:r>
            <w:r>
              <w:rPr>
                <w:rFonts w:ascii="宋体" w:hAnsi="宋体" w:eastAsia="宋体" w:cs="宋体"/>
                <w:spacing w:val="5"/>
                <w:sz w:val="20"/>
                <w:szCs w:val="20"/>
              </w:rPr>
              <w:t>）二级</w:t>
            </w:r>
          </w:p>
          <w:p w14:paraId="061ED611">
            <w:pPr>
              <w:spacing w:before="159" w:line="228" w:lineRule="auto"/>
              <w:ind w:left="109"/>
              <w:rPr>
                <w:rFonts w:ascii="宋体" w:hAnsi="宋体" w:eastAsia="宋体" w:cs="宋体"/>
                <w:sz w:val="20"/>
                <w:szCs w:val="20"/>
              </w:rPr>
            </w:pPr>
            <w:r>
              <w:rPr>
                <w:rFonts w:ascii="宋体" w:hAnsi="宋体" w:eastAsia="宋体" w:cs="宋体"/>
                <w:spacing w:val="2"/>
                <w:sz w:val="20"/>
                <w:szCs w:val="20"/>
              </w:rPr>
              <w:t>标准。</w:t>
            </w:r>
          </w:p>
        </w:tc>
        <w:tc>
          <w:tcPr>
            <w:tcW w:w="3298" w:type="dxa"/>
            <w:vAlign w:val="top"/>
          </w:tcPr>
          <w:p w14:paraId="185EE990">
            <w:pPr>
              <w:spacing w:before="33" w:line="370" w:lineRule="auto"/>
              <w:ind w:left="112" w:right="101" w:firstLine="1"/>
              <w:jc w:val="both"/>
              <w:rPr>
                <w:rFonts w:ascii="宋体" w:hAnsi="宋体" w:eastAsia="宋体" w:cs="宋体"/>
                <w:sz w:val="20"/>
                <w:szCs w:val="20"/>
              </w:rPr>
            </w:pPr>
            <w:r>
              <w:rPr>
                <w:rFonts w:ascii="宋体" w:hAnsi="宋体" w:eastAsia="宋体" w:cs="宋体"/>
                <w:spacing w:val="5"/>
                <w:sz w:val="20"/>
                <w:szCs w:val="20"/>
              </w:rPr>
              <w:t>本项目位于金所工业园区，根据昆</w:t>
            </w:r>
            <w:r>
              <w:rPr>
                <w:rFonts w:ascii="宋体" w:hAnsi="宋体" w:eastAsia="宋体" w:cs="宋体"/>
                <w:spacing w:val="7"/>
                <w:sz w:val="20"/>
                <w:szCs w:val="20"/>
              </w:rPr>
              <w:t>明市生态环境局发布的《</w:t>
            </w:r>
            <w:r>
              <w:rPr>
                <w:rFonts w:ascii="Times New Roman" w:hAnsi="Times New Roman" w:eastAsia="Times New Roman" w:cs="Times New Roman"/>
                <w:spacing w:val="7"/>
                <w:sz w:val="20"/>
                <w:szCs w:val="20"/>
              </w:rPr>
              <w:t xml:space="preserve">2024 </w:t>
            </w:r>
            <w:r>
              <w:rPr>
                <w:rFonts w:ascii="宋体" w:hAnsi="宋体" w:eastAsia="宋体" w:cs="宋体"/>
                <w:spacing w:val="7"/>
                <w:sz w:val="20"/>
                <w:szCs w:val="20"/>
              </w:rPr>
              <w:t>年</w:t>
            </w:r>
            <w:r>
              <w:rPr>
                <w:rFonts w:ascii="宋体" w:hAnsi="宋体" w:eastAsia="宋体" w:cs="宋体"/>
                <w:spacing w:val="5"/>
                <w:sz w:val="20"/>
                <w:szCs w:val="20"/>
              </w:rPr>
              <w:t>度昆明市生态环境状况公报》以及引用的环境监测数据，项目所在区环境空气质量满足《环境空气质量</w:t>
            </w:r>
            <w:r>
              <w:rPr>
                <w:rFonts w:ascii="宋体" w:hAnsi="宋体" w:eastAsia="宋体" w:cs="宋体"/>
                <w:spacing w:val="7"/>
                <w:sz w:val="20"/>
                <w:szCs w:val="20"/>
              </w:rPr>
              <w:t>标准》（</w:t>
            </w:r>
            <w:r>
              <w:rPr>
                <w:rFonts w:ascii="Times New Roman" w:hAnsi="Times New Roman" w:eastAsia="Times New Roman" w:cs="Times New Roman"/>
                <w:sz w:val="20"/>
                <w:szCs w:val="20"/>
              </w:rPr>
              <w:t>GB</w:t>
            </w:r>
            <w:r>
              <w:rPr>
                <w:rFonts w:ascii="Times New Roman" w:hAnsi="Times New Roman" w:eastAsia="Times New Roman" w:cs="Times New Roman"/>
                <w:spacing w:val="7"/>
                <w:sz w:val="20"/>
                <w:szCs w:val="20"/>
              </w:rPr>
              <w:t>3095—2012</w:t>
            </w:r>
            <w:r>
              <w:rPr>
                <w:rFonts w:ascii="宋体" w:hAnsi="宋体" w:eastAsia="宋体" w:cs="宋体"/>
                <w:spacing w:val="7"/>
                <w:sz w:val="20"/>
                <w:szCs w:val="20"/>
              </w:rPr>
              <w:t>）二级标</w:t>
            </w:r>
            <w:r>
              <w:rPr>
                <w:rFonts w:ascii="宋体" w:hAnsi="宋体" w:eastAsia="宋体" w:cs="宋体"/>
                <w:sz w:val="20"/>
                <w:szCs w:val="20"/>
              </w:rPr>
              <w:t>准。</w:t>
            </w:r>
          </w:p>
        </w:tc>
        <w:tc>
          <w:tcPr>
            <w:tcW w:w="703" w:type="dxa"/>
            <w:vAlign w:val="top"/>
          </w:tcPr>
          <w:p w14:paraId="03FCAFD7">
            <w:pPr>
              <w:spacing w:line="296" w:lineRule="auto"/>
              <w:rPr>
                <w:rFonts w:ascii="Arial"/>
                <w:sz w:val="21"/>
              </w:rPr>
            </w:pPr>
          </w:p>
          <w:p w14:paraId="24A4384B">
            <w:pPr>
              <w:spacing w:line="296" w:lineRule="auto"/>
              <w:rPr>
                <w:rFonts w:ascii="Arial"/>
                <w:sz w:val="21"/>
              </w:rPr>
            </w:pPr>
          </w:p>
          <w:p w14:paraId="119E4AA5">
            <w:pPr>
              <w:spacing w:line="297" w:lineRule="auto"/>
              <w:rPr>
                <w:rFonts w:ascii="Arial"/>
                <w:sz w:val="21"/>
              </w:rPr>
            </w:pPr>
          </w:p>
          <w:p w14:paraId="5014E794">
            <w:pPr>
              <w:spacing w:line="297" w:lineRule="auto"/>
              <w:rPr>
                <w:rFonts w:ascii="Arial"/>
                <w:sz w:val="21"/>
              </w:rPr>
            </w:pPr>
          </w:p>
          <w:p w14:paraId="7C23C2D5">
            <w:pPr>
              <w:spacing w:before="65" w:line="228" w:lineRule="auto"/>
              <w:ind w:left="155"/>
              <w:rPr>
                <w:rFonts w:ascii="宋体" w:hAnsi="宋体" w:eastAsia="宋体" w:cs="宋体"/>
                <w:sz w:val="20"/>
                <w:szCs w:val="20"/>
              </w:rPr>
            </w:pPr>
            <w:r>
              <w:rPr>
                <w:rFonts w:ascii="宋体" w:hAnsi="宋体" w:eastAsia="宋体" w:cs="宋体"/>
                <w:spacing w:val="3"/>
                <w:sz w:val="20"/>
                <w:szCs w:val="20"/>
              </w:rPr>
              <w:t>符合</w:t>
            </w:r>
          </w:p>
        </w:tc>
        <w:tc>
          <w:tcPr>
            <w:tcW w:w="128" w:type="dxa"/>
            <w:vMerge w:val="continue"/>
            <w:tcBorders>
              <w:top w:val="nil"/>
              <w:bottom w:val="nil"/>
              <w:right w:val="single" w:color="000000" w:sz="6" w:space="0"/>
            </w:tcBorders>
            <w:vAlign w:val="top"/>
          </w:tcPr>
          <w:p w14:paraId="1C282CAF">
            <w:pPr>
              <w:rPr>
                <w:rFonts w:ascii="Arial"/>
                <w:sz w:val="21"/>
              </w:rPr>
            </w:pPr>
          </w:p>
        </w:tc>
      </w:tr>
      <w:tr w14:paraId="2B742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6" w:hRule="atLeast"/>
        </w:trPr>
        <w:tc>
          <w:tcPr>
            <w:tcW w:w="1161" w:type="dxa"/>
            <w:vMerge w:val="continue"/>
            <w:tcBorders>
              <w:top w:val="nil"/>
              <w:left w:val="single" w:color="000000" w:sz="6" w:space="0"/>
              <w:bottom w:val="nil"/>
            </w:tcBorders>
            <w:vAlign w:val="top"/>
          </w:tcPr>
          <w:p w14:paraId="23927850">
            <w:pPr>
              <w:rPr>
                <w:rFonts w:ascii="Arial"/>
                <w:sz w:val="21"/>
              </w:rPr>
            </w:pPr>
          </w:p>
        </w:tc>
        <w:tc>
          <w:tcPr>
            <w:tcW w:w="113" w:type="dxa"/>
            <w:tcBorders>
              <w:top w:val="nil"/>
              <w:bottom w:val="nil"/>
            </w:tcBorders>
            <w:vAlign w:val="top"/>
          </w:tcPr>
          <w:p w14:paraId="2EAA2A6B">
            <w:pPr>
              <w:rPr>
                <w:rFonts w:ascii="Arial"/>
                <w:sz w:val="21"/>
              </w:rPr>
            </w:pPr>
          </w:p>
        </w:tc>
        <w:tc>
          <w:tcPr>
            <w:tcW w:w="690" w:type="dxa"/>
            <w:vMerge w:val="continue"/>
            <w:tcBorders>
              <w:top w:val="nil"/>
              <w:bottom w:val="nil"/>
            </w:tcBorders>
            <w:vAlign w:val="top"/>
          </w:tcPr>
          <w:p w14:paraId="6D946C17">
            <w:pPr>
              <w:rPr>
                <w:rFonts w:ascii="Arial"/>
                <w:sz w:val="21"/>
              </w:rPr>
            </w:pPr>
          </w:p>
        </w:tc>
        <w:tc>
          <w:tcPr>
            <w:tcW w:w="486" w:type="dxa"/>
            <w:vMerge w:val="continue"/>
            <w:tcBorders>
              <w:top w:val="nil"/>
              <w:bottom w:val="nil"/>
            </w:tcBorders>
            <w:textDirection w:val="tbRlV"/>
            <w:vAlign w:val="top"/>
          </w:tcPr>
          <w:p w14:paraId="7386BE60">
            <w:pPr>
              <w:rPr>
                <w:rFonts w:ascii="Arial"/>
                <w:sz w:val="21"/>
              </w:rPr>
            </w:pPr>
          </w:p>
        </w:tc>
        <w:tc>
          <w:tcPr>
            <w:tcW w:w="2293" w:type="dxa"/>
            <w:vAlign w:val="top"/>
          </w:tcPr>
          <w:p w14:paraId="44F858EB">
            <w:pPr>
              <w:spacing w:before="51" w:line="228" w:lineRule="auto"/>
              <w:ind w:left="105"/>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21"/>
                <w:sz w:val="20"/>
                <w:szCs w:val="20"/>
              </w:rPr>
              <w:t xml:space="preserve"> </w:t>
            </w:r>
            <w:r>
              <w:rPr>
                <w:rFonts w:ascii="宋体" w:hAnsi="宋体" w:eastAsia="宋体" w:cs="宋体"/>
                <w:spacing w:val="6"/>
                <w:sz w:val="20"/>
                <w:szCs w:val="20"/>
              </w:rPr>
              <w:t>、现状已发展成熟的</w:t>
            </w:r>
          </w:p>
          <w:p w14:paraId="5B1BAD0E">
            <w:pPr>
              <w:spacing w:before="160" w:line="228" w:lineRule="auto"/>
              <w:ind w:left="109"/>
              <w:rPr>
                <w:rFonts w:ascii="宋体" w:hAnsi="宋体" w:eastAsia="宋体" w:cs="宋体"/>
                <w:sz w:val="20"/>
                <w:szCs w:val="20"/>
              </w:rPr>
            </w:pPr>
            <w:r>
              <w:rPr>
                <w:rFonts w:ascii="宋体" w:hAnsi="宋体" w:eastAsia="宋体" w:cs="宋体"/>
                <w:spacing w:val="8"/>
                <w:sz w:val="20"/>
                <w:szCs w:val="20"/>
              </w:rPr>
              <w:t>煤磷盐化工企业及目</w:t>
            </w:r>
          </w:p>
          <w:p w14:paraId="5B67EFC1">
            <w:pPr>
              <w:spacing w:before="161" w:line="228" w:lineRule="auto"/>
              <w:ind w:left="112"/>
              <w:rPr>
                <w:rFonts w:ascii="宋体" w:hAnsi="宋体" w:eastAsia="宋体" w:cs="宋体"/>
                <w:sz w:val="20"/>
                <w:szCs w:val="20"/>
              </w:rPr>
            </w:pPr>
            <w:r>
              <w:rPr>
                <w:rFonts w:ascii="宋体" w:hAnsi="宋体" w:eastAsia="宋体" w:cs="宋体"/>
                <w:spacing w:val="8"/>
                <w:sz w:val="20"/>
                <w:szCs w:val="20"/>
              </w:rPr>
              <w:t>前做到零排放的企业</w:t>
            </w:r>
          </w:p>
          <w:p w14:paraId="23B16566">
            <w:pPr>
              <w:spacing w:before="161" w:line="228" w:lineRule="auto"/>
              <w:ind w:left="110"/>
              <w:rPr>
                <w:rFonts w:ascii="宋体" w:hAnsi="宋体" w:eastAsia="宋体" w:cs="宋体"/>
                <w:sz w:val="20"/>
                <w:szCs w:val="20"/>
              </w:rPr>
            </w:pPr>
            <w:r>
              <w:rPr>
                <w:rFonts w:ascii="宋体" w:hAnsi="宋体" w:eastAsia="宋体" w:cs="宋体"/>
                <w:spacing w:val="6"/>
                <w:sz w:val="20"/>
                <w:szCs w:val="20"/>
              </w:rPr>
              <w:t>按现状方式排水；金所</w:t>
            </w:r>
          </w:p>
          <w:p w14:paraId="65A94E27">
            <w:pPr>
              <w:spacing w:before="160" w:line="228" w:lineRule="auto"/>
              <w:ind w:left="114"/>
              <w:rPr>
                <w:rFonts w:ascii="宋体" w:hAnsi="宋体" w:eastAsia="宋体" w:cs="宋体"/>
                <w:sz w:val="20"/>
                <w:szCs w:val="20"/>
              </w:rPr>
            </w:pPr>
            <w:r>
              <w:rPr>
                <w:rFonts w:ascii="宋体" w:hAnsi="宋体" w:eastAsia="宋体" w:cs="宋体"/>
                <w:spacing w:val="6"/>
                <w:sz w:val="20"/>
                <w:szCs w:val="20"/>
              </w:rPr>
              <w:t>片区：未来入驻企业生</w:t>
            </w:r>
          </w:p>
          <w:p w14:paraId="7B53B925">
            <w:pPr>
              <w:spacing w:before="161" w:line="228" w:lineRule="auto"/>
              <w:ind w:left="109"/>
              <w:rPr>
                <w:rFonts w:ascii="宋体" w:hAnsi="宋体" w:eastAsia="宋体" w:cs="宋体"/>
                <w:sz w:val="20"/>
                <w:szCs w:val="20"/>
              </w:rPr>
            </w:pPr>
            <w:r>
              <w:rPr>
                <w:rFonts w:ascii="宋体" w:hAnsi="宋体" w:eastAsia="宋体" w:cs="宋体"/>
                <w:spacing w:val="8"/>
                <w:sz w:val="20"/>
                <w:szCs w:val="20"/>
              </w:rPr>
              <w:t>产废水由企业自行处</w:t>
            </w:r>
          </w:p>
          <w:p w14:paraId="13B32EEA">
            <w:pPr>
              <w:spacing w:before="163" w:line="228" w:lineRule="auto"/>
              <w:ind w:left="111"/>
              <w:rPr>
                <w:rFonts w:ascii="宋体" w:hAnsi="宋体" w:eastAsia="宋体" w:cs="宋体"/>
                <w:sz w:val="20"/>
                <w:szCs w:val="20"/>
              </w:rPr>
            </w:pPr>
            <w:r>
              <w:rPr>
                <w:rFonts w:ascii="宋体" w:hAnsi="宋体" w:eastAsia="宋体" w:cs="宋体"/>
                <w:spacing w:val="8"/>
                <w:sz w:val="20"/>
                <w:szCs w:val="20"/>
              </w:rPr>
              <w:t>理达标后循环回用不</w:t>
            </w:r>
          </w:p>
          <w:p w14:paraId="3E8077E7">
            <w:pPr>
              <w:spacing w:before="162" w:line="228" w:lineRule="auto"/>
              <w:ind w:left="113"/>
              <w:rPr>
                <w:rFonts w:ascii="宋体" w:hAnsi="宋体" w:eastAsia="宋体" w:cs="宋体"/>
                <w:sz w:val="20"/>
                <w:szCs w:val="20"/>
              </w:rPr>
            </w:pPr>
            <w:r>
              <w:rPr>
                <w:rFonts w:ascii="宋体" w:hAnsi="宋体" w:eastAsia="宋体" w:cs="宋体"/>
                <w:spacing w:val="1"/>
                <w:sz w:val="20"/>
                <w:szCs w:val="20"/>
              </w:rPr>
              <w:t>外排。</w:t>
            </w:r>
          </w:p>
        </w:tc>
        <w:tc>
          <w:tcPr>
            <w:tcW w:w="3298" w:type="dxa"/>
            <w:vMerge w:val="restart"/>
            <w:tcBorders>
              <w:bottom w:val="nil"/>
            </w:tcBorders>
            <w:vAlign w:val="top"/>
          </w:tcPr>
          <w:p w14:paraId="7EA6ADBF">
            <w:pPr>
              <w:spacing w:line="246" w:lineRule="auto"/>
              <w:rPr>
                <w:rFonts w:ascii="Arial"/>
                <w:sz w:val="21"/>
              </w:rPr>
            </w:pPr>
          </w:p>
          <w:p w14:paraId="03B26E76">
            <w:pPr>
              <w:spacing w:line="246" w:lineRule="auto"/>
              <w:rPr>
                <w:rFonts w:ascii="Arial"/>
                <w:sz w:val="21"/>
              </w:rPr>
            </w:pPr>
          </w:p>
          <w:p w14:paraId="7ADAFDB9">
            <w:pPr>
              <w:spacing w:line="247" w:lineRule="auto"/>
              <w:rPr>
                <w:rFonts w:ascii="Arial"/>
                <w:sz w:val="21"/>
              </w:rPr>
            </w:pPr>
          </w:p>
          <w:p w14:paraId="7E0BD464">
            <w:pPr>
              <w:spacing w:line="247" w:lineRule="auto"/>
              <w:rPr>
                <w:rFonts w:ascii="Arial"/>
                <w:sz w:val="21"/>
              </w:rPr>
            </w:pPr>
          </w:p>
          <w:p w14:paraId="3C107C82">
            <w:pPr>
              <w:spacing w:line="247" w:lineRule="auto"/>
              <w:rPr>
                <w:rFonts w:ascii="Arial"/>
                <w:sz w:val="21"/>
              </w:rPr>
            </w:pPr>
          </w:p>
          <w:p w14:paraId="5490E857">
            <w:pPr>
              <w:spacing w:line="247" w:lineRule="auto"/>
              <w:rPr>
                <w:rFonts w:ascii="Arial"/>
                <w:sz w:val="21"/>
              </w:rPr>
            </w:pPr>
          </w:p>
          <w:p w14:paraId="52FECF64">
            <w:pPr>
              <w:spacing w:line="247" w:lineRule="auto"/>
              <w:rPr>
                <w:rFonts w:ascii="Arial"/>
                <w:sz w:val="21"/>
              </w:rPr>
            </w:pPr>
          </w:p>
          <w:p w14:paraId="247E816F">
            <w:pPr>
              <w:spacing w:line="247" w:lineRule="auto"/>
              <w:rPr>
                <w:rFonts w:ascii="Arial"/>
                <w:sz w:val="21"/>
              </w:rPr>
            </w:pPr>
          </w:p>
          <w:p w14:paraId="2C668484">
            <w:pPr>
              <w:spacing w:line="247" w:lineRule="auto"/>
              <w:rPr>
                <w:rFonts w:ascii="Arial"/>
                <w:sz w:val="21"/>
              </w:rPr>
            </w:pPr>
          </w:p>
          <w:p w14:paraId="025296C9">
            <w:pPr>
              <w:spacing w:before="65" w:line="378" w:lineRule="auto"/>
              <w:ind w:left="112" w:right="101"/>
              <w:rPr>
                <w:rFonts w:ascii="宋体" w:hAnsi="宋体" w:eastAsia="宋体" w:cs="宋体"/>
                <w:sz w:val="20"/>
                <w:szCs w:val="20"/>
              </w:rPr>
            </w:pPr>
            <w:r>
              <w:rPr>
                <w:rFonts w:ascii="宋体" w:hAnsi="宋体" w:eastAsia="宋体" w:cs="宋体"/>
                <w:spacing w:val="9"/>
                <w:sz w:val="20"/>
                <w:szCs w:val="20"/>
              </w:rPr>
              <w:t>本项目位于金所片区，无生产废</w:t>
            </w:r>
            <w:r>
              <w:rPr>
                <w:rFonts w:ascii="宋体" w:hAnsi="宋体" w:eastAsia="宋体" w:cs="宋体"/>
                <w:spacing w:val="5"/>
                <w:sz w:val="20"/>
                <w:szCs w:val="20"/>
              </w:rPr>
              <w:t>水，生产用水量较小，资源消耗量</w:t>
            </w:r>
            <w:r>
              <w:rPr>
                <w:rFonts w:ascii="宋体" w:hAnsi="宋体" w:eastAsia="宋体" w:cs="宋体"/>
                <w:spacing w:val="9"/>
                <w:sz w:val="20"/>
                <w:szCs w:val="20"/>
              </w:rPr>
              <w:t>相对区域资源利用总量较少符合</w:t>
            </w:r>
            <w:r>
              <w:rPr>
                <w:rFonts w:ascii="宋体" w:hAnsi="宋体" w:eastAsia="宋体" w:cs="宋体"/>
                <w:spacing w:val="8"/>
                <w:sz w:val="20"/>
                <w:szCs w:val="20"/>
              </w:rPr>
              <w:t>地表水环境质量底线要求。</w:t>
            </w:r>
          </w:p>
        </w:tc>
        <w:tc>
          <w:tcPr>
            <w:tcW w:w="703" w:type="dxa"/>
            <w:vAlign w:val="top"/>
          </w:tcPr>
          <w:p w14:paraId="7F27F012">
            <w:pPr>
              <w:spacing w:line="281" w:lineRule="auto"/>
              <w:rPr>
                <w:rFonts w:ascii="Arial"/>
                <w:sz w:val="21"/>
              </w:rPr>
            </w:pPr>
          </w:p>
          <w:p w14:paraId="4E28BCD5">
            <w:pPr>
              <w:spacing w:line="281" w:lineRule="auto"/>
              <w:rPr>
                <w:rFonts w:ascii="Arial"/>
                <w:sz w:val="21"/>
              </w:rPr>
            </w:pPr>
          </w:p>
          <w:p w14:paraId="5EFFD582">
            <w:pPr>
              <w:spacing w:line="281" w:lineRule="auto"/>
              <w:rPr>
                <w:rFonts w:ascii="Arial"/>
                <w:sz w:val="21"/>
              </w:rPr>
            </w:pPr>
          </w:p>
          <w:p w14:paraId="0ED3A17E">
            <w:pPr>
              <w:spacing w:line="281" w:lineRule="auto"/>
              <w:rPr>
                <w:rFonts w:ascii="Arial"/>
                <w:sz w:val="21"/>
              </w:rPr>
            </w:pPr>
          </w:p>
          <w:p w14:paraId="4C66F2B3">
            <w:pPr>
              <w:spacing w:line="281" w:lineRule="auto"/>
              <w:rPr>
                <w:rFonts w:ascii="Arial"/>
                <w:sz w:val="21"/>
              </w:rPr>
            </w:pPr>
          </w:p>
          <w:p w14:paraId="787DF631">
            <w:pPr>
              <w:spacing w:before="65" w:line="228" w:lineRule="auto"/>
              <w:ind w:left="155"/>
              <w:rPr>
                <w:rFonts w:ascii="宋体" w:hAnsi="宋体" w:eastAsia="宋体" w:cs="宋体"/>
                <w:sz w:val="20"/>
                <w:szCs w:val="20"/>
              </w:rPr>
            </w:pPr>
            <w:r>
              <w:rPr>
                <w:rFonts w:ascii="宋体" w:hAnsi="宋体" w:eastAsia="宋体" w:cs="宋体"/>
                <w:spacing w:val="3"/>
                <w:sz w:val="20"/>
                <w:szCs w:val="20"/>
              </w:rPr>
              <w:t>符合</w:t>
            </w:r>
          </w:p>
        </w:tc>
        <w:tc>
          <w:tcPr>
            <w:tcW w:w="128" w:type="dxa"/>
            <w:vMerge w:val="continue"/>
            <w:tcBorders>
              <w:top w:val="nil"/>
              <w:bottom w:val="nil"/>
              <w:right w:val="single" w:color="000000" w:sz="6" w:space="0"/>
            </w:tcBorders>
            <w:vAlign w:val="top"/>
          </w:tcPr>
          <w:p w14:paraId="01DA21D6">
            <w:pPr>
              <w:rPr>
                <w:rFonts w:ascii="Arial"/>
                <w:sz w:val="21"/>
              </w:rPr>
            </w:pPr>
          </w:p>
        </w:tc>
      </w:tr>
      <w:tr w14:paraId="3BDC9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9" w:hRule="atLeast"/>
        </w:trPr>
        <w:tc>
          <w:tcPr>
            <w:tcW w:w="1161" w:type="dxa"/>
            <w:vMerge w:val="continue"/>
            <w:tcBorders>
              <w:top w:val="nil"/>
              <w:left w:val="single" w:color="000000" w:sz="6" w:space="0"/>
              <w:bottom w:val="nil"/>
            </w:tcBorders>
            <w:vAlign w:val="top"/>
          </w:tcPr>
          <w:p w14:paraId="5C58263C">
            <w:pPr>
              <w:rPr>
                <w:rFonts w:ascii="Arial"/>
                <w:sz w:val="21"/>
              </w:rPr>
            </w:pPr>
          </w:p>
        </w:tc>
        <w:tc>
          <w:tcPr>
            <w:tcW w:w="113" w:type="dxa"/>
            <w:tcBorders>
              <w:top w:val="nil"/>
              <w:bottom w:val="nil"/>
            </w:tcBorders>
            <w:vAlign w:val="top"/>
          </w:tcPr>
          <w:p w14:paraId="54E4E109">
            <w:pPr>
              <w:rPr>
                <w:rFonts w:ascii="Arial"/>
                <w:sz w:val="21"/>
              </w:rPr>
            </w:pPr>
          </w:p>
        </w:tc>
        <w:tc>
          <w:tcPr>
            <w:tcW w:w="690" w:type="dxa"/>
            <w:vMerge w:val="continue"/>
            <w:tcBorders>
              <w:top w:val="nil"/>
              <w:bottom w:val="nil"/>
            </w:tcBorders>
            <w:vAlign w:val="top"/>
          </w:tcPr>
          <w:p w14:paraId="5929E5C7">
            <w:pPr>
              <w:rPr>
                <w:rFonts w:ascii="Arial"/>
                <w:sz w:val="21"/>
              </w:rPr>
            </w:pPr>
          </w:p>
        </w:tc>
        <w:tc>
          <w:tcPr>
            <w:tcW w:w="486" w:type="dxa"/>
            <w:vMerge w:val="continue"/>
            <w:tcBorders>
              <w:top w:val="nil"/>
              <w:bottom w:val="nil"/>
            </w:tcBorders>
            <w:textDirection w:val="tbRlV"/>
            <w:vAlign w:val="top"/>
          </w:tcPr>
          <w:p w14:paraId="4C646FBB">
            <w:pPr>
              <w:rPr>
                <w:rFonts w:ascii="Arial"/>
                <w:sz w:val="21"/>
              </w:rPr>
            </w:pPr>
          </w:p>
        </w:tc>
        <w:tc>
          <w:tcPr>
            <w:tcW w:w="2293" w:type="dxa"/>
            <w:vAlign w:val="top"/>
          </w:tcPr>
          <w:p w14:paraId="15365CD1">
            <w:pPr>
              <w:spacing w:before="66" w:line="228" w:lineRule="auto"/>
              <w:ind w:left="109"/>
              <w:rPr>
                <w:rFonts w:ascii="宋体" w:hAnsi="宋体" w:eastAsia="宋体" w:cs="宋体"/>
                <w:sz w:val="20"/>
                <w:szCs w:val="20"/>
              </w:rPr>
            </w:pPr>
            <w:r>
              <w:rPr>
                <w:rFonts w:ascii="Times New Roman" w:hAnsi="Times New Roman" w:eastAsia="Times New Roman" w:cs="Times New Roman"/>
                <w:spacing w:val="6"/>
                <w:sz w:val="20"/>
                <w:szCs w:val="20"/>
              </w:rPr>
              <w:t>3</w:t>
            </w:r>
            <w:r>
              <w:rPr>
                <w:rFonts w:ascii="Times New Roman" w:hAnsi="Times New Roman" w:eastAsia="Times New Roman" w:cs="Times New Roman"/>
                <w:spacing w:val="-26"/>
                <w:sz w:val="20"/>
                <w:szCs w:val="20"/>
              </w:rPr>
              <w:t xml:space="preserve"> </w:t>
            </w:r>
            <w:r>
              <w:rPr>
                <w:rFonts w:ascii="宋体" w:hAnsi="宋体" w:eastAsia="宋体" w:cs="宋体"/>
                <w:spacing w:val="6"/>
                <w:sz w:val="20"/>
                <w:szCs w:val="20"/>
              </w:rPr>
              <w:t>、入驻企业生活废水</w:t>
            </w:r>
          </w:p>
          <w:p w14:paraId="4F48F81E">
            <w:pPr>
              <w:spacing w:before="161" w:line="228" w:lineRule="auto"/>
              <w:ind w:left="112"/>
              <w:rPr>
                <w:rFonts w:ascii="宋体" w:hAnsi="宋体" w:eastAsia="宋体" w:cs="宋体"/>
                <w:sz w:val="20"/>
                <w:szCs w:val="20"/>
              </w:rPr>
            </w:pPr>
            <w:r>
              <w:rPr>
                <w:rFonts w:ascii="宋体" w:hAnsi="宋体" w:eastAsia="宋体" w:cs="宋体"/>
                <w:spacing w:val="8"/>
                <w:sz w:val="20"/>
                <w:szCs w:val="20"/>
              </w:rPr>
              <w:t>须自行预处理达到相</w:t>
            </w:r>
          </w:p>
          <w:p w14:paraId="24F90907">
            <w:pPr>
              <w:spacing w:before="162" w:line="228" w:lineRule="auto"/>
              <w:ind w:left="112"/>
              <w:rPr>
                <w:rFonts w:ascii="宋体" w:hAnsi="宋体" w:eastAsia="宋体" w:cs="宋体"/>
                <w:sz w:val="20"/>
                <w:szCs w:val="20"/>
              </w:rPr>
            </w:pPr>
            <w:r>
              <w:rPr>
                <w:rFonts w:ascii="宋体" w:hAnsi="宋体" w:eastAsia="宋体" w:cs="宋体"/>
                <w:spacing w:val="6"/>
                <w:sz w:val="20"/>
                <w:szCs w:val="20"/>
              </w:rPr>
              <w:t>关行业标准及《污水排</w:t>
            </w:r>
          </w:p>
          <w:p w14:paraId="437BBA1A">
            <w:pPr>
              <w:spacing w:before="160" w:line="228" w:lineRule="auto"/>
              <w:ind w:left="108"/>
              <w:rPr>
                <w:rFonts w:ascii="宋体" w:hAnsi="宋体" w:eastAsia="宋体" w:cs="宋体"/>
                <w:sz w:val="20"/>
                <w:szCs w:val="20"/>
              </w:rPr>
            </w:pPr>
            <w:r>
              <w:rPr>
                <w:rFonts w:ascii="宋体" w:hAnsi="宋体" w:eastAsia="宋体" w:cs="宋体"/>
                <w:spacing w:val="9"/>
                <w:sz w:val="20"/>
                <w:szCs w:val="20"/>
              </w:rPr>
              <w:t>入城镇下水道水质标</w:t>
            </w:r>
          </w:p>
          <w:p w14:paraId="4139AEFD">
            <w:pPr>
              <w:spacing w:before="161" w:line="229" w:lineRule="auto"/>
              <w:ind w:right="10"/>
              <w:jc w:val="right"/>
              <w:rPr>
                <w:rFonts w:ascii="宋体" w:hAnsi="宋体" w:eastAsia="宋体" w:cs="宋体"/>
                <w:sz w:val="20"/>
                <w:szCs w:val="20"/>
              </w:rPr>
            </w:pPr>
            <w:r>
              <w:rPr>
                <w:rFonts w:ascii="宋体" w:hAnsi="宋体" w:eastAsia="宋体" w:cs="宋体"/>
                <w:spacing w:val="2"/>
                <w:sz w:val="20"/>
                <w:szCs w:val="20"/>
              </w:rPr>
              <w:t>准》（</w:t>
            </w: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/T1962-2015</w:t>
            </w:r>
            <w:r>
              <w:rPr>
                <w:rFonts w:ascii="宋体" w:hAnsi="宋体" w:eastAsia="宋体" w:cs="宋体"/>
                <w:spacing w:val="2"/>
                <w:sz w:val="20"/>
                <w:szCs w:val="20"/>
              </w:rPr>
              <w:t>）</w:t>
            </w:r>
          </w:p>
          <w:p w14:paraId="3B5CFFD5">
            <w:pPr>
              <w:spacing w:before="160" w:line="228" w:lineRule="auto"/>
              <w:ind w:left="102"/>
              <w:rPr>
                <w:rFonts w:ascii="宋体" w:hAnsi="宋体" w:eastAsia="宋体" w:cs="宋体"/>
                <w:sz w:val="20"/>
                <w:szCs w:val="20"/>
              </w:rPr>
            </w:pPr>
            <w:r>
              <w:rPr>
                <w:rFonts w:ascii="Times New Roman" w:hAnsi="Times New Roman" w:eastAsia="Times New Roman" w:cs="Times New Roman"/>
                <w:spacing w:val="7"/>
                <w:sz w:val="20"/>
                <w:szCs w:val="20"/>
              </w:rPr>
              <w:t xml:space="preserve">A </w:t>
            </w:r>
            <w:r>
              <w:rPr>
                <w:rFonts w:ascii="宋体" w:hAnsi="宋体" w:eastAsia="宋体" w:cs="宋体"/>
                <w:spacing w:val="7"/>
                <w:sz w:val="20"/>
                <w:szCs w:val="20"/>
              </w:rPr>
              <w:t>等级后方可排入园区</w:t>
            </w:r>
          </w:p>
          <w:p w14:paraId="64A7106B">
            <w:pPr>
              <w:spacing w:before="163" w:line="228" w:lineRule="auto"/>
              <w:ind w:left="110"/>
              <w:rPr>
                <w:rFonts w:ascii="宋体" w:hAnsi="宋体" w:eastAsia="宋体" w:cs="宋体"/>
                <w:sz w:val="20"/>
                <w:szCs w:val="20"/>
              </w:rPr>
            </w:pPr>
            <w:r>
              <w:rPr>
                <w:rFonts w:ascii="宋体" w:hAnsi="宋体" w:eastAsia="宋体" w:cs="宋体"/>
                <w:spacing w:val="6"/>
                <w:sz w:val="20"/>
                <w:szCs w:val="20"/>
              </w:rPr>
              <w:t>污水处理厂。</w:t>
            </w:r>
          </w:p>
        </w:tc>
        <w:tc>
          <w:tcPr>
            <w:tcW w:w="3298" w:type="dxa"/>
            <w:vMerge w:val="continue"/>
            <w:tcBorders>
              <w:top w:val="nil"/>
            </w:tcBorders>
            <w:vAlign w:val="top"/>
          </w:tcPr>
          <w:p w14:paraId="53D89EA4">
            <w:pPr>
              <w:rPr>
                <w:rFonts w:ascii="Arial"/>
                <w:sz w:val="21"/>
              </w:rPr>
            </w:pPr>
          </w:p>
        </w:tc>
        <w:tc>
          <w:tcPr>
            <w:tcW w:w="703" w:type="dxa"/>
            <w:vAlign w:val="top"/>
          </w:tcPr>
          <w:p w14:paraId="59030507">
            <w:pPr>
              <w:spacing w:line="243" w:lineRule="auto"/>
              <w:rPr>
                <w:rFonts w:ascii="Arial"/>
                <w:sz w:val="21"/>
              </w:rPr>
            </w:pPr>
          </w:p>
          <w:p w14:paraId="07E313B3">
            <w:pPr>
              <w:spacing w:line="244" w:lineRule="auto"/>
              <w:rPr>
                <w:rFonts w:ascii="Arial"/>
                <w:sz w:val="21"/>
              </w:rPr>
            </w:pPr>
          </w:p>
          <w:p w14:paraId="31EC55EE">
            <w:pPr>
              <w:spacing w:line="244" w:lineRule="auto"/>
              <w:rPr>
                <w:rFonts w:ascii="Arial"/>
                <w:sz w:val="21"/>
              </w:rPr>
            </w:pPr>
          </w:p>
          <w:p w14:paraId="2DB3BDAE">
            <w:pPr>
              <w:spacing w:line="244" w:lineRule="auto"/>
              <w:rPr>
                <w:rFonts w:ascii="Arial"/>
                <w:sz w:val="21"/>
              </w:rPr>
            </w:pPr>
          </w:p>
          <w:p w14:paraId="5826F96F">
            <w:pPr>
              <w:spacing w:line="244" w:lineRule="auto"/>
              <w:rPr>
                <w:rFonts w:ascii="Arial"/>
                <w:sz w:val="21"/>
              </w:rPr>
            </w:pPr>
          </w:p>
          <w:p w14:paraId="3075A732">
            <w:pPr>
              <w:spacing w:before="65" w:line="228" w:lineRule="auto"/>
              <w:ind w:left="155"/>
              <w:rPr>
                <w:rFonts w:ascii="宋体" w:hAnsi="宋体" w:eastAsia="宋体" w:cs="宋体"/>
                <w:sz w:val="20"/>
                <w:szCs w:val="20"/>
              </w:rPr>
            </w:pPr>
            <w:r>
              <w:rPr>
                <w:rFonts w:ascii="宋体" w:hAnsi="宋体" w:eastAsia="宋体" w:cs="宋体"/>
                <w:spacing w:val="3"/>
                <w:sz w:val="20"/>
                <w:szCs w:val="20"/>
              </w:rPr>
              <w:t>符合</w:t>
            </w:r>
          </w:p>
        </w:tc>
        <w:tc>
          <w:tcPr>
            <w:tcW w:w="128" w:type="dxa"/>
            <w:vMerge w:val="continue"/>
            <w:tcBorders>
              <w:top w:val="nil"/>
              <w:bottom w:val="nil"/>
              <w:right w:val="single" w:color="000000" w:sz="6" w:space="0"/>
            </w:tcBorders>
            <w:vAlign w:val="top"/>
          </w:tcPr>
          <w:p w14:paraId="334C7EBB">
            <w:pPr>
              <w:rPr>
                <w:rFonts w:ascii="Arial"/>
                <w:sz w:val="21"/>
              </w:rPr>
            </w:pPr>
          </w:p>
        </w:tc>
      </w:tr>
      <w:tr w14:paraId="2BF67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4" w:hRule="atLeast"/>
        </w:trPr>
        <w:tc>
          <w:tcPr>
            <w:tcW w:w="1161" w:type="dxa"/>
            <w:vMerge w:val="continue"/>
            <w:tcBorders>
              <w:top w:val="nil"/>
              <w:left w:val="single" w:color="000000" w:sz="6" w:space="0"/>
              <w:bottom w:val="nil"/>
            </w:tcBorders>
            <w:vAlign w:val="top"/>
          </w:tcPr>
          <w:p w14:paraId="02E79035">
            <w:pPr>
              <w:rPr>
                <w:rFonts w:ascii="Arial"/>
                <w:sz w:val="21"/>
              </w:rPr>
            </w:pPr>
          </w:p>
        </w:tc>
        <w:tc>
          <w:tcPr>
            <w:tcW w:w="113" w:type="dxa"/>
            <w:tcBorders>
              <w:top w:val="nil"/>
              <w:bottom w:val="nil"/>
            </w:tcBorders>
            <w:vAlign w:val="top"/>
          </w:tcPr>
          <w:p w14:paraId="76BFC433">
            <w:pPr>
              <w:rPr>
                <w:rFonts w:ascii="Arial"/>
                <w:sz w:val="21"/>
              </w:rPr>
            </w:pPr>
          </w:p>
        </w:tc>
        <w:tc>
          <w:tcPr>
            <w:tcW w:w="690" w:type="dxa"/>
            <w:vMerge w:val="continue"/>
            <w:tcBorders>
              <w:top w:val="nil"/>
              <w:bottom w:val="nil"/>
            </w:tcBorders>
            <w:vAlign w:val="top"/>
          </w:tcPr>
          <w:p w14:paraId="10686A3C">
            <w:pPr>
              <w:rPr>
                <w:rFonts w:ascii="Arial"/>
                <w:sz w:val="21"/>
              </w:rPr>
            </w:pPr>
          </w:p>
        </w:tc>
        <w:tc>
          <w:tcPr>
            <w:tcW w:w="486" w:type="dxa"/>
            <w:vMerge w:val="continue"/>
            <w:tcBorders>
              <w:top w:val="nil"/>
            </w:tcBorders>
            <w:textDirection w:val="tbRlV"/>
            <w:vAlign w:val="top"/>
          </w:tcPr>
          <w:p w14:paraId="101E88CC">
            <w:pPr>
              <w:rPr>
                <w:rFonts w:ascii="Arial"/>
                <w:sz w:val="21"/>
              </w:rPr>
            </w:pPr>
          </w:p>
        </w:tc>
        <w:tc>
          <w:tcPr>
            <w:tcW w:w="2293" w:type="dxa"/>
            <w:vAlign w:val="top"/>
          </w:tcPr>
          <w:p w14:paraId="76CB9583">
            <w:pPr>
              <w:spacing w:before="255" w:line="377" w:lineRule="auto"/>
              <w:ind w:left="111" w:right="108" w:hanging="7"/>
              <w:rPr>
                <w:rFonts w:ascii="宋体" w:hAnsi="宋体" w:eastAsia="宋体" w:cs="宋体"/>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20"/>
                <w:sz w:val="20"/>
                <w:szCs w:val="20"/>
              </w:rPr>
              <w:t xml:space="preserve"> </w:t>
            </w:r>
            <w:r>
              <w:rPr>
                <w:rFonts w:ascii="宋体" w:hAnsi="宋体" w:eastAsia="宋体" w:cs="宋体"/>
                <w:spacing w:val="6"/>
                <w:sz w:val="20"/>
                <w:szCs w:val="20"/>
              </w:rPr>
              <w:t>、生活垃圾无害化处</w:t>
            </w:r>
            <w:r>
              <w:rPr>
                <w:rFonts w:ascii="宋体" w:hAnsi="宋体" w:eastAsia="宋体" w:cs="宋体"/>
                <w:spacing w:val="3"/>
                <w:sz w:val="20"/>
                <w:szCs w:val="20"/>
              </w:rPr>
              <w:t>理率达</w:t>
            </w:r>
            <w:r>
              <w:rPr>
                <w:rFonts w:ascii="宋体" w:hAnsi="宋体" w:eastAsia="宋体" w:cs="宋体"/>
                <w:spacing w:val="-33"/>
                <w:sz w:val="20"/>
                <w:szCs w:val="20"/>
              </w:rPr>
              <w:t xml:space="preserve"> </w:t>
            </w:r>
            <w:r>
              <w:rPr>
                <w:rFonts w:ascii="Times New Roman" w:hAnsi="Times New Roman" w:eastAsia="Times New Roman" w:cs="Times New Roman"/>
                <w:spacing w:val="3"/>
                <w:sz w:val="20"/>
                <w:szCs w:val="20"/>
              </w:rPr>
              <w:t>90%</w:t>
            </w:r>
            <w:r>
              <w:rPr>
                <w:rFonts w:ascii="宋体" w:hAnsi="宋体" w:eastAsia="宋体" w:cs="宋体"/>
                <w:spacing w:val="3"/>
                <w:sz w:val="20"/>
                <w:szCs w:val="20"/>
              </w:rPr>
              <w:t>以上，工业</w:t>
            </w:r>
            <w:r>
              <w:rPr>
                <w:rFonts w:ascii="宋体" w:hAnsi="宋体" w:eastAsia="宋体" w:cs="宋体"/>
                <w:spacing w:val="8"/>
                <w:sz w:val="20"/>
                <w:szCs w:val="20"/>
              </w:rPr>
              <w:t>固废处置利用率不小</w:t>
            </w:r>
          </w:p>
          <w:p w14:paraId="6AFF566A">
            <w:pPr>
              <w:spacing w:line="231" w:lineRule="auto"/>
              <w:ind w:left="112"/>
              <w:rPr>
                <w:rFonts w:ascii="宋体" w:hAnsi="宋体" w:eastAsia="宋体" w:cs="宋体"/>
                <w:sz w:val="20"/>
                <w:szCs w:val="20"/>
              </w:rPr>
            </w:pPr>
            <w:r>
              <w:rPr>
                <w:rFonts w:ascii="宋体" w:hAnsi="宋体" w:eastAsia="宋体" w:cs="宋体"/>
                <w:spacing w:val="1"/>
                <w:sz w:val="20"/>
                <w:szCs w:val="20"/>
              </w:rPr>
              <w:t>于</w:t>
            </w:r>
            <w:r>
              <w:rPr>
                <w:rFonts w:ascii="宋体" w:hAnsi="宋体" w:eastAsia="宋体" w:cs="宋体"/>
                <w:spacing w:val="-38"/>
                <w:sz w:val="20"/>
                <w:szCs w:val="20"/>
              </w:rPr>
              <w:t xml:space="preserve"> </w:t>
            </w:r>
            <w:r>
              <w:rPr>
                <w:rFonts w:ascii="Times New Roman" w:hAnsi="Times New Roman" w:eastAsia="Times New Roman" w:cs="Times New Roman"/>
                <w:spacing w:val="1"/>
                <w:sz w:val="20"/>
                <w:szCs w:val="20"/>
              </w:rPr>
              <w:t>95%</w:t>
            </w:r>
            <w:r>
              <w:rPr>
                <w:rFonts w:ascii="宋体" w:hAnsi="宋体" w:eastAsia="宋体" w:cs="宋体"/>
                <w:spacing w:val="1"/>
                <w:sz w:val="20"/>
                <w:szCs w:val="20"/>
              </w:rPr>
              <w:t>。</w:t>
            </w:r>
          </w:p>
        </w:tc>
        <w:tc>
          <w:tcPr>
            <w:tcW w:w="3298" w:type="dxa"/>
            <w:vAlign w:val="top"/>
          </w:tcPr>
          <w:p w14:paraId="7854F411">
            <w:pPr>
              <w:spacing w:before="50" w:line="368" w:lineRule="auto"/>
              <w:ind w:left="111" w:right="101" w:firstLine="5"/>
              <w:jc w:val="both"/>
              <w:rPr>
                <w:rFonts w:ascii="宋体" w:hAnsi="宋体" w:eastAsia="宋体" w:cs="宋体"/>
                <w:sz w:val="20"/>
                <w:szCs w:val="20"/>
              </w:rPr>
            </w:pPr>
            <w:r>
              <w:rPr>
                <w:rFonts w:ascii="宋体" w:hAnsi="宋体" w:eastAsia="宋体" w:cs="宋体"/>
                <w:spacing w:val="6"/>
                <w:sz w:val="20"/>
                <w:szCs w:val="20"/>
              </w:rPr>
              <w:t>项目固废</w:t>
            </w:r>
            <w:r>
              <w:rPr>
                <w:rFonts w:ascii="宋体" w:hAnsi="宋体" w:eastAsia="宋体" w:cs="宋体"/>
                <w:spacing w:val="-15"/>
                <w:sz w:val="20"/>
                <w:szCs w:val="20"/>
              </w:rPr>
              <w:t xml:space="preserve"> </w:t>
            </w:r>
            <w:r>
              <w:rPr>
                <w:rFonts w:ascii="Times New Roman" w:hAnsi="Times New Roman" w:eastAsia="Times New Roman" w:cs="Times New Roman"/>
                <w:spacing w:val="6"/>
                <w:sz w:val="20"/>
                <w:szCs w:val="20"/>
              </w:rPr>
              <w:t>100%</w:t>
            </w:r>
            <w:r>
              <w:rPr>
                <w:rFonts w:ascii="宋体" w:hAnsi="宋体" w:eastAsia="宋体" w:cs="宋体"/>
                <w:spacing w:val="6"/>
                <w:sz w:val="20"/>
                <w:szCs w:val="20"/>
              </w:rPr>
              <w:t>合理处置，并按照</w:t>
            </w:r>
            <w:r>
              <w:rPr>
                <w:rFonts w:ascii="宋体" w:hAnsi="宋体" w:eastAsia="宋体" w:cs="宋体"/>
                <w:spacing w:val="5"/>
                <w:sz w:val="20"/>
                <w:szCs w:val="20"/>
              </w:rPr>
              <w:t>《危险废物转移管理办法》（部令</w:t>
            </w:r>
            <w:r>
              <w:rPr>
                <w:rFonts w:ascii="宋体" w:hAnsi="宋体" w:eastAsia="宋体" w:cs="宋体"/>
                <w:spacing w:val="7"/>
                <w:sz w:val="20"/>
                <w:szCs w:val="20"/>
              </w:rPr>
              <w:t>第</w:t>
            </w:r>
            <w:r>
              <w:rPr>
                <w:rFonts w:ascii="宋体" w:hAnsi="宋体" w:eastAsia="宋体" w:cs="宋体"/>
                <w:spacing w:val="-37"/>
                <w:sz w:val="20"/>
                <w:szCs w:val="20"/>
              </w:rPr>
              <w:t xml:space="preserve"> </w:t>
            </w:r>
            <w:r>
              <w:rPr>
                <w:rFonts w:ascii="Times New Roman" w:hAnsi="Times New Roman" w:eastAsia="Times New Roman" w:cs="Times New Roman"/>
                <w:spacing w:val="7"/>
                <w:sz w:val="20"/>
                <w:szCs w:val="20"/>
              </w:rPr>
              <w:t>23</w:t>
            </w:r>
            <w:r>
              <w:rPr>
                <w:rFonts w:ascii="Times New Roman" w:hAnsi="Times New Roman" w:eastAsia="Times New Roman" w:cs="Times New Roman"/>
                <w:spacing w:val="17"/>
                <w:w w:val="101"/>
                <w:sz w:val="20"/>
                <w:szCs w:val="20"/>
              </w:rPr>
              <w:t xml:space="preserve"> </w:t>
            </w:r>
            <w:r>
              <w:rPr>
                <w:rFonts w:ascii="宋体" w:hAnsi="宋体" w:eastAsia="宋体" w:cs="宋体"/>
                <w:spacing w:val="7"/>
                <w:sz w:val="20"/>
                <w:szCs w:val="20"/>
              </w:rPr>
              <w:t>号）要求，做好危废转移联单制度，项目固废均</w:t>
            </w:r>
            <w:r>
              <w:rPr>
                <w:rFonts w:ascii="宋体" w:hAnsi="宋体" w:eastAsia="宋体" w:cs="宋体"/>
                <w:spacing w:val="-23"/>
                <w:sz w:val="20"/>
                <w:szCs w:val="20"/>
              </w:rPr>
              <w:t xml:space="preserve"> </w:t>
            </w:r>
            <w:r>
              <w:rPr>
                <w:rFonts w:ascii="Times New Roman" w:hAnsi="Times New Roman" w:eastAsia="Times New Roman" w:cs="Times New Roman"/>
                <w:spacing w:val="7"/>
                <w:sz w:val="20"/>
                <w:szCs w:val="20"/>
              </w:rPr>
              <w:t>100%</w:t>
            </w:r>
            <w:r>
              <w:rPr>
                <w:rFonts w:ascii="宋体" w:hAnsi="宋体" w:eastAsia="宋体" w:cs="宋体"/>
                <w:spacing w:val="7"/>
                <w:sz w:val="20"/>
                <w:szCs w:val="20"/>
              </w:rPr>
              <w:t>合理处</w:t>
            </w:r>
            <w:r>
              <w:rPr>
                <w:rFonts w:ascii="宋体" w:hAnsi="宋体" w:eastAsia="宋体" w:cs="宋体"/>
                <w:spacing w:val="1"/>
                <w:sz w:val="20"/>
                <w:szCs w:val="20"/>
              </w:rPr>
              <w:t>置。</w:t>
            </w:r>
          </w:p>
        </w:tc>
        <w:tc>
          <w:tcPr>
            <w:tcW w:w="703" w:type="dxa"/>
            <w:vAlign w:val="top"/>
          </w:tcPr>
          <w:p w14:paraId="1304B135">
            <w:pPr>
              <w:spacing w:line="266" w:lineRule="auto"/>
              <w:rPr>
                <w:rFonts w:ascii="Arial"/>
                <w:sz w:val="21"/>
              </w:rPr>
            </w:pPr>
          </w:p>
          <w:p w14:paraId="773A1332">
            <w:pPr>
              <w:spacing w:line="266" w:lineRule="auto"/>
              <w:rPr>
                <w:rFonts w:ascii="Arial"/>
                <w:sz w:val="21"/>
              </w:rPr>
            </w:pPr>
          </w:p>
          <w:p w14:paraId="2E64E0F2">
            <w:pPr>
              <w:spacing w:line="266" w:lineRule="auto"/>
              <w:rPr>
                <w:rFonts w:ascii="Arial"/>
                <w:sz w:val="21"/>
              </w:rPr>
            </w:pPr>
          </w:p>
          <w:p w14:paraId="7C2A40C3">
            <w:pPr>
              <w:spacing w:before="65" w:line="228" w:lineRule="auto"/>
              <w:ind w:left="155"/>
              <w:rPr>
                <w:rFonts w:ascii="宋体" w:hAnsi="宋体" w:eastAsia="宋体" w:cs="宋体"/>
                <w:sz w:val="20"/>
                <w:szCs w:val="20"/>
              </w:rPr>
            </w:pPr>
            <w:r>
              <w:rPr>
                <w:rFonts w:ascii="宋体" w:hAnsi="宋体" w:eastAsia="宋体" w:cs="宋体"/>
                <w:spacing w:val="3"/>
                <w:sz w:val="20"/>
                <w:szCs w:val="20"/>
              </w:rPr>
              <w:t>符合</w:t>
            </w:r>
          </w:p>
        </w:tc>
        <w:tc>
          <w:tcPr>
            <w:tcW w:w="128" w:type="dxa"/>
            <w:vMerge w:val="continue"/>
            <w:tcBorders>
              <w:top w:val="nil"/>
              <w:bottom w:val="nil"/>
              <w:right w:val="single" w:color="000000" w:sz="6" w:space="0"/>
            </w:tcBorders>
            <w:vAlign w:val="top"/>
          </w:tcPr>
          <w:p w14:paraId="6410714D">
            <w:pPr>
              <w:rPr>
                <w:rFonts w:ascii="Arial"/>
                <w:sz w:val="21"/>
              </w:rPr>
            </w:pPr>
          </w:p>
        </w:tc>
      </w:tr>
      <w:tr w14:paraId="76554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2" w:hRule="atLeast"/>
        </w:trPr>
        <w:tc>
          <w:tcPr>
            <w:tcW w:w="1161" w:type="dxa"/>
            <w:vMerge w:val="continue"/>
            <w:tcBorders>
              <w:top w:val="nil"/>
              <w:left w:val="single" w:color="000000" w:sz="6" w:space="0"/>
              <w:bottom w:val="single" w:color="000000" w:sz="6" w:space="0"/>
            </w:tcBorders>
            <w:vAlign w:val="top"/>
          </w:tcPr>
          <w:p w14:paraId="19A23F39">
            <w:pPr>
              <w:rPr>
                <w:rFonts w:ascii="Arial"/>
                <w:sz w:val="21"/>
              </w:rPr>
            </w:pPr>
          </w:p>
        </w:tc>
        <w:tc>
          <w:tcPr>
            <w:tcW w:w="113" w:type="dxa"/>
            <w:tcBorders>
              <w:top w:val="nil"/>
              <w:bottom w:val="single" w:color="000000" w:sz="6" w:space="0"/>
            </w:tcBorders>
            <w:vAlign w:val="top"/>
          </w:tcPr>
          <w:p w14:paraId="1538F694">
            <w:pPr>
              <w:rPr>
                <w:rFonts w:ascii="Arial"/>
                <w:sz w:val="21"/>
              </w:rPr>
            </w:pPr>
          </w:p>
        </w:tc>
        <w:tc>
          <w:tcPr>
            <w:tcW w:w="690" w:type="dxa"/>
            <w:vMerge w:val="continue"/>
            <w:tcBorders>
              <w:top w:val="nil"/>
              <w:bottom w:val="single" w:color="000000" w:sz="6" w:space="0"/>
            </w:tcBorders>
            <w:vAlign w:val="top"/>
          </w:tcPr>
          <w:p w14:paraId="7E210023">
            <w:pPr>
              <w:rPr>
                <w:rFonts w:ascii="Arial"/>
                <w:sz w:val="21"/>
              </w:rPr>
            </w:pPr>
          </w:p>
        </w:tc>
        <w:tc>
          <w:tcPr>
            <w:tcW w:w="486" w:type="dxa"/>
            <w:tcBorders>
              <w:bottom w:val="single" w:color="000000" w:sz="6" w:space="0"/>
            </w:tcBorders>
            <w:textDirection w:val="tbRlV"/>
            <w:vAlign w:val="top"/>
          </w:tcPr>
          <w:p w14:paraId="64D3AAB9">
            <w:pPr>
              <w:spacing w:before="141" w:line="216" w:lineRule="auto"/>
              <w:ind w:left="45"/>
              <w:rPr>
                <w:rFonts w:ascii="宋体" w:hAnsi="宋体" w:eastAsia="宋体" w:cs="宋体"/>
                <w:sz w:val="20"/>
                <w:szCs w:val="20"/>
              </w:rPr>
            </w:pPr>
            <w:r>
              <w:rPr>
                <w:rFonts w:ascii="宋体" w:hAnsi="宋体" w:eastAsia="宋体" w:cs="宋体"/>
                <w:spacing w:val="8"/>
                <w:sz w:val="20"/>
                <w:szCs w:val="20"/>
              </w:rPr>
              <w:t>环</w:t>
            </w:r>
            <w:r>
              <w:rPr>
                <w:rFonts w:ascii="宋体" w:hAnsi="宋体" w:eastAsia="宋体" w:cs="宋体"/>
                <w:spacing w:val="101"/>
                <w:sz w:val="20"/>
                <w:szCs w:val="20"/>
              </w:rPr>
              <w:t xml:space="preserve"> </w:t>
            </w:r>
            <w:r>
              <w:rPr>
                <w:rFonts w:ascii="宋体" w:hAnsi="宋体" w:eastAsia="宋体" w:cs="宋体"/>
                <w:spacing w:val="8"/>
                <w:sz w:val="20"/>
                <w:szCs w:val="20"/>
              </w:rPr>
              <w:t>境</w:t>
            </w:r>
            <w:r>
              <w:rPr>
                <w:rFonts w:ascii="宋体" w:hAnsi="宋体" w:eastAsia="宋体" w:cs="宋体"/>
                <w:spacing w:val="1"/>
                <w:sz w:val="20"/>
                <w:szCs w:val="20"/>
              </w:rPr>
              <w:t xml:space="preserve">  </w:t>
            </w:r>
            <w:r>
              <w:rPr>
                <w:rFonts w:ascii="宋体" w:hAnsi="宋体" w:eastAsia="宋体" w:cs="宋体"/>
                <w:spacing w:val="8"/>
                <w:sz w:val="20"/>
                <w:szCs w:val="20"/>
              </w:rPr>
              <w:t>风</w:t>
            </w:r>
            <w:r>
              <w:rPr>
                <w:rFonts w:ascii="宋体" w:hAnsi="宋体" w:eastAsia="宋体" w:cs="宋体"/>
                <w:spacing w:val="99"/>
                <w:sz w:val="20"/>
                <w:szCs w:val="20"/>
              </w:rPr>
              <w:t xml:space="preserve"> </w:t>
            </w:r>
            <w:r>
              <w:rPr>
                <w:rFonts w:ascii="宋体" w:hAnsi="宋体" w:eastAsia="宋体" w:cs="宋体"/>
                <w:spacing w:val="8"/>
                <w:sz w:val="20"/>
                <w:szCs w:val="20"/>
              </w:rPr>
              <w:t>险</w:t>
            </w:r>
          </w:p>
        </w:tc>
        <w:tc>
          <w:tcPr>
            <w:tcW w:w="2293" w:type="dxa"/>
            <w:tcBorders>
              <w:bottom w:val="single" w:color="000000" w:sz="6" w:space="0"/>
            </w:tcBorders>
            <w:vAlign w:val="top"/>
          </w:tcPr>
          <w:p w14:paraId="326E45C7">
            <w:pPr>
              <w:spacing w:before="45" w:line="373" w:lineRule="auto"/>
              <w:ind w:left="108" w:right="106" w:firstLine="17"/>
              <w:jc w:val="both"/>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1"/>
                <w:sz w:val="20"/>
                <w:szCs w:val="20"/>
              </w:rPr>
              <w:t xml:space="preserve"> </w:t>
            </w:r>
            <w:r>
              <w:rPr>
                <w:rFonts w:ascii="宋体" w:hAnsi="宋体" w:eastAsia="宋体" w:cs="宋体"/>
                <w:spacing w:val="4"/>
                <w:sz w:val="20"/>
                <w:szCs w:val="20"/>
              </w:rPr>
              <w:t>、组织编制环境风险</w:t>
            </w:r>
            <w:r>
              <w:rPr>
                <w:rFonts w:ascii="宋体" w:hAnsi="宋体" w:eastAsia="宋体" w:cs="宋体"/>
                <w:spacing w:val="7"/>
                <w:sz w:val="20"/>
                <w:szCs w:val="20"/>
              </w:rPr>
              <w:t>应急预案，通过风险源的识别，制定不同风险</w:t>
            </w:r>
            <w:r>
              <w:rPr>
                <w:rFonts w:ascii="宋体" w:hAnsi="宋体" w:eastAsia="宋体" w:cs="宋体"/>
                <w:spacing w:val="9"/>
                <w:sz w:val="20"/>
                <w:szCs w:val="20"/>
              </w:rPr>
              <w:t>源的应急处理处置方</w:t>
            </w:r>
          </w:p>
        </w:tc>
        <w:tc>
          <w:tcPr>
            <w:tcW w:w="3298" w:type="dxa"/>
            <w:tcBorders>
              <w:bottom w:val="single" w:color="000000" w:sz="6" w:space="0"/>
            </w:tcBorders>
            <w:vAlign w:val="top"/>
          </w:tcPr>
          <w:p w14:paraId="7A8A6A15">
            <w:pPr>
              <w:spacing w:before="45" w:line="373" w:lineRule="auto"/>
              <w:ind w:left="113" w:right="91" w:firstLine="21"/>
              <w:rPr>
                <w:rFonts w:ascii="宋体" w:hAnsi="宋体" w:eastAsia="宋体" w:cs="宋体"/>
                <w:sz w:val="20"/>
                <w:szCs w:val="20"/>
              </w:rPr>
            </w:pPr>
            <w:r>
              <w:rPr>
                <w:rFonts w:ascii="宋体" w:hAnsi="宋体" w:eastAsia="宋体" w:cs="宋体"/>
                <w:spacing w:val="7"/>
                <w:sz w:val="20"/>
                <w:szCs w:val="20"/>
              </w:rPr>
              <w:t>已编制应急预案报昆明市生态环</w:t>
            </w:r>
            <w:r>
              <w:rPr>
                <w:rFonts w:ascii="宋体" w:hAnsi="宋体" w:eastAsia="宋体" w:cs="宋体"/>
                <w:spacing w:val="5"/>
                <w:sz w:val="20"/>
                <w:szCs w:val="20"/>
              </w:rPr>
              <w:t>境局寻甸分局进行备案（备案号：</w:t>
            </w:r>
            <w:r>
              <w:rPr>
                <w:rFonts w:ascii="宋体" w:hAnsi="宋体" w:eastAsia="宋体" w:cs="宋体"/>
                <w:spacing w:val="11"/>
                <w:sz w:val="20"/>
                <w:szCs w:val="20"/>
              </w:rPr>
              <w:t xml:space="preserve"> </w:t>
            </w:r>
            <w:r>
              <w:rPr>
                <w:rFonts w:ascii="Times New Roman" w:hAnsi="Times New Roman" w:eastAsia="Times New Roman" w:cs="Times New Roman"/>
                <w:spacing w:val="2"/>
                <w:sz w:val="20"/>
                <w:szCs w:val="20"/>
              </w:rPr>
              <w:t>530-</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2"/>
                <w:sz w:val="20"/>
                <w:szCs w:val="20"/>
              </w:rPr>
              <w:t>129-2024-016-L</w:t>
            </w:r>
            <w:r>
              <w:rPr>
                <w:rFonts w:ascii="宋体" w:hAnsi="宋体" w:eastAsia="宋体" w:cs="宋体"/>
                <w:spacing w:val="2"/>
                <w:sz w:val="20"/>
                <w:szCs w:val="20"/>
              </w:rPr>
              <w:t>）。于</w:t>
            </w:r>
            <w:r>
              <w:rPr>
                <w:rFonts w:ascii="宋体" w:hAnsi="宋体" w:eastAsia="宋体" w:cs="宋体"/>
                <w:spacing w:val="-43"/>
                <w:sz w:val="20"/>
                <w:szCs w:val="20"/>
              </w:rPr>
              <w:t xml:space="preserve"> </w:t>
            </w:r>
            <w:r>
              <w:rPr>
                <w:rFonts w:ascii="Times New Roman" w:hAnsi="Times New Roman" w:eastAsia="Times New Roman" w:cs="Times New Roman"/>
                <w:spacing w:val="2"/>
                <w:sz w:val="20"/>
                <w:szCs w:val="20"/>
              </w:rPr>
              <w:t xml:space="preserve">2025 </w:t>
            </w:r>
            <w:r>
              <w:rPr>
                <w:rFonts w:ascii="宋体" w:hAnsi="宋体" w:eastAsia="宋体" w:cs="宋体"/>
                <w:spacing w:val="2"/>
                <w:sz w:val="20"/>
                <w:szCs w:val="20"/>
              </w:rPr>
              <w:t>年</w:t>
            </w:r>
            <w:r>
              <w:rPr>
                <w:rFonts w:ascii="Times New Roman" w:hAnsi="Times New Roman" w:eastAsia="Times New Roman" w:cs="Times New Roman"/>
                <w:spacing w:val="3"/>
                <w:sz w:val="20"/>
                <w:szCs w:val="20"/>
              </w:rPr>
              <w:t xml:space="preserve">6 </w:t>
            </w:r>
            <w:r>
              <w:rPr>
                <w:rFonts w:ascii="宋体" w:hAnsi="宋体" w:eastAsia="宋体" w:cs="宋体"/>
                <w:spacing w:val="3"/>
                <w:sz w:val="20"/>
                <w:szCs w:val="20"/>
              </w:rPr>
              <w:t>月</w:t>
            </w:r>
            <w:r>
              <w:rPr>
                <w:rFonts w:ascii="宋体" w:hAnsi="宋体" w:eastAsia="宋体" w:cs="宋体"/>
                <w:spacing w:val="-28"/>
                <w:sz w:val="20"/>
                <w:szCs w:val="20"/>
              </w:rPr>
              <w:t xml:space="preserve"> </w:t>
            </w:r>
            <w:r>
              <w:rPr>
                <w:rFonts w:ascii="Times New Roman" w:hAnsi="Times New Roman" w:eastAsia="Times New Roman" w:cs="Times New Roman"/>
                <w:spacing w:val="3"/>
                <w:sz w:val="20"/>
                <w:szCs w:val="20"/>
              </w:rPr>
              <w:t xml:space="preserve">9  </w:t>
            </w:r>
            <w:r>
              <w:rPr>
                <w:rFonts w:ascii="宋体" w:hAnsi="宋体" w:eastAsia="宋体" w:cs="宋体"/>
                <w:spacing w:val="3"/>
                <w:sz w:val="20"/>
                <w:szCs w:val="20"/>
              </w:rPr>
              <w:t>日针对危废暂存间废机油泄</w:t>
            </w:r>
          </w:p>
        </w:tc>
        <w:tc>
          <w:tcPr>
            <w:tcW w:w="703" w:type="dxa"/>
            <w:tcBorders>
              <w:bottom w:val="single" w:color="000000" w:sz="6" w:space="0"/>
            </w:tcBorders>
            <w:vAlign w:val="top"/>
          </w:tcPr>
          <w:p w14:paraId="318C59BB">
            <w:pPr>
              <w:spacing w:line="294" w:lineRule="auto"/>
              <w:rPr>
                <w:rFonts w:ascii="Arial"/>
                <w:sz w:val="21"/>
              </w:rPr>
            </w:pPr>
          </w:p>
          <w:p w14:paraId="7673E16B">
            <w:pPr>
              <w:spacing w:line="294" w:lineRule="auto"/>
              <w:rPr>
                <w:rFonts w:ascii="Arial"/>
                <w:sz w:val="21"/>
              </w:rPr>
            </w:pPr>
          </w:p>
          <w:p w14:paraId="7F4AC46F">
            <w:pPr>
              <w:spacing w:before="65" w:line="228" w:lineRule="auto"/>
              <w:ind w:left="155"/>
              <w:rPr>
                <w:rFonts w:ascii="宋体" w:hAnsi="宋体" w:eastAsia="宋体" w:cs="宋体"/>
                <w:sz w:val="20"/>
                <w:szCs w:val="20"/>
              </w:rPr>
            </w:pPr>
            <w:r>
              <w:rPr>
                <w:rFonts w:ascii="宋体" w:hAnsi="宋体" w:eastAsia="宋体" w:cs="宋体"/>
                <w:spacing w:val="3"/>
                <w:sz w:val="20"/>
                <w:szCs w:val="20"/>
              </w:rPr>
              <w:t>符合</w:t>
            </w:r>
          </w:p>
        </w:tc>
        <w:tc>
          <w:tcPr>
            <w:tcW w:w="128" w:type="dxa"/>
            <w:vMerge w:val="continue"/>
            <w:tcBorders>
              <w:top w:val="nil"/>
              <w:bottom w:val="single" w:color="000000" w:sz="6" w:space="0"/>
              <w:right w:val="single" w:color="000000" w:sz="6" w:space="0"/>
            </w:tcBorders>
            <w:vAlign w:val="top"/>
          </w:tcPr>
          <w:p w14:paraId="15EF1E7E">
            <w:pPr>
              <w:rPr>
                <w:rFonts w:ascii="Arial"/>
                <w:sz w:val="21"/>
              </w:rPr>
            </w:pPr>
          </w:p>
        </w:tc>
      </w:tr>
    </w:tbl>
    <w:p w14:paraId="1681797C">
      <w:pPr>
        <w:pStyle w:val="2"/>
      </w:pPr>
    </w:p>
    <w:p w14:paraId="2906E147">
      <w:pPr>
        <w:sectPr>
          <w:footerReference r:id="rId28" w:type="default"/>
          <w:pgSz w:w="11906" w:h="16839"/>
          <w:pgMar w:top="400" w:right="1509" w:bottom="1329" w:left="1509" w:header="0" w:footer="1113" w:gutter="0"/>
          <w:cols w:space="720" w:num="1"/>
        </w:sectPr>
      </w:pPr>
    </w:p>
    <w:p w14:paraId="01E1982A">
      <w:pPr>
        <w:spacing w:before="19"/>
      </w:pPr>
    </w:p>
    <w:p w14:paraId="62472013">
      <w:pPr>
        <w:spacing w:before="19"/>
      </w:pPr>
    </w:p>
    <w:p w14:paraId="3BD3EE38">
      <w:pPr>
        <w:spacing w:before="19"/>
      </w:pPr>
    </w:p>
    <w:p w14:paraId="59B5C542">
      <w:pPr>
        <w:spacing w:before="18"/>
      </w:pPr>
    </w:p>
    <w:p w14:paraId="4E237FE4">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5"/>
        <w:gridCol w:w="699"/>
        <w:gridCol w:w="492"/>
        <w:gridCol w:w="2323"/>
        <w:gridCol w:w="3341"/>
        <w:gridCol w:w="712"/>
        <w:gridCol w:w="130"/>
      </w:tblGrid>
      <w:tr w14:paraId="18D1F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1175" w:type="dxa"/>
            <w:vMerge w:val="restart"/>
            <w:tcBorders>
              <w:top w:val="single" w:color="000000" w:sz="6" w:space="0"/>
              <w:left w:val="single" w:color="000000" w:sz="6" w:space="0"/>
              <w:bottom w:val="nil"/>
            </w:tcBorders>
            <w:vAlign w:val="top"/>
          </w:tcPr>
          <w:p w14:paraId="502C885D">
            <w:pPr>
              <w:rPr>
                <w:rFonts w:ascii="Arial"/>
                <w:sz w:val="21"/>
              </w:rPr>
            </w:pPr>
          </w:p>
        </w:tc>
        <w:tc>
          <w:tcPr>
            <w:tcW w:w="699" w:type="dxa"/>
            <w:vMerge w:val="restart"/>
            <w:tcBorders>
              <w:top w:val="single" w:color="000000" w:sz="6" w:space="0"/>
              <w:bottom w:val="nil"/>
            </w:tcBorders>
            <w:vAlign w:val="top"/>
          </w:tcPr>
          <w:p w14:paraId="3D796B40">
            <w:pPr>
              <w:rPr>
                <w:rFonts w:ascii="Arial"/>
                <w:sz w:val="21"/>
              </w:rPr>
            </w:pPr>
          </w:p>
        </w:tc>
        <w:tc>
          <w:tcPr>
            <w:tcW w:w="492" w:type="dxa"/>
            <w:vMerge w:val="restart"/>
            <w:tcBorders>
              <w:top w:val="single" w:color="000000" w:sz="6" w:space="0"/>
              <w:bottom w:val="nil"/>
            </w:tcBorders>
            <w:textDirection w:val="tbRlV"/>
            <w:vAlign w:val="top"/>
          </w:tcPr>
          <w:p w14:paraId="3BDE23F8">
            <w:pPr>
              <w:spacing w:before="57" w:line="217" w:lineRule="auto"/>
              <w:ind w:left="37"/>
              <w:rPr>
                <w:rFonts w:ascii="宋体" w:hAnsi="宋体" w:eastAsia="宋体" w:cs="宋体"/>
                <w:sz w:val="20"/>
                <w:szCs w:val="20"/>
              </w:rPr>
            </w:pPr>
            <w:r>
              <w:rPr>
                <w:rFonts w:ascii="宋体" w:hAnsi="宋体" w:eastAsia="宋体" w:cs="宋体"/>
                <w:spacing w:val="8"/>
                <w:sz w:val="20"/>
                <w:szCs w:val="20"/>
              </w:rPr>
              <w:t>防</w:t>
            </w:r>
            <w:r>
              <w:rPr>
                <w:rFonts w:ascii="宋体" w:hAnsi="宋体" w:eastAsia="宋体" w:cs="宋体"/>
                <w:spacing w:val="99"/>
                <w:sz w:val="20"/>
                <w:szCs w:val="20"/>
              </w:rPr>
              <w:t xml:space="preserve"> </w:t>
            </w:r>
            <w:r>
              <w:rPr>
                <w:rFonts w:ascii="宋体" w:hAnsi="宋体" w:eastAsia="宋体" w:cs="宋体"/>
                <w:spacing w:val="8"/>
                <w:sz w:val="20"/>
                <w:szCs w:val="20"/>
              </w:rPr>
              <w:t>控</w:t>
            </w:r>
          </w:p>
        </w:tc>
        <w:tc>
          <w:tcPr>
            <w:tcW w:w="2323" w:type="dxa"/>
            <w:tcBorders>
              <w:top w:val="single" w:color="000000" w:sz="6" w:space="0"/>
            </w:tcBorders>
            <w:vAlign w:val="top"/>
          </w:tcPr>
          <w:p w14:paraId="21DD29F2">
            <w:pPr>
              <w:spacing w:before="38" w:line="359" w:lineRule="auto"/>
              <w:ind w:left="193" w:right="54" w:firstLine="1"/>
              <w:rPr>
                <w:rFonts w:ascii="宋体" w:hAnsi="宋体" w:eastAsia="宋体" w:cs="宋体"/>
                <w:sz w:val="20"/>
                <w:szCs w:val="20"/>
              </w:rPr>
            </w:pPr>
            <w:r>
              <w:rPr>
                <w:rFonts w:ascii="宋体" w:hAnsi="宋体" w:eastAsia="宋体" w:cs="宋体"/>
                <w:spacing w:val="6"/>
                <w:sz w:val="20"/>
                <w:szCs w:val="20"/>
              </w:rPr>
              <w:t>案，形成应对突发事故</w:t>
            </w:r>
            <w:r>
              <w:rPr>
                <w:rFonts w:ascii="宋体" w:hAnsi="宋体" w:eastAsia="宋体" w:cs="宋体"/>
                <w:spacing w:val="7"/>
                <w:sz w:val="20"/>
                <w:szCs w:val="20"/>
              </w:rPr>
              <w:t>应急处理处置能力。</w:t>
            </w:r>
          </w:p>
        </w:tc>
        <w:tc>
          <w:tcPr>
            <w:tcW w:w="3341" w:type="dxa"/>
            <w:tcBorders>
              <w:top w:val="single" w:color="000000" w:sz="6" w:space="0"/>
            </w:tcBorders>
            <w:vAlign w:val="top"/>
          </w:tcPr>
          <w:p w14:paraId="7666A1B9">
            <w:pPr>
              <w:spacing w:before="37" w:line="228" w:lineRule="auto"/>
              <w:ind w:left="166"/>
              <w:rPr>
                <w:rFonts w:ascii="宋体" w:hAnsi="宋体" w:eastAsia="宋体" w:cs="宋体"/>
                <w:sz w:val="20"/>
                <w:szCs w:val="20"/>
              </w:rPr>
            </w:pPr>
            <w:r>
              <w:rPr>
                <w:rFonts w:ascii="宋体" w:hAnsi="宋体" w:eastAsia="宋体" w:cs="宋体"/>
                <w:spacing w:val="8"/>
                <w:sz w:val="20"/>
                <w:szCs w:val="20"/>
              </w:rPr>
              <w:t>漏事故进行应急演练。</w:t>
            </w:r>
          </w:p>
        </w:tc>
        <w:tc>
          <w:tcPr>
            <w:tcW w:w="712" w:type="dxa"/>
            <w:tcBorders>
              <w:top w:val="single" w:color="000000" w:sz="6" w:space="0"/>
            </w:tcBorders>
            <w:vAlign w:val="top"/>
          </w:tcPr>
          <w:p w14:paraId="581B93E1">
            <w:pPr>
              <w:rPr>
                <w:rFonts w:ascii="Arial"/>
                <w:sz w:val="21"/>
              </w:rPr>
            </w:pPr>
          </w:p>
        </w:tc>
        <w:tc>
          <w:tcPr>
            <w:tcW w:w="130" w:type="dxa"/>
            <w:tcBorders>
              <w:top w:val="single" w:color="000000" w:sz="6" w:space="0"/>
              <w:bottom w:val="nil"/>
              <w:right w:val="single" w:color="000000" w:sz="6" w:space="0"/>
            </w:tcBorders>
            <w:vAlign w:val="top"/>
          </w:tcPr>
          <w:p w14:paraId="649B2F5B">
            <w:pPr>
              <w:rPr>
                <w:rFonts w:ascii="Arial"/>
                <w:sz w:val="21"/>
              </w:rPr>
            </w:pPr>
          </w:p>
        </w:tc>
      </w:tr>
      <w:tr w14:paraId="226EE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1175" w:type="dxa"/>
            <w:vMerge w:val="continue"/>
            <w:tcBorders>
              <w:top w:val="nil"/>
              <w:left w:val="single" w:color="000000" w:sz="6" w:space="0"/>
              <w:bottom w:val="nil"/>
            </w:tcBorders>
            <w:vAlign w:val="top"/>
          </w:tcPr>
          <w:p w14:paraId="68A68968">
            <w:pPr>
              <w:rPr>
                <w:rFonts w:ascii="Arial"/>
                <w:sz w:val="21"/>
              </w:rPr>
            </w:pPr>
          </w:p>
        </w:tc>
        <w:tc>
          <w:tcPr>
            <w:tcW w:w="699" w:type="dxa"/>
            <w:vMerge w:val="continue"/>
            <w:tcBorders>
              <w:top w:val="nil"/>
              <w:bottom w:val="nil"/>
            </w:tcBorders>
            <w:vAlign w:val="top"/>
          </w:tcPr>
          <w:p w14:paraId="675F3301">
            <w:pPr>
              <w:rPr>
                <w:rFonts w:ascii="Arial"/>
                <w:sz w:val="21"/>
              </w:rPr>
            </w:pPr>
          </w:p>
        </w:tc>
        <w:tc>
          <w:tcPr>
            <w:tcW w:w="492" w:type="dxa"/>
            <w:vMerge w:val="continue"/>
            <w:tcBorders>
              <w:top w:val="nil"/>
            </w:tcBorders>
            <w:textDirection w:val="tbRlV"/>
            <w:vAlign w:val="top"/>
          </w:tcPr>
          <w:p w14:paraId="75864672">
            <w:pPr>
              <w:rPr>
                <w:rFonts w:ascii="Arial"/>
                <w:sz w:val="21"/>
              </w:rPr>
            </w:pPr>
          </w:p>
        </w:tc>
        <w:tc>
          <w:tcPr>
            <w:tcW w:w="2323" w:type="dxa"/>
            <w:vAlign w:val="top"/>
          </w:tcPr>
          <w:p w14:paraId="77F500E6">
            <w:pPr>
              <w:spacing w:before="236" w:line="378" w:lineRule="auto"/>
              <w:ind w:left="192" w:right="138" w:hanging="3"/>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21"/>
                <w:sz w:val="20"/>
                <w:szCs w:val="20"/>
              </w:rPr>
              <w:t xml:space="preserve"> </w:t>
            </w:r>
            <w:r>
              <w:rPr>
                <w:rFonts w:ascii="宋体" w:hAnsi="宋体" w:eastAsia="宋体" w:cs="宋体"/>
                <w:spacing w:val="6"/>
                <w:sz w:val="20"/>
                <w:szCs w:val="20"/>
              </w:rPr>
              <w:t>、建设风险事故废水</w:t>
            </w:r>
            <w:r>
              <w:rPr>
                <w:rFonts w:ascii="宋体" w:hAnsi="宋体" w:eastAsia="宋体" w:cs="宋体"/>
                <w:spacing w:val="7"/>
                <w:sz w:val="20"/>
                <w:szCs w:val="20"/>
              </w:rPr>
              <w:t>排放管道及处置池。</w:t>
            </w:r>
          </w:p>
        </w:tc>
        <w:tc>
          <w:tcPr>
            <w:tcW w:w="3341" w:type="dxa"/>
            <w:vAlign w:val="top"/>
          </w:tcPr>
          <w:p w14:paraId="3693D3F3">
            <w:pPr>
              <w:spacing w:before="30" w:line="366" w:lineRule="auto"/>
              <w:ind w:left="166" w:right="131" w:firstLine="2"/>
              <w:jc w:val="both"/>
              <w:rPr>
                <w:rFonts w:ascii="宋体" w:hAnsi="宋体" w:eastAsia="宋体" w:cs="宋体"/>
                <w:sz w:val="20"/>
                <w:szCs w:val="20"/>
              </w:rPr>
            </w:pPr>
            <w:r>
              <w:rPr>
                <w:rFonts w:ascii="宋体" w:hAnsi="宋体" w:eastAsia="宋体" w:cs="宋体"/>
                <w:spacing w:val="6"/>
                <w:sz w:val="20"/>
                <w:szCs w:val="20"/>
              </w:rPr>
              <w:t>厂区已按要求建设一个</w:t>
            </w:r>
            <w:r>
              <w:rPr>
                <w:rFonts w:ascii="宋体" w:hAnsi="宋体" w:eastAsia="宋体" w:cs="宋体"/>
                <w:spacing w:val="-27"/>
                <w:sz w:val="20"/>
                <w:szCs w:val="20"/>
              </w:rPr>
              <w:t xml:space="preserve"> </w:t>
            </w:r>
            <w:r>
              <w:rPr>
                <w:rFonts w:ascii="Times New Roman" w:hAnsi="Times New Roman" w:eastAsia="Times New Roman" w:cs="Times New Roman"/>
                <w:spacing w:val="6"/>
                <w:sz w:val="20"/>
                <w:szCs w:val="20"/>
              </w:rPr>
              <w:t>25m</w:t>
            </w:r>
            <w:r>
              <w:rPr>
                <w:rFonts w:ascii="Times New Roman" w:hAnsi="Times New Roman" w:eastAsia="Times New Roman" w:cs="Times New Roman"/>
                <w:spacing w:val="6"/>
                <w:position w:val="6"/>
                <w:sz w:val="13"/>
                <w:szCs w:val="13"/>
              </w:rPr>
              <w:t>3</w:t>
            </w:r>
            <w:r>
              <w:rPr>
                <w:rFonts w:ascii="Times New Roman" w:hAnsi="Times New Roman" w:eastAsia="Times New Roman" w:cs="Times New Roman"/>
                <w:spacing w:val="12"/>
                <w:position w:val="6"/>
                <w:sz w:val="13"/>
                <w:szCs w:val="13"/>
              </w:rPr>
              <w:t xml:space="preserve"> </w:t>
            </w:r>
            <w:r>
              <w:rPr>
                <w:rFonts w:ascii="宋体" w:hAnsi="宋体" w:eastAsia="宋体" w:cs="宋体"/>
                <w:spacing w:val="6"/>
                <w:sz w:val="20"/>
                <w:szCs w:val="20"/>
              </w:rPr>
              <w:t>风险</w:t>
            </w:r>
            <w:r>
              <w:rPr>
                <w:rFonts w:ascii="宋体" w:hAnsi="宋体" w:eastAsia="宋体" w:cs="宋体"/>
                <w:spacing w:val="9"/>
                <w:sz w:val="20"/>
                <w:szCs w:val="20"/>
              </w:rPr>
              <w:t>事故废水池，满足本项目依托使</w:t>
            </w:r>
            <w:r>
              <w:rPr>
                <w:rFonts w:ascii="宋体" w:hAnsi="宋体" w:eastAsia="宋体" w:cs="宋体"/>
                <w:sz w:val="20"/>
                <w:szCs w:val="20"/>
              </w:rPr>
              <w:t>用。</w:t>
            </w:r>
          </w:p>
        </w:tc>
        <w:tc>
          <w:tcPr>
            <w:tcW w:w="712" w:type="dxa"/>
            <w:vAlign w:val="top"/>
          </w:tcPr>
          <w:p w14:paraId="4964E979">
            <w:pPr>
              <w:spacing w:line="372" w:lineRule="auto"/>
              <w:rPr>
                <w:rFonts w:ascii="Arial"/>
                <w:sz w:val="21"/>
              </w:rPr>
            </w:pPr>
          </w:p>
          <w:p w14:paraId="6F1587AF">
            <w:pPr>
              <w:spacing w:before="65" w:line="228" w:lineRule="auto"/>
              <w:ind w:left="166"/>
              <w:rPr>
                <w:rFonts w:ascii="宋体" w:hAnsi="宋体" w:eastAsia="宋体" w:cs="宋体"/>
                <w:sz w:val="20"/>
                <w:szCs w:val="20"/>
              </w:rPr>
            </w:pPr>
            <w:r>
              <w:rPr>
                <w:rFonts w:ascii="宋体" w:hAnsi="宋体" w:eastAsia="宋体" w:cs="宋体"/>
                <w:spacing w:val="3"/>
                <w:sz w:val="20"/>
                <w:szCs w:val="20"/>
              </w:rPr>
              <w:t>符合</w:t>
            </w:r>
          </w:p>
        </w:tc>
        <w:tc>
          <w:tcPr>
            <w:tcW w:w="130" w:type="dxa"/>
            <w:tcBorders>
              <w:top w:val="nil"/>
              <w:bottom w:val="nil"/>
              <w:right w:val="single" w:color="000000" w:sz="6" w:space="0"/>
            </w:tcBorders>
            <w:vAlign w:val="top"/>
          </w:tcPr>
          <w:p w14:paraId="23B68D8A">
            <w:pPr>
              <w:rPr>
                <w:rFonts w:ascii="Arial"/>
                <w:sz w:val="21"/>
              </w:rPr>
            </w:pPr>
          </w:p>
        </w:tc>
      </w:tr>
      <w:tr w14:paraId="33A8F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9" w:hRule="atLeast"/>
        </w:trPr>
        <w:tc>
          <w:tcPr>
            <w:tcW w:w="1175" w:type="dxa"/>
            <w:vMerge w:val="continue"/>
            <w:tcBorders>
              <w:top w:val="nil"/>
              <w:left w:val="single" w:color="000000" w:sz="6" w:space="0"/>
              <w:bottom w:val="nil"/>
            </w:tcBorders>
            <w:vAlign w:val="top"/>
          </w:tcPr>
          <w:p w14:paraId="05BB8B0D">
            <w:pPr>
              <w:rPr>
                <w:rFonts w:ascii="Arial"/>
                <w:sz w:val="21"/>
              </w:rPr>
            </w:pPr>
          </w:p>
        </w:tc>
        <w:tc>
          <w:tcPr>
            <w:tcW w:w="699" w:type="dxa"/>
            <w:vMerge w:val="continue"/>
            <w:tcBorders>
              <w:top w:val="nil"/>
            </w:tcBorders>
            <w:vAlign w:val="top"/>
          </w:tcPr>
          <w:p w14:paraId="320F806C">
            <w:pPr>
              <w:rPr>
                <w:rFonts w:ascii="Arial"/>
                <w:sz w:val="21"/>
              </w:rPr>
            </w:pPr>
          </w:p>
        </w:tc>
        <w:tc>
          <w:tcPr>
            <w:tcW w:w="492" w:type="dxa"/>
            <w:textDirection w:val="tbRlV"/>
            <w:vAlign w:val="top"/>
          </w:tcPr>
          <w:p w14:paraId="1A115C2D">
            <w:pPr>
              <w:spacing w:before="57" w:line="216" w:lineRule="auto"/>
              <w:ind w:left="33"/>
              <w:rPr>
                <w:rFonts w:ascii="宋体" w:hAnsi="宋体" w:eastAsia="宋体" w:cs="宋体"/>
                <w:sz w:val="20"/>
                <w:szCs w:val="20"/>
              </w:rPr>
            </w:pPr>
            <w:r>
              <w:rPr>
                <w:rFonts w:ascii="宋体" w:hAnsi="宋体" w:eastAsia="宋体" w:cs="宋体"/>
                <w:spacing w:val="8"/>
                <w:sz w:val="20"/>
                <w:szCs w:val="20"/>
              </w:rPr>
              <w:t>资</w:t>
            </w:r>
            <w:r>
              <w:rPr>
                <w:rFonts w:ascii="宋体" w:hAnsi="宋体" w:eastAsia="宋体" w:cs="宋体"/>
                <w:spacing w:val="104"/>
                <w:sz w:val="20"/>
                <w:szCs w:val="20"/>
              </w:rPr>
              <w:t xml:space="preserve"> </w:t>
            </w:r>
            <w:r>
              <w:rPr>
                <w:rFonts w:ascii="宋体" w:hAnsi="宋体" w:eastAsia="宋体" w:cs="宋体"/>
                <w:spacing w:val="8"/>
                <w:sz w:val="20"/>
                <w:szCs w:val="20"/>
              </w:rPr>
              <w:t>源</w:t>
            </w:r>
            <w:r>
              <w:rPr>
                <w:rFonts w:ascii="宋体" w:hAnsi="宋体" w:eastAsia="宋体" w:cs="宋体"/>
                <w:spacing w:val="99"/>
                <w:sz w:val="20"/>
                <w:szCs w:val="20"/>
              </w:rPr>
              <w:t xml:space="preserve"> </w:t>
            </w:r>
            <w:r>
              <w:rPr>
                <w:rFonts w:ascii="宋体" w:hAnsi="宋体" w:eastAsia="宋体" w:cs="宋体"/>
                <w:spacing w:val="8"/>
                <w:sz w:val="20"/>
                <w:szCs w:val="20"/>
              </w:rPr>
              <w:t>开</w:t>
            </w:r>
            <w:r>
              <w:rPr>
                <w:rFonts w:ascii="宋体" w:hAnsi="宋体" w:eastAsia="宋体" w:cs="宋体"/>
                <w:spacing w:val="99"/>
                <w:sz w:val="20"/>
                <w:szCs w:val="20"/>
              </w:rPr>
              <w:t xml:space="preserve"> </w:t>
            </w:r>
            <w:r>
              <w:rPr>
                <w:rFonts w:ascii="宋体" w:hAnsi="宋体" w:eastAsia="宋体" w:cs="宋体"/>
                <w:spacing w:val="8"/>
                <w:sz w:val="20"/>
                <w:szCs w:val="20"/>
              </w:rPr>
              <w:t>发</w:t>
            </w:r>
            <w:r>
              <w:rPr>
                <w:rFonts w:ascii="宋体" w:hAnsi="宋体" w:eastAsia="宋体" w:cs="宋体"/>
                <w:spacing w:val="1"/>
                <w:sz w:val="20"/>
                <w:szCs w:val="20"/>
              </w:rPr>
              <w:t xml:space="preserve">  </w:t>
            </w:r>
            <w:r>
              <w:rPr>
                <w:rFonts w:ascii="宋体" w:hAnsi="宋体" w:eastAsia="宋体" w:cs="宋体"/>
                <w:spacing w:val="8"/>
                <w:sz w:val="20"/>
                <w:szCs w:val="20"/>
              </w:rPr>
              <w:t>效</w:t>
            </w:r>
            <w:r>
              <w:rPr>
                <w:rFonts w:ascii="宋体" w:hAnsi="宋体" w:eastAsia="宋体" w:cs="宋体"/>
                <w:spacing w:val="99"/>
                <w:sz w:val="20"/>
                <w:szCs w:val="20"/>
              </w:rPr>
              <w:t xml:space="preserve"> </w:t>
            </w:r>
            <w:r>
              <w:rPr>
                <w:rFonts w:ascii="宋体" w:hAnsi="宋体" w:eastAsia="宋体" w:cs="宋体"/>
                <w:spacing w:val="8"/>
                <w:sz w:val="20"/>
                <w:szCs w:val="20"/>
              </w:rPr>
              <w:t>率</w:t>
            </w:r>
            <w:r>
              <w:rPr>
                <w:rFonts w:ascii="宋体" w:hAnsi="宋体" w:eastAsia="宋体" w:cs="宋体"/>
                <w:spacing w:val="99"/>
                <w:sz w:val="20"/>
                <w:szCs w:val="20"/>
              </w:rPr>
              <w:t xml:space="preserve"> </w:t>
            </w:r>
            <w:r>
              <w:rPr>
                <w:rFonts w:ascii="宋体" w:hAnsi="宋体" w:eastAsia="宋体" w:cs="宋体"/>
                <w:spacing w:val="8"/>
                <w:sz w:val="20"/>
                <w:szCs w:val="20"/>
              </w:rPr>
              <w:t>要</w:t>
            </w:r>
            <w:r>
              <w:rPr>
                <w:rFonts w:ascii="宋体" w:hAnsi="宋体" w:eastAsia="宋体" w:cs="宋体"/>
                <w:spacing w:val="100"/>
                <w:sz w:val="20"/>
                <w:szCs w:val="20"/>
              </w:rPr>
              <w:t xml:space="preserve"> </w:t>
            </w:r>
            <w:r>
              <w:rPr>
                <w:rFonts w:ascii="宋体" w:hAnsi="宋体" w:eastAsia="宋体" w:cs="宋体"/>
                <w:spacing w:val="8"/>
                <w:sz w:val="20"/>
                <w:szCs w:val="20"/>
              </w:rPr>
              <w:t>求</w:t>
            </w:r>
          </w:p>
        </w:tc>
        <w:tc>
          <w:tcPr>
            <w:tcW w:w="2323" w:type="dxa"/>
            <w:vAlign w:val="top"/>
          </w:tcPr>
          <w:p w14:paraId="7E3E58F0">
            <w:pPr>
              <w:spacing w:before="31" w:line="377" w:lineRule="auto"/>
              <w:ind w:left="193" w:right="67" w:firstLine="15"/>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21"/>
                <w:sz w:val="20"/>
                <w:szCs w:val="20"/>
              </w:rPr>
              <w:t xml:space="preserve"> </w:t>
            </w:r>
            <w:r>
              <w:rPr>
                <w:rFonts w:ascii="宋体" w:hAnsi="宋体" w:eastAsia="宋体" w:cs="宋体"/>
                <w:spacing w:val="4"/>
                <w:sz w:val="20"/>
                <w:szCs w:val="20"/>
              </w:rPr>
              <w:t>、清洁生产水平不低</w:t>
            </w:r>
            <w:r>
              <w:rPr>
                <w:rFonts w:ascii="宋体" w:hAnsi="宋体" w:eastAsia="宋体" w:cs="宋体"/>
                <w:spacing w:val="8"/>
                <w:sz w:val="20"/>
                <w:szCs w:val="20"/>
              </w:rPr>
              <w:t>于国家清洁生产标准</w:t>
            </w:r>
            <w:r>
              <w:rPr>
                <w:rFonts w:ascii="宋体" w:hAnsi="宋体" w:eastAsia="宋体" w:cs="宋体"/>
                <w:spacing w:val="5"/>
                <w:sz w:val="20"/>
                <w:szCs w:val="20"/>
              </w:rPr>
              <w:t>规定的国内先进水平。</w:t>
            </w:r>
          </w:p>
          <w:p w14:paraId="5DE3FF0E">
            <w:pPr>
              <w:spacing w:line="377" w:lineRule="auto"/>
              <w:ind w:left="191" w:right="52" w:hanging="2"/>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21"/>
                <w:sz w:val="20"/>
                <w:szCs w:val="20"/>
              </w:rPr>
              <w:t xml:space="preserve"> </w:t>
            </w:r>
            <w:r>
              <w:rPr>
                <w:rFonts w:ascii="宋体" w:hAnsi="宋体" w:eastAsia="宋体" w:cs="宋体"/>
                <w:spacing w:val="6"/>
                <w:sz w:val="20"/>
                <w:szCs w:val="20"/>
              </w:rPr>
              <w:t>、金所片区：工业固</w:t>
            </w:r>
            <w:r>
              <w:rPr>
                <w:rFonts w:ascii="宋体" w:hAnsi="宋体" w:eastAsia="宋体" w:cs="宋体"/>
                <w:spacing w:val="-1"/>
                <w:sz w:val="20"/>
                <w:szCs w:val="20"/>
              </w:rPr>
              <w:t>废综合利用率</w:t>
            </w:r>
            <w:r>
              <w:rPr>
                <w:rFonts w:ascii="Times New Roman" w:hAnsi="Times New Roman" w:eastAsia="Times New Roman" w:cs="Times New Roman"/>
                <w:spacing w:val="-1"/>
                <w:sz w:val="20"/>
                <w:szCs w:val="20"/>
              </w:rPr>
              <w:t>≥70%</w:t>
            </w:r>
            <w:r>
              <w:rPr>
                <w:rFonts w:ascii="宋体" w:hAnsi="宋体" w:eastAsia="宋体" w:cs="宋体"/>
                <w:spacing w:val="-1"/>
                <w:sz w:val="20"/>
                <w:szCs w:val="20"/>
              </w:rPr>
              <w:t>，再</w:t>
            </w:r>
            <w:r>
              <w:rPr>
                <w:rFonts w:ascii="宋体" w:hAnsi="宋体" w:eastAsia="宋体" w:cs="宋体"/>
                <w:spacing w:val="3"/>
                <w:sz w:val="20"/>
                <w:szCs w:val="20"/>
              </w:rPr>
              <w:t>生水回用率</w:t>
            </w:r>
            <w:r>
              <w:rPr>
                <w:rFonts w:ascii="宋体" w:hAnsi="宋体" w:eastAsia="宋体" w:cs="宋体"/>
                <w:spacing w:val="-23"/>
                <w:sz w:val="20"/>
                <w:szCs w:val="20"/>
              </w:rPr>
              <w:t xml:space="preserve"> </w:t>
            </w:r>
            <w:r>
              <w:rPr>
                <w:rFonts w:ascii="Times New Roman" w:hAnsi="Times New Roman" w:eastAsia="Times New Roman" w:cs="Times New Roman"/>
                <w:spacing w:val="3"/>
                <w:sz w:val="20"/>
                <w:szCs w:val="20"/>
              </w:rPr>
              <w:t>100%</w:t>
            </w:r>
            <w:r>
              <w:rPr>
                <w:rFonts w:ascii="Times New Roman" w:hAnsi="Times New Roman" w:eastAsia="Times New Roman" w:cs="Times New Roman"/>
                <w:spacing w:val="-24"/>
                <w:sz w:val="20"/>
                <w:szCs w:val="20"/>
              </w:rPr>
              <w:t xml:space="preserve"> </w:t>
            </w:r>
            <w:r>
              <w:rPr>
                <w:rFonts w:ascii="宋体" w:hAnsi="宋体" w:eastAsia="宋体" w:cs="宋体"/>
                <w:spacing w:val="3"/>
                <w:sz w:val="20"/>
                <w:szCs w:val="20"/>
              </w:rPr>
              <w:t>，单</w:t>
            </w:r>
            <w:r>
              <w:rPr>
                <w:rFonts w:ascii="宋体" w:hAnsi="宋体" w:eastAsia="宋体" w:cs="宋体"/>
                <w:spacing w:val="9"/>
                <w:sz w:val="20"/>
                <w:szCs w:val="20"/>
              </w:rPr>
              <w:t>位工业增加值综合耗</w:t>
            </w:r>
          </w:p>
          <w:p w14:paraId="412D774F">
            <w:pPr>
              <w:spacing w:line="228" w:lineRule="auto"/>
              <w:ind w:left="201"/>
              <w:rPr>
                <w:rFonts w:ascii="宋体" w:hAnsi="宋体" w:eastAsia="宋体" w:cs="宋体"/>
                <w:sz w:val="20"/>
                <w:szCs w:val="20"/>
              </w:rPr>
            </w:pPr>
            <w:r>
              <w:rPr>
                <w:rFonts w:ascii="宋体" w:hAnsi="宋体" w:eastAsia="宋体" w:cs="宋体"/>
                <w:spacing w:val="3"/>
                <w:sz w:val="20"/>
                <w:szCs w:val="20"/>
              </w:rPr>
              <w:t>能</w:t>
            </w:r>
            <w:r>
              <w:rPr>
                <w:rFonts w:ascii="Times New Roman" w:hAnsi="Times New Roman" w:eastAsia="Times New Roman" w:cs="Times New Roman"/>
                <w:spacing w:val="3"/>
                <w:sz w:val="20"/>
                <w:szCs w:val="20"/>
              </w:rPr>
              <w:t>≤0.5</w:t>
            </w:r>
            <w:r>
              <w:rPr>
                <w:rFonts w:ascii="Times New Roman" w:hAnsi="Times New Roman" w:eastAsia="Times New Roman" w:cs="Times New Roman"/>
                <w:spacing w:val="20"/>
                <w:w w:val="101"/>
                <w:sz w:val="20"/>
                <w:szCs w:val="20"/>
              </w:rPr>
              <w:t xml:space="preserve"> </w:t>
            </w:r>
            <w:r>
              <w:rPr>
                <w:rFonts w:ascii="宋体" w:hAnsi="宋体" w:eastAsia="宋体" w:cs="宋体"/>
                <w:spacing w:val="3"/>
                <w:sz w:val="20"/>
                <w:szCs w:val="20"/>
              </w:rPr>
              <w:t>吨煤</w:t>
            </w:r>
            <w:r>
              <w:rPr>
                <w:rFonts w:ascii="Times New Roman" w:hAnsi="Times New Roman" w:eastAsia="Times New Roman" w:cs="Times New Roman"/>
                <w:spacing w:val="3"/>
                <w:sz w:val="20"/>
                <w:szCs w:val="20"/>
              </w:rPr>
              <w:t>/</w:t>
            </w:r>
            <w:r>
              <w:rPr>
                <w:rFonts w:ascii="宋体" w:hAnsi="宋体" w:eastAsia="宋体" w:cs="宋体"/>
                <w:spacing w:val="3"/>
                <w:sz w:val="20"/>
                <w:szCs w:val="20"/>
              </w:rPr>
              <w:t>万元。</w:t>
            </w:r>
          </w:p>
        </w:tc>
        <w:tc>
          <w:tcPr>
            <w:tcW w:w="3341" w:type="dxa"/>
            <w:vAlign w:val="top"/>
          </w:tcPr>
          <w:p w14:paraId="158D9689">
            <w:pPr>
              <w:spacing w:line="260" w:lineRule="auto"/>
              <w:rPr>
                <w:rFonts w:ascii="Arial"/>
                <w:sz w:val="21"/>
              </w:rPr>
            </w:pPr>
          </w:p>
          <w:p w14:paraId="048936DB">
            <w:pPr>
              <w:spacing w:line="260" w:lineRule="auto"/>
              <w:rPr>
                <w:rFonts w:ascii="Arial"/>
                <w:sz w:val="21"/>
              </w:rPr>
            </w:pPr>
          </w:p>
          <w:p w14:paraId="019BCD31">
            <w:pPr>
              <w:spacing w:line="261" w:lineRule="auto"/>
              <w:rPr>
                <w:rFonts w:ascii="Arial"/>
                <w:sz w:val="21"/>
              </w:rPr>
            </w:pPr>
          </w:p>
          <w:p w14:paraId="569C5AE2">
            <w:pPr>
              <w:spacing w:before="65" w:line="377" w:lineRule="auto"/>
              <w:ind w:left="168" w:right="79" w:firstLine="1"/>
              <w:jc w:val="both"/>
              <w:rPr>
                <w:rFonts w:ascii="宋体" w:hAnsi="宋体" w:eastAsia="宋体" w:cs="宋体"/>
                <w:sz w:val="20"/>
                <w:szCs w:val="20"/>
              </w:rPr>
            </w:pPr>
            <w:r>
              <w:rPr>
                <w:rFonts w:ascii="宋体" w:hAnsi="宋体" w:eastAsia="宋体" w:cs="宋体"/>
                <w:spacing w:val="9"/>
                <w:sz w:val="20"/>
                <w:szCs w:val="20"/>
              </w:rPr>
              <w:t>项目位于云南寻甸特色产业园区</w:t>
            </w:r>
            <w:r>
              <w:rPr>
                <w:rFonts w:ascii="宋体" w:hAnsi="宋体" w:eastAsia="宋体" w:cs="宋体"/>
                <w:spacing w:val="5"/>
                <w:sz w:val="20"/>
                <w:szCs w:val="20"/>
              </w:rPr>
              <w:t>金所片区，属于塑料筐生产项目，</w:t>
            </w:r>
            <w:r>
              <w:rPr>
                <w:rFonts w:ascii="宋体" w:hAnsi="宋体" w:eastAsia="宋体" w:cs="宋体"/>
                <w:spacing w:val="9"/>
                <w:sz w:val="20"/>
                <w:szCs w:val="20"/>
              </w:rPr>
              <w:t>无生产废水产生，生产用水量较</w:t>
            </w:r>
            <w:r>
              <w:rPr>
                <w:rFonts w:ascii="宋体" w:hAnsi="宋体" w:eastAsia="宋体" w:cs="宋体"/>
                <w:spacing w:val="5"/>
                <w:sz w:val="20"/>
                <w:szCs w:val="20"/>
              </w:rPr>
              <w:t>小，项目固废</w:t>
            </w:r>
            <w:r>
              <w:rPr>
                <w:rFonts w:ascii="宋体" w:hAnsi="宋体" w:eastAsia="宋体" w:cs="宋体"/>
                <w:spacing w:val="-13"/>
                <w:sz w:val="20"/>
                <w:szCs w:val="20"/>
              </w:rPr>
              <w:t xml:space="preserve"> </w:t>
            </w:r>
            <w:r>
              <w:rPr>
                <w:rFonts w:ascii="Times New Roman" w:hAnsi="Times New Roman" w:eastAsia="Times New Roman" w:cs="Times New Roman"/>
                <w:spacing w:val="5"/>
                <w:sz w:val="20"/>
                <w:szCs w:val="20"/>
              </w:rPr>
              <w:t>100%</w:t>
            </w:r>
            <w:r>
              <w:rPr>
                <w:rFonts w:ascii="宋体" w:hAnsi="宋体" w:eastAsia="宋体" w:cs="宋体"/>
                <w:spacing w:val="5"/>
                <w:sz w:val="20"/>
                <w:szCs w:val="20"/>
              </w:rPr>
              <w:t>合理处置。</w:t>
            </w:r>
          </w:p>
        </w:tc>
        <w:tc>
          <w:tcPr>
            <w:tcW w:w="712" w:type="dxa"/>
            <w:vAlign w:val="top"/>
          </w:tcPr>
          <w:p w14:paraId="39495DCC">
            <w:pPr>
              <w:spacing w:line="277" w:lineRule="auto"/>
              <w:rPr>
                <w:rFonts w:ascii="Arial"/>
                <w:sz w:val="21"/>
              </w:rPr>
            </w:pPr>
          </w:p>
          <w:p w14:paraId="7AE8BC7A">
            <w:pPr>
              <w:spacing w:line="277" w:lineRule="auto"/>
              <w:rPr>
                <w:rFonts w:ascii="Arial"/>
                <w:sz w:val="21"/>
              </w:rPr>
            </w:pPr>
          </w:p>
          <w:p w14:paraId="2CA4A6DD">
            <w:pPr>
              <w:spacing w:line="277" w:lineRule="auto"/>
              <w:rPr>
                <w:rFonts w:ascii="Arial"/>
                <w:sz w:val="21"/>
              </w:rPr>
            </w:pPr>
          </w:p>
          <w:p w14:paraId="0D90B23F">
            <w:pPr>
              <w:spacing w:line="278" w:lineRule="auto"/>
              <w:rPr>
                <w:rFonts w:ascii="Arial"/>
                <w:sz w:val="21"/>
              </w:rPr>
            </w:pPr>
          </w:p>
          <w:p w14:paraId="3FA64A7F">
            <w:pPr>
              <w:spacing w:line="278" w:lineRule="auto"/>
              <w:rPr>
                <w:rFonts w:ascii="Arial"/>
                <w:sz w:val="21"/>
              </w:rPr>
            </w:pPr>
          </w:p>
          <w:p w14:paraId="0961806C">
            <w:pPr>
              <w:spacing w:before="65" w:line="228" w:lineRule="auto"/>
              <w:ind w:left="166"/>
              <w:rPr>
                <w:rFonts w:ascii="宋体" w:hAnsi="宋体" w:eastAsia="宋体" w:cs="宋体"/>
                <w:sz w:val="20"/>
                <w:szCs w:val="20"/>
              </w:rPr>
            </w:pPr>
            <w:r>
              <w:rPr>
                <w:rFonts w:ascii="宋体" w:hAnsi="宋体" w:eastAsia="宋体" w:cs="宋体"/>
                <w:spacing w:val="3"/>
                <w:sz w:val="20"/>
                <w:szCs w:val="20"/>
              </w:rPr>
              <w:t>符合</w:t>
            </w:r>
          </w:p>
        </w:tc>
        <w:tc>
          <w:tcPr>
            <w:tcW w:w="130" w:type="dxa"/>
            <w:tcBorders>
              <w:top w:val="nil"/>
              <w:bottom w:val="nil"/>
              <w:right w:val="single" w:color="000000" w:sz="6" w:space="0"/>
            </w:tcBorders>
            <w:vAlign w:val="top"/>
          </w:tcPr>
          <w:p w14:paraId="49E18515">
            <w:pPr>
              <w:rPr>
                <w:rFonts w:ascii="Arial"/>
                <w:sz w:val="21"/>
              </w:rPr>
            </w:pPr>
          </w:p>
        </w:tc>
      </w:tr>
      <w:tr w14:paraId="4E5D8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5" w:hRule="atLeast"/>
        </w:trPr>
        <w:tc>
          <w:tcPr>
            <w:tcW w:w="1175" w:type="dxa"/>
            <w:vMerge w:val="continue"/>
            <w:tcBorders>
              <w:top w:val="nil"/>
              <w:left w:val="single" w:color="000000" w:sz="6" w:space="0"/>
              <w:bottom w:val="single" w:color="000000" w:sz="6" w:space="0"/>
            </w:tcBorders>
            <w:vAlign w:val="top"/>
          </w:tcPr>
          <w:p w14:paraId="1439E348">
            <w:pPr>
              <w:rPr>
                <w:rFonts w:ascii="Arial"/>
                <w:sz w:val="21"/>
              </w:rPr>
            </w:pPr>
          </w:p>
        </w:tc>
        <w:tc>
          <w:tcPr>
            <w:tcW w:w="7697" w:type="dxa"/>
            <w:gridSpan w:val="6"/>
            <w:tcBorders>
              <w:bottom w:val="single" w:color="000000" w:sz="6" w:space="0"/>
              <w:right w:val="single" w:color="000000" w:sz="6" w:space="0"/>
            </w:tcBorders>
            <w:vAlign w:val="top"/>
          </w:tcPr>
          <w:p w14:paraId="75118C16">
            <w:pPr>
              <w:spacing w:before="39" w:line="360" w:lineRule="auto"/>
              <w:ind w:left="95" w:right="162" w:firstLine="481"/>
              <w:rPr>
                <w:rFonts w:ascii="宋体" w:hAnsi="宋体" w:eastAsia="宋体" w:cs="宋体"/>
                <w:sz w:val="24"/>
                <w:szCs w:val="24"/>
              </w:rPr>
            </w:pPr>
            <w:r>
              <w:rPr>
                <w:rFonts w:ascii="宋体" w:hAnsi="宋体" w:eastAsia="宋体" w:cs="宋体"/>
                <w:spacing w:val="-1"/>
                <w:sz w:val="24"/>
                <w:szCs w:val="24"/>
              </w:rPr>
              <w:t>综上，本项目符合《昆明市生态环境分区管控动态更新方案（</w:t>
            </w:r>
            <w:r>
              <w:rPr>
                <w:rFonts w:ascii="Times New Roman" w:hAnsi="Times New Roman" w:eastAsia="Times New Roman" w:cs="Times New Roman"/>
                <w:spacing w:val="-1"/>
                <w:sz w:val="24"/>
                <w:szCs w:val="24"/>
              </w:rPr>
              <w:t>2023</w:t>
            </w:r>
            <w:r>
              <w:rPr>
                <w:rFonts w:ascii="宋体" w:hAnsi="宋体" w:eastAsia="宋体" w:cs="宋体"/>
                <w:spacing w:val="-1"/>
                <w:sz w:val="24"/>
                <w:szCs w:val="24"/>
              </w:rPr>
              <w:t>年）》云南寻甸产业园区重点管控单元相关要求。</w:t>
            </w:r>
          </w:p>
          <w:p w14:paraId="68437D0E">
            <w:pPr>
              <w:spacing w:line="219" w:lineRule="auto"/>
              <w:ind w:left="568"/>
              <w:rPr>
                <w:rFonts w:ascii="宋体" w:hAnsi="宋体" w:eastAsia="宋体" w:cs="宋体"/>
                <w:sz w:val="24"/>
                <w:szCs w:val="24"/>
              </w:rPr>
            </w:pPr>
            <w:r>
              <w:rPr>
                <w:rFonts w:ascii="Times New Roman" w:hAnsi="Times New Roman" w:eastAsia="Times New Roman" w:cs="Times New Roman"/>
                <w:b/>
                <w:bCs/>
                <w:spacing w:val="-4"/>
                <w:sz w:val="24"/>
                <w:szCs w:val="24"/>
              </w:rPr>
              <w:t>3</w:t>
            </w:r>
            <w:r>
              <w:rPr>
                <w:rFonts w:ascii="Times New Roman" w:hAnsi="Times New Roman" w:eastAsia="Times New Roman" w:cs="Times New Roman"/>
                <w:b/>
                <w:bCs/>
                <w:spacing w:val="-16"/>
                <w:sz w:val="24"/>
                <w:szCs w:val="24"/>
              </w:rPr>
              <w:t xml:space="preserve"> </w:t>
            </w:r>
            <w:r>
              <w:rPr>
                <w:rFonts w:ascii="宋体" w:hAnsi="宋体" w:eastAsia="宋体" w:cs="宋体"/>
                <w:b/>
                <w:bCs/>
                <w:spacing w:val="-4"/>
                <w:sz w:val="24"/>
                <w:szCs w:val="24"/>
              </w:rPr>
              <w:t>、与《云南省牛栏江保护条例》符合性分析</w:t>
            </w:r>
          </w:p>
          <w:p w14:paraId="472D7B67">
            <w:pPr>
              <w:spacing w:before="180" w:line="359" w:lineRule="auto"/>
              <w:ind w:left="95" w:right="102" w:firstLine="479"/>
              <w:rPr>
                <w:rFonts w:ascii="宋体" w:hAnsi="宋体" w:eastAsia="宋体" w:cs="宋体"/>
                <w:sz w:val="24"/>
                <w:szCs w:val="24"/>
              </w:rPr>
            </w:pPr>
            <w:r>
              <w:rPr>
                <w:rFonts w:ascii="宋体" w:hAnsi="宋体" w:eastAsia="宋体" w:cs="宋体"/>
                <w:spacing w:val="2"/>
                <w:sz w:val="24"/>
                <w:szCs w:val="24"/>
              </w:rPr>
              <w:t>根据《云南省牛栏江保护条例》牛栏江流域上</w:t>
            </w:r>
            <w:r>
              <w:rPr>
                <w:rFonts w:ascii="宋体" w:hAnsi="宋体" w:eastAsia="宋体" w:cs="宋体"/>
                <w:spacing w:val="1"/>
                <w:sz w:val="24"/>
                <w:szCs w:val="24"/>
              </w:rPr>
              <w:t>游保护区划分为水源</w:t>
            </w:r>
            <w:r>
              <w:rPr>
                <w:rFonts w:ascii="宋体" w:hAnsi="宋体" w:eastAsia="宋体" w:cs="宋体"/>
                <w:spacing w:val="-1"/>
                <w:sz w:val="24"/>
                <w:szCs w:val="24"/>
              </w:rPr>
              <w:t>保护核心区、重点污染控制区和重点水源涵养区。</w:t>
            </w:r>
          </w:p>
          <w:p w14:paraId="45FA6989">
            <w:pPr>
              <w:spacing w:line="359" w:lineRule="auto"/>
              <w:ind w:left="89" w:right="102" w:firstLine="495"/>
              <w:rPr>
                <w:rFonts w:ascii="宋体" w:hAnsi="宋体" w:eastAsia="宋体" w:cs="宋体"/>
                <w:sz w:val="24"/>
                <w:szCs w:val="24"/>
              </w:rPr>
            </w:pPr>
            <w:r>
              <w:rPr>
                <w:rFonts w:ascii="宋体" w:hAnsi="宋体" w:eastAsia="宋体" w:cs="宋体"/>
                <w:spacing w:val="1"/>
                <w:sz w:val="24"/>
                <w:szCs w:val="24"/>
              </w:rPr>
              <w:t>（一）水源保护核心区包括德泽水库库区和德泽水库以上牛栏江干</w:t>
            </w:r>
            <w:r>
              <w:rPr>
                <w:rFonts w:ascii="宋体" w:hAnsi="宋体" w:eastAsia="宋体" w:cs="宋体"/>
                <w:spacing w:val="10"/>
                <w:sz w:val="24"/>
                <w:szCs w:val="24"/>
              </w:rPr>
              <w:t>流区</w:t>
            </w:r>
            <w:r>
              <w:rPr>
                <w:rFonts w:ascii="宋体" w:hAnsi="宋体" w:eastAsia="宋体" w:cs="宋体"/>
                <w:spacing w:val="-65"/>
                <w:sz w:val="24"/>
                <w:szCs w:val="24"/>
              </w:rPr>
              <w:t xml:space="preserve"> </w:t>
            </w:r>
            <w:r>
              <w:rPr>
                <w:rFonts w:ascii="宋体" w:hAnsi="宋体" w:eastAsia="宋体" w:cs="宋体"/>
                <w:spacing w:val="10"/>
                <w:sz w:val="24"/>
                <w:szCs w:val="24"/>
              </w:rPr>
              <w:t xml:space="preserve">。德泽水库库区为德泽水库正常蓄水位 </w:t>
            </w:r>
            <w:r>
              <w:rPr>
                <w:rFonts w:ascii="Times New Roman" w:hAnsi="Times New Roman" w:eastAsia="Times New Roman" w:cs="Times New Roman"/>
                <w:spacing w:val="10"/>
                <w:sz w:val="24"/>
                <w:szCs w:val="24"/>
              </w:rPr>
              <w:t>1790m</w:t>
            </w:r>
            <w:r>
              <w:rPr>
                <w:rFonts w:ascii="Times New Roman" w:hAnsi="Times New Roman" w:eastAsia="Times New Roman" w:cs="Times New Roman"/>
                <w:spacing w:val="29"/>
                <w:w w:val="101"/>
                <w:sz w:val="24"/>
                <w:szCs w:val="24"/>
              </w:rPr>
              <w:t xml:space="preserve"> </w:t>
            </w:r>
            <w:r>
              <w:rPr>
                <w:rFonts w:ascii="宋体" w:hAnsi="宋体" w:eastAsia="宋体" w:cs="宋体"/>
                <w:spacing w:val="10"/>
                <w:sz w:val="24"/>
                <w:szCs w:val="24"/>
              </w:rPr>
              <w:t>水面及沿岸外延</w:t>
            </w:r>
            <w:r>
              <w:rPr>
                <w:rFonts w:ascii="Times New Roman" w:hAnsi="Times New Roman" w:eastAsia="Times New Roman" w:cs="Times New Roman"/>
                <w:sz w:val="24"/>
                <w:szCs w:val="24"/>
              </w:rPr>
              <w:t>2000m</w:t>
            </w:r>
            <w:r>
              <w:rPr>
                <w:rFonts w:ascii="Times New Roman" w:hAnsi="Times New Roman" w:eastAsia="Times New Roman" w:cs="Times New Roman"/>
                <w:spacing w:val="47"/>
                <w:sz w:val="24"/>
                <w:szCs w:val="24"/>
              </w:rPr>
              <w:t xml:space="preserve"> </w:t>
            </w:r>
            <w:r>
              <w:rPr>
                <w:rFonts w:ascii="宋体" w:hAnsi="宋体" w:eastAsia="宋体" w:cs="宋体"/>
                <w:sz w:val="24"/>
                <w:szCs w:val="24"/>
              </w:rPr>
              <w:t>的范围，区域范围超过一级山脊线的，按照一级山脊线划定；德</w:t>
            </w:r>
            <w:r>
              <w:rPr>
                <w:rFonts w:ascii="宋体" w:hAnsi="宋体" w:eastAsia="宋体" w:cs="宋体"/>
                <w:spacing w:val="2"/>
                <w:sz w:val="24"/>
                <w:szCs w:val="24"/>
              </w:rPr>
              <w:t>泽水库以上牛栏江干流区指德泽水库以上干流（包</w:t>
            </w:r>
            <w:r>
              <w:rPr>
                <w:rFonts w:ascii="宋体" w:hAnsi="宋体" w:eastAsia="宋体" w:cs="宋体"/>
                <w:spacing w:val="1"/>
                <w:sz w:val="24"/>
                <w:szCs w:val="24"/>
              </w:rPr>
              <w:t>括干流源头矣纳岔口</w:t>
            </w:r>
            <w:r>
              <w:rPr>
                <w:rFonts w:ascii="宋体" w:hAnsi="宋体" w:eastAsia="宋体" w:cs="宋体"/>
                <w:spacing w:val="-2"/>
                <w:sz w:val="24"/>
                <w:szCs w:val="24"/>
              </w:rPr>
              <w:t>至嘉丽泽对龙河河段）水域及两岸外延</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1000m</w:t>
            </w:r>
            <w:r>
              <w:rPr>
                <w:rFonts w:ascii="Times New Roman" w:hAnsi="Times New Roman" w:eastAsia="Times New Roman" w:cs="Times New Roman"/>
                <w:spacing w:val="28"/>
                <w:sz w:val="24"/>
                <w:szCs w:val="24"/>
              </w:rPr>
              <w:t xml:space="preserve"> </w:t>
            </w:r>
            <w:r>
              <w:rPr>
                <w:rFonts w:ascii="宋体" w:hAnsi="宋体" w:eastAsia="宋体" w:cs="宋体"/>
                <w:spacing w:val="-2"/>
                <w:sz w:val="24"/>
                <w:szCs w:val="24"/>
              </w:rPr>
              <w:t>的范围，区域范围</w:t>
            </w:r>
            <w:r>
              <w:rPr>
                <w:rFonts w:ascii="宋体" w:hAnsi="宋体" w:eastAsia="宋体" w:cs="宋体"/>
                <w:spacing w:val="-3"/>
                <w:sz w:val="24"/>
                <w:szCs w:val="24"/>
              </w:rPr>
              <w:t>超过一</w:t>
            </w:r>
            <w:r>
              <w:rPr>
                <w:rFonts w:ascii="宋体" w:hAnsi="宋体" w:eastAsia="宋体" w:cs="宋体"/>
                <w:spacing w:val="-1"/>
                <w:sz w:val="24"/>
                <w:szCs w:val="24"/>
              </w:rPr>
              <w:t>级山脊线的，按照一级山脊线划定。</w:t>
            </w:r>
          </w:p>
          <w:p w14:paraId="3804BAA2">
            <w:pPr>
              <w:spacing w:line="359" w:lineRule="auto"/>
              <w:ind w:left="92" w:right="102" w:firstLine="493"/>
              <w:rPr>
                <w:rFonts w:ascii="宋体" w:hAnsi="宋体" w:eastAsia="宋体" w:cs="宋体"/>
                <w:sz w:val="24"/>
                <w:szCs w:val="24"/>
              </w:rPr>
            </w:pPr>
            <w:r>
              <w:rPr>
                <w:rFonts w:ascii="宋体" w:hAnsi="宋体" w:eastAsia="宋体" w:cs="宋体"/>
                <w:spacing w:val="1"/>
                <w:sz w:val="24"/>
                <w:szCs w:val="24"/>
              </w:rPr>
              <w:t>（二）重点污染控制区为水源保护核心区以外，流域范围内的坝区</w:t>
            </w:r>
            <w:r>
              <w:rPr>
                <w:rFonts w:ascii="宋体" w:hAnsi="宋体" w:eastAsia="宋体" w:cs="宋体"/>
                <w:spacing w:val="2"/>
                <w:sz w:val="24"/>
                <w:szCs w:val="24"/>
              </w:rPr>
              <w:t>以及花庄河、果马河、普沙河、弥良河、对龙</w:t>
            </w:r>
            <w:r>
              <w:rPr>
                <w:rFonts w:ascii="宋体" w:hAnsi="宋体" w:eastAsia="宋体" w:cs="宋体"/>
                <w:spacing w:val="1"/>
                <w:sz w:val="24"/>
                <w:szCs w:val="24"/>
              </w:rPr>
              <w:t>河、杨林河、匡郎河、前</w:t>
            </w:r>
            <w:r>
              <w:rPr>
                <w:rFonts w:ascii="宋体" w:hAnsi="宋体" w:eastAsia="宋体" w:cs="宋体"/>
                <w:spacing w:val="-2"/>
                <w:sz w:val="24"/>
                <w:szCs w:val="24"/>
              </w:rPr>
              <w:t>进河、马龙河水域及两岸外延</w:t>
            </w:r>
            <w:r>
              <w:rPr>
                <w:rFonts w:ascii="宋体" w:hAnsi="宋体" w:eastAsia="宋体" w:cs="宋体"/>
                <w:spacing w:val="-37"/>
                <w:sz w:val="24"/>
                <w:szCs w:val="24"/>
              </w:rPr>
              <w:t xml:space="preserve"> </w:t>
            </w:r>
            <w:r>
              <w:rPr>
                <w:rFonts w:ascii="Times New Roman" w:hAnsi="Times New Roman" w:eastAsia="Times New Roman" w:cs="Times New Roman"/>
                <w:spacing w:val="-2"/>
                <w:sz w:val="24"/>
                <w:szCs w:val="24"/>
              </w:rPr>
              <w:t>3000m</w:t>
            </w:r>
            <w:r>
              <w:rPr>
                <w:rFonts w:ascii="Times New Roman" w:hAnsi="Times New Roman" w:eastAsia="Times New Roman" w:cs="Times New Roman"/>
                <w:spacing w:val="27"/>
                <w:w w:val="101"/>
                <w:sz w:val="24"/>
                <w:szCs w:val="24"/>
              </w:rPr>
              <w:t xml:space="preserve"> </w:t>
            </w:r>
            <w:r>
              <w:rPr>
                <w:rFonts w:ascii="宋体" w:hAnsi="宋体" w:eastAsia="宋体" w:cs="宋体"/>
                <w:spacing w:val="-2"/>
                <w:sz w:val="24"/>
                <w:szCs w:val="24"/>
              </w:rPr>
              <w:t>的区域，区域范围超过一级山脊线</w:t>
            </w:r>
            <w:r>
              <w:rPr>
                <w:rFonts w:ascii="宋体" w:hAnsi="宋体" w:eastAsia="宋体" w:cs="宋体"/>
                <w:spacing w:val="-1"/>
                <w:sz w:val="24"/>
                <w:szCs w:val="24"/>
              </w:rPr>
              <w:t>的，按照一级山脊线划定。</w:t>
            </w:r>
          </w:p>
          <w:p w14:paraId="36E7F04B">
            <w:pPr>
              <w:spacing w:before="2" w:line="350" w:lineRule="auto"/>
              <w:ind w:left="93" w:right="102" w:firstLine="492"/>
              <w:rPr>
                <w:rFonts w:ascii="宋体" w:hAnsi="宋体" w:eastAsia="宋体" w:cs="宋体"/>
                <w:sz w:val="24"/>
                <w:szCs w:val="24"/>
              </w:rPr>
            </w:pPr>
            <w:r>
              <w:rPr>
                <w:rFonts w:ascii="宋体" w:hAnsi="宋体" w:eastAsia="宋体" w:cs="宋体"/>
                <w:spacing w:val="1"/>
                <w:sz w:val="24"/>
                <w:szCs w:val="24"/>
              </w:rPr>
              <w:t>（三）重点水源涵养区为流域范围内除水源保护核心区、重点污染</w:t>
            </w:r>
            <w:r>
              <w:rPr>
                <w:rFonts w:ascii="宋体" w:hAnsi="宋体" w:eastAsia="宋体" w:cs="宋体"/>
                <w:spacing w:val="-1"/>
                <w:sz w:val="24"/>
                <w:szCs w:val="24"/>
              </w:rPr>
              <w:t>控制区以外的集水区域。</w:t>
            </w:r>
          </w:p>
        </w:tc>
      </w:tr>
    </w:tbl>
    <w:p w14:paraId="42809360">
      <w:pPr>
        <w:pStyle w:val="2"/>
      </w:pPr>
    </w:p>
    <w:p w14:paraId="013F2410">
      <w:pPr>
        <w:sectPr>
          <w:footerReference r:id="rId29" w:type="default"/>
          <w:pgSz w:w="11906" w:h="16839"/>
          <w:pgMar w:top="400" w:right="1509" w:bottom="1329" w:left="1509" w:header="0" w:footer="1113" w:gutter="0"/>
          <w:cols w:space="720" w:num="1"/>
        </w:sectPr>
      </w:pPr>
    </w:p>
    <w:p w14:paraId="74518EDF">
      <w:pPr>
        <w:spacing w:before="19"/>
      </w:pPr>
    </w:p>
    <w:p w14:paraId="2163965D">
      <w:pPr>
        <w:spacing w:before="19"/>
      </w:pPr>
    </w:p>
    <w:p w14:paraId="38ED5526">
      <w:pPr>
        <w:spacing w:before="19"/>
      </w:pPr>
    </w:p>
    <w:p w14:paraId="7535077A">
      <w:pPr>
        <w:spacing w:before="18"/>
      </w:pPr>
    </w:p>
    <w:p w14:paraId="159D669F">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778"/>
        <w:gridCol w:w="2606"/>
        <w:gridCol w:w="3378"/>
        <w:gridCol w:w="713"/>
        <w:gridCol w:w="123"/>
      </w:tblGrid>
      <w:tr w14:paraId="3B737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1" w:hRule="atLeast"/>
        </w:trPr>
        <w:tc>
          <w:tcPr>
            <w:tcW w:w="1161" w:type="dxa"/>
            <w:vMerge w:val="restart"/>
            <w:tcBorders>
              <w:top w:val="single" w:color="000000" w:sz="6" w:space="0"/>
              <w:left w:val="single" w:color="000000" w:sz="6" w:space="0"/>
              <w:bottom w:val="nil"/>
            </w:tcBorders>
            <w:vAlign w:val="top"/>
          </w:tcPr>
          <w:p w14:paraId="1ABEB9EF">
            <w:pPr>
              <w:rPr>
                <w:rFonts w:ascii="Arial"/>
                <w:sz w:val="21"/>
              </w:rPr>
            </w:pPr>
          </w:p>
        </w:tc>
        <w:tc>
          <w:tcPr>
            <w:tcW w:w="7711" w:type="dxa"/>
            <w:gridSpan w:val="6"/>
            <w:tcBorders>
              <w:top w:val="single" w:color="000000" w:sz="6" w:space="0"/>
              <w:right w:val="single" w:color="000000" w:sz="6" w:space="0"/>
            </w:tcBorders>
            <w:vAlign w:val="top"/>
          </w:tcPr>
          <w:p w14:paraId="3AAC60A5">
            <w:pPr>
              <w:spacing w:before="31" w:line="360" w:lineRule="auto"/>
              <w:ind w:left="109" w:right="102" w:firstLine="480"/>
              <w:jc w:val="both"/>
              <w:rPr>
                <w:rFonts w:ascii="宋体" w:hAnsi="宋体" w:eastAsia="宋体" w:cs="宋体"/>
                <w:sz w:val="24"/>
                <w:szCs w:val="24"/>
              </w:rPr>
            </w:pPr>
            <w:r>
              <w:rPr>
                <w:rFonts w:ascii="宋体" w:hAnsi="宋体" w:eastAsia="宋体" w:cs="宋体"/>
                <w:spacing w:val="2"/>
                <w:sz w:val="24"/>
                <w:szCs w:val="24"/>
              </w:rPr>
              <w:t>本项目位于云南寻甸产业园区羊街片区，根</w:t>
            </w:r>
            <w:r>
              <w:rPr>
                <w:rFonts w:ascii="宋体" w:hAnsi="宋体" w:eastAsia="宋体" w:cs="宋体"/>
                <w:spacing w:val="1"/>
                <w:sz w:val="24"/>
                <w:szCs w:val="24"/>
              </w:rPr>
              <w:t>据牛栏江水系功能规划图可知，项目区属于重点污染控制区，重点污染控制区需满足重点水源涵养区禁止的行为及重点污染控制区的禁止行为。根据《云南省牛栏江保护条例》中第三十二、三十三条中规定的禁止行为分析项目选址符合</w:t>
            </w:r>
            <w:r>
              <w:rPr>
                <w:rFonts w:ascii="宋体" w:hAnsi="宋体" w:eastAsia="宋体" w:cs="宋体"/>
                <w:spacing w:val="-6"/>
                <w:sz w:val="24"/>
                <w:szCs w:val="24"/>
              </w:rPr>
              <w:t>性。</w:t>
            </w:r>
          </w:p>
          <w:p w14:paraId="3164E9C3">
            <w:pPr>
              <w:spacing w:before="130" w:line="228" w:lineRule="auto"/>
              <w:ind w:left="1159"/>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13"/>
                <w:sz w:val="20"/>
                <w:szCs w:val="20"/>
              </w:rPr>
              <w:t xml:space="preserve"> </w:t>
            </w:r>
            <w:r>
              <w:rPr>
                <w:rFonts w:ascii="Times New Roman" w:hAnsi="Times New Roman" w:eastAsia="Times New Roman" w:cs="Times New Roman"/>
                <w:b/>
                <w:bCs/>
                <w:spacing w:val="6"/>
                <w:sz w:val="20"/>
                <w:szCs w:val="20"/>
              </w:rPr>
              <w:t xml:space="preserve">1-6    </w:t>
            </w:r>
            <w:r>
              <w:rPr>
                <w:rFonts w:ascii="宋体" w:hAnsi="宋体" w:eastAsia="宋体" w:cs="宋体"/>
                <w:b/>
                <w:bCs/>
                <w:spacing w:val="6"/>
                <w:sz w:val="20"/>
                <w:szCs w:val="20"/>
              </w:rPr>
              <w:t>建设内容与《云南省牛栏江保护条例》符合性分析</w:t>
            </w:r>
          </w:p>
        </w:tc>
      </w:tr>
      <w:tr w14:paraId="70785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1161" w:type="dxa"/>
            <w:vMerge w:val="continue"/>
            <w:tcBorders>
              <w:top w:val="nil"/>
              <w:left w:val="single" w:color="000000" w:sz="6" w:space="0"/>
              <w:bottom w:val="nil"/>
            </w:tcBorders>
            <w:vAlign w:val="top"/>
          </w:tcPr>
          <w:p w14:paraId="1279B0D8">
            <w:pPr>
              <w:rPr>
                <w:rFonts w:ascii="Arial"/>
                <w:sz w:val="21"/>
              </w:rPr>
            </w:pPr>
          </w:p>
        </w:tc>
        <w:tc>
          <w:tcPr>
            <w:tcW w:w="113" w:type="dxa"/>
            <w:tcBorders>
              <w:top w:val="nil"/>
              <w:bottom w:val="nil"/>
            </w:tcBorders>
            <w:vAlign w:val="top"/>
          </w:tcPr>
          <w:p w14:paraId="34CB6FFC">
            <w:pPr>
              <w:rPr>
                <w:rFonts w:ascii="Arial"/>
                <w:sz w:val="21"/>
              </w:rPr>
            </w:pPr>
          </w:p>
        </w:tc>
        <w:tc>
          <w:tcPr>
            <w:tcW w:w="778" w:type="dxa"/>
            <w:vAlign w:val="top"/>
          </w:tcPr>
          <w:p w14:paraId="1086E41D">
            <w:pPr>
              <w:spacing w:before="33" w:line="228" w:lineRule="auto"/>
              <w:ind w:left="179"/>
              <w:rPr>
                <w:rFonts w:ascii="宋体" w:hAnsi="宋体" w:eastAsia="宋体" w:cs="宋体"/>
                <w:sz w:val="20"/>
                <w:szCs w:val="20"/>
              </w:rPr>
            </w:pPr>
            <w:r>
              <w:rPr>
                <w:rFonts w:ascii="宋体" w:hAnsi="宋体" w:eastAsia="宋体" w:cs="宋体"/>
                <w:b/>
                <w:bCs/>
                <w:spacing w:val="3"/>
                <w:sz w:val="20"/>
                <w:szCs w:val="20"/>
              </w:rPr>
              <w:t>保护</w:t>
            </w:r>
          </w:p>
          <w:p w14:paraId="41A05DE4">
            <w:pPr>
              <w:spacing w:before="160" w:line="359" w:lineRule="auto"/>
              <w:ind w:left="286" w:right="182" w:hanging="92"/>
              <w:rPr>
                <w:rFonts w:ascii="宋体" w:hAnsi="宋体" w:eastAsia="宋体" w:cs="宋体"/>
                <w:sz w:val="20"/>
                <w:szCs w:val="20"/>
              </w:rPr>
            </w:pPr>
            <w:r>
              <w:rPr>
                <w:rFonts w:ascii="宋体" w:hAnsi="宋体" w:eastAsia="宋体" w:cs="宋体"/>
                <w:b/>
                <w:bCs/>
                <w:spacing w:val="-4"/>
                <w:sz w:val="20"/>
                <w:szCs w:val="20"/>
              </w:rPr>
              <w:t>区划</w:t>
            </w:r>
            <w:r>
              <w:rPr>
                <w:rFonts w:ascii="宋体" w:hAnsi="宋体" w:eastAsia="宋体" w:cs="宋体"/>
                <w:b/>
                <w:bCs/>
                <w:spacing w:val="-3"/>
                <w:sz w:val="20"/>
                <w:szCs w:val="20"/>
              </w:rPr>
              <w:t>分</w:t>
            </w:r>
          </w:p>
        </w:tc>
        <w:tc>
          <w:tcPr>
            <w:tcW w:w="2606" w:type="dxa"/>
            <w:vAlign w:val="top"/>
          </w:tcPr>
          <w:p w14:paraId="3F33C85C">
            <w:pPr>
              <w:spacing w:line="373" w:lineRule="auto"/>
              <w:rPr>
                <w:rFonts w:ascii="Arial"/>
                <w:sz w:val="21"/>
              </w:rPr>
            </w:pPr>
          </w:p>
          <w:p w14:paraId="2662B531">
            <w:pPr>
              <w:spacing w:before="65" w:line="228" w:lineRule="auto"/>
              <w:ind w:left="883"/>
              <w:rPr>
                <w:rFonts w:ascii="宋体" w:hAnsi="宋体" w:eastAsia="宋体" w:cs="宋体"/>
                <w:sz w:val="20"/>
                <w:szCs w:val="20"/>
              </w:rPr>
            </w:pPr>
            <w:r>
              <w:rPr>
                <w:rFonts w:ascii="宋体" w:hAnsi="宋体" w:eastAsia="宋体" w:cs="宋体"/>
                <w:b/>
                <w:bCs/>
                <w:spacing w:val="6"/>
                <w:sz w:val="20"/>
                <w:szCs w:val="20"/>
              </w:rPr>
              <w:t>禁止行为</w:t>
            </w:r>
          </w:p>
        </w:tc>
        <w:tc>
          <w:tcPr>
            <w:tcW w:w="3378" w:type="dxa"/>
            <w:vAlign w:val="top"/>
          </w:tcPr>
          <w:p w14:paraId="7E84B886">
            <w:pPr>
              <w:spacing w:line="373" w:lineRule="auto"/>
              <w:rPr>
                <w:rFonts w:ascii="Arial"/>
                <w:sz w:val="21"/>
              </w:rPr>
            </w:pPr>
          </w:p>
          <w:p w14:paraId="7C10AB0F">
            <w:pPr>
              <w:spacing w:before="65" w:line="228" w:lineRule="auto"/>
              <w:ind w:left="1278"/>
              <w:rPr>
                <w:rFonts w:ascii="宋体" w:hAnsi="宋体" w:eastAsia="宋体" w:cs="宋体"/>
                <w:sz w:val="20"/>
                <w:szCs w:val="20"/>
              </w:rPr>
            </w:pPr>
            <w:r>
              <w:rPr>
                <w:rFonts w:ascii="宋体" w:hAnsi="宋体" w:eastAsia="宋体" w:cs="宋体"/>
                <w:b/>
                <w:bCs/>
                <w:spacing w:val="5"/>
                <w:sz w:val="20"/>
                <w:szCs w:val="20"/>
              </w:rPr>
              <w:t>建设内容</w:t>
            </w:r>
          </w:p>
        </w:tc>
        <w:tc>
          <w:tcPr>
            <w:tcW w:w="713" w:type="dxa"/>
            <w:vAlign w:val="top"/>
          </w:tcPr>
          <w:p w14:paraId="2548E832">
            <w:pPr>
              <w:spacing w:before="236" w:line="379" w:lineRule="auto"/>
              <w:ind w:left="264" w:right="137" w:hanging="104"/>
              <w:rPr>
                <w:rFonts w:ascii="宋体" w:hAnsi="宋体" w:eastAsia="宋体" w:cs="宋体"/>
                <w:sz w:val="20"/>
                <w:szCs w:val="20"/>
              </w:rPr>
            </w:pPr>
            <w:r>
              <w:rPr>
                <w:rFonts w:ascii="宋体" w:hAnsi="宋体" w:eastAsia="宋体" w:cs="宋体"/>
                <w:b/>
                <w:bCs/>
                <w:spacing w:val="3"/>
                <w:sz w:val="20"/>
                <w:szCs w:val="20"/>
              </w:rPr>
              <w:t>符合</w:t>
            </w:r>
            <w:r>
              <w:rPr>
                <w:rFonts w:ascii="宋体" w:hAnsi="宋体" w:eastAsia="宋体" w:cs="宋体"/>
                <w:b/>
                <w:bCs/>
                <w:spacing w:val="-3"/>
                <w:sz w:val="20"/>
                <w:szCs w:val="20"/>
              </w:rPr>
              <w:t>性</w:t>
            </w:r>
          </w:p>
        </w:tc>
        <w:tc>
          <w:tcPr>
            <w:tcW w:w="123" w:type="dxa"/>
            <w:tcBorders>
              <w:top w:val="nil"/>
              <w:bottom w:val="nil"/>
              <w:right w:val="single" w:color="000000" w:sz="6" w:space="0"/>
            </w:tcBorders>
            <w:vAlign w:val="top"/>
          </w:tcPr>
          <w:p w14:paraId="2CF60312">
            <w:pPr>
              <w:rPr>
                <w:rFonts w:ascii="Arial"/>
                <w:sz w:val="21"/>
              </w:rPr>
            </w:pPr>
          </w:p>
        </w:tc>
      </w:tr>
      <w:tr w14:paraId="65676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9" w:hRule="atLeast"/>
        </w:trPr>
        <w:tc>
          <w:tcPr>
            <w:tcW w:w="1161" w:type="dxa"/>
            <w:vMerge w:val="continue"/>
            <w:tcBorders>
              <w:top w:val="nil"/>
              <w:left w:val="single" w:color="000000" w:sz="6" w:space="0"/>
              <w:bottom w:val="nil"/>
            </w:tcBorders>
            <w:vAlign w:val="top"/>
          </w:tcPr>
          <w:p w14:paraId="7A40C4E5">
            <w:pPr>
              <w:rPr>
                <w:rFonts w:ascii="Arial"/>
                <w:sz w:val="21"/>
              </w:rPr>
            </w:pPr>
          </w:p>
        </w:tc>
        <w:tc>
          <w:tcPr>
            <w:tcW w:w="113" w:type="dxa"/>
            <w:tcBorders>
              <w:top w:val="nil"/>
              <w:bottom w:val="nil"/>
            </w:tcBorders>
            <w:vAlign w:val="top"/>
          </w:tcPr>
          <w:p w14:paraId="79DE65A5">
            <w:pPr>
              <w:rPr>
                <w:rFonts w:ascii="Arial"/>
                <w:sz w:val="21"/>
              </w:rPr>
            </w:pPr>
          </w:p>
        </w:tc>
        <w:tc>
          <w:tcPr>
            <w:tcW w:w="778" w:type="dxa"/>
            <w:vMerge w:val="restart"/>
            <w:tcBorders>
              <w:bottom w:val="nil"/>
            </w:tcBorders>
            <w:vAlign w:val="top"/>
          </w:tcPr>
          <w:p w14:paraId="4EEC5F50">
            <w:pPr>
              <w:rPr>
                <w:rFonts w:ascii="Arial"/>
                <w:sz w:val="21"/>
              </w:rPr>
            </w:pPr>
          </w:p>
          <w:p w14:paraId="2AEEF43C">
            <w:pPr>
              <w:spacing w:line="241" w:lineRule="auto"/>
              <w:rPr>
                <w:rFonts w:ascii="Arial"/>
                <w:sz w:val="21"/>
              </w:rPr>
            </w:pPr>
          </w:p>
          <w:p w14:paraId="27ABEB07">
            <w:pPr>
              <w:spacing w:line="241" w:lineRule="auto"/>
              <w:rPr>
                <w:rFonts w:ascii="Arial"/>
                <w:sz w:val="21"/>
              </w:rPr>
            </w:pPr>
          </w:p>
          <w:p w14:paraId="267C696C">
            <w:pPr>
              <w:spacing w:line="241" w:lineRule="auto"/>
              <w:rPr>
                <w:rFonts w:ascii="Arial"/>
                <w:sz w:val="21"/>
              </w:rPr>
            </w:pPr>
          </w:p>
          <w:p w14:paraId="412068A4">
            <w:pPr>
              <w:spacing w:line="241" w:lineRule="auto"/>
              <w:rPr>
                <w:rFonts w:ascii="Arial"/>
                <w:sz w:val="21"/>
              </w:rPr>
            </w:pPr>
          </w:p>
          <w:p w14:paraId="232328D5">
            <w:pPr>
              <w:spacing w:line="241" w:lineRule="auto"/>
              <w:rPr>
                <w:rFonts w:ascii="Arial"/>
                <w:sz w:val="21"/>
              </w:rPr>
            </w:pPr>
          </w:p>
          <w:p w14:paraId="19240444">
            <w:pPr>
              <w:spacing w:line="241" w:lineRule="auto"/>
              <w:rPr>
                <w:rFonts w:ascii="Arial"/>
                <w:sz w:val="21"/>
              </w:rPr>
            </w:pPr>
          </w:p>
          <w:p w14:paraId="6AC4B202">
            <w:pPr>
              <w:spacing w:line="241" w:lineRule="auto"/>
              <w:rPr>
                <w:rFonts w:ascii="Arial"/>
                <w:sz w:val="21"/>
              </w:rPr>
            </w:pPr>
          </w:p>
          <w:p w14:paraId="0FAFE247">
            <w:pPr>
              <w:spacing w:line="241" w:lineRule="auto"/>
              <w:rPr>
                <w:rFonts w:ascii="Arial"/>
                <w:sz w:val="21"/>
              </w:rPr>
            </w:pPr>
          </w:p>
          <w:p w14:paraId="250843BE">
            <w:pPr>
              <w:spacing w:line="241" w:lineRule="auto"/>
              <w:rPr>
                <w:rFonts w:ascii="Arial"/>
                <w:sz w:val="21"/>
              </w:rPr>
            </w:pPr>
          </w:p>
          <w:p w14:paraId="27A03540">
            <w:pPr>
              <w:spacing w:line="241" w:lineRule="auto"/>
              <w:rPr>
                <w:rFonts w:ascii="Arial"/>
                <w:sz w:val="21"/>
              </w:rPr>
            </w:pPr>
          </w:p>
          <w:p w14:paraId="3135894E">
            <w:pPr>
              <w:spacing w:line="241" w:lineRule="auto"/>
              <w:rPr>
                <w:rFonts w:ascii="Arial"/>
                <w:sz w:val="21"/>
              </w:rPr>
            </w:pPr>
          </w:p>
          <w:p w14:paraId="23BA3EBB">
            <w:pPr>
              <w:spacing w:line="241" w:lineRule="auto"/>
              <w:rPr>
                <w:rFonts w:ascii="Arial"/>
                <w:sz w:val="21"/>
              </w:rPr>
            </w:pPr>
          </w:p>
          <w:p w14:paraId="6C106611">
            <w:pPr>
              <w:spacing w:line="241" w:lineRule="auto"/>
              <w:rPr>
                <w:rFonts w:ascii="Arial"/>
                <w:sz w:val="21"/>
              </w:rPr>
            </w:pPr>
          </w:p>
          <w:p w14:paraId="0E93C755">
            <w:pPr>
              <w:spacing w:line="241" w:lineRule="auto"/>
              <w:rPr>
                <w:rFonts w:ascii="Arial"/>
                <w:sz w:val="21"/>
              </w:rPr>
            </w:pPr>
          </w:p>
          <w:p w14:paraId="5A78385C">
            <w:pPr>
              <w:spacing w:before="65" w:line="379" w:lineRule="auto"/>
              <w:ind w:left="177" w:right="184" w:firstLine="1"/>
              <w:jc w:val="right"/>
              <w:rPr>
                <w:rFonts w:ascii="宋体" w:hAnsi="宋体" w:eastAsia="宋体" w:cs="宋体"/>
                <w:sz w:val="20"/>
                <w:szCs w:val="20"/>
              </w:rPr>
            </w:pPr>
            <w:r>
              <w:rPr>
                <w:rFonts w:ascii="宋体" w:hAnsi="宋体" w:eastAsia="宋体" w:cs="宋体"/>
                <w:spacing w:val="4"/>
                <w:sz w:val="20"/>
                <w:szCs w:val="20"/>
              </w:rPr>
              <w:t>重点</w:t>
            </w:r>
            <w:r>
              <w:rPr>
                <w:rFonts w:ascii="宋体" w:hAnsi="宋体" w:eastAsia="宋体" w:cs="宋体"/>
                <w:spacing w:val="5"/>
                <w:sz w:val="20"/>
                <w:szCs w:val="20"/>
              </w:rPr>
              <w:t>污染控制</w:t>
            </w:r>
            <w:r>
              <w:rPr>
                <w:rFonts w:ascii="宋体" w:hAnsi="宋体" w:eastAsia="宋体" w:cs="宋体"/>
                <w:sz w:val="20"/>
                <w:szCs w:val="20"/>
              </w:rPr>
              <w:t>区</w:t>
            </w:r>
          </w:p>
        </w:tc>
        <w:tc>
          <w:tcPr>
            <w:tcW w:w="2606" w:type="dxa"/>
            <w:vAlign w:val="top"/>
          </w:tcPr>
          <w:p w14:paraId="1F821088">
            <w:pPr>
              <w:spacing w:line="375" w:lineRule="auto"/>
              <w:rPr>
                <w:rFonts w:ascii="Arial"/>
                <w:sz w:val="21"/>
              </w:rPr>
            </w:pPr>
          </w:p>
          <w:p w14:paraId="50499BCB">
            <w:pPr>
              <w:spacing w:before="65" w:line="228" w:lineRule="auto"/>
              <w:ind w:left="159"/>
              <w:rPr>
                <w:rFonts w:ascii="宋体" w:hAnsi="宋体" w:eastAsia="宋体" w:cs="宋体"/>
                <w:sz w:val="20"/>
                <w:szCs w:val="20"/>
              </w:rPr>
            </w:pPr>
            <w:r>
              <w:rPr>
                <w:rFonts w:ascii="宋体" w:hAnsi="宋体" w:eastAsia="宋体" w:cs="宋体"/>
                <w:spacing w:val="8"/>
                <w:sz w:val="20"/>
                <w:szCs w:val="20"/>
              </w:rPr>
              <w:t>（一）盗伐、滥伐林木和</w:t>
            </w:r>
          </w:p>
          <w:p w14:paraId="7084F21D">
            <w:pPr>
              <w:spacing w:before="161" w:line="228" w:lineRule="auto"/>
              <w:ind w:left="779"/>
              <w:rPr>
                <w:rFonts w:ascii="宋体" w:hAnsi="宋体" w:eastAsia="宋体" w:cs="宋体"/>
                <w:sz w:val="20"/>
                <w:szCs w:val="20"/>
              </w:rPr>
            </w:pPr>
            <w:r>
              <w:rPr>
                <w:rFonts w:ascii="宋体" w:hAnsi="宋体" w:eastAsia="宋体" w:cs="宋体"/>
                <w:spacing w:val="6"/>
                <w:sz w:val="20"/>
                <w:szCs w:val="20"/>
              </w:rPr>
              <w:t>破坏草地；</w:t>
            </w:r>
          </w:p>
        </w:tc>
        <w:tc>
          <w:tcPr>
            <w:tcW w:w="3378" w:type="dxa"/>
            <w:vAlign w:val="top"/>
          </w:tcPr>
          <w:p w14:paraId="2BAC562D">
            <w:pPr>
              <w:spacing w:before="35" w:line="228" w:lineRule="auto"/>
              <w:ind w:left="126"/>
              <w:rPr>
                <w:rFonts w:ascii="宋体" w:hAnsi="宋体" w:eastAsia="宋体" w:cs="宋体"/>
                <w:sz w:val="20"/>
                <w:szCs w:val="20"/>
              </w:rPr>
            </w:pPr>
            <w:r>
              <w:rPr>
                <w:rFonts w:ascii="宋体" w:hAnsi="宋体" w:eastAsia="宋体" w:cs="宋体"/>
                <w:spacing w:val="8"/>
                <w:sz w:val="20"/>
                <w:szCs w:val="20"/>
              </w:rPr>
              <w:t>项目位于金所片区，为扩建项目，</w:t>
            </w:r>
          </w:p>
          <w:p w14:paraId="6C07CD69">
            <w:pPr>
              <w:spacing w:before="160" w:line="228" w:lineRule="auto"/>
              <w:ind w:left="126"/>
              <w:rPr>
                <w:rFonts w:ascii="宋体" w:hAnsi="宋体" w:eastAsia="宋体" w:cs="宋体"/>
                <w:sz w:val="20"/>
                <w:szCs w:val="20"/>
              </w:rPr>
            </w:pPr>
            <w:r>
              <w:rPr>
                <w:rFonts w:ascii="宋体" w:hAnsi="宋体" w:eastAsia="宋体" w:cs="宋体"/>
                <w:spacing w:val="9"/>
                <w:sz w:val="20"/>
                <w:szCs w:val="20"/>
              </w:rPr>
              <w:t>项目占地为园区规划用地，租用已</w:t>
            </w:r>
          </w:p>
          <w:p w14:paraId="5B5CFCE3">
            <w:pPr>
              <w:spacing w:before="160" w:line="228" w:lineRule="auto"/>
              <w:ind w:left="126"/>
              <w:rPr>
                <w:rFonts w:ascii="宋体" w:hAnsi="宋体" w:eastAsia="宋体" w:cs="宋体"/>
                <w:sz w:val="20"/>
                <w:szCs w:val="20"/>
              </w:rPr>
            </w:pPr>
            <w:r>
              <w:rPr>
                <w:rFonts w:ascii="宋体" w:hAnsi="宋体" w:eastAsia="宋体" w:cs="宋体"/>
                <w:spacing w:val="9"/>
                <w:sz w:val="20"/>
                <w:szCs w:val="20"/>
              </w:rPr>
              <w:t>建成厂房，不存在盗伐、滥伐林木</w:t>
            </w:r>
          </w:p>
          <w:p w14:paraId="7A117E4A">
            <w:pPr>
              <w:spacing w:before="161" w:line="228" w:lineRule="auto"/>
              <w:ind w:left="858"/>
              <w:rPr>
                <w:rFonts w:ascii="宋体" w:hAnsi="宋体" w:eastAsia="宋体" w:cs="宋体"/>
                <w:sz w:val="20"/>
                <w:szCs w:val="20"/>
              </w:rPr>
            </w:pPr>
            <w:r>
              <w:rPr>
                <w:rFonts w:ascii="宋体" w:hAnsi="宋体" w:eastAsia="宋体" w:cs="宋体"/>
                <w:spacing w:val="7"/>
                <w:sz w:val="20"/>
                <w:szCs w:val="20"/>
              </w:rPr>
              <w:t>和破坏草地行为。</w:t>
            </w:r>
          </w:p>
        </w:tc>
        <w:tc>
          <w:tcPr>
            <w:tcW w:w="713" w:type="dxa"/>
            <w:vAlign w:val="top"/>
          </w:tcPr>
          <w:p w14:paraId="2AEB5DBC">
            <w:pPr>
              <w:spacing w:line="289" w:lineRule="auto"/>
              <w:rPr>
                <w:rFonts w:ascii="Arial"/>
                <w:sz w:val="21"/>
              </w:rPr>
            </w:pPr>
          </w:p>
          <w:p w14:paraId="0427D2AB">
            <w:pPr>
              <w:spacing w:line="289" w:lineRule="auto"/>
              <w:rPr>
                <w:rFonts w:ascii="Arial"/>
                <w:sz w:val="21"/>
              </w:rPr>
            </w:pPr>
          </w:p>
          <w:p w14:paraId="1D8FB6BF">
            <w:pPr>
              <w:spacing w:before="65" w:line="228" w:lineRule="auto"/>
              <w:ind w:left="160"/>
              <w:rPr>
                <w:rFonts w:ascii="宋体" w:hAnsi="宋体" w:eastAsia="宋体" w:cs="宋体"/>
                <w:sz w:val="20"/>
                <w:szCs w:val="20"/>
              </w:rPr>
            </w:pPr>
            <w:r>
              <w:rPr>
                <w:rFonts w:ascii="宋体" w:hAnsi="宋体" w:eastAsia="宋体" w:cs="宋体"/>
                <w:spacing w:val="3"/>
                <w:sz w:val="20"/>
                <w:szCs w:val="20"/>
              </w:rPr>
              <w:t>符合</w:t>
            </w:r>
          </w:p>
        </w:tc>
        <w:tc>
          <w:tcPr>
            <w:tcW w:w="123" w:type="dxa"/>
            <w:tcBorders>
              <w:top w:val="nil"/>
              <w:bottom w:val="nil"/>
              <w:right w:val="single" w:color="000000" w:sz="6" w:space="0"/>
            </w:tcBorders>
            <w:vAlign w:val="top"/>
          </w:tcPr>
          <w:p w14:paraId="40007FB3">
            <w:pPr>
              <w:rPr>
                <w:rFonts w:ascii="Arial"/>
                <w:sz w:val="21"/>
              </w:rPr>
            </w:pPr>
          </w:p>
        </w:tc>
      </w:tr>
      <w:tr w14:paraId="31008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1161" w:type="dxa"/>
            <w:vMerge w:val="continue"/>
            <w:tcBorders>
              <w:top w:val="nil"/>
              <w:left w:val="single" w:color="000000" w:sz="6" w:space="0"/>
              <w:bottom w:val="nil"/>
            </w:tcBorders>
            <w:vAlign w:val="top"/>
          </w:tcPr>
          <w:p w14:paraId="32916471">
            <w:pPr>
              <w:rPr>
                <w:rFonts w:ascii="Arial"/>
                <w:sz w:val="21"/>
              </w:rPr>
            </w:pPr>
          </w:p>
        </w:tc>
        <w:tc>
          <w:tcPr>
            <w:tcW w:w="113" w:type="dxa"/>
            <w:tcBorders>
              <w:top w:val="nil"/>
              <w:bottom w:val="nil"/>
            </w:tcBorders>
            <w:vAlign w:val="top"/>
          </w:tcPr>
          <w:p w14:paraId="4388883C">
            <w:pPr>
              <w:rPr>
                <w:rFonts w:ascii="Arial"/>
                <w:sz w:val="21"/>
              </w:rPr>
            </w:pPr>
          </w:p>
        </w:tc>
        <w:tc>
          <w:tcPr>
            <w:tcW w:w="778" w:type="dxa"/>
            <w:vMerge w:val="continue"/>
            <w:tcBorders>
              <w:top w:val="nil"/>
              <w:bottom w:val="nil"/>
            </w:tcBorders>
            <w:vAlign w:val="top"/>
          </w:tcPr>
          <w:p w14:paraId="3D4BAD86">
            <w:pPr>
              <w:rPr>
                <w:rFonts w:ascii="Arial"/>
                <w:sz w:val="21"/>
              </w:rPr>
            </w:pPr>
          </w:p>
        </w:tc>
        <w:tc>
          <w:tcPr>
            <w:tcW w:w="2606" w:type="dxa"/>
            <w:vAlign w:val="top"/>
          </w:tcPr>
          <w:p w14:paraId="2E966E9B">
            <w:pPr>
              <w:spacing w:before="45" w:line="228" w:lineRule="auto"/>
              <w:ind w:left="159"/>
              <w:rPr>
                <w:rFonts w:ascii="宋体" w:hAnsi="宋体" w:eastAsia="宋体" w:cs="宋体"/>
                <w:sz w:val="20"/>
                <w:szCs w:val="20"/>
              </w:rPr>
            </w:pPr>
            <w:r>
              <w:rPr>
                <w:rFonts w:ascii="宋体" w:hAnsi="宋体" w:eastAsia="宋体" w:cs="宋体"/>
                <w:spacing w:val="8"/>
                <w:sz w:val="20"/>
                <w:szCs w:val="20"/>
              </w:rPr>
              <w:t>（二）使用高毒、高残留</w:t>
            </w:r>
          </w:p>
          <w:p w14:paraId="47D1DC30">
            <w:pPr>
              <w:spacing w:before="161" w:line="228" w:lineRule="auto"/>
              <w:ind w:left="989"/>
              <w:rPr>
                <w:rFonts w:ascii="宋体" w:hAnsi="宋体" w:eastAsia="宋体" w:cs="宋体"/>
                <w:sz w:val="20"/>
                <w:szCs w:val="20"/>
              </w:rPr>
            </w:pPr>
            <w:r>
              <w:rPr>
                <w:rFonts w:ascii="宋体" w:hAnsi="宋体" w:eastAsia="宋体" w:cs="宋体"/>
                <w:spacing w:val="3"/>
                <w:sz w:val="20"/>
                <w:szCs w:val="20"/>
              </w:rPr>
              <w:t>农药；</w:t>
            </w:r>
          </w:p>
        </w:tc>
        <w:tc>
          <w:tcPr>
            <w:tcW w:w="3378" w:type="dxa"/>
            <w:vAlign w:val="top"/>
          </w:tcPr>
          <w:p w14:paraId="5D9485B6">
            <w:pPr>
              <w:spacing w:before="249" w:line="229" w:lineRule="auto"/>
              <w:ind w:left="1281"/>
              <w:rPr>
                <w:rFonts w:ascii="宋体" w:hAnsi="宋体" w:eastAsia="宋体" w:cs="宋体"/>
                <w:sz w:val="20"/>
                <w:szCs w:val="20"/>
              </w:rPr>
            </w:pPr>
            <w:r>
              <w:rPr>
                <w:rFonts w:ascii="宋体" w:hAnsi="宋体" w:eastAsia="宋体" w:cs="宋体"/>
                <w:spacing w:val="4"/>
                <w:sz w:val="20"/>
                <w:szCs w:val="20"/>
              </w:rPr>
              <w:t>不涉及。</w:t>
            </w:r>
          </w:p>
        </w:tc>
        <w:tc>
          <w:tcPr>
            <w:tcW w:w="713" w:type="dxa"/>
            <w:vAlign w:val="top"/>
          </w:tcPr>
          <w:p w14:paraId="6F32EBF8">
            <w:pPr>
              <w:spacing w:before="249" w:line="228" w:lineRule="auto"/>
              <w:ind w:left="160"/>
              <w:rPr>
                <w:rFonts w:ascii="宋体" w:hAnsi="宋体" w:eastAsia="宋体" w:cs="宋体"/>
                <w:sz w:val="20"/>
                <w:szCs w:val="20"/>
              </w:rPr>
            </w:pPr>
            <w:r>
              <w:rPr>
                <w:rFonts w:ascii="宋体" w:hAnsi="宋体" w:eastAsia="宋体" w:cs="宋体"/>
                <w:spacing w:val="3"/>
                <w:sz w:val="20"/>
                <w:szCs w:val="20"/>
              </w:rPr>
              <w:t>符合</w:t>
            </w:r>
          </w:p>
        </w:tc>
        <w:tc>
          <w:tcPr>
            <w:tcW w:w="123" w:type="dxa"/>
            <w:tcBorders>
              <w:top w:val="nil"/>
              <w:bottom w:val="nil"/>
              <w:right w:val="single" w:color="000000" w:sz="6" w:space="0"/>
            </w:tcBorders>
            <w:vAlign w:val="top"/>
          </w:tcPr>
          <w:p w14:paraId="20DB2A9D">
            <w:pPr>
              <w:rPr>
                <w:rFonts w:ascii="Arial"/>
                <w:sz w:val="21"/>
              </w:rPr>
            </w:pPr>
          </w:p>
        </w:tc>
      </w:tr>
      <w:tr w14:paraId="4A039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4" w:hRule="atLeast"/>
        </w:trPr>
        <w:tc>
          <w:tcPr>
            <w:tcW w:w="1161" w:type="dxa"/>
            <w:vMerge w:val="continue"/>
            <w:tcBorders>
              <w:top w:val="nil"/>
              <w:left w:val="single" w:color="000000" w:sz="6" w:space="0"/>
              <w:bottom w:val="nil"/>
            </w:tcBorders>
            <w:vAlign w:val="top"/>
          </w:tcPr>
          <w:p w14:paraId="0F71B2D0">
            <w:pPr>
              <w:rPr>
                <w:rFonts w:ascii="Arial"/>
                <w:sz w:val="21"/>
              </w:rPr>
            </w:pPr>
          </w:p>
        </w:tc>
        <w:tc>
          <w:tcPr>
            <w:tcW w:w="113" w:type="dxa"/>
            <w:tcBorders>
              <w:top w:val="nil"/>
              <w:bottom w:val="nil"/>
            </w:tcBorders>
            <w:vAlign w:val="top"/>
          </w:tcPr>
          <w:p w14:paraId="265FDE25">
            <w:pPr>
              <w:rPr>
                <w:rFonts w:ascii="Arial"/>
                <w:sz w:val="21"/>
              </w:rPr>
            </w:pPr>
          </w:p>
        </w:tc>
        <w:tc>
          <w:tcPr>
            <w:tcW w:w="778" w:type="dxa"/>
            <w:vMerge w:val="continue"/>
            <w:tcBorders>
              <w:top w:val="nil"/>
              <w:bottom w:val="nil"/>
            </w:tcBorders>
            <w:vAlign w:val="top"/>
          </w:tcPr>
          <w:p w14:paraId="611FC0CA">
            <w:pPr>
              <w:rPr>
                <w:rFonts w:ascii="Arial"/>
                <w:sz w:val="21"/>
              </w:rPr>
            </w:pPr>
          </w:p>
        </w:tc>
        <w:tc>
          <w:tcPr>
            <w:tcW w:w="2606" w:type="dxa"/>
            <w:vAlign w:val="top"/>
          </w:tcPr>
          <w:p w14:paraId="57984AFD">
            <w:pPr>
              <w:spacing w:before="42" w:line="228" w:lineRule="auto"/>
              <w:ind w:left="159"/>
              <w:rPr>
                <w:rFonts w:ascii="宋体" w:hAnsi="宋体" w:eastAsia="宋体" w:cs="宋体"/>
                <w:sz w:val="20"/>
                <w:szCs w:val="20"/>
              </w:rPr>
            </w:pPr>
            <w:r>
              <w:rPr>
                <w:rFonts w:ascii="宋体" w:hAnsi="宋体" w:eastAsia="宋体" w:cs="宋体"/>
                <w:spacing w:val="7"/>
                <w:sz w:val="20"/>
                <w:szCs w:val="20"/>
              </w:rPr>
              <w:t>（三）利用溶洞、渗井、</w:t>
            </w:r>
          </w:p>
          <w:p w14:paraId="30296C92">
            <w:pPr>
              <w:spacing w:before="160" w:line="228" w:lineRule="auto"/>
              <w:ind w:left="150"/>
              <w:rPr>
                <w:rFonts w:ascii="宋体" w:hAnsi="宋体" w:eastAsia="宋体" w:cs="宋体"/>
                <w:sz w:val="20"/>
                <w:szCs w:val="20"/>
              </w:rPr>
            </w:pPr>
            <w:r>
              <w:rPr>
                <w:rFonts w:ascii="宋体" w:hAnsi="宋体" w:eastAsia="宋体" w:cs="宋体"/>
                <w:spacing w:val="9"/>
                <w:sz w:val="20"/>
                <w:szCs w:val="20"/>
              </w:rPr>
              <w:t>渗坑、裂隙排放、倾倒含</w:t>
            </w:r>
          </w:p>
          <w:p w14:paraId="3AAAFA80">
            <w:pPr>
              <w:spacing w:before="160" w:line="228" w:lineRule="auto"/>
              <w:ind w:left="150"/>
              <w:rPr>
                <w:rFonts w:ascii="宋体" w:hAnsi="宋体" w:eastAsia="宋体" w:cs="宋体"/>
                <w:sz w:val="20"/>
                <w:szCs w:val="20"/>
              </w:rPr>
            </w:pPr>
            <w:r>
              <w:rPr>
                <w:rFonts w:ascii="宋体" w:hAnsi="宋体" w:eastAsia="宋体" w:cs="宋体"/>
                <w:spacing w:val="9"/>
                <w:sz w:val="20"/>
                <w:szCs w:val="20"/>
              </w:rPr>
              <w:t>有毒有害物质的废水、废</w:t>
            </w:r>
          </w:p>
          <w:p w14:paraId="1F65F15C">
            <w:pPr>
              <w:spacing w:before="161" w:line="230" w:lineRule="auto"/>
              <w:ind w:left="1095"/>
              <w:rPr>
                <w:rFonts w:ascii="宋体" w:hAnsi="宋体" w:eastAsia="宋体" w:cs="宋体"/>
                <w:sz w:val="20"/>
                <w:szCs w:val="20"/>
              </w:rPr>
            </w:pPr>
            <w:r>
              <w:rPr>
                <w:rFonts w:ascii="宋体" w:hAnsi="宋体" w:eastAsia="宋体" w:cs="宋体"/>
                <w:sz w:val="20"/>
                <w:szCs w:val="20"/>
              </w:rPr>
              <w:t>渣；</w:t>
            </w:r>
          </w:p>
        </w:tc>
        <w:tc>
          <w:tcPr>
            <w:tcW w:w="3378" w:type="dxa"/>
            <w:vMerge w:val="restart"/>
            <w:tcBorders>
              <w:bottom w:val="nil"/>
            </w:tcBorders>
            <w:vAlign w:val="top"/>
          </w:tcPr>
          <w:p w14:paraId="45E063D0">
            <w:pPr>
              <w:spacing w:line="295" w:lineRule="auto"/>
              <w:rPr>
                <w:rFonts w:ascii="Arial"/>
                <w:sz w:val="21"/>
              </w:rPr>
            </w:pPr>
          </w:p>
          <w:p w14:paraId="27AFA59A">
            <w:pPr>
              <w:spacing w:line="295" w:lineRule="auto"/>
              <w:rPr>
                <w:rFonts w:ascii="Arial"/>
                <w:sz w:val="21"/>
              </w:rPr>
            </w:pPr>
          </w:p>
          <w:p w14:paraId="7A1942B1">
            <w:pPr>
              <w:spacing w:before="65" w:line="227" w:lineRule="auto"/>
              <w:ind w:left="401"/>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6"/>
                <w:sz w:val="20"/>
                <w:szCs w:val="20"/>
              </w:rPr>
              <w:t xml:space="preserve"> </w:t>
            </w:r>
            <w:r>
              <w:rPr>
                <w:rFonts w:ascii="宋体" w:hAnsi="宋体" w:eastAsia="宋体" w:cs="宋体"/>
                <w:spacing w:val="4"/>
                <w:sz w:val="20"/>
                <w:szCs w:val="20"/>
              </w:rPr>
              <w:t>、本项目无生产废水产生。</w:t>
            </w:r>
          </w:p>
          <w:p w14:paraId="55F4E8E8">
            <w:pPr>
              <w:spacing w:before="162" w:line="378" w:lineRule="auto"/>
              <w:ind w:left="333" w:right="101" w:hanging="223"/>
              <w:rPr>
                <w:rFonts w:ascii="宋体" w:hAnsi="宋体" w:eastAsia="宋体" w:cs="宋体"/>
                <w:sz w:val="20"/>
                <w:szCs w:val="20"/>
              </w:rPr>
            </w:pPr>
            <w:r>
              <w:rPr>
                <w:rFonts w:ascii="Times New Roman" w:hAnsi="Times New Roman" w:eastAsia="Times New Roman" w:cs="Times New Roman"/>
                <w:spacing w:val="3"/>
                <w:sz w:val="20"/>
                <w:szCs w:val="20"/>
              </w:rPr>
              <w:t>2</w:t>
            </w:r>
            <w:r>
              <w:rPr>
                <w:rFonts w:ascii="宋体" w:hAnsi="宋体" w:eastAsia="宋体" w:cs="宋体"/>
                <w:spacing w:val="3"/>
                <w:sz w:val="20"/>
                <w:szCs w:val="20"/>
              </w:rPr>
              <w:t>、项目所有固体废弃物均得到合理</w:t>
            </w:r>
            <w:r>
              <w:rPr>
                <w:rFonts w:ascii="宋体" w:hAnsi="宋体" w:eastAsia="宋体" w:cs="宋体"/>
                <w:spacing w:val="9"/>
                <w:sz w:val="20"/>
                <w:szCs w:val="20"/>
              </w:rPr>
              <w:t>有效的利用和处置，处置率为</w:t>
            </w:r>
          </w:p>
          <w:p w14:paraId="059C94C5">
            <w:pPr>
              <w:spacing w:before="33" w:line="186" w:lineRule="auto"/>
              <w:ind w:left="1363"/>
              <w:rPr>
                <w:rFonts w:ascii="宋体" w:hAnsi="宋体" w:eastAsia="宋体" w:cs="宋体"/>
                <w:sz w:val="20"/>
                <w:szCs w:val="20"/>
              </w:rPr>
            </w:pPr>
            <w:r>
              <w:rPr>
                <w:rFonts w:ascii="Times New Roman" w:hAnsi="Times New Roman" w:eastAsia="Times New Roman" w:cs="Times New Roman"/>
                <w:spacing w:val="-1"/>
                <w:sz w:val="20"/>
                <w:szCs w:val="20"/>
              </w:rPr>
              <w:t>100%</w:t>
            </w:r>
            <w:r>
              <w:rPr>
                <w:rFonts w:ascii="宋体" w:hAnsi="宋体" w:eastAsia="宋体" w:cs="宋体"/>
                <w:spacing w:val="-1"/>
                <w:sz w:val="20"/>
                <w:szCs w:val="20"/>
              </w:rPr>
              <w:t>。</w:t>
            </w:r>
          </w:p>
        </w:tc>
        <w:tc>
          <w:tcPr>
            <w:tcW w:w="713" w:type="dxa"/>
            <w:vAlign w:val="top"/>
          </w:tcPr>
          <w:p w14:paraId="7D487884">
            <w:pPr>
              <w:spacing w:line="292" w:lineRule="auto"/>
              <w:rPr>
                <w:rFonts w:ascii="Arial"/>
                <w:sz w:val="21"/>
              </w:rPr>
            </w:pPr>
          </w:p>
          <w:p w14:paraId="0C70CB52">
            <w:pPr>
              <w:spacing w:line="293" w:lineRule="auto"/>
              <w:rPr>
                <w:rFonts w:ascii="Arial"/>
                <w:sz w:val="21"/>
              </w:rPr>
            </w:pPr>
          </w:p>
          <w:p w14:paraId="12A4973C">
            <w:pPr>
              <w:spacing w:before="65" w:line="228" w:lineRule="auto"/>
              <w:ind w:left="160"/>
              <w:rPr>
                <w:rFonts w:ascii="宋体" w:hAnsi="宋体" w:eastAsia="宋体" w:cs="宋体"/>
                <w:sz w:val="20"/>
                <w:szCs w:val="20"/>
              </w:rPr>
            </w:pPr>
            <w:r>
              <w:rPr>
                <w:rFonts w:ascii="宋体" w:hAnsi="宋体" w:eastAsia="宋体" w:cs="宋体"/>
                <w:spacing w:val="3"/>
                <w:sz w:val="20"/>
                <w:szCs w:val="20"/>
              </w:rPr>
              <w:t>符合</w:t>
            </w:r>
          </w:p>
        </w:tc>
        <w:tc>
          <w:tcPr>
            <w:tcW w:w="123" w:type="dxa"/>
            <w:tcBorders>
              <w:top w:val="nil"/>
              <w:bottom w:val="nil"/>
              <w:right w:val="single" w:color="000000" w:sz="6" w:space="0"/>
            </w:tcBorders>
            <w:vAlign w:val="top"/>
          </w:tcPr>
          <w:p w14:paraId="5F3659D1">
            <w:pPr>
              <w:rPr>
                <w:rFonts w:ascii="Arial"/>
                <w:sz w:val="21"/>
              </w:rPr>
            </w:pPr>
          </w:p>
        </w:tc>
      </w:tr>
      <w:tr w14:paraId="27417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0" w:hRule="atLeast"/>
        </w:trPr>
        <w:tc>
          <w:tcPr>
            <w:tcW w:w="1161" w:type="dxa"/>
            <w:vMerge w:val="continue"/>
            <w:tcBorders>
              <w:top w:val="nil"/>
              <w:left w:val="single" w:color="000000" w:sz="6" w:space="0"/>
              <w:bottom w:val="nil"/>
            </w:tcBorders>
            <w:vAlign w:val="top"/>
          </w:tcPr>
          <w:p w14:paraId="56E01F8D">
            <w:pPr>
              <w:rPr>
                <w:rFonts w:ascii="Arial"/>
                <w:sz w:val="21"/>
              </w:rPr>
            </w:pPr>
          </w:p>
        </w:tc>
        <w:tc>
          <w:tcPr>
            <w:tcW w:w="113" w:type="dxa"/>
            <w:tcBorders>
              <w:top w:val="nil"/>
              <w:bottom w:val="nil"/>
            </w:tcBorders>
            <w:vAlign w:val="top"/>
          </w:tcPr>
          <w:p w14:paraId="41957657">
            <w:pPr>
              <w:rPr>
                <w:rFonts w:ascii="Arial"/>
                <w:sz w:val="21"/>
              </w:rPr>
            </w:pPr>
          </w:p>
        </w:tc>
        <w:tc>
          <w:tcPr>
            <w:tcW w:w="778" w:type="dxa"/>
            <w:vMerge w:val="continue"/>
            <w:tcBorders>
              <w:top w:val="nil"/>
              <w:bottom w:val="nil"/>
            </w:tcBorders>
            <w:vAlign w:val="top"/>
          </w:tcPr>
          <w:p w14:paraId="527014DC">
            <w:pPr>
              <w:rPr>
                <w:rFonts w:ascii="Arial"/>
                <w:sz w:val="21"/>
              </w:rPr>
            </w:pPr>
          </w:p>
        </w:tc>
        <w:tc>
          <w:tcPr>
            <w:tcW w:w="2606" w:type="dxa"/>
            <w:vAlign w:val="top"/>
          </w:tcPr>
          <w:p w14:paraId="6DFCF955">
            <w:pPr>
              <w:spacing w:before="57" w:line="228" w:lineRule="auto"/>
              <w:ind w:left="159"/>
              <w:rPr>
                <w:rFonts w:ascii="宋体" w:hAnsi="宋体" w:eastAsia="宋体" w:cs="宋体"/>
                <w:sz w:val="20"/>
                <w:szCs w:val="20"/>
              </w:rPr>
            </w:pPr>
            <w:r>
              <w:rPr>
                <w:rFonts w:ascii="宋体" w:hAnsi="宋体" w:eastAsia="宋体" w:cs="宋体"/>
                <w:spacing w:val="3"/>
                <w:sz w:val="20"/>
                <w:szCs w:val="20"/>
              </w:rPr>
              <w:t>（四）</w:t>
            </w:r>
            <w:r>
              <w:rPr>
                <w:rFonts w:ascii="宋体" w:hAnsi="宋体" w:eastAsia="宋体" w:cs="宋体"/>
                <w:spacing w:val="-55"/>
                <w:sz w:val="20"/>
                <w:szCs w:val="20"/>
              </w:rPr>
              <w:t xml:space="preserve"> </w:t>
            </w:r>
            <w:r>
              <w:rPr>
                <w:rFonts w:ascii="宋体" w:hAnsi="宋体" w:eastAsia="宋体" w:cs="宋体"/>
                <w:spacing w:val="3"/>
                <w:sz w:val="20"/>
                <w:szCs w:val="20"/>
              </w:rPr>
              <w:t>向水体排放废水、</w:t>
            </w:r>
          </w:p>
          <w:p w14:paraId="68DB6215">
            <w:pPr>
              <w:spacing w:before="161" w:line="228" w:lineRule="auto"/>
              <w:ind w:left="149"/>
              <w:rPr>
                <w:rFonts w:ascii="宋体" w:hAnsi="宋体" w:eastAsia="宋体" w:cs="宋体"/>
                <w:sz w:val="20"/>
                <w:szCs w:val="20"/>
              </w:rPr>
            </w:pPr>
            <w:r>
              <w:rPr>
                <w:rFonts w:ascii="宋体" w:hAnsi="宋体" w:eastAsia="宋体" w:cs="宋体"/>
                <w:spacing w:val="9"/>
                <w:sz w:val="20"/>
                <w:szCs w:val="20"/>
              </w:rPr>
              <w:t>倾倒工业废渣、城镇垃圾</w:t>
            </w:r>
          </w:p>
          <w:p w14:paraId="32D5572A">
            <w:pPr>
              <w:spacing w:before="160" w:line="228" w:lineRule="auto"/>
              <w:ind w:left="468"/>
              <w:rPr>
                <w:rFonts w:ascii="宋体" w:hAnsi="宋体" w:eastAsia="宋体" w:cs="宋体"/>
                <w:sz w:val="20"/>
                <w:szCs w:val="20"/>
              </w:rPr>
            </w:pPr>
            <w:r>
              <w:rPr>
                <w:rFonts w:ascii="宋体" w:hAnsi="宋体" w:eastAsia="宋体" w:cs="宋体"/>
                <w:spacing w:val="7"/>
                <w:sz w:val="20"/>
                <w:szCs w:val="20"/>
              </w:rPr>
              <w:t>或者其他废弃物；</w:t>
            </w:r>
          </w:p>
        </w:tc>
        <w:tc>
          <w:tcPr>
            <w:tcW w:w="3378" w:type="dxa"/>
            <w:vMerge w:val="continue"/>
            <w:tcBorders>
              <w:top w:val="nil"/>
            </w:tcBorders>
            <w:vAlign w:val="top"/>
          </w:tcPr>
          <w:p w14:paraId="4766A68F">
            <w:pPr>
              <w:rPr>
                <w:rFonts w:ascii="Arial"/>
                <w:sz w:val="21"/>
              </w:rPr>
            </w:pPr>
          </w:p>
        </w:tc>
        <w:tc>
          <w:tcPr>
            <w:tcW w:w="713" w:type="dxa"/>
            <w:vAlign w:val="top"/>
          </w:tcPr>
          <w:p w14:paraId="631244B7">
            <w:pPr>
              <w:spacing w:line="397" w:lineRule="auto"/>
              <w:rPr>
                <w:rFonts w:ascii="Arial"/>
                <w:sz w:val="21"/>
              </w:rPr>
            </w:pPr>
          </w:p>
          <w:p w14:paraId="3D698934">
            <w:pPr>
              <w:spacing w:before="65" w:line="228" w:lineRule="auto"/>
              <w:ind w:left="160"/>
              <w:rPr>
                <w:rFonts w:ascii="宋体" w:hAnsi="宋体" w:eastAsia="宋体" w:cs="宋体"/>
                <w:sz w:val="20"/>
                <w:szCs w:val="20"/>
              </w:rPr>
            </w:pPr>
            <w:r>
              <w:rPr>
                <w:rFonts w:ascii="宋体" w:hAnsi="宋体" w:eastAsia="宋体" w:cs="宋体"/>
                <w:spacing w:val="3"/>
                <w:sz w:val="20"/>
                <w:szCs w:val="20"/>
              </w:rPr>
              <w:t>符合</w:t>
            </w:r>
          </w:p>
        </w:tc>
        <w:tc>
          <w:tcPr>
            <w:tcW w:w="123" w:type="dxa"/>
            <w:tcBorders>
              <w:top w:val="nil"/>
              <w:bottom w:val="nil"/>
              <w:right w:val="single" w:color="000000" w:sz="6" w:space="0"/>
            </w:tcBorders>
            <w:vAlign w:val="top"/>
          </w:tcPr>
          <w:p w14:paraId="41C4D058">
            <w:pPr>
              <w:rPr>
                <w:rFonts w:ascii="Arial"/>
                <w:sz w:val="21"/>
              </w:rPr>
            </w:pPr>
          </w:p>
        </w:tc>
      </w:tr>
      <w:tr w14:paraId="630FE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trPr>
        <w:tc>
          <w:tcPr>
            <w:tcW w:w="1161" w:type="dxa"/>
            <w:vMerge w:val="continue"/>
            <w:tcBorders>
              <w:top w:val="nil"/>
              <w:left w:val="single" w:color="000000" w:sz="6" w:space="0"/>
              <w:bottom w:val="nil"/>
            </w:tcBorders>
            <w:vAlign w:val="top"/>
          </w:tcPr>
          <w:p w14:paraId="0499C1CC">
            <w:pPr>
              <w:rPr>
                <w:rFonts w:ascii="Arial"/>
                <w:sz w:val="21"/>
              </w:rPr>
            </w:pPr>
          </w:p>
        </w:tc>
        <w:tc>
          <w:tcPr>
            <w:tcW w:w="113" w:type="dxa"/>
            <w:tcBorders>
              <w:top w:val="nil"/>
              <w:bottom w:val="nil"/>
            </w:tcBorders>
            <w:vAlign w:val="top"/>
          </w:tcPr>
          <w:p w14:paraId="77354984">
            <w:pPr>
              <w:rPr>
                <w:rFonts w:ascii="Arial"/>
                <w:sz w:val="21"/>
              </w:rPr>
            </w:pPr>
          </w:p>
        </w:tc>
        <w:tc>
          <w:tcPr>
            <w:tcW w:w="778" w:type="dxa"/>
            <w:vMerge w:val="continue"/>
            <w:tcBorders>
              <w:top w:val="nil"/>
              <w:bottom w:val="nil"/>
            </w:tcBorders>
            <w:vAlign w:val="top"/>
          </w:tcPr>
          <w:p w14:paraId="56525A00">
            <w:pPr>
              <w:rPr>
                <w:rFonts w:ascii="Arial"/>
                <w:sz w:val="21"/>
              </w:rPr>
            </w:pPr>
          </w:p>
        </w:tc>
        <w:tc>
          <w:tcPr>
            <w:tcW w:w="2606" w:type="dxa"/>
            <w:vAlign w:val="top"/>
          </w:tcPr>
          <w:p w14:paraId="74F13ABF">
            <w:pPr>
              <w:spacing w:before="217" w:line="377" w:lineRule="auto"/>
              <w:ind w:left="148" w:right="150" w:firstLine="10"/>
              <w:jc w:val="both"/>
              <w:rPr>
                <w:rFonts w:ascii="宋体" w:hAnsi="宋体" w:eastAsia="宋体" w:cs="宋体"/>
                <w:sz w:val="20"/>
                <w:szCs w:val="20"/>
              </w:rPr>
            </w:pPr>
            <w:r>
              <w:rPr>
                <w:rFonts w:ascii="宋体" w:hAnsi="宋体" w:eastAsia="宋体" w:cs="宋体"/>
                <w:spacing w:val="8"/>
                <w:sz w:val="20"/>
                <w:szCs w:val="20"/>
              </w:rPr>
              <w:t>（五）在江河、渠道、水</w:t>
            </w:r>
            <w:r>
              <w:rPr>
                <w:rFonts w:ascii="宋体" w:hAnsi="宋体" w:eastAsia="宋体" w:cs="宋体"/>
                <w:spacing w:val="19"/>
                <w:sz w:val="20"/>
                <w:szCs w:val="20"/>
              </w:rPr>
              <w:t>库最高水位线以下的滩</w:t>
            </w:r>
            <w:r>
              <w:rPr>
                <w:rFonts w:ascii="宋体" w:hAnsi="宋体" w:eastAsia="宋体" w:cs="宋体"/>
                <w:spacing w:val="9"/>
                <w:sz w:val="20"/>
                <w:szCs w:val="20"/>
              </w:rPr>
              <w:t>地、岸坡堆放、存贮固体</w:t>
            </w:r>
            <w:r>
              <w:rPr>
                <w:rFonts w:ascii="宋体" w:hAnsi="宋体" w:eastAsia="宋体" w:cs="宋体"/>
                <w:spacing w:val="8"/>
                <w:sz w:val="20"/>
                <w:szCs w:val="20"/>
              </w:rPr>
              <w:t>废弃物或者其他污染物；</w:t>
            </w:r>
          </w:p>
        </w:tc>
        <w:tc>
          <w:tcPr>
            <w:tcW w:w="3378" w:type="dxa"/>
            <w:vAlign w:val="top"/>
          </w:tcPr>
          <w:p w14:paraId="3F012EAF">
            <w:pPr>
              <w:spacing w:line="353" w:lineRule="auto"/>
              <w:rPr>
                <w:rFonts w:ascii="Arial"/>
                <w:sz w:val="21"/>
              </w:rPr>
            </w:pPr>
          </w:p>
          <w:p w14:paraId="2D45CEF1">
            <w:pPr>
              <w:spacing w:before="65" w:line="228" w:lineRule="auto"/>
              <w:ind w:left="116"/>
              <w:rPr>
                <w:rFonts w:ascii="宋体" w:hAnsi="宋体" w:eastAsia="宋体" w:cs="宋体"/>
                <w:sz w:val="20"/>
                <w:szCs w:val="20"/>
              </w:rPr>
            </w:pPr>
            <w:r>
              <w:rPr>
                <w:rFonts w:ascii="宋体" w:hAnsi="宋体" w:eastAsia="宋体" w:cs="宋体"/>
                <w:spacing w:val="2"/>
                <w:sz w:val="20"/>
                <w:szCs w:val="20"/>
              </w:rPr>
              <w:t>厂区已建设的</w:t>
            </w:r>
            <w:r>
              <w:rPr>
                <w:rFonts w:ascii="宋体" w:hAnsi="宋体" w:eastAsia="宋体" w:cs="宋体"/>
                <w:spacing w:val="-40"/>
                <w:sz w:val="20"/>
                <w:szCs w:val="20"/>
              </w:rPr>
              <w:t xml:space="preserve"> </w:t>
            </w: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间</w:t>
            </w:r>
            <w:r>
              <w:rPr>
                <w:rFonts w:ascii="宋体" w:hAnsi="宋体" w:eastAsia="宋体" w:cs="宋体"/>
                <w:spacing w:val="-47"/>
                <w:sz w:val="20"/>
                <w:szCs w:val="20"/>
              </w:rPr>
              <w:t xml:space="preserve"> </w:t>
            </w:r>
            <w:r>
              <w:rPr>
                <w:rFonts w:ascii="Times New Roman" w:hAnsi="Times New Roman" w:eastAsia="Times New Roman" w:cs="Times New Roman"/>
                <w:spacing w:val="2"/>
                <w:sz w:val="20"/>
                <w:szCs w:val="20"/>
              </w:rPr>
              <w:t>10m</w:t>
            </w:r>
            <w:r>
              <w:rPr>
                <w:rFonts w:ascii="Times New Roman" w:hAnsi="Times New Roman" w:eastAsia="Times New Roman" w:cs="Times New Roman"/>
                <w:spacing w:val="2"/>
                <w:position w:val="6"/>
                <w:sz w:val="13"/>
                <w:szCs w:val="13"/>
              </w:rPr>
              <w:t xml:space="preserve">2 </w:t>
            </w:r>
            <w:r>
              <w:rPr>
                <w:rFonts w:ascii="宋体" w:hAnsi="宋体" w:eastAsia="宋体" w:cs="宋体"/>
                <w:spacing w:val="2"/>
                <w:sz w:val="20"/>
                <w:szCs w:val="20"/>
              </w:rPr>
              <w:t>危险废物暂</w:t>
            </w:r>
          </w:p>
          <w:p w14:paraId="0CE411C9">
            <w:pPr>
              <w:spacing w:before="160" w:line="228" w:lineRule="auto"/>
              <w:ind w:left="122"/>
              <w:rPr>
                <w:rFonts w:ascii="宋体" w:hAnsi="宋体" w:eastAsia="宋体" w:cs="宋体"/>
                <w:sz w:val="20"/>
                <w:szCs w:val="20"/>
              </w:rPr>
            </w:pPr>
            <w:r>
              <w:rPr>
                <w:rFonts w:ascii="宋体" w:hAnsi="宋体" w:eastAsia="宋体" w:cs="宋体"/>
                <w:spacing w:val="9"/>
                <w:sz w:val="20"/>
                <w:szCs w:val="20"/>
              </w:rPr>
              <w:t>存间，委托楚雄同磊再生资源有限</w:t>
            </w:r>
          </w:p>
          <w:p w14:paraId="1C36C86A">
            <w:pPr>
              <w:spacing w:before="161" w:line="228" w:lineRule="auto"/>
              <w:ind w:left="758"/>
              <w:rPr>
                <w:rFonts w:ascii="宋体" w:hAnsi="宋体" w:eastAsia="宋体" w:cs="宋体"/>
                <w:sz w:val="20"/>
                <w:szCs w:val="20"/>
              </w:rPr>
            </w:pPr>
            <w:r>
              <w:rPr>
                <w:rFonts w:ascii="宋体" w:hAnsi="宋体" w:eastAsia="宋体" w:cs="宋体"/>
                <w:spacing w:val="7"/>
                <w:sz w:val="20"/>
                <w:szCs w:val="20"/>
              </w:rPr>
              <w:t>公司定期清运处置。</w:t>
            </w:r>
          </w:p>
        </w:tc>
        <w:tc>
          <w:tcPr>
            <w:tcW w:w="713" w:type="dxa"/>
            <w:vAlign w:val="top"/>
          </w:tcPr>
          <w:p w14:paraId="2C07271B">
            <w:pPr>
              <w:spacing w:line="252" w:lineRule="auto"/>
              <w:rPr>
                <w:rFonts w:ascii="Arial"/>
                <w:sz w:val="21"/>
              </w:rPr>
            </w:pPr>
          </w:p>
          <w:p w14:paraId="25D767F5">
            <w:pPr>
              <w:spacing w:line="253" w:lineRule="auto"/>
              <w:rPr>
                <w:rFonts w:ascii="Arial"/>
                <w:sz w:val="21"/>
              </w:rPr>
            </w:pPr>
          </w:p>
          <w:p w14:paraId="2D1B8F0F">
            <w:pPr>
              <w:spacing w:line="253" w:lineRule="auto"/>
              <w:rPr>
                <w:rFonts w:ascii="Arial"/>
                <w:sz w:val="21"/>
              </w:rPr>
            </w:pPr>
          </w:p>
          <w:p w14:paraId="31C5D2AF">
            <w:pPr>
              <w:spacing w:before="65" w:line="228" w:lineRule="auto"/>
              <w:ind w:left="160"/>
              <w:rPr>
                <w:rFonts w:ascii="宋体" w:hAnsi="宋体" w:eastAsia="宋体" w:cs="宋体"/>
                <w:sz w:val="20"/>
                <w:szCs w:val="20"/>
              </w:rPr>
            </w:pPr>
            <w:r>
              <w:rPr>
                <w:rFonts w:ascii="宋体" w:hAnsi="宋体" w:eastAsia="宋体" w:cs="宋体"/>
                <w:spacing w:val="3"/>
                <w:sz w:val="20"/>
                <w:szCs w:val="20"/>
              </w:rPr>
              <w:t>符合</w:t>
            </w:r>
          </w:p>
        </w:tc>
        <w:tc>
          <w:tcPr>
            <w:tcW w:w="123" w:type="dxa"/>
            <w:tcBorders>
              <w:top w:val="nil"/>
              <w:bottom w:val="nil"/>
              <w:right w:val="single" w:color="000000" w:sz="6" w:space="0"/>
            </w:tcBorders>
            <w:vAlign w:val="top"/>
          </w:tcPr>
          <w:p w14:paraId="3B0D63EC">
            <w:pPr>
              <w:rPr>
                <w:rFonts w:ascii="Arial"/>
                <w:sz w:val="21"/>
              </w:rPr>
            </w:pPr>
          </w:p>
        </w:tc>
      </w:tr>
      <w:tr w14:paraId="2CB1F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9" w:hRule="atLeast"/>
        </w:trPr>
        <w:tc>
          <w:tcPr>
            <w:tcW w:w="1161" w:type="dxa"/>
            <w:vMerge w:val="continue"/>
            <w:tcBorders>
              <w:top w:val="nil"/>
              <w:left w:val="single" w:color="000000" w:sz="6" w:space="0"/>
              <w:bottom w:val="single" w:color="000000" w:sz="6" w:space="0"/>
            </w:tcBorders>
            <w:vAlign w:val="top"/>
          </w:tcPr>
          <w:p w14:paraId="56B2A862">
            <w:pPr>
              <w:rPr>
                <w:rFonts w:ascii="Arial"/>
                <w:sz w:val="21"/>
              </w:rPr>
            </w:pPr>
          </w:p>
        </w:tc>
        <w:tc>
          <w:tcPr>
            <w:tcW w:w="113" w:type="dxa"/>
            <w:tcBorders>
              <w:top w:val="nil"/>
              <w:bottom w:val="single" w:color="000000" w:sz="6" w:space="0"/>
            </w:tcBorders>
            <w:vAlign w:val="top"/>
          </w:tcPr>
          <w:p w14:paraId="13431AD8">
            <w:pPr>
              <w:rPr>
                <w:rFonts w:ascii="Arial"/>
                <w:sz w:val="21"/>
              </w:rPr>
            </w:pPr>
          </w:p>
        </w:tc>
        <w:tc>
          <w:tcPr>
            <w:tcW w:w="778" w:type="dxa"/>
            <w:vMerge w:val="continue"/>
            <w:tcBorders>
              <w:top w:val="nil"/>
              <w:bottom w:val="single" w:color="000000" w:sz="6" w:space="0"/>
            </w:tcBorders>
            <w:vAlign w:val="top"/>
          </w:tcPr>
          <w:p w14:paraId="420A9CA8">
            <w:pPr>
              <w:rPr>
                <w:rFonts w:ascii="Arial"/>
                <w:sz w:val="21"/>
              </w:rPr>
            </w:pPr>
          </w:p>
        </w:tc>
        <w:tc>
          <w:tcPr>
            <w:tcW w:w="2606" w:type="dxa"/>
            <w:tcBorders>
              <w:bottom w:val="single" w:color="000000" w:sz="6" w:space="0"/>
            </w:tcBorders>
            <w:vAlign w:val="top"/>
          </w:tcPr>
          <w:p w14:paraId="51DDD8E1">
            <w:pPr>
              <w:spacing w:before="62" w:line="373" w:lineRule="auto"/>
              <w:ind w:left="152" w:right="150" w:firstLine="7"/>
              <w:jc w:val="both"/>
              <w:rPr>
                <w:rFonts w:ascii="宋体" w:hAnsi="宋体" w:eastAsia="宋体" w:cs="宋体"/>
                <w:sz w:val="20"/>
                <w:szCs w:val="20"/>
              </w:rPr>
            </w:pPr>
            <w:r>
              <w:rPr>
                <w:rFonts w:ascii="宋体" w:hAnsi="宋体" w:eastAsia="宋体" w:cs="宋体"/>
                <w:spacing w:val="8"/>
                <w:sz w:val="20"/>
                <w:szCs w:val="20"/>
              </w:rPr>
              <w:t>（六）利用无防渗漏措施的沟渠、坑塘等输送或者</w:t>
            </w:r>
            <w:r>
              <w:rPr>
                <w:rFonts w:ascii="宋体" w:hAnsi="宋体" w:eastAsia="宋体" w:cs="宋体"/>
                <w:spacing w:val="19"/>
                <w:sz w:val="20"/>
                <w:szCs w:val="20"/>
              </w:rPr>
              <w:t>存贮含有毒污染物的废</w:t>
            </w:r>
            <w:r>
              <w:rPr>
                <w:rFonts w:ascii="宋体" w:hAnsi="宋体" w:eastAsia="宋体" w:cs="宋体"/>
                <w:spacing w:val="8"/>
                <w:sz w:val="20"/>
                <w:szCs w:val="20"/>
              </w:rPr>
              <w:t>水、含病原体的污水或者</w:t>
            </w:r>
          </w:p>
        </w:tc>
        <w:tc>
          <w:tcPr>
            <w:tcW w:w="3378" w:type="dxa"/>
            <w:tcBorders>
              <w:bottom w:val="single" w:color="000000" w:sz="6" w:space="0"/>
            </w:tcBorders>
            <w:vAlign w:val="top"/>
          </w:tcPr>
          <w:p w14:paraId="6B46E537">
            <w:pPr>
              <w:spacing w:before="267" w:line="228" w:lineRule="auto"/>
              <w:ind w:right="7"/>
              <w:jc w:val="right"/>
              <w:rPr>
                <w:rFonts w:ascii="宋体" w:hAnsi="宋体" w:eastAsia="宋体" w:cs="宋体"/>
                <w:sz w:val="20"/>
                <w:szCs w:val="20"/>
              </w:rPr>
            </w:pPr>
            <w:r>
              <w:rPr>
                <w:rFonts w:ascii="宋体" w:hAnsi="宋体" w:eastAsia="宋体" w:cs="宋体"/>
                <w:spacing w:val="3"/>
                <w:sz w:val="20"/>
                <w:szCs w:val="20"/>
              </w:rPr>
              <w:t>项目不产生含有毒、病原体的污水，</w:t>
            </w:r>
          </w:p>
          <w:p w14:paraId="439D1F16">
            <w:pPr>
              <w:spacing w:before="161" w:line="228" w:lineRule="auto"/>
              <w:ind w:left="126"/>
              <w:rPr>
                <w:rFonts w:ascii="宋体" w:hAnsi="宋体" w:eastAsia="宋体" w:cs="宋体"/>
                <w:sz w:val="20"/>
                <w:szCs w:val="20"/>
              </w:rPr>
            </w:pPr>
            <w:r>
              <w:rPr>
                <w:rFonts w:ascii="宋体" w:hAnsi="宋体" w:eastAsia="宋体" w:cs="宋体"/>
                <w:spacing w:val="9"/>
                <w:sz w:val="20"/>
                <w:szCs w:val="20"/>
              </w:rPr>
              <w:t>项目各污染物均得到妥善处置，无</w:t>
            </w:r>
          </w:p>
          <w:p w14:paraId="4D5A81ED">
            <w:pPr>
              <w:spacing w:before="161" w:line="228" w:lineRule="auto"/>
              <w:ind w:left="1278"/>
              <w:rPr>
                <w:rFonts w:ascii="宋体" w:hAnsi="宋体" w:eastAsia="宋体" w:cs="宋体"/>
                <w:sz w:val="20"/>
                <w:szCs w:val="20"/>
              </w:rPr>
            </w:pPr>
            <w:r>
              <w:rPr>
                <w:rFonts w:ascii="宋体" w:hAnsi="宋体" w:eastAsia="宋体" w:cs="宋体"/>
                <w:spacing w:val="4"/>
                <w:sz w:val="20"/>
                <w:szCs w:val="20"/>
              </w:rPr>
              <w:t>此行为。</w:t>
            </w:r>
          </w:p>
        </w:tc>
        <w:tc>
          <w:tcPr>
            <w:tcW w:w="713" w:type="dxa"/>
            <w:tcBorders>
              <w:bottom w:val="single" w:color="000000" w:sz="6" w:space="0"/>
            </w:tcBorders>
            <w:vAlign w:val="top"/>
          </w:tcPr>
          <w:p w14:paraId="1FE42B0E">
            <w:pPr>
              <w:spacing w:line="303" w:lineRule="auto"/>
              <w:rPr>
                <w:rFonts w:ascii="Arial"/>
                <w:sz w:val="21"/>
              </w:rPr>
            </w:pPr>
          </w:p>
          <w:p w14:paraId="0F4E5888">
            <w:pPr>
              <w:spacing w:line="303" w:lineRule="auto"/>
              <w:rPr>
                <w:rFonts w:ascii="Arial"/>
                <w:sz w:val="21"/>
              </w:rPr>
            </w:pPr>
          </w:p>
          <w:p w14:paraId="735BD01D">
            <w:pPr>
              <w:spacing w:before="65" w:line="228" w:lineRule="auto"/>
              <w:ind w:left="160"/>
              <w:rPr>
                <w:rFonts w:ascii="宋体" w:hAnsi="宋体" w:eastAsia="宋体" w:cs="宋体"/>
                <w:sz w:val="20"/>
                <w:szCs w:val="20"/>
              </w:rPr>
            </w:pPr>
            <w:r>
              <w:rPr>
                <w:rFonts w:ascii="宋体" w:hAnsi="宋体" w:eastAsia="宋体" w:cs="宋体"/>
                <w:spacing w:val="3"/>
                <w:sz w:val="20"/>
                <w:szCs w:val="20"/>
              </w:rPr>
              <w:t>符合</w:t>
            </w:r>
          </w:p>
        </w:tc>
        <w:tc>
          <w:tcPr>
            <w:tcW w:w="123" w:type="dxa"/>
            <w:tcBorders>
              <w:top w:val="nil"/>
              <w:bottom w:val="single" w:color="000000" w:sz="6" w:space="0"/>
              <w:right w:val="single" w:color="000000" w:sz="6" w:space="0"/>
            </w:tcBorders>
            <w:vAlign w:val="top"/>
          </w:tcPr>
          <w:p w14:paraId="773C5268">
            <w:pPr>
              <w:rPr>
                <w:rFonts w:ascii="Arial"/>
                <w:sz w:val="21"/>
              </w:rPr>
            </w:pPr>
          </w:p>
        </w:tc>
      </w:tr>
    </w:tbl>
    <w:p w14:paraId="2AEAC833">
      <w:pPr>
        <w:pStyle w:val="2"/>
      </w:pPr>
    </w:p>
    <w:p w14:paraId="553BB935">
      <w:pPr>
        <w:sectPr>
          <w:footerReference r:id="rId30" w:type="default"/>
          <w:pgSz w:w="11906" w:h="16839"/>
          <w:pgMar w:top="400" w:right="1509" w:bottom="1329" w:left="1509" w:header="0" w:footer="1113" w:gutter="0"/>
          <w:cols w:space="720" w:num="1"/>
        </w:sectPr>
      </w:pPr>
    </w:p>
    <w:p w14:paraId="25316FC9">
      <w:pPr>
        <w:spacing w:before="19"/>
      </w:pPr>
    </w:p>
    <w:p w14:paraId="1DA2486D">
      <w:pPr>
        <w:spacing w:before="19"/>
      </w:pPr>
    </w:p>
    <w:p w14:paraId="0E11854A">
      <w:pPr>
        <w:spacing w:before="19"/>
      </w:pPr>
    </w:p>
    <w:p w14:paraId="535AE84A">
      <w:pPr>
        <w:spacing w:before="18"/>
      </w:pPr>
    </w:p>
    <w:p w14:paraId="1DBE39F8">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778"/>
        <w:gridCol w:w="2606"/>
        <w:gridCol w:w="3378"/>
        <w:gridCol w:w="713"/>
        <w:gridCol w:w="123"/>
      </w:tblGrid>
      <w:tr w14:paraId="2773E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61" w:type="dxa"/>
            <w:vMerge w:val="restart"/>
            <w:tcBorders>
              <w:top w:val="single" w:color="000000" w:sz="6" w:space="0"/>
              <w:left w:val="single" w:color="000000" w:sz="6" w:space="0"/>
              <w:bottom w:val="nil"/>
            </w:tcBorders>
            <w:vAlign w:val="top"/>
          </w:tcPr>
          <w:p w14:paraId="2310BBA4">
            <w:pPr>
              <w:rPr>
                <w:rFonts w:ascii="Arial"/>
                <w:sz w:val="21"/>
              </w:rPr>
            </w:pPr>
          </w:p>
        </w:tc>
        <w:tc>
          <w:tcPr>
            <w:tcW w:w="113" w:type="dxa"/>
            <w:tcBorders>
              <w:top w:val="single" w:color="000000" w:sz="6" w:space="0"/>
              <w:bottom w:val="nil"/>
            </w:tcBorders>
            <w:vAlign w:val="top"/>
          </w:tcPr>
          <w:p w14:paraId="4446A0E4">
            <w:pPr>
              <w:rPr>
                <w:rFonts w:ascii="Arial"/>
                <w:sz w:val="21"/>
              </w:rPr>
            </w:pPr>
          </w:p>
        </w:tc>
        <w:tc>
          <w:tcPr>
            <w:tcW w:w="778" w:type="dxa"/>
            <w:vMerge w:val="restart"/>
            <w:tcBorders>
              <w:top w:val="single" w:color="000000" w:sz="6" w:space="0"/>
              <w:bottom w:val="nil"/>
            </w:tcBorders>
            <w:vAlign w:val="top"/>
          </w:tcPr>
          <w:p w14:paraId="33BB5B20">
            <w:pPr>
              <w:rPr>
                <w:rFonts w:ascii="Arial"/>
                <w:sz w:val="21"/>
              </w:rPr>
            </w:pPr>
          </w:p>
        </w:tc>
        <w:tc>
          <w:tcPr>
            <w:tcW w:w="2606" w:type="dxa"/>
            <w:tcBorders>
              <w:top w:val="single" w:color="000000" w:sz="6" w:space="0"/>
            </w:tcBorders>
            <w:vAlign w:val="top"/>
          </w:tcPr>
          <w:p w14:paraId="7358A3FE">
            <w:pPr>
              <w:spacing w:before="37" w:line="228" w:lineRule="auto"/>
              <w:ind w:left="675"/>
              <w:rPr>
                <w:rFonts w:ascii="宋体" w:hAnsi="宋体" w:eastAsia="宋体" w:cs="宋体"/>
                <w:sz w:val="20"/>
                <w:szCs w:val="20"/>
              </w:rPr>
            </w:pPr>
            <w:r>
              <w:rPr>
                <w:rFonts w:ascii="宋体" w:hAnsi="宋体" w:eastAsia="宋体" w:cs="宋体"/>
                <w:spacing w:val="6"/>
                <w:sz w:val="20"/>
                <w:szCs w:val="20"/>
              </w:rPr>
              <w:t>其他废弃物。</w:t>
            </w:r>
          </w:p>
        </w:tc>
        <w:tc>
          <w:tcPr>
            <w:tcW w:w="3378" w:type="dxa"/>
            <w:tcBorders>
              <w:top w:val="single" w:color="000000" w:sz="6" w:space="0"/>
            </w:tcBorders>
            <w:vAlign w:val="top"/>
          </w:tcPr>
          <w:p w14:paraId="55A88FFC">
            <w:pPr>
              <w:rPr>
                <w:rFonts w:ascii="Arial"/>
                <w:sz w:val="21"/>
              </w:rPr>
            </w:pPr>
          </w:p>
        </w:tc>
        <w:tc>
          <w:tcPr>
            <w:tcW w:w="713" w:type="dxa"/>
            <w:tcBorders>
              <w:top w:val="single" w:color="000000" w:sz="6" w:space="0"/>
            </w:tcBorders>
            <w:vAlign w:val="top"/>
          </w:tcPr>
          <w:p w14:paraId="687F268B">
            <w:pPr>
              <w:rPr>
                <w:rFonts w:ascii="Arial"/>
                <w:sz w:val="21"/>
              </w:rPr>
            </w:pPr>
          </w:p>
        </w:tc>
        <w:tc>
          <w:tcPr>
            <w:tcW w:w="123" w:type="dxa"/>
            <w:vMerge w:val="restart"/>
            <w:tcBorders>
              <w:top w:val="single" w:color="000000" w:sz="6" w:space="0"/>
              <w:bottom w:val="nil"/>
              <w:right w:val="single" w:color="000000" w:sz="6" w:space="0"/>
            </w:tcBorders>
            <w:vAlign w:val="top"/>
          </w:tcPr>
          <w:p w14:paraId="08AC6EF1">
            <w:pPr>
              <w:rPr>
                <w:rFonts w:ascii="Arial"/>
                <w:sz w:val="21"/>
              </w:rPr>
            </w:pPr>
          </w:p>
        </w:tc>
      </w:tr>
      <w:tr w14:paraId="3CA81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1161" w:type="dxa"/>
            <w:vMerge w:val="continue"/>
            <w:tcBorders>
              <w:top w:val="nil"/>
              <w:left w:val="single" w:color="000000" w:sz="6" w:space="0"/>
              <w:bottom w:val="nil"/>
            </w:tcBorders>
            <w:vAlign w:val="top"/>
          </w:tcPr>
          <w:p w14:paraId="64D9DE4D">
            <w:pPr>
              <w:rPr>
                <w:rFonts w:ascii="Arial"/>
                <w:sz w:val="21"/>
              </w:rPr>
            </w:pPr>
          </w:p>
        </w:tc>
        <w:tc>
          <w:tcPr>
            <w:tcW w:w="113" w:type="dxa"/>
            <w:tcBorders>
              <w:top w:val="nil"/>
              <w:bottom w:val="nil"/>
            </w:tcBorders>
            <w:vAlign w:val="top"/>
          </w:tcPr>
          <w:p w14:paraId="3E016F8F">
            <w:pPr>
              <w:rPr>
                <w:rFonts w:ascii="Arial"/>
                <w:sz w:val="21"/>
              </w:rPr>
            </w:pPr>
          </w:p>
        </w:tc>
        <w:tc>
          <w:tcPr>
            <w:tcW w:w="778" w:type="dxa"/>
            <w:vMerge w:val="continue"/>
            <w:tcBorders>
              <w:top w:val="nil"/>
              <w:bottom w:val="nil"/>
            </w:tcBorders>
            <w:vAlign w:val="top"/>
          </w:tcPr>
          <w:p w14:paraId="7C91E28A">
            <w:pPr>
              <w:rPr>
                <w:rFonts w:ascii="Arial"/>
                <w:sz w:val="21"/>
              </w:rPr>
            </w:pPr>
          </w:p>
        </w:tc>
        <w:tc>
          <w:tcPr>
            <w:tcW w:w="2606" w:type="dxa"/>
            <w:vAlign w:val="top"/>
          </w:tcPr>
          <w:p w14:paraId="137F51A9">
            <w:pPr>
              <w:spacing w:before="50" w:line="228" w:lineRule="auto"/>
              <w:ind w:left="159"/>
              <w:rPr>
                <w:rFonts w:ascii="宋体" w:hAnsi="宋体" w:eastAsia="宋体" w:cs="宋体"/>
                <w:sz w:val="20"/>
                <w:szCs w:val="20"/>
              </w:rPr>
            </w:pPr>
            <w:r>
              <w:rPr>
                <w:rFonts w:ascii="宋体" w:hAnsi="宋体" w:eastAsia="宋体" w:cs="宋体"/>
                <w:spacing w:val="8"/>
                <w:sz w:val="20"/>
                <w:szCs w:val="20"/>
              </w:rPr>
              <w:t>（七）新建、扩建工业园</w:t>
            </w:r>
          </w:p>
          <w:p w14:paraId="10429F53">
            <w:pPr>
              <w:spacing w:before="160" w:line="230" w:lineRule="auto"/>
              <w:ind w:left="1110"/>
              <w:rPr>
                <w:rFonts w:ascii="宋体" w:hAnsi="宋体" w:eastAsia="宋体" w:cs="宋体"/>
                <w:sz w:val="20"/>
                <w:szCs w:val="20"/>
              </w:rPr>
            </w:pPr>
            <w:r>
              <w:rPr>
                <w:rFonts w:ascii="宋体" w:hAnsi="宋体" w:eastAsia="宋体" w:cs="宋体"/>
                <w:spacing w:val="-8"/>
                <w:sz w:val="20"/>
                <w:szCs w:val="20"/>
              </w:rPr>
              <w:t>区；</w:t>
            </w:r>
          </w:p>
        </w:tc>
        <w:tc>
          <w:tcPr>
            <w:tcW w:w="3378" w:type="dxa"/>
            <w:vAlign w:val="top"/>
          </w:tcPr>
          <w:p w14:paraId="633105B7">
            <w:pPr>
              <w:spacing w:before="254" w:line="228" w:lineRule="auto"/>
              <w:ind w:left="1174"/>
              <w:rPr>
                <w:rFonts w:ascii="宋体" w:hAnsi="宋体" w:eastAsia="宋体" w:cs="宋体"/>
                <w:sz w:val="20"/>
                <w:szCs w:val="20"/>
              </w:rPr>
            </w:pPr>
            <w:r>
              <w:rPr>
                <w:rFonts w:ascii="宋体" w:hAnsi="宋体" w:eastAsia="宋体" w:cs="宋体"/>
                <w:spacing w:val="5"/>
                <w:sz w:val="20"/>
                <w:szCs w:val="20"/>
              </w:rPr>
              <w:t>无此行为。</w:t>
            </w:r>
          </w:p>
        </w:tc>
        <w:tc>
          <w:tcPr>
            <w:tcW w:w="713" w:type="dxa"/>
            <w:vAlign w:val="top"/>
          </w:tcPr>
          <w:p w14:paraId="2BBD46E2">
            <w:pPr>
              <w:spacing w:before="253" w:line="228" w:lineRule="auto"/>
              <w:ind w:left="160"/>
              <w:rPr>
                <w:rFonts w:ascii="宋体" w:hAnsi="宋体" w:eastAsia="宋体" w:cs="宋体"/>
                <w:sz w:val="20"/>
                <w:szCs w:val="20"/>
              </w:rPr>
            </w:pPr>
            <w:r>
              <w:rPr>
                <w:rFonts w:ascii="宋体" w:hAnsi="宋体" w:eastAsia="宋体" w:cs="宋体"/>
                <w:spacing w:val="3"/>
                <w:sz w:val="20"/>
                <w:szCs w:val="20"/>
              </w:rPr>
              <w:t>符合</w:t>
            </w:r>
          </w:p>
        </w:tc>
        <w:tc>
          <w:tcPr>
            <w:tcW w:w="123" w:type="dxa"/>
            <w:vMerge w:val="continue"/>
            <w:tcBorders>
              <w:top w:val="nil"/>
              <w:bottom w:val="nil"/>
              <w:right w:val="single" w:color="000000" w:sz="6" w:space="0"/>
            </w:tcBorders>
            <w:vAlign w:val="top"/>
          </w:tcPr>
          <w:p w14:paraId="1F7DF531">
            <w:pPr>
              <w:rPr>
                <w:rFonts w:ascii="Arial"/>
                <w:sz w:val="21"/>
              </w:rPr>
            </w:pPr>
          </w:p>
        </w:tc>
      </w:tr>
      <w:tr w14:paraId="20FD6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1161" w:type="dxa"/>
            <w:vMerge w:val="continue"/>
            <w:tcBorders>
              <w:top w:val="nil"/>
              <w:left w:val="single" w:color="000000" w:sz="6" w:space="0"/>
              <w:bottom w:val="nil"/>
            </w:tcBorders>
            <w:vAlign w:val="top"/>
          </w:tcPr>
          <w:p w14:paraId="27106B97">
            <w:pPr>
              <w:rPr>
                <w:rFonts w:ascii="Arial"/>
                <w:sz w:val="21"/>
              </w:rPr>
            </w:pPr>
          </w:p>
        </w:tc>
        <w:tc>
          <w:tcPr>
            <w:tcW w:w="113" w:type="dxa"/>
            <w:tcBorders>
              <w:top w:val="nil"/>
              <w:bottom w:val="nil"/>
            </w:tcBorders>
            <w:vAlign w:val="top"/>
          </w:tcPr>
          <w:p w14:paraId="1D544772">
            <w:pPr>
              <w:rPr>
                <w:rFonts w:ascii="Arial"/>
                <w:sz w:val="21"/>
              </w:rPr>
            </w:pPr>
          </w:p>
        </w:tc>
        <w:tc>
          <w:tcPr>
            <w:tcW w:w="778" w:type="dxa"/>
            <w:vMerge w:val="continue"/>
            <w:tcBorders>
              <w:top w:val="nil"/>
              <w:bottom w:val="nil"/>
            </w:tcBorders>
            <w:vAlign w:val="top"/>
          </w:tcPr>
          <w:p w14:paraId="545421F3">
            <w:pPr>
              <w:rPr>
                <w:rFonts w:ascii="Arial"/>
                <w:sz w:val="21"/>
              </w:rPr>
            </w:pPr>
          </w:p>
        </w:tc>
        <w:tc>
          <w:tcPr>
            <w:tcW w:w="2606" w:type="dxa"/>
            <w:vAlign w:val="top"/>
          </w:tcPr>
          <w:p w14:paraId="12F49235">
            <w:pPr>
              <w:spacing w:before="47" w:line="354" w:lineRule="auto"/>
              <w:ind w:left="151" w:right="150" w:firstLine="8"/>
              <w:rPr>
                <w:rFonts w:ascii="宋体" w:hAnsi="宋体" w:eastAsia="宋体" w:cs="宋体"/>
                <w:sz w:val="20"/>
                <w:szCs w:val="20"/>
              </w:rPr>
            </w:pPr>
            <w:r>
              <w:rPr>
                <w:rFonts w:ascii="宋体" w:hAnsi="宋体" w:eastAsia="宋体" w:cs="宋体"/>
                <w:spacing w:val="8"/>
                <w:sz w:val="20"/>
                <w:szCs w:val="20"/>
              </w:rPr>
              <w:t>（八）新建、扩建重点水</w:t>
            </w:r>
            <w:r>
              <w:rPr>
                <w:rFonts w:ascii="宋体" w:hAnsi="宋体" w:eastAsia="宋体" w:cs="宋体"/>
                <w:spacing w:val="7"/>
                <w:sz w:val="20"/>
                <w:szCs w:val="20"/>
              </w:rPr>
              <w:t>污染物排放的工业项目；</w:t>
            </w:r>
          </w:p>
        </w:tc>
        <w:tc>
          <w:tcPr>
            <w:tcW w:w="3378" w:type="dxa"/>
            <w:vAlign w:val="top"/>
          </w:tcPr>
          <w:p w14:paraId="12E6FF65">
            <w:pPr>
              <w:spacing w:before="46" w:line="227" w:lineRule="auto"/>
              <w:ind w:left="124"/>
              <w:rPr>
                <w:rFonts w:ascii="宋体" w:hAnsi="宋体" w:eastAsia="宋体" w:cs="宋体"/>
                <w:sz w:val="20"/>
                <w:szCs w:val="20"/>
              </w:rPr>
            </w:pPr>
            <w:r>
              <w:rPr>
                <w:rFonts w:ascii="宋体" w:hAnsi="宋体" w:eastAsia="宋体" w:cs="宋体"/>
                <w:spacing w:val="9"/>
                <w:sz w:val="20"/>
                <w:szCs w:val="20"/>
              </w:rPr>
              <w:t>本项目无生产废水产生。不是重点</w:t>
            </w:r>
          </w:p>
          <w:p w14:paraId="21853588">
            <w:pPr>
              <w:spacing w:before="161" w:line="228" w:lineRule="auto"/>
              <w:ind w:left="440"/>
              <w:rPr>
                <w:rFonts w:ascii="宋体" w:hAnsi="宋体" w:eastAsia="宋体" w:cs="宋体"/>
                <w:sz w:val="20"/>
                <w:szCs w:val="20"/>
              </w:rPr>
            </w:pPr>
            <w:r>
              <w:rPr>
                <w:rFonts w:ascii="宋体" w:hAnsi="宋体" w:eastAsia="宋体" w:cs="宋体"/>
                <w:spacing w:val="8"/>
                <w:sz w:val="20"/>
                <w:szCs w:val="20"/>
              </w:rPr>
              <w:t>水污染物排放的工业项目。</w:t>
            </w:r>
          </w:p>
        </w:tc>
        <w:tc>
          <w:tcPr>
            <w:tcW w:w="713" w:type="dxa"/>
            <w:vAlign w:val="top"/>
          </w:tcPr>
          <w:p w14:paraId="07FB141B">
            <w:pPr>
              <w:spacing w:before="250" w:line="228" w:lineRule="auto"/>
              <w:ind w:left="160"/>
              <w:rPr>
                <w:rFonts w:ascii="宋体" w:hAnsi="宋体" w:eastAsia="宋体" w:cs="宋体"/>
                <w:sz w:val="20"/>
                <w:szCs w:val="20"/>
              </w:rPr>
            </w:pPr>
            <w:r>
              <w:rPr>
                <w:rFonts w:ascii="宋体" w:hAnsi="宋体" w:eastAsia="宋体" w:cs="宋体"/>
                <w:spacing w:val="3"/>
                <w:sz w:val="20"/>
                <w:szCs w:val="20"/>
              </w:rPr>
              <w:t>符合</w:t>
            </w:r>
          </w:p>
        </w:tc>
        <w:tc>
          <w:tcPr>
            <w:tcW w:w="123" w:type="dxa"/>
            <w:vMerge w:val="continue"/>
            <w:tcBorders>
              <w:top w:val="nil"/>
              <w:bottom w:val="nil"/>
              <w:right w:val="single" w:color="000000" w:sz="6" w:space="0"/>
            </w:tcBorders>
            <w:vAlign w:val="top"/>
          </w:tcPr>
          <w:p w14:paraId="72D71D60">
            <w:pPr>
              <w:rPr>
                <w:rFonts w:ascii="Arial"/>
                <w:sz w:val="21"/>
              </w:rPr>
            </w:pPr>
          </w:p>
        </w:tc>
      </w:tr>
      <w:tr w14:paraId="6E23E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1161" w:type="dxa"/>
            <w:vMerge w:val="continue"/>
            <w:tcBorders>
              <w:top w:val="nil"/>
              <w:left w:val="single" w:color="000000" w:sz="6" w:space="0"/>
              <w:bottom w:val="nil"/>
            </w:tcBorders>
            <w:vAlign w:val="top"/>
          </w:tcPr>
          <w:p w14:paraId="536E01B4">
            <w:pPr>
              <w:rPr>
                <w:rFonts w:ascii="Arial"/>
                <w:sz w:val="21"/>
              </w:rPr>
            </w:pPr>
          </w:p>
        </w:tc>
        <w:tc>
          <w:tcPr>
            <w:tcW w:w="113" w:type="dxa"/>
            <w:tcBorders>
              <w:top w:val="nil"/>
              <w:bottom w:val="nil"/>
            </w:tcBorders>
            <w:vAlign w:val="top"/>
          </w:tcPr>
          <w:p w14:paraId="308335C9">
            <w:pPr>
              <w:rPr>
                <w:rFonts w:ascii="Arial"/>
                <w:sz w:val="21"/>
              </w:rPr>
            </w:pPr>
          </w:p>
        </w:tc>
        <w:tc>
          <w:tcPr>
            <w:tcW w:w="778" w:type="dxa"/>
            <w:vMerge w:val="continue"/>
            <w:tcBorders>
              <w:top w:val="nil"/>
            </w:tcBorders>
            <w:vAlign w:val="top"/>
          </w:tcPr>
          <w:p w14:paraId="7862EC13">
            <w:pPr>
              <w:rPr>
                <w:rFonts w:ascii="Arial"/>
                <w:sz w:val="21"/>
              </w:rPr>
            </w:pPr>
          </w:p>
        </w:tc>
        <w:tc>
          <w:tcPr>
            <w:tcW w:w="2606" w:type="dxa"/>
            <w:vAlign w:val="top"/>
          </w:tcPr>
          <w:p w14:paraId="6F70122A">
            <w:pPr>
              <w:spacing w:before="45" w:line="359" w:lineRule="auto"/>
              <w:ind w:left="361" w:right="150" w:hanging="202"/>
              <w:rPr>
                <w:rFonts w:ascii="宋体" w:hAnsi="宋体" w:eastAsia="宋体" w:cs="宋体"/>
                <w:sz w:val="20"/>
                <w:szCs w:val="20"/>
              </w:rPr>
            </w:pPr>
            <w:r>
              <w:rPr>
                <w:rFonts w:ascii="宋体" w:hAnsi="宋体" w:eastAsia="宋体" w:cs="宋体"/>
                <w:spacing w:val="8"/>
                <w:sz w:val="20"/>
                <w:szCs w:val="20"/>
              </w:rPr>
              <w:t>（九）新建、改建、扩建</w:t>
            </w:r>
            <w:r>
              <w:rPr>
                <w:rFonts w:ascii="宋体" w:hAnsi="宋体" w:eastAsia="宋体" w:cs="宋体"/>
                <w:spacing w:val="7"/>
                <w:sz w:val="20"/>
                <w:szCs w:val="20"/>
              </w:rPr>
              <w:t>经营性陵园、公墓。</w:t>
            </w:r>
          </w:p>
        </w:tc>
        <w:tc>
          <w:tcPr>
            <w:tcW w:w="3378" w:type="dxa"/>
            <w:vAlign w:val="top"/>
          </w:tcPr>
          <w:p w14:paraId="5C805D07">
            <w:pPr>
              <w:spacing w:before="249" w:line="229" w:lineRule="auto"/>
              <w:ind w:left="1281"/>
              <w:rPr>
                <w:rFonts w:ascii="宋体" w:hAnsi="宋体" w:eastAsia="宋体" w:cs="宋体"/>
                <w:sz w:val="20"/>
                <w:szCs w:val="20"/>
              </w:rPr>
            </w:pPr>
            <w:r>
              <w:rPr>
                <w:rFonts w:ascii="宋体" w:hAnsi="宋体" w:eastAsia="宋体" w:cs="宋体"/>
                <w:spacing w:val="4"/>
                <w:sz w:val="20"/>
                <w:szCs w:val="20"/>
              </w:rPr>
              <w:t>不涉及。</w:t>
            </w:r>
          </w:p>
        </w:tc>
        <w:tc>
          <w:tcPr>
            <w:tcW w:w="713" w:type="dxa"/>
            <w:vAlign w:val="top"/>
          </w:tcPr>
          <w:p w14:paraId="2647F89C">
            <w:pPr>
              <w:spacing w:before="249" w:line="228" w:lineRule="auto"/>
              <w:ind w:left="160"/>
              <w:rPr>
                <w:rFonts w:ascii="宋体" w:hAnsi="宋体" w:eastAsia="宋体" w:cs="宋体"/>
                <w:sz w:val="20"/>
                <w:szCs w:val="20"/>
              </w:rPr>
            </w:pPr>
            <w:r>
              <w:rPr>
                <w:rFonts w:ascii="宋体" w:hAnsi="宋体" w:eastAsia="宋体" w:cs="宋体"/>
                <w:spacing w:val="3"/>
                <w:sz w:val="20"/>
                <w:szCs w:val="20"/>
              </w:rPr>
              <w:t>符合</w:t>
            </w:r>
          </w:p>
        </w:tc>
        <w:tc>
          <w:tcPr>
            <w:tcW w:w="123" w:type="dxa"/>
            <w:vMerge w:val="continue"/>
            <w:tcBorders>
              <w:top w:val="nil"/>
              <w:bottom w:val="nil"/>
              <w:right w:val="single" w:color="000000" w:sz="6" w:space="0"/>
            </w:tcBorders>
            <w:vAlign w:val="top"/>
          </w:tcPr>
          <w:p w14:paraId="4083CC7D">
            <w:pPr>
              <w:rPr>
                <w:rFonts w:ascii="Arial"/>
                <w:sz w:val="21"/>
              </w:rPr>
            </w:pPr>
          </w:p>
        </w:tc>
      </w:tr>
      <w:tr w14:paraId="2C0F4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7" w:hRule="atLeast"/>
        </w:trPr>
        <w:tc>
          <w:tcPr>
            <w:tcW w:w="1161" w:type="dxa"/>
            <w:vMerge w:val="continue"/>
            <w:tcBorders>
              <w:top w:val="nil"/>
              <w:left w:val="single" w:color="000000" w:sz="6" w:space="0"/>
              <w:bottom w:val="single" w:color="000000" w:sz="6" w:space="0"/>
            </w:tcBorders>
            <w:vAlign w:val="top"/>
          </w:tcPr>
          <w:p w14:paraId="4BE6B1CD">
            <w:pPr>
              <w:rPr>
                <w:rFonts w:ascii="Arial"/>
                <w:sz w:val="21"/>
              </w:rPr>
            </w:pPr>
          </w:p>
        </w:tc>
        <w:tc>
          <w:tcPr>
            <w:tcW w:w="7711" w:type="dxa"/>
            <w:gridSpan w:val="6"/>
            <w:tcBorders>
              <w:bottom w:val="single" w:color="000000" w:sz="6" w:space="0"/>
              <w:right w:val="single" w:color="000000" w:sz="6" w:space="0"/>
            </w:tcBorders>
            <w:vAlign w:val="top"/>
          </w:tcPr>
          <w:p w14:paraId="27ABAC13">
            <w:pPr>
              <w:spacing w:before="35" w:line="360" w:lineRule="auto"/>
              <w:ind w:left="110" w:right="102" w:firstLine="480"/>
              <w:jc w:val="both"/>
              <w:rPr>
                <w:rFonts w:ascii="宋体" w:hAnsi="宋体" w:eastAsia="宋体" w:cs="宋体"/>
                <w:sz w:val="24"/>
                <w:szCs w:val="24"/>
              </w:rPr>
            </w:pPr>
            <w:r>
              <w:rPr>
                <w:rFonts w:ascii="宋体" w:hAnsi="宋体" w:eastAsia="宋体" w:cs="宋体"/>
                <w:spacing w:val="1"/>
                <w:sz w:val="24"/>
                <w:szCs w:val="24"/>
              </w:rPr>
              <w:t>综上所述，本项目生产中不涉及高毒、高残留农药，无生产废水产</w:t>
            </w:r>
            <w:r>
              <w:rPr>
                <w:rFonts w:ascii="宋体" w:hAnsi="宋体" w:eastAsia="宋体" w:cs="宋体"/>
                <w:spacing w:val="-1"/>
                <w:sz w:val="24"/>
                <w:szCs w:val="24"/>
              </w:rPr>
              <w:t>生，根据工程分析和影响分析，项目固废均能得到有效处置，处置率达</w:t>
            </w:r>
            <w:r>
              <w:rPr>
                <w:rFonts w:ascii="Times New Roman" w:hAnsi="Times New Roman" w:eastAsia="Times New Roman" w:cs="Times New Roman"/>
                <w:spacing w:val="-2"/>
                <w:sz w:val="24"/>
                <w:szCs w:val="24"/>
              </w:rPr>
              <w:t>100%</w:t>
            </w:r>
            <w:r>
              <w:rPr>
                <w:rFonts w:ascii="Times New Roman" w:hAnsi="Times New Roman" w:eastAsia="Times New Roman" w:cs="Times New Roman"/>
                <w:spacing w:val="-27"/>
                <w:sz w:val="24"/>
                <w:szCs w:val="24"/>
              </w:rPr>
              <w:t xml:space="preserve"> </w:t>
            </w:r>
            <w:r>
              <w:rPr>
                <w:rFonts w:ascii="宋体" w:hAnsi="宋体" w:eastAsia="宋体" w:cs="宋体"/>
                <w:spacing w:val="-2"/>
                <w:sz w:val="24"/>
                <w:szCs w:val="24"/>
              </w:rPr>
              <w:t>。项目建设和运营期不存在牛栏江重点污染控制区禁止的行为，故</w:t>
            </w:r>
            <w:r>
              <w:rPr>
                <w:rFonts w:ascii="宋体" w:hAnsi="宋体" w:eastAsia="宋体" w:cs="宋体"/>
                <w:spacing w:val="-1"/>
                <w:sz w:val="24"/>
                <w:szCs w:val="24"/>
              </w:rPr>
              <w:t>项目与《云南省牛栏江保护条例》相符。</w:t>
            </w:r>
          </w:p>
          <w:p w14:paraId="3489A88E">
            <w:pPr>
              <w:spacing w:line="358" w:lineRule="auto"/>
              <w:ind w:left="127" w:right="116" w:firstLine="456"/>
              <w:rPr>
                <w:rFonts w:ascii="宋体" w:hAnsi="宋体" w:eastAsia="宋体" w:cs="宋体"/>
                <w:sz w:val="24"/>
                <w:szCs w:val="24"/>
              </w:rPr>
            </w:pPr>
            <w:r>
              <w:rPr>
                <w:rFonts w:ascii="Times New Roman" w:hAnsi="Times New Roman" w:eastAsia="Times New Roman" w:cs="Times New Roman"/>
                <w:b/>
                <w:bCs/>
                <w:spacing w:val="-2"/>
                <w:sz w:val="24"/>
                <w:szCs w:val="24"/>
              </w:rPr>
              <w:t>4</w:t>
            </w:r>
            <w:r>
              <w:rPr>
                <w:rFonts w:ascii="Times New Roman" w:hAnsi="Times New Roman" w:eastAsia="Times New Roman" w:cs="Times New Roman"/>
                <w:b/>
                <w:bCs/>
                <w:spacing w:val="-19"/>
                <w:sz w:val="24"/>
                <w:szCs w:val="24"/>
              </w:rPr>
              <w:t xml:space="preserve"> </w:t>
            </w:r>
            <w:r>
              <w:rPr>
                <w:rFonts w:ascii="宋体" w:hAnsi="宋体" w:eastAsia="宋体" w:cs="宋体"/>
                <w:b/>
                <w:bCs/>
                <w:spacing w:val="-2"/>
                <w:sz w:val="24"/>
                <w:szCs w:val="24"/>
              </w:rPr>
              <w:t>、与《牛栏江流域（云南部分）水环境保护规划（</w:t>
            </w:r>
            <w:r>
              <w:rPr>
                <w:rFonts w:ascii="Times New Roman" w:hAnsi="Times New Roman" w:eastAsia="Times New Roman" w:cs="Times New Roman"/>
                <w:b/>
                <w:bCs/>
                <w:spacing w:val="-2"/>
                <w:sz w:val="24"/>
                <w:szCs w:val="24"/>
              </w:rPr>
              <w:t>2009~2030</w:t>
            </w:r>
            <w:r>
              <w:rPr>
                <w:rFonts w:ascii="宋体" w:hAnsi="宋体" w:eastAsia="宋体" w:cs="宋体"/>
                <w:b/>
                <w:bCs/>
                <w:spacing w:val="-2"/>
                <w:sz w:val="24"/>
                <w:szCs w:val="24"/>
              </w:rPr>
              <w:t>）》</w:t>
            </w:r>
            <w:r>
              <w:rPr>
                <w:rFonts w:ascii="宋体" w:hAnsi="宋体" w:eastAsia="宋体" w:cs="宋体"/>
                <w:b/>
                <w:bCs/>
                <w:spacing w:val="-7"/>
                <w:sz w:val="24"/>
                <w:szCs w:val="24"/>
              </w:rPr>
              <w:t>的相符性分析</w:t>
            </w:r>
          </w:p>
          <w:p w14:paraId="79C3C1BB">
            <w:pPr>
              <w:spacing w:before="4" w:line="359" w:lineRule="auto"/>
              <w:ind w:left="107" w:right="22" w:firstLine="480"/>
              <w:jc w:val="both"/>
              <w:rPr>
                <w:rFonts w:ascii="宋体" w:hAnsi="宋体" w:eastAsia="宋体" w:cs="宋体"/>
                <w:sz w:val="24"/>
                <w:szCs w:val="24"/>
              </w:rPr>
            </w:pPr>
            <w:r>
              <w:rPr>
                <w:rFonts w:ascii="宋体" w:hAnsi="宋体" w:eastAsia="宋体" w:cs="宋体"/>
                <w:sz w:val="24"/>
                <w:szCs w:val="24"/>
              </w:rPr>
              <w:t>根据《牛栏江流域（云南部分）水环境保护规划（</w:t>
            </w:r>
            <w:r>
              <w:rPr>
                <w:rFonts w:ascii="Times New Roman" w:hAnsi="Times New Roman" w:eastAsia="Times New Roman" w:cs="Times New Roman"/>
                <w:sz w:val="24"/>
                <w:szCs w:val="24"/>
              </w:rPr>
              <w:t>2009~2030</w:t>
            </w:r>
            <w:r>
              <w:rPr>
                <w:rFonts w:ascii="宋体" w:hAnsi="宋体" w:eastAsia="宋体" w:cs="宋体"/>
                <w:sz w:val="24"/>
                <w:szCs w:val="24"/>
              </w:rPr>
              <w:t>）》，</w:t>
            </w:r>
            <w:r>
              <w:rPr>
                <w:rFonts w:ascii="宋体" w:hAnsi="宋体" w:eastAsia="宋体" w:cs="宋体"/>
                <w:spacing w:val="-6"/>
                <w:sz w:val="24"/>
                <w:szCs w:val="24"/>
              </w:rPr>
              <w:t>牛栏江流域（云南段）水环境保护划分为两大控制区，即牛栏江上游（德</w:t>
            </w:r>
            <w:r>
              <w:rPr>
                <w:rFonts w:ascii="宋体" w:hAnsi="宋体" w:eastAsia="宋体" w:cs="宋体"/>
                <w:spacing w:val="2"/>
                <w:sz w:val="24"/>
                <w:szCs w:val="24"/>
              </w:rPr>
              <w:t>泽水库坝址以上）重点保护区、牛栏江下游</w:t>
            </w:r>
            <w:r>
              <w:rPr>
                <w:rFonts w:ascii="宋体" w:hAnsi="宋体" w:eastAsia="宋体" w:cs="宋体"/>
                <w:spacing w:val="1"/>
                <w:sz w:val="24"/>
                <w:szCs w:val="24"/>
              </w:rPr>
              <w:t>生态与环境保护区。其中牛</w:t>
            </w:r>
            <w:r>
              <w:rPr>
                <w:rFonts w:ascii="宋体" w:hAnsi="宋体" w:eastAsia="宋体" w:cs="宋体"/>
                <w:spacing w:val="2"/>
                <w:sz w:val="24"/>
                <w:szCs w:val="24"/>
              </w:rPr>
              <w:t>栏江上游（德泽水库坝址以上）重点保护区</w:t>
            </w:r>
            <w:r>
              <w:rPr>
                <w:rFonts w:ascii="宋体" w:hAnsi="宋体" w:eastAsia="宋体" w:cs="宋体"/>
                <w:spacing w:val="1"/>
                <w:sz w:val="24"/>
                <w:szCs w:val="24"/>
              </w:rPr>
              <w:t>包括水源保护核心区、重点</w:t>
            </w:r>
            <w:r>
              <w:rPr>
                <w:rFonts w:ascii="宋体" w:hAnsi="宋体" w:eastAsia="宋体" w:cs="宋体"/>
                <w:spacing w:val="2"/>
                <w:sz w:val="24"/>
                <w:szCs w:val="24"/>
              </w:rPr>
              <w:t>污染控制区、水源涵养区。水源保护核心区</w:t>
            </w:r>
            <w:r>
              <w:rPr>
                <w:rFonts w:ascii="宋体" w:hAnsi="宋体" w:eastAsia="宋体" w:cs="宋体"/>
                <w:spacing w:val="1"/>
                <w:sz w:val="24"/>
                <w:szCs w:val="24"/>
              </w:rPr>
              <w:t>包括牛栏江干流水面，河岸外围陆域</w:t>
            </w:r>
            <w:r>
              <w:rPr>
                <w:rFonts w:ascii="宋体" w:hAnsi="宋体" w:eastAsia="宋体" w:cs="宋体"/>
                <w:spacing w:val="-22"/>
                <w:sz w:val="24"/>
                <w:szCs w:val="24"/>
              </w:rPr>
              <w:t xml:space="preserve"> </w:t>
            </w:r>
            <w:r>
              <w:rPr>
                <w:rFonts w:ascii="Times New Roman" w:hAnsi="Times New Roman" w:eastAsia="Times New Roman" w:cs="Times New Roman"/>
                <w:spacing w:val="1"/>
                <w:sz w:val="24"/>
                <w:szCs w:val="24"/>
              </w:rPr>
              <w:t xml:space="preserve">1000 </w:t>
            </w:r>
            <w:r>
              <w:rPr>
                <w:rFonts w:ascii="宋体" w:hAnsi="宋体" w:eastAsia="宋体" w:cs="宋体"/>
                <w:spacing w:val="1"/>
                <w:sz w:val="24"/>
                <w:szCs w:val="24"/>
              </w:rPr>
              <w:t>米范围；德泽水库水面，库岸外围陆域</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2000m</w:t>
            </w:r>
            <w:r>
              <w:rPr>
                <w:rFonts w:ascii="Times New Roman" w:hAnsi="Times New Roman" w:eastAsia="Times New Roman" w:cs="Times New Roman"/>
                <w:spacing w:val="21"/>
                <w:sz w:val="24"/>
                <w:szCs w:val="24"/>
              </w:rPr>
              <w:t xml:space="preserve"> </w:t>
            </w:r>
            <w:r>
              <w:rPr>
                <w:rFonts w:ascii="宋体" w:hAnsi="宋体" w:eastAsia="宋体" w:cs="宋体"/>
                <w:spacing w:val="1"/>
                <w:sz w:val="24"/>
                <w:szCs w:val="24"/>
              </w:rPr>
              <w:t>范围。涉</w:t>
            </w:r>
            <w:r>
              <w:rPr>
                <w:rFonts w:ascii="宋体" w:hAnsi="宋体" w:eastAsia="宋体" w:cs="宋体"/>
                <w:spacing w:val="10"/>
                <w:sz w:val="24"/>
                <w:szCs w:val="24"/>
              </w:rPr>
              <w:t>及乡镇主要有牛栏江镇、塘子镇、河口乡、七</w:t>
            </w:r>
            <w:r>
              <w:rPr>
                <w:rFonts w:ascii="宋体" w:hAnsi="宋体" w:eastAsia="宋体" w:cs="宋体"/>
                <w:spacing w:val="9"/>
                <w:sz w:val="24"/>
                <w:szCs w:val="24"/>
              </w:rPr>
              <w:t>星乡、德泽乡，面积为</w:t>
            </w:r>
            <w:r>
              <w:rPr>
                <w:rFonts w:ascii="Times New Roman" w:hAnsi="Times New Roman" w:eastAsia="Times New Roman" w:cs="Times New Roman"/>
                <w:sz w:val="24"/>
                <w:szCs w:val="24"/>
              </w:rPr>
              <w:t>625.3km2</w:t>
            </w:r>
            <w:r>
              <w:rPr>
                <w:rFonts w:ascii="Times New Roman" w:hAnsi="Times New Roman" w:eastAsia="Times New Roman" w:cs="Times New Roman"/>
                <w:spacing w:val="-19"/>
                <w:sz w:val="24"/>
                <w:szCs w:val="24"/>
              </w:rPr>
              <w:t xml:space="preserve"> </w:t>
            </w:r>
            <w:r>
              <w:rPr>
                <w:rFonts w:ascii="宋体" w:hAnsi="宋体" w:eastAsia="宋体" w:cs="宋体"/>
                <w:sz w:val="24"/>
                <w:szCs w:val="24"/>
              </w:rPr>
              <w:t>，属于重点保护区。重点污染控制区主要是水源保护核心区边</w:t>
            </w:r>
            <w:r>
              <w:rPr>
                <w:rFonts w:ascii="宋体" w:hAnsi="宋体" w:eastAsia="宋体" w:cs="宋体"/>
                <w:spacing w:val="-4"/>
                <w:sz w:val="24"/>
                <w:szCs w:val="24"/>
              </w:rPr>
              <w:t>界外的坝区。涉及小哨乡、嵩阳镇、小街镇、杨桥乡、羊街镇、金所乡、</w:t>
            </w:r>
            <w:r>
              <w:rPr>
                <w:rFonts w:ascii="宋体" w:hAnsi="宋体" w:eastAsia="宋体" w:cs="宋体"/>
                <w:spacing w:val="-2"/>
                <w:sz w:val="24"/>
                <w:szCs w:val="24"/>
              </w:rPr>
              <w:t>月望乡、大坡乡、菱角乡、田坝乡十个乡镇，面积</w:t>
            </w:r>
            <w:r>
              <w:rPr>
                <w:rFonts w:ascii="宋体" w:hAnsi="宋体" w:eastAsia="宋体" w:cs="宋体"/>
                <w:spacing w:val="-29"/>
                <w:sz w:val="24"/>
                <w:szCs w:val="24"/>
              </w:rPr>
              <w:t xml:space="preserve"> </w:t>
            </w:r>
            <w:r>
              <w:rPr>
                <w:rFonts w:ascii="Times New Roman" w:hAnsi="Times New Roman" w:eastAsia="Times New Roman" w:cs="Times New Roman"/>
                <w:spacing w:val="-2"/>
                <w:sz w:val="24"/>
                <w:szCs w:val="24"/>
              </w:rPr>
              <w:t>1892.56</w:t>
            </w:r>
            <w:r>
              <w:rPr>
                <w:rFonts w:ascii="Times New Roman" w:hAnsi="Times New Roman" w:eastAsia="Times New Roman" w:cs="Times New Roman"/>
                <w:spacing w:val="-3"/>
                <w:sz w:val="24"/>
                <w:szCs w:val="24"/>
              </w:rPr>
              <w:t>km2</w:t>
            </w:r>
            <w:r>
              <w:rPr>
                <w:rFonts w:ascii="Times New Roman" w:hAnsi="Times New Roman" w:eastAsia="Times New Roman" w:cs="Times New Roman"/>
                <w:spacing w:val="-29"/>
                <w:sz w:val="24"/>
                <w:szCs w:val="24"/>
              </w:rPr>
              <w:t xml:space="preserve"> </w:t>
            </w:r>
            <w:r>
              <w:rPr>
                <w:rFonts w:ascii="宋体" w:hAnsi="宋体" w:eastAsia="宋体" w:cs="宋体"/>
                <w:spacing w:val="-3"/>
                <w:sz w:val="24"/>
                <w:szCs w:val="24"/>
              </w:rPr>
              <w:t>，属于污</w:t>
            </w:r>
            <w:r>
              <w:rPr>
                <w:rFonts w:ascii="宋体" w:hAnsi="宋体" w:eastAsia="宋体" w:cs="宋体"/>
                <w:spacing w:val="2"/>
                <w:sz w:val="24"/>
                <w:szCs w:val="24"/>
              </w:rPr>
              <w:t>染重点治理区。水源涵养区包括除水源保护</w:t>
            </w:r>
            <w:r>
              <w:rPr>
                <w:rFonts w:ascii="宋体" w:hAnsi="宋体" w:eastAsia="宋体" w:cs="宋体"/>
                <w:spacing w:val="1"/>
                <w:sz w:val="24"/>
                <w:szCs w:val="24"/>
              </w:rPr>
              <w:t>核心区、重点污染控制区以</w:t>
            </w:r>
            <w:r>
              <w:rPr>
                <w:rFonts w:ascii="宋体" w:hAnsi="宋体" w:eastAsia="宋体" w:cs="宋体"/>
                <w:spacing w:val="2"/>
                <w:sz w:val="24"/>
                <w:szCs w:val="24"/>
              </w:rPr>
              <w:t>外的山地。涉及杨林镇、仁德镇、通泉镇、</w:t>
            </w:r>
            <w:r>
              <w:rPr>
                <w:rFonts w:ascii="宋体" w:hAnsi="宋体" w:eastAsia="宋体" w:cs="宋体"/>
                <w:spacing w:val="1"/>
                <w:sz w:val="24"/>
                <w:szCs w:val="24"/>
              </w:rPr>
              <w:t>王家庄镇、马过河镇、旧县</w:t>
            </w:r>
            <w:r>
              <w:rPr>
                <w:rFonts w:ascii="宋体" w:hAnsi="宋体" w:eastAsia="宋体" w:cs="宋体"/>
                <w:spacing w:val="-6"/>
                <w:sz w:val="24"/>
                <w:szCs w:val="24"/>
              </w:rPr>
              <w:t>镇六个乡镇，面积</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1764.</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6"/>
                <w:sz w:val="24"/>
                <w:szCs w:val="24"/>
              </w:rPr>
              <w:t>16km2</w:t>
            </w:r>
            <w:r>
              <w:rPr>
                <w:rFonts w:ascii="宋体" w:hAnsi="宋体" w:eastAsia="宋体" w:cs="宋体"/>
                <w:spacing w:val="-6"/>
                <w:sz w:val="24"/>
                <w:szCs w:val="24"/>
              </w:rPr>
              <w:t>。</w:t>
            </w:r>
          </w:p>
          <w:p w14:paraId="18B650BB">
            <w:pPr>
              <w:spacing w:before="3" w:line="352" w:lineRule="auto"/>
              <w:ind w:left="111" w:right="102" w:firstLine="478"/>
              <w:jc w:val="both"/>
              <w:rPr>
                <w:rFonts w:ascii="宋体" w:hAnsi="宋体" w:eastAsia="宋体" w:cs="宋体"/>
                <w:sz w:val="24"/>
                <w:szCs w:val="24"/>
              </w:rPr>
            </w:pPr>
            <w:r>
              <w:rPr>
                <w:rFonts w:ascii="宋体" w:hAnsi="宋体" w:eastAsia="宋体" w:cs="宋体"/>
                <w:spacing w:val="1"/>
                <w:sz w:val="24"/>
                <w:szCs w:val="24"/>
              </w:rPr>
              <w:t>本项目位于云南寻甸产业园区金所片区，根据牛栏江水系功能规划图可知，项目区属于重点污染控制区。根据《牛栏江流域（云南部分）</w:t>
            </w:r>
            <w:r>
              <w:rPr>
                <w:rFonts w:ascii="宋体" w:hAnsi="宋体" w:eastAsia="宋体" w:cs="宋体"/>
                <w:spacing w:val="-2"/>
                <w:sz w:val="24"/>
                <w:szCs w:val="24"/>
              </w:rPr>
              <w:t>水环境保护规划（</w:t>
            </w:r>
            <w:r>
              <w:rPr>
                <w:rFonts w:ascii="Times New Roman" w:hAnsi="Times New Roman" w:eastAsia="Times New Roman" w:cs="Times New Roman"/>
                <w:spacing w:val="-2"/>
                <w:sz w:val="24"/>
                <w:szCs w:val="24"/>
              </w:rPr>
              <w:t>2009~2030</w:t>
            </w:r>
            <w:r>
              <w:rPr>
                <w:rFonts w:ascii="宋体" w:hAnsi="宋体" w:eastAsia="宋体" w:cs="宋体"/>
                <w:spacing w:val="-2"/>
                <w:sz w:val="24"/>
                <w:szCs w:val="24"/>
              </w:rPr>
              <w:t>）》中的工业园</w:t>
            </w:r>
            <w:r>
              <w:rPr>
                <w:rFonts w:ascii="宋体" w:hAnsi="宋体" w:eastAsia="宋体" w:cs="宋体"/>
                <w:spacing w:val="-3"/>
                <w:sz w:val="24"/>
                <w:szCs w:val="24"/>
              </w:rPr>
              <w:t>区污染源控制规划，开展杨</w:t>
            </w:r>
          </w:p>
        </w:tc>
      </w:tr>
    </w:tbl>
    <w:p w14:paraId="47BF107A">
      <w:pPr>
        <w:pStyle w:val="2"/>
      </w:pPr>
    </w:p>
    <w:p w14:paraId="725EB99F">
      <w:pPr>
        <w:sectPr>
          <w:footerReference r:id="rId31" w:type="default"/>
          <w:pgSz w:w="11906" w:h="16839"/>
          <w:pgMar w:top="400" w:right="1509" w:bottom="1329" w:left="1509" w:header="0" w:footer="1113" w:gutter="0"/>
          <w:cols w:space="720" w:num="1"/>
        </w:sectPr>
      </w:pPr>
    </w:p>
    <w:p w14:paraId="798B3F17">
      <w:pPr>
        <w:spacing w:before="19"/>
      </w:pPr>
    </w:p>
    <w:p w14:paraId="7EA32E52">
      <w:pPr>
        <w:spacing w:before="19"/>
      </w:pPr>
    </w:p>
    <w:p w14:paraId="22436F2B">
      <w:pPr>
        <w:spacing w:before="19"/>
      </w:pPr>
    </w:p>
    <w:p w14:paraId="3CC810AD">
      <w:pPr>
        <w:spacing w:before="18"/>
      </w:pPr>
    </w:p>
    <w:p w14:paraId="2B6801FC">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568"/>
        <w:gridCol w:w="3277"/>
        <w:gridCol w:w="2958"/>
        <w:gridCol w:w="672"/>
        <w:gridCol w:w="123"/>
      </w:tblGrid>
      <w:tr w14:paraId="58012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66" w:hRule="atLeast"/>
        </w:trPr>
        <w:tc>
          <w:tcPr>
            <w:tcW w:w="1161" w:type="dxa"/>
            <w:vMerge w:val="restart"/>
            <w:tcBorders>
              <w:top w:val="single" w:color="000000" w:sz="6" w:space="0"/>
              <w:left w:val="single" w:color="000000" w:sz="6" w:space="0"/>
              <w:bottom w:val="nil"/>
            </w:tcBorders>
            <w:vAlign w:val="top"/>
          </w:tcPr>
          <w:p w14:paraId="675FF3B1">
            <w:pPr>
              <w:rPr>
                <w:rFonts w:ascii="Arial"/>
                <w:sz w:val="21"/>
              </w:rPr>
            </w:pPr>
          </w:p>
        </w:tc>
        <w:tc>
          <w:tcPr>
            <w:tcW w:w="7711" w:type="dxa"/>
            <w:gridSpan w:val="6"/>
            <w:tcBorders>
              <w:top w:val="single" w:color="000000" w:sz="6" w:space="0"/>
              <w:right w:val="single" w:color="000000" w:sz="6" w:space="0"/>
            </w:tcBorders>
            <w:vAlign w:val="top"/>
          </w:tcPr>
          <w:p w14:paraId="301E9053">
            <w:pPr>
              <w:spacing w:before="30" w:line="359" w:lineRule="auto"/>
              <w:ind w:left="108" w:right="102"/>
              <w:jc w:val="both"/>
              <w:rPr>
                <w:rFonts w:ascii="宋体" w:hAnsi="宋体" w:eastAsia="宋体" w:cs="宋体"/>
                <w:sz w:val="24"/>
                <w:szCs w:val="24"/>
              </w:rPr>
            </w:pPr>
            <w:r>
              <w:rPr>
                <w:rFonts w:ascii="宋体" w:hAnsi="宋体" w:eastAsia="宋体" w:cs="宋体"/>
                <w:spacing w:val="1"/>
                <w:sz w:val="24"/>
                <w:szCs w:val="24"/>
              </w:rPr>
              <w:t>林工业园区、寻甸特色工业园区和马龙工业园区的综合环境执法检查，清查园区内现有工业企业，对违反国家法律法规、产业政策及入园规定的企业实行关停或限期整改，建设完善污水处理设施、有毒有害固体废</w:t>
            </w:r>
            <w:r>
              <w:rPr>
                <w:rFonts w:ascii="宋体" w:hAnsi="宋体" w:eastAsia="宋体" w:cs="宋体"/>
                <w:spacing w:val="-2"/>
                <w:sz w:val="24"/>
                <w:szCs w:val="24"/>
              </w:rPr>
              <w:t>弃物处置设施。</w:t>
            </w:r>
          </w:p>
          <w:p w14:paraId="3741EC84">
            <w:pPr>
              <w:spacing w:before="1" w:line="359" w:lineRule="auto"/>
              <w:ind w:left="107" w:right="102" w:firstLine="481"/>
              <w:jc w:val="both"/>
              <w:rPr>
                <w:rFonts w:ascii="宋体" w:hAnsi="宋体" w:eastAsia="宋体" w:cs="宋体"/>
                <w:sz w:val="24"/>
                <w:szCs w:val="24"/>
              </w:rPr>
            </w:pPr>
            <w:r>
              <w:rPr>
                <w:rFonts w:ascii="宋体" w:hAnsi="宋体" w:eastAsia="宋体" w:cs="宋体"/>
                <w:spacing w:val="2"/>
                <w:sz w:val="24"/>
                <w:szCs w:val="24"/>
              </w:rPr>
              <w:t>本项目无生产废水产生；项目危废废机油、</w:t>
            </w:r>
            <w:r>
              <w:rPr>
                <w:rFonts w:ascii="宋体" w:hAnsi="宋体" w:eastAsia="宋体" w:cs="宋体"/>
                <w:spacing w:val="1"/>
                <w:sz w:val="24"/>
                <w:szCs w:val="24"/>
              </w:rPr>
              <w:t>废旧活性炭分类暂存于</w:t>
            </w:r>
            <w:r>
              <w:rPr>
                <w:rFonts w:ascii="宋体" w:hAnsi="宋体" w:eastAsia="宋体" w:cs="宋体"/>
                <w:spacing w:val="-4"/>
                <w:sz w:val="24"/>
                <w:szCs w:val="24"/>
              </w:rPr>
              <w:t>危废暂存间，委托有资质的单位定期清运处置，固废处置率</w:t>
            </w:r>
            <w:r>
              <w:rPr>
                <w:rFonts w:ascii="宋体" w:hAnsi="宋体" w:eastAsia="宋体" w:cs="宋体"/>
                <w:spacing w:val="-18"/>
                <w:sz w:val="24"/>
                <w:szCs w:val="24"/>
              </w:rPr>
              <w:t xml:space="preserve"> </w:t>
            </w:r>
            <w:r>
              <w:rPr>
                <w:rFonts w:ascii="Times New Roman" w:hAnsi="Times New Roman" w:eastAsia="Times New Roman" w:cs="Times New Roman"/>
                <w:spacing w:val="-4"/>
                <w:sz w:val="24"/>
                <w:szCs w:val="24"/>
              </w:rPr>
              <w:t>100%</w:t>
            </w:r>
            <w:r>
              <w:rPr>
                <w:rFonts w:ascii="宋体" w:hAnsi="宋体" w:eastAsia="宋体" w:cs="宋体"/>
                <w:spacing w:val="-4"/>
                <w:sz w:val="24"/>
                <w:szCs w:val="24"/>
              </w:rPr>
              <w:t>。项目</w:t>
            </w:r>
            <w:r>
              <w:rPr>
                <w:rFonts w:ascii="宋体" w:hAnsi="宋体" w:eastAsia="宋体" w:cs="宋体"/>
                <w:spacing w:val="-1"/>
                <w:sz w:val="24"/>
                <w:szCs w:val="24"/>
              </w:rPr>
              <w:t>选址符合《云南省牛栏江保护条例》中的选址要求。</w:t>
            </w:r>
          </w:p>
          <w:p w14:paraId="6C226F33">
            <w:pPr>
              <w:spacing w:line="359" w:lineRule="auto"/>
              <w:ind w:left="119" w:right="102" w:firstLine="471"/>
              <w:rPr>
                <w:rFonts w:ascii="宋体" w:hAnsi="宋体" w:eastAsia="宋体" w:cs="宋体"/>
                <w:sz w:val="24"/>
                <w:szCs w:val="24"/>
              </w:rPr>
            </w:pPr>
            <w:r>
              <w:rPr>
                <w:rFonts w:ascii="宋体" w:hAnsi="宋体" w:eastAsia="宋体" w:cs="宋体"/>
                <w:spacing w:val="10"/>
                <w:sz w:val="24"/>
                <w:szCs w:val="24"/>
              </w:rPr>
              <w:t>综上所述，项目符合《牛栏江流域（云南部分）水环境保护规划</w:t>
            </w:r>
            <w:r>
              <w:rPr>
                <w:rFonts w:ascii="宋体" w:hAnsi="宋体" w:eastAsia="宋体" w:cs="宋体"/>
                <w:spacing w:val="-1"/>
                <w:sz w:val="24"/>
                <w:szCs w:val="24"/>
              </w:rPr>
              <w:t>（</w:t>
            </w:r>
            <w:r>
              <w:rPr>
                <w:rFonts w:ascii="Times New Roman" w:hAnsi="Times New Roman" w:eastAsia="Times New Roman" w:cs="Times New Roman"/>
                <w:spacing w:val="-1"/>
                <w:sz w:val="24"/>
                <w:szCs w:val="24"/>
              </w:rPr>
              <w:t>2009~2030</w:t>
            </w:r>
            <w:r>
              <w:rPr>
                <w:rFonts w:ascii="宋体" w:hAnsi="宋体" w:eastAsia="宋体" w:cs="宋体"/>
                <w:spacing w:val="-1"/>
                <w:sz w:val="24"/>
                <w:szCs w:val="24"/>
              </w:rPr>
              <w:t>）》对重点污染控制区的水环境保护要求。</w:t>
            </w:r>
          </w:p>
          <w:p w14:paraId="260ED985">
            <w:pPr>
              <w:spacing w:line="359" w:lineRule="auto"/>
              <w:ind w:left="127" w:firstLine="459"/>
              <w:rPr>
                <w:rFonts w:ascii="宋体" w:hAnsi="宋体" w:eastAsia="宋体" w:cs="宋体"/>
                <w:sz w:val="24"/>
                <w:szCs w:val="24"/>
              </w:rPr>
            </w:pPr>
            <w:r>
              <w:rPr>
                <w:rFonts w:ascii="Times New Roman" w:hAnsi="Times New Roman" w:eastAsia="Times New Roman" w:cs="Times New Roman"/>
                <w:b/>
                <w:bCs/>
                <w:spacing w:val="-5"/>
                <w:sz w:val="24"/>
                <w:szCs w:val="24"/>
              </w:rPr>
              <w:t>5</w:t>
            </w:r>
            <w:r>
              <w:rPr>
                <w:rFonts w:ascii="Times New Roman" w:hAnsi="Times New Roman" w:eastAsia="Times New Roman" w:cs="Times New Roman"/>
                <w:b/>
                <w:bCs/>
                <w:spacing w:val="-34"/>
                <w:sz w:val="24"/>
                <w:szCs w:val="24"/>
              </w:rPr>
              <w:t xml:space="preserve"> </w:t>
            </w:r>
            <w:r>
              <w:rPr>
                <w:rFonts w:ascii="宋体" w:hAnsi="宋体" w:eastAsia="宋体" w:cs="宋体"/>
                <w:b/>
                <w:bCs/>
                <w:spacing w:val="-5"/>
                <w:sz w:val="24"/>
                <w:szCs w:val="24"/>
              </w:rPr>
              <w:t>、项目与《牛栏江流域（寻甸段）水环境保护规划（</w:t>
            </w:r>
            <w:r>
              <w:rPr>
                <w:rFonts w:ascii="Times New Roman" w:hAnsi="Times New Roman" w:eastAsia="Times New Roman" w:cs="Times New Roman"/>
                <w:b/>
                <w:bCs/>
                <w:spacing w:val="-5"/>
                <w:sz w:val="24"/>
                <w:szCs w:val="24"/>
              </w:rPr>
              <w:t>2011~</w:t>
            </w:r>
            <w:r>
              <w:rPr>
                <w:rFonts w:ascii="Times New Roman" w:hAnsi="Times New Roman" w:eastAsia="Times New Roman" w:cs="Times New Roman"/>
                <w:b/>
                <w:bCs/>
                <w:spacing w:val="-6"/>
                <w:sz w:val="24"/>
                <w:szCs w:val="24"/>
              </w:rPr>
              <w:t>2030</w:t>
            </w:r>
            <w:r>
              <w:rPr>
                <w:rFonts w:ascii="宋体" w:hAnsi="宋体" w:eastAsia="宋体" w:cs="宋体"/>
                <w:b/>
                <w:bCs/>
                <w:spacing w:val="-6"/>
                <w:sz w:val="24"/>
                <w:szCs w:val="24"/>
              </w:rPr>
              <w:t>）》</w:t>
            </w:r>
            <w:r>
              <w:rPr>
                <w:rFonts w:ascii="宋体" w:hAnsi="宋体" w:eastAsia="宋体" w:cs="宋体"/>
                <w:b/>
                <w:bCs/>
                <w:spacing w:val="-7"/>
                <w:sz w:val="24"/>
                <w:szCs w:val="24"/>
              </w:rPr>
              <w:t>的相符性分析</w:t>
            </w:r>
          </w:p>
          <w:p w14:paraId="7EFE0FC4">
            <w:pPr>
              <w:spacing w:before="6" w:line="358" w:lineRule="auto"/>
              <w:ind w:left="106" w:right="40" w:firstLine="481"/>
              <w:jc w:val="both"/>
              <w:rPr>
                <w:rFonts w:ascii="宋体" w:hAnsi="宋体" w:eastAsia="宋体" w:cs="宋体"/>
                <w:sz w:val="24"/>
                <w:szCs w:val="24"/>
              </w:rPr>
            </w:pPr>
            <w:r>
              <w:rPr>
                <w:rFonts w:ascii="宋体" w:hAnsi="宋体" w:eastAsia="宋体" w:cs="宋体"/>
                <w:spacing w:val="-7"/>
                <w:sz w:val="24"/>
                <w:szCs w:val="24"/>
              </w:rPr>
              <w:t>根据《牛栏江流域（寻甸段）水环境保护规划（</w:t>
            </w:r>
            <w:r>
              <w:rPr>
                <w:rFonts w:ascii="Times New Roman" w:hAnsi="Times New Roman" w:eastAsia="Times New Roman" w:cs="Times New Roman"/>
                <w:spacing w:val="-8"/>
                <w:sz w:val="24"/>
                <w:szCs w:val="24"/>
              </w:rPr>
              <w:t>2011~2030</w:t>
            </w:r>
            <w:r>
              <w:rPr>
                <w:rFonts w:ascii="宋体" w:hAnsi="宋体" w:eastAsia="宋体" w:cs="宋体"/>
                <w:spacing w:val="-8"/>
                <w:sz w:val="24"/>
                <w:szCs w:val="24"/>
              </w:rPr>
              <w:t>）》可知，</w:t>
            </w:r>
            <w:r>
              <w:rPr>
                <w:rFonts w:ascii="宋体" w:hAnsi="宋体" w:eastAsia="宋体" w:cs="宋体"/>
                <w:spacing w:val="2"/>
                <w:sz w:val="24"/>
                <w:szCs w:val="24"/>
              </w:rPr>
              <w:t>牛栏江流域（寻甸段）水环境分区范围涉及规</w:t>
            </w:r>
            <w:r>
              <w:rPr>
                <w:rFonts w:ascii="宋体" w:hAnsi="宋体" w:eastAsia="宋体" w:cs="宋体"/>
                <w:spacing w:val="1"/>
                <w:sz w:val="24"/>
                <w:szCs w:val="24"/>
              </w:rPr>
              <w:t>划区干流及主要支流（前</w:t>
            </w:r>
            <w:r>
              <w:rPr>
                <w:rFonts w:ascii="宋体" w:hAnsi="宋体" w:eastAsia="宋体" w:cs="宋体"/>
                <w:spacing w:val="2"/>
                <w:sz w:val="24"/>
                <w:szCs w:val="24"/>
              </w:rPr>
              <w:t>进河、羊街河、马龙河等）河流径流区，规划</w:t>
            </w:r>
            <w:r>
              <w:rPr>
                <w:rFonts w:ascii="宋体" w:hAnsi="宋体" w:eastAsia="宋体" w:cs="宋体"/>
                <w:spacing w:val="1"/>
                <w:sz w:val="24"/>
                <w:szCs w:val="24"/>
              </w:rPr>
              <w:t>分为三个保护区：水源保</w:t>
            </w:r>
            <w:r>
              <w:rPr>
                <w:rFonts w:ascii="宋体" w:hAnsi="宋体" w:eastAsia="宋体" w:cs="宋体"/>
                <w:spacing w:val="2"/>
                <w:sz w:val="24"/>
                <w:szCs w:val="24"/>
              </w:rPr>
              <w:t>护核心区、重点污染控制区、重点水源涵养区</w:t>
            </w:r>
            <w:r>
              <w:rPr>
                <w:rFonts w:ascii="宋体" w:hAnsi="宋体" w:eastAsia="宋体" w:cs="宋体"/>
                <w:spacing w:val="1"/>
                <w:sz w:val="24"/>
                <w:szCs w:val="24"/>
              </w:rPr>
              <w:t>；本项目位于云南省昆明</w:t>
            </w:r>
            <w:r>
              <w:rPr>
                <w:rFonts w:ascii="宋体" w:hAnsi="宋体" w:eastAsia="宋体" w:cs="宋体"/>
                <w:spacing w:val="-6"/>
                <w:sz w:val="24"/>
                <w:szCs w:val="24"/>
              </w:rPr>
              <w:t>市寻甸特色产业园区金所片区，属于重点污染控制区。对照《牛栏江（寻</w:t>
            </w:r>
            <w:r>
              <w:rPr>
                <w:rFonts w:ascii="宋体" w:hAnsi="宋体" w:eastAsia="宋体" w:cs="宋体"/>
                <w:spacing w:val="-2"/>
                <w:sz w:val="24"/>
                <w:szCs w:val="24"/>
              </w:rPr>
              <w:t>甸段）水环境保护规划（</w:t>
            </w:r>
            <w:r>
              <w:rPr>
                <w:rFonts w:ascii="Times New Roman" w:hAnsi="Times New Roman" w:eastAsia="Times New Roman" w:cs="Times New Roman"/>
                <w:spacing w:val="-2"/>
                <w:sz w:val="24"/>
                <w:szCs w:val="24"/>
              </w:rPr>
              <w:t>2011~2030</w:t>
            </w:r>
            <w:r>
              <w:rPr>
                <w:rFonts w:ascii="宋体" w:hAnsi="宋体" w:eastAsia="宋体" w:cs="宋体"/>
                <w:spacing w:val="-2"/>
                <w:sz w:val="24"/>
                <w:szCs w:val="24"/>
              </w:rPr>
              <w:t>）》对重点污染</w:t>
            </w:r>
            <w:r>
              <w:rPr>
                <w:rFonts w:ascii="宋体" w:hAnsi="宋体" w:eastAsia="宋体" w:cs="宋体"/>
                <w:spacing w:val="-3"/>
                <w:sz w:val="24"/>
                <w:szCs w:val="24"/>
              </w:rPr>
              <w:t>控制区的水环境保护</w:t>
            </w:r>
            <w:r>
              <w:rPr>
                <w:rFonts w:ascii="宋体" w:hAnsi="宋体" w:eastAsia="宋体" w:cs="宋体"/>
                <w:spacing w:val="-1"/>
                <w:sz w:val="24"/>
                <w:szCs w:val="24"/>
              </w:rPr>
              <w:t>策略，项目符合性见下表。</w:t>
            </w:r>
          </w:p>
          <w:p w14:paraId="0352E7B2">
            <w:pPr>
              <w:spacing w:line="208" w:lineRule="auto"/>
              <w:ind w:left="528"/>
              <w:rPr>
                <w:rFonts w:ascii="宋体" w:hAnsi="宋体" w:eastAsia="宋体" w:cs="宋体"/>
                <w:sz w:val="20"/>
                <w:szCs w:val="20"/>
              </w:rPr>
            </w:pPr>
            <w:r>
              <w:rPr>
                <w:rFonts w:ascii="宋体" w:hAnsi="宋体" w:eastAsia="宋体" w:cs="宋体"/>
                <w:b/>
                <w:bCs/>
                <w:spacing w:val="7"/>
                <w:sz w:val="20"/>
                <w:szCs w:val="20"/>
              </w:rPr>
              <w:t>表</w:t>
            </w:r>
            <w:r>
              <w:rPr>
                <w:rFonts w:ascii="宋体" w:hAnsi="宋体" w:eastAsia="宋体" w:cs="宋体"/>
                <w:spacing w:val="-34"/>
                <w:sz w:val="20"/>
                <w:szCs w:val="20"/>
              </w:rPr>
              <w:t xml:space="preserve"> </w:t>
            </w:r>
            <w:r>
              <w:rPr>
                <w:rFonts w:ascii="Times New Roman" w:hAnsi="Times New Roman" w:eastAsia="Times New Roman" w:cs="Times New Roman"/>
                <w:b/>
                <w:bCs/>
                <w:spacing w:val="7"/>
                <w:sz w:val="20"/>
                <w:szCs w:val="20"/>
              </w:rPr>
              <w:t xml:space="preserve">1-7    </w:t>
            </w:r>
            <w:r>
              <w:rPr>
                <w:rFonts w:ascii="宋体" w:hAnsi="宋体" w:eastAsia="宋体" w:cs="宋体"/>
                <w:b/>
                <w:bCs/>
                <w:spacing w:val="7"/>
                <w:sz w:val="20"/>
                <w:szCs w:val="20"/>
              </w:rPr>
              <w:t>项目选址与《牛栏江流域（寻甸段）水环境保护规划》对照</w:t>
            </w:r>
            <w:r>
              <w:rPr>
                <w:rFonts w:ascii="宋体" w:hAnsi="宋体" w:eastAsia="宋体" w:cs="宋体"/>
                <w:b/>
                <w:bCs/>
                <w:spacing w:val="6"/>
                <w:sz w:val="20"/>
                <w:szCs w:val="20"/>
              </w:rPr>
              <w:t>分析</w:t>
            </w:r>
          </w:p>
        </w:tc>
      </w:tr>
      <w:tr w14:paraId="5AB22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161" w:type="dxa"/>
            <w:vMerge w:val="continue"/>
            <w:tcBorders>
              <w:top w:val="nil"/>
              <w:left w:val="single" w:color="000000" w:sz="6" w:space="0"/>
              <w:bottom w:val="nil"/>
            </w:tcBorders>
            <w:vAlign w:val="top"/>
          </w:tcPr>
          <w:p w14:paraId="7F9BFA4C">
            <w:pPr>
              <w:rPr>
                <w:rFonts w:ascii="Arial"/>
                <w:sz w:val="21"/>
              </w:rPr>
            </w:pPr>
          </w:p>
        </w:tc>
        <w:tc>
          <w:tcPr>
            <w:tcW w:w="113" w:type="dxa"/>
            <w:tcBorders>
              <w:top w:val="nil"/>
              <w:bottom w:val="nil"/>
            </w:tcBorders>
            <w:vAlign w:val="top"/>
          </w:tcPr>
          <w:p w14:paraId="2A6F44E3">
            <w:pPr>
              <w:rPr>
                <w:rFonts w:ascii="Arial"/>
                <w:sz w:val="21"/>
              </w:rPr>
            </w:pPr>
          </w:p>
        </w:tc>
        <w:tc>
          <w:tcPr>
            <w:tcW w:w="568" w:type="dxa"/>
            <w:textDirection w:val="tbRlV"/>
            <w:vAlign w:val="top"/>
          </w:tcPr>
          <w:p w14:paraId="22893624">
            <w:pPr>
              <w:spacing w:before="183" w:line="218" w:lineRule="auto"/>
              <w:ind w:left="42"/>
              <w:rPr>
                <w:rFonts w:ascii="宋体" w:hAnsi="宋体" w:eastAsia="宋体" w:cs="宋体"/>
                <w:sz w:val="20"/>
                <w:szCs w:val="20"/>
              </w:rPr>
            </w:pPr>
            <w:r>
              <w:rPr>
                <w:rFonts w:ascii="宋体" w:hAnsi="宋体" w:eastAsia="宋体" w:cs="宋体"/>
                <w:b/>
                <w:bCs/>
                <w:spacing w:val="6"/>
                <w:sz w:val="20"/>
                <w:szCs w:val="20"/>
              </w:rPr>
              <w:t>序</w:t>
            </w:r>
            <w:r>
              <w:rPr>
                <w:rFonts w:ascii="宋体" w:hAnsi="宋体" w:eastAsia="宋体" w:cs="宋体"/>
                <w:spacing w:val="99"/>
                <w:sz w:val="20"/>
                <w:szCs w:val="20"/>
              </w:rPr>
              <w:t xml:space="preserve"> </w:t>
            </w:r>
            <w:r>
              <w:rPr>
                <w:rFonts w:ascii="宋体" w:hAnsi="宋体" w:eastAsia="宋体" w:cs="宋体"/>
                <w:b/>
                <w:bCs/>
                <w:spacing w:val="6"/>
                <w:sz w:val="20"/>
                <w:szCs w:val="20"/>
              </w:rPr>
              <w:t>号</w:t>
            </w:r>
          </w:p>
        </w:tc>
        <w:tc>
          <w:tcPr>
            <w:tcW w:w="3277" w:type="dxa"/>
            <w:vAlign w:val="top"/>
          </w:tcPr>
          <w:p w14:paraId="210AE65F">
            <w:pPr>
              <w:spacing w:before="41" w:line="355" w:lineRule="auto"/>
              <w:ind w:left="798" w:right="105" w:hanging="686"/>
              <w:rPr>
                <w:rFonts w:ascii="宋体" w:hAnsi="宋体" w:eastAsia="宋体" w:cs="宋体"/>
                <w:sz w:val="20"/>
                <w:szCs w:val="20"/>
              </w:rPr>
            </w:pPr>
            <w:r>
              <w:rPr>
                <w:rFonts w:ascii="宋体" w:hAnsi="宋体" w:eastAsia="宋体" w:cs="宋体"/>
                <w:b/>
                <w:bCs/>
                <w:spacing w:val="1"/>
                <w:sz w:val="20"/>
                <w:szCs w:val="20"/>
              </w:rPr>
              <w:t>《牛栏江流域（寻甸段）水环境保</w:t>
            </w:r>
            <w:r>
              <w:rPr>
                <w:rFonts w:ascii="宋体" w:hAnsi="宋体" w:eastAsia="宋体" w:cs="宋体"/>
                <w:b/>
                <w:bCs/>
                <w:spacing w:val="7"/>
                <w:sz w:val="20"/>
                <w:szCs w:val="20"/>
              </w:rPr>
              <w:t>护规划》选址条件</w:t>
            </w:r>
          </w:p>
        </w:tc>
        <w:tc>
          <w:tcPr>
            <w:tcW w:w="2958" w:type="dxa"/>
            <w:vAlign w:val="top"/>
          </w:tcPr>
          <w:p w14:paraId="62AE0B11">
            <w:pPr>
              <w:spacing w:before="246" w:line="227" w:lineRule="auto"/>
              <w:ind w:left="750"/>
              <w:rPr>
                <w:rFonts w:ascii="宋体" w:hAnsi="宋体" w:eastAsia="宋体" w:cs="宋体"/>
                <w:sz w:val="20"/>
                <w:szCs w:val="20"/>
              </w:rPr>
            </w:pPr>
            <w:r>
              <w:rPr>
                <w:rFonts w:ascii="宋体" w:hAnsi="宋体" w:eastAsia="宋体" w:cs="宋体"/>
                <w:b/>
                <w:bCs/>
                <w:spacing w:val="7"/>
                <w:sz w:val="20"/>
                <w:szCs w:val="20"/>
              </w:rPr>
              <w:t>本项目实际情况</w:t>
            </w:r>
          </w:p>
        </w:tc>
        <w:tc>
          <w:tcPr>
            <w:tcW w:w="672" w:type="dxa"/>
            <w:vAlign w:val="top"/>
          </w:tcPr>
          <w:p w14:paraId="246E6745">
            <w:pPr>
              <w:spacing w:before="41" w:line="355" w:lineRule="auto"/>
              <w:ind w:left="244" w:right="118" w:hanging="106"/>
              <w:rPr>
                <w:rFonts w:ascii="宋体" w:hAnsi="宋体" w:eastAsia="宋体" w:cs="宋体"/>
                <w:sz w:val="20"/>
                <w:szCs w:val="20"/>
              </w:rPr>
            </w:pPr>
            <w:r>
              <w:rPr>
                <w:rFonts w:ascii="宋体" w:hAnsi="宋体" w:eastAsia="宋体" w:cs="宋体"/>
                <w:b/>
                <w:bCs/>
                <w:spacing w:val="3"/>
                <w:sz w:val="20"/>
                <w:szCs w:val="20"/>
              </w:rPr>
              <w:t>符合</w:t>
            </w:r>
            <w:r>
              <w:rPr>
                <w:rFonts w:ascii="宋体" w:hAnsi="宋体" w:eastAsia="宋体" w:cs="宋体"/>
                <w:b/>
                <w:bCs/>
                <w:spacing w:val="-3"/>
                <w:sz w:val="20"/>
                <w:szCs w:val="20"/>
              </w:rPr>
              <w:t>性</w:t>
            </w:r>
          </w:p>
        </w:tc>
        <w:tc>
          <w:tcPr>
            <w:tcW w:w="123" w:type="dxa"/>
            <w:tcBorders>
              <w:top w:val="nil"/>
              <w:bottom w:val="nil"/>
              <w:right w:val="single" w:color="000000" w:sz="6" w:space="0"/>
            </w:tcBorders>
            <w:vAlign w:val="top"/>
          </w:tcPr>
          <w:p w14:paraId="78B5A342">
            <w:pPr>
              <w:rPr>
                <w:rFonts w:ascii="Arial"/>
                <w:sz w:val="21"/>
              </w:rPr>
            </w:pPr>
          </w:p>
        </w:tc>
      </w:tr>
      <w:tr w14:paraId="55B57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0" w:hRule="atLeast"/>
        </w:trPr>
        <w:tc>
          <w:tcPr>
            <w:tcW w:w="1161" w:type="dxa"/>
            <w:vMerge w:val="continue"/>
            <w:tcBorders>
              <w:top w:val="nil"/>
              <w:left w:val="single" w:color="000000" w:sz="6" w:space="0"/>
              <w:bottom w:val="nil"/>
            </w:tcBorders>
            <w:vAlign w:val="top"/>
          </w:tcPr>
          <w:p w14:paraId="51FF25F5">
            <w:pPr>
              <w:rPr>
                <w:rFonts w:ascii="Arial"/>
                <w:sz w:val="21"/>
              </w:rPr>
            </w:pPr>
          </w:p>
        </w:tc>
        <w:tc>
          <w:tcPr>
            <w:tcW w:w="113" w:type="dxa"/>
            <w:tcBorders>
              <w:top w:val="nil"/>
              <w:bottom w:val="nil"/>
            </w:tcBorders>
            <w:vAlign w:val="top"/>
          </w:tcPr>
          <w:p w14:paraId="12189132">
            <w:pPr>
              <w:rPr>
                <w:rFonts w:ascii="Arial"/>
                <w:sz w:val="21"/>
              </w:rPr>
            </w:pPr>
          </w:p>
        </w:tc>
        <w:tc>
          <w:tcPr>
            <w:tcW w:w="568" w:type="dxa"/>
            <w:vMerge w:val="restart"/>
            <w:tcBorders>
              <w:bottom w:val="nil"/>
            </w:tcBorders>
            <w:vAlign w:val="top"/>
          </w:tcPr>
          <w:p w14:paraId="5AFD36FC">
            <w:pPr>
              <w:spacing w:line="276" w:lineRule="auto"/>
              <w:rPr>
                <w:rFonts w:ascii="Arial"/>
                <w:sz w:val="21"/>
              </w:rPr>
            </w:pPr>
          </w:p>
          <w:p w14:paraId="50C7B559">
            <w:pPr>
              <w:spacing w:line="276" w:lineRule="auto"/>
              <w:rPr>
                <w:rFonts w:ascii="Arial"/>
                <w:sz w:val="21"/>
              </w:rPr>
            </w:pPr>
          </w:p>
          <w:p w14:paraId="37F0404C">
            <w:pPr>
              <w:spacing w:line="276" w:lineRule="auto"/>
              <w:rPr>
                <w:rFonts w:ascii="Arial"/>
                <w:sz w:val="21"/>
              </w:rPr>
            </w:pPr>
          </w:p>
          <w:p w14:paraId="2DBABCFA">
            <w:pPr>
              <w:spacing w:line="276" w:lineRule="auto"/>
              <w:rPr>
                <w:rFonts w:ascii="Arial"/>
                <w:sz w:val="21"/>
              </w:rPr>
            </w:pPr>
          </w:p>
          <w:p w14:paraId="33B53DB5">
            <w:pPr>
              <w:spacing w:line="276" w:lineRule="auto"/>
              <w:rPr>
                <w:rFonts w:ascii="Arial"/>
                <w:sz w:val="21"/>
              </w:rPr>
            </w:pPr>
          </w:p>
          <w:p w14:paraId="7C071BBC">
            <w:pPr>
              <w:spacing w:line="276" w:lineRule="auto"/>
              <w:rPr>
                <w:rFonts w:ascii="Arial"/>
                <w:sz w:val="21"/>
              </w:rPr>
            </w:pPr>
          </w:p>
          <w:p w14:paraId="2EE220AE">
            <w:pPr>
              <w:spacing w:before="58" w:line="195" w:lineRule="auto"/>
              <w:ind w:left="24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277" w:type="dxa"/>
            <w:vAlign w:val="top"/>
          </w:tcPr>
          <w:p w14:paraId="0490D6F8">
            <w:pPr>
              <w:spacing w:before="42" w:line="228" w:lineRule="auto"/>
              <w:ind w:left="107"/>
              <w:rPr>
                <w:rFonts w:ascii="宋体" w:hAnsi="宋体" w:eastAsia="宋体" w:cs="宋体"/>
                <w:sz w:val="20"/>
                <w:szCs w:val="20"/>
              </w:rPr>
            </w:pPr>
            <w:r>
              <w:rPr>
                <w:rFonts w:ascii="宋体" w:hAnsi="宋体" w:eastAsia="宋体" w:cs="宋体"/>
                <w:spacing w:val="3"/>
                <w:sz w:val="20"/>
                <w:szCs w:val="20"/>
              </w:rPr>
              <w:t>加强对重点工业污染源的监督，确</w:t>
            </w:r>
          </w:p>
          <w:p w14:paraId="593C524E">
            <w:pPr>
              <w:spacing w:before="160" w:line="228" w:lineRule="auto"/>
              <w:ind w:left="108"/>
              <w:rPr>
                <w:rFonts w:ascii="宋体" w:hAnsi="宋体" w:eastAsia="宋体" w:cs="宋体"/>
                <w:sz w:val="20"/>
                <w:szCs w:val="20"/>
              </w:rPr>
            </w:pPr>
            <w:r>
              <w:rPr>
                <w:rFonts w:ascii="宋体" w:hAnsi="宋体" w:eastAsia="宋体" w:cs="宋体"/>
                <w:spacing w:val="3"/>
                <w:sz w:val="20"/>
                <w:szCs w:val="20"/>
              </w:rPr>
              <w:t>保牛栏江流域（寻甸段）内重点企</w:t>
            </w:r>
          </w:p>
          <w:p w14:paraId="4860B664">
            <w:pPr>
              <w:spacing w:before="163" w:line="228" w:lineRule="auto"/>
              <w:ind w:left="125"/>
              <w:rPr>
                <w:rFonts w:ascii="宋体" w:hAnsi="宋体" w:eastAsia="宋体" w:cs="宋体"/>
                <w:sz w:val="20"/>
                <w:szCs w:val="20"/>
              </w:rPr>
            </w:pPr>
            <w:r>
              <w:rPr>
                <w:rFonts w:ascii="宋体" w:hAnsi="宋体" w:eastAsia="宋体" w:cs="宋体"/>
                <w:spacing w:val="8"/>
                <w:sz w:val="20"/>
                <w:szCs w:val="20"/>
              </w:rPr>
              <w:t>业污水稳定达标排放并实现</w:t>
            </w:r>
            <w:r>
              <w:rPr>
                <w:rFonts w:ascii="Times New Roman" w:hAnsi="Times New Roman" w:eastAsia="Times New Roman" w:cs="Times New Roman"/>
                <w:spacing w:val="8"/>
                <w:sz w:val="20"/>
                <w:szCs w:val="20"/>
              </w:rPr>
              <w:t>“</w:t>
            </w:r>
            <w:r>
              <w:rPr>
                <w:rFonts w:ascii="宋体" w:hAnsi="宋体" w:eastAsia="宋体" w:cs="宋体"/>
                <w:spacing w:val="8"/>
                <w:sz w:val="20"/>
                <w:szCs w:val="20"/>
              </w:rPr>
              <w:t>零排</w:t>
            </w:r>
          </w:p>
          <w:p w14:paraId="4CE6F2C8">
            <w:pPr>
              <w:spacing w:before="161" w:line="228" w:lineRule="auto"/>
              <w:ind w:left="126"/>
              <w:rPr>
                <w:rFonts w:ascii="宋体" w:hAnsi="宋体" w:eastAsia="宋体" w:cs="宋体"/>
                <w:sz w:val="20"/>
                <w:szCs w:val="20"/>
              </w:rPr>
            </w:pPr>
            <w:r>
              <w:rPr>
                <w:rFonts w:ascii="宋体" w:hAnsi="宋体" w:eastAsia="宋体" w:cs="宋体"/>
                <w:spacing w:val="7"/>
                <w:sz w:val="20"/>
                <w:szCs w:val="20"/>
              </w:rPr>
              <w:t>放</w:t>
            </w:r>
            <w:r>
              <w:rPr>
                <w:rFonts w:ascii="Times New Roman" w:hAnsi="Times New Roman" w:eastAsia="Times New Roman" w:cs="Times New Roman"/>
                <w:spacing w:val="7"/>
                <w:sz w:val="20"/>
                <w:szCs w:val="20"/>
              </w:rPr>
              <w:t>”</w:t>
            </w:r>
            <w:r>
              <w:rPr>
                <w:rFonts w:ascii="Times New Roman" w:hAnsi="Times New Roman" w:eastAsia="Times New Roman" w:cs="Times New Roman"/>
                <w:spacing w:val="-22"/>
                <w:sz w:val="20"/>
                <w:szCs w:val="20"/>
              </w:rPr>
              <w:t xml:space="preserve"> </w:t>
            </w:r>
            <w:r>
              <w:rPr>
                <w:rFonts w:ascii="宋体" w:hAnsi="宋体" w:eastAsia="宋体" w:cs="宋体"/>
                <w:spacing w:val="7"/>
                <w:sz w:val="20"/>
                <w:szCs w:val="20"/>
              </w:rPr>
              <w:t>，固体废弃物最大程度重复利</w:t>
            </w:r>
          </w:p>
          <w:p w14:paraId="5AED118D">
            <w:pPr>
              <w:spacing w:before="161" w:line="228" w:lineRule="auto"/>
              <w:ind w:left="109"/>
              <w:rPr>
                <w:rFonts w:ascii="宋体" w:hAnsi="宋体" w:eastAsia="宋体" w:cs="宋体"/>
                <w:sz w:val="20"/>
                <w:szCs w:val="20"/>
              </w:rPr>
            </w:pPr>
            <w:r>
              <w:rPr>
                <w:rFonts w:ascii="宋体" w:hAnsi="宋体" w:eastAsia="宋体" w:cs="宋体"/>
                <w:spacing w:val="3"/>
                <w:sz w:val="20"/>
                <w:szCs w:val="20"/>
              </w:rPr>
              <w:t>用和安全处置，消除工业企业的环</w:t>
            </w:r>
          </w:p>
          <w:p w14:paraId="0E5F4D1B">
            <w:pPr>
              <w:spacing w:before="161" w:line="228" w:lineRule="auto"/>
              <w:ind w:left="108"/>
              <w:rPr>
                <w:rFonts w:ascii="宋体" w:hAnsi="宋体" w:eastAsia="宋体" w:cs="宋体"/>
                <w:sz w:val="20"/>
                <w:szCs w:val="20"/>
              </w:rPr>
            </w:pPr>
            <w:r>
              <w:rPr>
                <w:rFonts w:ascii="宋体" w:hAnsi="宋体" w:eastAsia="宋体" w:cs="宋体"/>
                <w:spacing w:val="3"/>
                <w:sz w:val="20"/>
                <w:szCs w:val="20"/>
              </w:rPr>
              <w:t>境安全隐患，确保环保设施的正常</w:t>
            </w:r>
          </w:p>
          <w:p w14:paraId="6518118F">
            <w:pPr>
              <w:spacing w:before="160" w:line="228" w:lineRule="auto"/>
              <w:ind w:left="107"/>
              <w:rPr>
                <w:rFonts w:ascii="宋体" w:hAnsi="宋体" w:eastAsia="宋体" w:cs="宋体"/>
                <w:sz w:val="20"/>
                <w:szCs w:val="20"/>
              </w:rPr>
            </w:pPr>
            <w:r>
              <w:rPr>
                <w:rFonts w:ascii="宋体" w:hAnsi="宋体" w:eastAsia="宋体" w:cs="宋体"/>
                <w:spacing w:val="3"/>
                <w:sz w:val="20"/>
                <w:szCs w:val="20"/>
              </w:rPr>
              <w:t>运行，杜绝工业企业偷排、漏排污</w:t>
            </w:r>
          </w:p>
          <w:p w14:paraId="4539842B">
            <w:pPr>
              <w:spacing w:before="161" w:line="228" w:lineRule="auto"/>
              <w:ind w:left="1015"/>
              <w:rPr>
                <w:rFonts w:ascii="宋体" w:hAnsi="宋体" w:eastAsia="宋体" w:cs="宋体"/>
                <w:sz w:val="20"/>
                <w:szCs w:val="20"/>
              </w:rPr>
            </w:pPr>
            <w:r>
              <w:rPr>
                <w:rFonts w:ascii="宋体" w:hAnsi="宋体" w:eastAsia="宋体" w:cs="宋体"/>
                <w:spacing w:val="6"/>
                <w:sz w:val="20"/>
                <w:szCs w:val="20"/>
              </w:rPr>
              <w:t>染物的现象。</w:t>
            </w:r>
          </w:p>
        </w:tc>
        <w:tc>
          <w:tcPr>
            <w:tcW w:w="2958" w:type="dxa"/>
            <w:vAlign w:val="top"/>
          </w:tcPr>
          <w:p w14:paraId="39316029">
            <w:pPr>
              <w:spacing w:line="248" w:lineRule="auto"/>
              <w:rPr>
                <w:rFonts w:ascii="Arial"/>
                <w:sz w:val="21"/>
              </w:rPr>
            </w:pPr>
          </w:p>
          <w:p w14:paraId="548705ED">
            <w:pPr>
              <w:spacing w:line="248" w:lineRule="auto"/>
              <w:rPr>
                <w:rFonts w:ascii="Arial"/>
                <w:sz w:val="21"/>
              </w:rPr>
            </w:pPr>
          </w:p>
          <w:p w14:paraId="58BB51D4">
            <w:pPr>
              <w:spacing w:line="248" w:lineRule="auto"/>
              <w:rPr>
                <w:rFonts w:ascii="Arial"/>
                <w:sz w:val="21"/>
              </w:rPr>
            </w:pPr>
          </w:p>
          <w:p w14:paraId="03B19B78">
            <w:pPr>
              <w:spacing w:line="248" w:lineRule="auto"/>
              <w:rPr>
                <w:rFonts w:ascii="Arial"/>
                <w:sz w:val="21"/>
              </w:rPr>
            </w:pPr>
          </w:p>
          <w:p w14:paraId="4762E2A8">
            <w:pPr>
              <w:spacing w:before="65" w:line="228" w:lineRule="auto"/>
              <w:ind w:left="126"/>
              <w:rPr>
                <w:rFonts w:ascii="宋体" w:hAnsi="宋体" w:eastAsia="宋体" w:cs="宋体"/>
                <w:sz w:val="20"/>
                <w:szCs w:val="20"/>
              </w:rPr>
            </w:pPr>
            <w:r>
              <w:rPr>
                <w:rFonts w:ascii="宋体" w:hAnsi="宋体" w:eastAsia="宋体" w:cs="宋体"/>
                <w:spacing w:val="8"/>
                <w:sz w:val="20"/>
                <w:szCs w:val="20"/>
              </w:rPr>
              <w:t>项目无生产废水产生，水资源</w:t>
            </w:r>
          </w:p>
          <w:p w14:paraId="6D645377">
            <w:pPr>
              <w:spacing w:before="161" w:line="228" w:lineRule="auto"/>
              <w:ind w:left="124"/>
              <w:rPr>
                <w:rFonts w:ascii="宋体" w:hAnsi="宋体" w:eastAsia="宋体" w:cs="宋体"/>
                <w:sz w:val="20"/>
                <w:szCs w:val="20"/>
              </w:rPr>
            </w:pPr>
            <w:r>
              <w:rPr>
                <w:rFonts w:ascii="宋体" w:hAnsi="宋体" w:eastAsia="宋体" w:cs="宋体"/>
                <w:spacing w:val="8"/>
                <w:sz w:val="20"/>
                <w:szCs w:val="20"/>
              </w:rPr>
              <w:t>利用率高，生产用水量较小，</w:t>
            </w:r>
          </w:p>
          <w:p w14:paraId="589E5434">
            <w:pPr>
              <w:spacing w:before="160" w:line="228" w:lineRule="auto"/>
              <w:ind w:left="604"/>
              <w:rPr>
                <w:rFonts w:ascii="宋体" w:hAnsi="宋体" w:eastAsia="宋体" w:cs="宋体"/>
                <w:sz w:val="20"/>
                <w:szCs w:val="20"/>
              </w:rPr>
            </w:pPr>
            <w:r>
              <w:rPr>
                <w:rFonts w:ascii="宋体" w:hAnsi="宋体" w:eastAsia="宋体" w:cs="宋体"/>
                <w:spacing w:val="2"/>
                <w:sz w:val="20"/>
                <w:szCs w:val="20"/>
              </w:rPr>
              <w:t>固废处置率</w:t>
            </w:r>
            <w:r>
              <w:rPr>
                <w:rFonts w:ascii="宋体" w:hAnsi="宋体" w:eastAsia="宋体" w:cs="宋体"/>
                <w:spacing w:val="-22"/>
                <w:sz w:val="20"/>
                <w:szCs w:val="20"/>
              </w:rPr>
              <w:t xml:space="preserve"> </w:t>
            </w:r>
            <w:r>
              <w:rPr>
                <w:rFonts w:ascii="Times New Roman" w:hAnsi="Times New Roman" w:eastAsia="Times New Roman" w:cs="Times New Roman"/>
                <w:spacing w:val="2"/>
                <w:sz w:val="20"/>
                <w:szCs w:val="20"/>
              </w:rPr>
              <w:t>100%</w:t>
            </w:r>
            <w:r>
              <w:rPr>
                <w:rFonts w:ascii="宋体" w:hAnsi="宋体" w:eastAsia="宋体" w:cs="宋体"/>
                <w:spacing w:val="2"/>
                <w:sz w:val="20"/>
                <w:szCs w:val="20"/>
              </w:rPr>
              <w:t>。</w:t>
            </w:r>
          </w:p>
        </w:tc>
        <w:tc>
          <w:tcPr>
            <w:tcW w:w="672" w:type="dxa"/>
            <w:vAlign w:val="top"/>
          </w:tcPr>
          <w:p w14:paraId="2F5B8EBD">
            <w:pPr>
              <w:spacing w:line="279" w:lineRule="auto"/>
              <w:rPr>
                <w:rFonts w:ascii="Arial"/>
                <w:sz w:val="21"/>
              </w:rPr>
            </w:pPr>
          </w:p>
          <w:p w14:paraId="296C16C6">
            <w:pPr>
              <w:spacing w:line="279" w:lineRule="auto"/>
              <w:rPr>
                <w:rFonts w:ascii="Arial"/>
                <w:sz w:val="21"/>
              </w:rPr>
            </w:pPr>
          </w:p>
          <w:p w14:paraId="0FB7DFCD">
            <w:pPr>
              <w:spacing w:line="280" w:lineRule="auto"/>
              <w:rPr>
                <w:rFonts w:ascii="Arial"/>
                <w:sz w:val="21"/>
              </w:rPr>
            </w:pPr>
          </w:p>
          <w:p w14:paraId="55A74EF1">
            <w:pPr>
              <w:spacing w:line="280" w:lineRule="auto"/>
              <w:rPr>
                <w:rFonts w:ascii="Arial"/>
                <w:sz w:val="21"/>
              </w:rPr>
            </w:pPr>
          </w:p>
          <w:p w14:paraId="48A4AC05">
            <w:pPr>
              <w:spacing w:line="280" w:lineRule="auto"/>
              <w:rPr>
                <w:rFonts w:ascii="Arial"/>
                <w:sz w:val="21"/>
              </w:rPr>
            </w:pPr>
          </w:p>
          <w:p w14:paraId="033A0252">
            <w:pPr>
              <w:spacing w:before="65" w:line="228" w:lineRule="auto"/>
              <w:ind w:left="138"/>
              <w:rPr>
                <w:rFonts w:ascii="宋体" w:hAnsi="宋体" w:eastAsia="宋体" w:cs="宋体"/>
                <w:sz w:val="20"/>
                <w:szCs w:val="20"/>
              </w:rPr>
            </w:pPr>
            <w:r>
              <w:rPr>
                <w:rFonts w:ascii="宋体" w:hAnsi="宋体" w:eastAsia="宋体" w:cs="宋体"/>
                <w:spacing w:val="3"/>
                <w:sz w:val="20"/>
                <w:szCs w:val="20"/>
              </w:rPr>
              <w:t>符合</w:t>
            </w:r>
          </w:p>
        </w:tc>
        <w:tc>
          <w:tcPr>
            <w:tcW w:w="123" w:type="dxa"/>
            <w:tcBorders>
              <w:top w:val="nil"/>
              <w:bottom w:val="nil"/>
              <w:right w:val="single" w:color="000000" w:sz="6" w:space="0"/>
            </w:tcBorders>
            <w:vAlign w:val="top"/>
          </w:tcPr>
          <w:p w14:paraId="0208D2B2">
            <w:pPr>
              <w:rPr>
                <w:rFonts w:ascii="Arial"/>
                <w:sz w:val="21"/>
              </w:rPr>
            </w:pPr>
          </w:p>
        </w:tc>
      </w:tr>
      <w:tr w14:paraId="757CC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161" w:type="dxa"/>
            <w:vMerge w:val="continue"/>
            <w:tcBorders>
              <w:top w:val="nil"/>
              <w:left w:val="single" w:color="000000" w:sz="6" w:space="0"/>
              <w:bottom w:val="single" w:color="000000" w:sz="6" w:space="0"/>
            </w:tcBorders>
            <w:vAlign w:val="top"/>
          </w:tcPr>
          <w:p w14:paraId="79127952">
            <w:pPr>
              <w:rPr>
                <w:rFonts w:ascii="Arial"/>
                <w:sz w:val="21"/>
              </w:rPr>
            </w:pPr>
          </w:p>
        </w:tc>
        <w:tc>
          <w:tcPr>
            <w:tcW w:w="113" w:type="dxa"/>
            <w:tcBorders>
              <w:top w:val="nil"/>
              <w:bottom w:val="single" w:color="000000" w:sz="6" w:space="0"/>
            </w:tcBorders>
            <w:vAlign w:val="top"/>
          </w:tcPr>
          <w:p w14:paraId="0D6B4716">
            <w:pPr>
              <w:rPr>
                <w:rFonts w:ascii="Arial"/>
                <w:sz w:val="21"/>
              </w:rPr>
            </w:pPr>
          </w:p>
        </w:tc>
        <w:tc>
          <w:tcPr>
            <w:tcW w:w="568" w:type="dxa"/>
            <w:vMerge w:val="continue"/>
            <w:tcBorders>
              <w:top w:val="nil"/>
              <w:bottom w:val="single" w:color="000000" w:sz="6" w:space="0"/>
            </w:tcBorders>
            <w:vAlign w:val="top"/>
          </w:tcPr>
          <w:p w14:paraId="20492AA4">
            <w:pPr>
              <w:rPr>
                <w:rFonts w:ascii="Arial"/>
                <w:sz w:val="21"/>
              </w:rPr>
            </w:pPr>
          </w:p>
        </w:tc>
        <w:tc>
          <w:tcPr>
            <w:tcW w:w="3277" w:type="dxa"/>
            <w:tcBorders>
              <w:bottom w:val="single" w:color="000000" w:sz="6" w:space="0"/>
            </w:tcBorders>
            <w:vAlign w:val="top"/>
          </w:tcPr>
          <w:p w14:paraId="225048FF">
            <w:pPr>
              <w:spacing w:before="55" w:line="228" w:lineRule="auto"/>
              <w:ind w:left="110"/>
              <w:rPr>
                <w:rFonts w:ascii="宋体" w:hAnsi="宋体" w:eastAsia="宋体" w:cs="宋体"/>
                <w:sz w:val="20"/>
                <w:szCs w:val="20"/>
              </w:rPr>
            </w:pPr>
            <w:r>
              <w:rPr>
                <w:rFonts w:ascii="宋体" w:hAnsi="宋体" w:eastAsia="宋体" w:cs="宋体"/>
                <w:spacing w:val="3"/>
                <w:sz w:val="20"/>
                <w:szCs w:val="20"/>
              </w:rPr>
              <w:t>建设再生水回用系统，污染控制区</w:t>
            </w:r>
          </w:p>
        </w:tc>
        <w:tc>
          <w:tcPr>
            <w:tcW w:w="2958" w:type="dxa"/>
            <w:tcBorders>
              <w:bottom w:val="single" w:color="000000" w:sz="6" w:space="0"/>
            </w:tcBorders>
            <w:vAlign w:val="top"/>
          </w:tcPr>
          <w:p w14:paraId="0AB793A2">
            <w:pPr>
              <w:spacing w:before="55" w:line="227" w:lineRule="auto"/>
              <w:ind w:left="124"/>
              <w:rPr>
                <w:rFonts w:ascii="宋体" w:hAnsi="宋体" w:eastAsia="宋体" w:cs="宋体"/>
                <w:sz w:val="20"/>
                <w:szCs w:val="20"/>
              </w:rPr>
            </w:pPr>
            <w:r>
              <w:rPr>
                <w:rFonts w:ascii="宋体" w:hAnsi="宋体" w:eastAsia="宋体" w:cs="宋体"/>
                <w:spacing w:val="9"/>
                <w:sz w:val="20"/>
                <w:szCs w:val="20"/>
              </w:rPr>
              <w:t>本项目为扩建项目，不属于不</w:t>
            </w:r>
          </w:p>
        </w:tc>
        <w:tc>
          <w:tcPr>
            <w:tcW w:w="672" w:type="dxa"/>
            <w:tcBorders>
              <w:bottom w:val="single" w:color="000000" w:sz="6" w:space="0"/>
            </w:tcBorders>
            <w:vAlign w:val="top"/>
          </w:tcPr>
          <w:p w14:paraId="45D6A944">
            <w:pPr>
              <w:spacing w:before="55" w:line="228" w:lineRule="auto"/>
              <w:ind w:left="138"/>
              <w:rPr>
                <w:rFonts w:ascii="宋体" w:hAnsi="宋体" w:eastAsia="宋体" w:cs="宋体"/>
                <w:sz w:val="20"/>
                <w:szCs w:val="20"/>
              </w:rPr>
            </w:pPr>
            <w:r>
              <w:rPr>
                <w:rFonts w:ascii="宋体" w:hAnsi="宋体" w:eastAsia="宋体" w:cs="宋体"/>
                <w:spacing w:val="3"/>
                <w:sz w:val="20"/>
                <w:szCs w:val="20"/>
              </w:rPr>
              <w:t>符合</w:t>
            </w:r>
          </w:p>
        </w:tc>
        <w:tc>
          <w:tcPr>
            <w:tcW w:w="123" w:type="dxa"/>
            <w:tcBorders>
              <w:top w:val="nil"/>
              <w:bottom w:val="single" w:color="000000" w:sz="6" w:space="0"/>
              <w:right w:val="single" w:color="000000" w:sz="6" w:space="0"/>
            </w:tcBorders>
            <w:vAlign w:val="top"/>
          </w:tcPr>
          <w:p w14:paraId="0D25F315">
            <w:pPr>
              <w:rPr>
                <w:rFonts w:ascii="Arial"/>
                <w:sz w:val="21"/>
              </w:rPr>
            </w:pPr>
          </w:p>
        </w:tc>
      </w:tr>
    </w:tbl>
    <w:p w14:paraId="1EB2A988">
      <w:pPr>
        <w:pStyle w:val="2"/>
      </w:pPr>
    </w:p>
    <w:p w14:paraId="1614950F">
      <w:pPr>
        <w:sectPr>
          <w:footerReference r:id="rId32" w:type="default"/>
          <w:pgSz w:w="11906" w:h="16839"/>
          <w:pgMar w:top="400" w:right="1509" w:bottom="1329" w:left="1509" w:header="0" w:footer="1113" w:gutter="0"/>
          <w:cols w:space="720" w:num="1"/>
        </w:sectPr>
      </w:pPr>
    </w:p>
    <w:p w14:paraId="74422B98">
      <w:pPr>
        <w:spacing w:before="19"/>
      </w:pPr>
    </w:p>
    <w:p w14:paraId="42C44797">
      <w:pPr>
        <w:spacing w:before="19"/>
      </w:pPr>
    </w:p>
    <w:p w14:paraId="35B4ECD4">
      <w:pPr>
        <w:spacing w:before="19"/>
      </w:pPr>
    </w:p>
    <w:p w14:paraId="3AE145B6">
      <w:pPr>
        <w:spacing w:before="18"/>
      </w:pPr>
    </w:p>
    <w:p w14:paraId="748139EC">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0"/>
        <w:gridCol w:w="113"/>
        <w:gridCol w:w="426"/>
        <w:gridCol w:w="142"/>
        <w:gridCol w:w="3278"/>
        <w:gridCol w:w="93"/>
        <w:gridCol w:w="2865"/>
        <w:gridCol w:w="126"/>
        <w:gridCol w:w="544"/>
        <w:gridCol w:w="125"/>
      </w:tblGrid>
      <w:tr w14:paraId="45220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0" w:hRule="atLeast"/>
        </w:trPr>
        <w:tc>
          <w:tcPr>
            <w:tcW w:w="1160" w:type="dxa"/>
            <w:vMerge w:val="restart"/>
            <w:tcBorders>
              <w:top w:val="single" w:color="000000" w:sz="6" w:space="0"/>
              <w:left w:val="single" w:color="000000" w:sz="6" w:space="0"/>
              <w:bottom w:val="nil"/>
            </w:tcBorders>
            <w:vAlign w:val="top"/>
          </w:tcPr>
          <w:p w14:paraId="589CFC11">
            <w:pPr>
              <w:rPr>
                <w:rFonts w:ascii="Arial"/>
                <w:sz w:val="21"/>
              </w:rPr>
            </w:pPr>
          </w:p>
        </w:tc>
        <w:tc>
          <w:tcPr>
            <w:tcW w:w="113" w:type="dxa"/>
            <w:tcBorders>
              <w:top w:val="single" w:color="000000" w:sz="6" w:space="0"/>
              <w:bottom w:val="nil"/>
            </w:tcBorders>
            <w:vAlign w:val="top"/>
          </w:tcPr>
          <w:p w14:paraId="021BDE02">
            <w:pPr>
              <w:rPr>
                <w:rFonts w:ascii="Arial"/>
                <w:sz w:val="21"/>
              </w:rPr>
            </w:pPr>
          </w:p>
        </w:tc>
        <w:tc>
          <w:tcPr>
            <w:tcW w:w="568" w:type="dxa"/>
            <w:gridSpan w:val="2"/>
            <w:tcBorders>
              <w:top w:val="single" w:color="000000" w:sz="6" w:space="0"/>
            </w:tcBorders>
            <w:vAlign w:val="top"/>
          </w:tcPr>
          <w:p w14:paraId="0F3C883B">
            <w:pPr>
              <w:rPr>
                <w:rFonts w:ascii="Arial"/>
                <w:sz w:val="21"/>
              </w:rPr>
            </w:pPr>
          </w:p>
        </w:tc>
        <w:tc>
          <w:tcPr>
            <w:tcW w:w="3278" w:type="dxa"/>
            <w:tcBorders>
              <w:top w:val="single" w:color="000000" w:sz="6" w:space="0"/>
            </w:tcBorders>
            <w:vAlign w:val="top"/>
          </w:tcPr>
          <w:p w14:paraId="1FCFA7C2">
            <w:pPr>
              <w:spacing w:before="37" w:line="228" w:lineRule="auto"/>
              <w:ind w:left="198"/>
              <w:rPr>
                <w:rFonts w:ascii="宋体" w:hAnsi="宋体" w:eastAsia="宋体" w:cs="宋体"/>
                <w:sz w:val="20"/>
                <w:szCs w:val="20"/>
              </w:rPr>
            </w:pPr>
            <w:r>
              <w:rPr>
                <w:rFonts w:ascii="宋体" w:hAnsi="宋体" w:eastAsia="宋体" w:cs="宋体"/>
                <w:spacing w:val="7"/>
                <w:sz w:val="20"/>
                <w:szCs w:val="20"/>
              </w:rPr>
              <w:t>内不得建设不符合国家产业政策</w:t>
            </w:r>
          </w:p>
          <w:p w14:paraId="23B3F62A">
            <w:pPr>
              <w:spacing w:before="160" w:line="228" w:lineRule="auto"/>
              <w:ind w:left="125"/>
              <w:rPr>
                <w:rFonts w:ascii="宋体" w:hAnsi="宋体" w:eastAsia="宋体" w:cs="宋体"/>
                <w:sz w:val="20"/>
                <w:szCs w:val="20"/>
              </w:rPr>
            </w:pPr>
            <w:r>
              <w:rPr>
                <w:rFonts w:ascii="宋体" w:hAnsi="宋体" w:eastAsia="宋体" w:cs="宋体"/>
                <w:spacing w:val="2"/>
                <w:sz w:val="20"/>
                <w:szCs w:val="20"/>
              </w:rPr>
              <w:t>的工业项目及高污染工业项目；新</w:t>
            </w:r>
          </w:p>
          <w:p w14:paraId="46B775FB">
            <w:pPr>
              <w:spacing w:before="161" w:line="228" w:lineRule="auto"/>
              <w:ind w:left="174"/>
              <w:rPr>
                <w:rFonts w:ascii="宋体" w:hAnsi="宋体" w:eastAsia="宋体" w:cs="宋体"/>
                <w:sz w:val="20"/>
                <w:szCs w:val="20"/>
              </w:rPr>
            </w:pPr>
            <w:r>
              <w:rPr>
                <w:rFonts w:ascii="宋体" w:hAnsi="宋体" w:eastAsia="宋体" w:cs="宋体"/>
                <w:spacing w:val="9"/>
                <w:sz w:val="20"/>
                <w:szCs w:val="20"/>
              </w:rPr>
              <w:t>增工业项目废水不得排放有毒有</w:t>
            </w:r>
          </w:p>
          <w:p w14:paraId="3FBD732D">
            <w:pPr>
              <w:spacing w:before="160" w:line="228" w:lineRule="auto"/>
              <w:ind w:left="280"/>
              <w:rPr>
                <w:rFonts w:ascii="宋体" w:hAnsi="宋体" w:eastAsia="宋体" w:cs="宋体"/>
                <w:sz w:val="20"/>
                <w:szCs w:val="20"/>
              </w:rPr>
            </w:pPr>
            <w:r>
              <w:rPr>
                <w:rFonts w:ascii="宋体" w:hAnsi="宋体" w:eastAsia="宋体" w:cs="宋体"/>
                <w:spacing w:val="8"/>
                <w:sz w:val="20"/>
                <w:szCs w:val="20"/>
              </w:rPr>
              <w:t>害物质，改扩建项目不得新增</w:t>
            </w:r>
          </w:p>
          <w:p w14:paraId="65953AD8">
            <w:pPr>
              <w:spacing w:before="161" w:line="228" w:lineRule="auto"/>
              <w:ind w:left="107"/>
              <w:rPr>
                <w:rFonts w:ascii="宋体" w:hAnsi="宋体" w:eastAsia="宋体" w:cs="宋体"/>
                <w:sz w:val="20"/>
                <w:szCs w:val="20"/>
              </w:rPr>
            </w:pPr>
            <w:r>
              <w:rPr>
                <w:rFonts w:ascii="Times New Roman" w:hAnsi="Times New Roman" w:eastAsia="Times New Roman" w:cs="Times New Roman"/>
                <w:sz w:val="20"/>
                <w:szCs w:val="20"/>
              </w:rPr>
              <w:t>COD</w:t>
            </w:r>
            <w:r>
              <w:rPr>
                <w:rFonts w:ascii="Times New Roman" w:hAnsi="Times New Roman" w:eastAsia="Times New Roman" w:cs="Times New Roman"/>
                <w:spacing w:val="-25"/>
                <w:sz w:val="20"/>
                <w:szCs w:val="20"/>
              </w:rPr>
              <w:t xml:space="preserve"> </w:t>
            </w:r>
            <w:r>
              <w:rPr>
                <w:rFonts w:ascii="宋体" w:hAnsi="宋体" w:eastAsia="宋体" w:cs="宋体"/>
                <w:spacing w:val="4"/>
                <w:sz w:val="20"/>
                <w:szCs w:val="20"/>
              </w:rPr>
              <w:t>、</w:t>
            </w:r>
            <w:r>
              <w:rPr>
                <w:rFonts w:ascii="Times New Roman" w:hAnsi="Times New Roman" w:eastAsia="Times New Roman" w:cs="Times New Roman"/>
                <w:sz w:val="20"/>
                <w:szCs w:val="20"/>
              </w:rPr>
              <w:t>TN</w:t>
            </w:r>
            <w:r>
              <w:rPr>
                <w:rFonts w:ascii="Times New Roman" w:hAnsi="Times New Roman" w:eastAsia="Times New Roman" w:cs="Times New Roman"/>
                <w:spacing w:val="-26"/>
                <w:sz w:val="20"/>
                <w:szCs w:val="20"/>
              </w:rPr>
              <w:t xml:space="preserve"> </w:t>
            </w:r>
            <w:r>
              <w:rPr>
                <w:rFonts w:ascii="宋体" w:hAnsi="宋体" w:eastAsia="宋体" w:cs="宋体"/>
                <w:spacing w:val="4"/>
                <w:sz w:val="20"/>
                <w:szCs w:val="20"/>
              </w:rPr>
              <w:t>、</w:t>
            </w:r>
            <w:r>
              <w:rPr>
                <w:rFonts w:ascii="Times New Roman" w:hAnsi="Times New Roman" w:eastAsia="Times New Roman" w:cs="Times New Roman"/>
                <w:sz w:val="20"/>
                <w:szCs w:val="20"/>
              </w:rPr>
              <w:t>TP</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排放量；新增、改</w:t>
            </w:r>
          </w:p>
          <w:p w14:paraId="3DCCF00D">
            <w:pPr>
              <w:spacing w:before="161" w:line="227" w:lineRule="auto"/>
              <w:ind w:left="111"/>
              <w:rPr>
                <w:rFonts w:ascii="宋体" w:hAnsi="宋体" w:eastAsia="宋体" w:cs="宋体"/>
                <w:sz w:val="20"/>
                <w:szCs w:val="20"/>
              </w:rPr>
            </w:pPr>
            <w:r>
              <w:rPr>
                <w:rFonts w:ascii="宋体" w:hAnsi="宋体" w:eastAsia="宋体" w:cs="宋体"/>
                <w:spacing w:val="3"/>
                <w:sz w:val="20"/>
                <w:szCs w:val="20"/>
              </w:rPr>
              <w:t>建、扩建工业项目应采用先进的生</w:t>
            </w:r>
          </w:p>
          <w:p w14:paraId="330AEF94">
            <w:pPr>
              <w:spacing w:before="164" w:line="228" w:lineRule="auto"/>
              <w:ind w:left="108"/>
              <w:rPr>
                <w:rFonts w:ascii="宋体" w:hAnsi="宋体" w:eastAsia="宋体" w:cs="宋体"/>
                <w:sz w:val="20"/>
                <w:szCs w:val="20"/>
              </w:rPr>
            </w:pPr>
            <w:r>
              <w:rPr>
                <w:rFonts w:ascii="宋体" w:hAnsi="宋体" w:eastAsia="宋体" w:cs="宋体"/>
                <w:spacing w:val="3"/>
                <w:sz w:val="20"/>
                <w:szCs w:val="20"/>
              </w:rPr>
              <w:t>产工艺和污染防治技术，其清洁生</w:t>
            </w:r>
          </w:p>
          <w:p w14:paraId="422DC377">
            <w:pPr>
              <w:spacing w:before="161" w:line="228" w:lineRule="auto"/>
              <w:ind w:left="173"/>
              <w:rPr>
                <w:rFonts w:ascii="宋体" w:hAnsi="宋体" w:eastAsia="宋体" w:cs="宋体"/>
                <w:sz w:val="20"/>
                <w:szCs w:val="20"/>
              </w:rPr>
            </w:pPr>
            <w:r>
              <w:rPr>
                <w:rFonts w:ascii="宋体" w:hAnsi="宋体" w:eastAsia="宋体" w:cs="宋体"/>
                <w:spacing w:val="9"/>
                <w:sz w:val="20"/>
                <w:szCs w:val="20"/>
              </w:rPr>
              <w:t>产水平达到国家清洁生产标准中</w:t>
            </w:r>
          </w:p>
          <w:p w14:paraId="5179D06E">
            <w:pPr>
              <w:spacing w:before="161" w:line="228" w:lineRule="auto"/>
              <w:ind w:left="819"/>
              <w:rPr>
                <w:rFonts w:ascii="宋体" w:hAnsi="宋体" w:eastAsia="宋体" w:cs="宋体"/>
                <w:sz w:val="20"/>
                <w:szCs w:val="20"/>
              </w:rPr>
            </w:pPr>
            <w:r>
              <w:rPr>
                <w:rFonts w:ascii="宋体" w:hAnsi="宋体" w:eastAsia="宋体" w:cs="宋体"/>
                <w:spacing w:val="5"/>
                <w:sz w:val="20"/>
                <w:szCs w:val="20"/>
              </w:rPr>
              <w:t>的国内先进水平。</w:t>
            </w:r>
          </w:p>
        </w:tc>
        <w:tc>
          <w:tcPr>
            <w:tcW w:w="2958" w:type="dxa"/>
            <w:gridSpan w:val="2"/>
            <w:tcBorders>
              <w:top w:val="single" w:color="000000" w:sz="6" w:space="0"/>
            </w:tcBorders>
            <w:vAlign w:val="top"/>
          </w:tcPr>
          <w:p w14:paraId="3AA2296F">
            <w:pPr>
              <w:spacing w:before="37" w:line="228" w:lineRule="auto"/>
              <w:ind w:left="125"/>
              <w:rPr>
                <w:rFonts w:ascii="宋体" w:hAnsi="宋体" w:eastAsia="宋体" w:cs="宋体"/>
                <w:sz w:val="20"/>
                <w:szCs w:val="20"/>
              </w:rPr>
            </w:pPr>
            <w:r>
              <w:rPr>
                <w:rFonts w:ascii="宋体" w:hAnsi="宋体" w:eastAsia="宋体" w:cs="宋体"/>
                <w:spacing w:val="9"/>
                <w:sz w:val="20"/>
                <w:szCs w:val="20"/>
              </w:rPr>
              <w:t>符合国家产业政策的工业项目</w:t>
            </w:r>
          </w:p>
          <w:p w14:paraId="6295E06E">
            <w:pPr>
              <w:spacing w:before="160" w:line="228" w:lineRule="auto"/>
              <w:ind w:left="122"/>
              <w:rPr>
                <w:rFonts w:ascii="宋体" w:hAnsi="宋体" w:eastAsia="宋体" w:cs="宋体"/>
                <w:sz w:val="20"/>
                <w:szCs w:val="20"/>
              </w:rPr>
            </w:pPr>
            <w:r>
              <w:rPr>
                <w:rFonts w:ascii="宋体" w:hAnsi="宋体" w:eastAsia="宋体" w:cs="宋体"/>
                <w:spacing w:val="9"/>
                <w:sz w:val="20"/>
                <w:szCs w:val="20"/>
              </w:rPr>
              <w:t>及高污染工业项目；厂区实施</w:t>
            </w:r>
          </w:p>
          <w:p w14:paraId="38ECBCCA">
            <w:pPr>
              <w:spacing w:before="161" w:line="228" w:lineRule="auto"/>
              <w:ind w:left="131"/>
              <w:rPr>
                <w:rFonts w:ascii="宋体" w:hAnsi="宋体" w:eastAsia="宋体" w:cs="宋体"/>
                <w:sz w:val="20"/>
                <w:szCs w:val="20"/>
              </w:rPr>
            </w:pPr>
            <w:r>
              <w:rPr>
                <w:rFonts w:ascii="宋体" w:hAnsi="宋体" w:eastAsia="宋体" w:cs="宋体"/>
                <w:spacing w:val="8"/>
                <w:sz w:val="20"/>
                <w:szCs w:val="20"/>
              </w:rPr>
              <w:t>雨污分流排水体制，生活污水</w:t>
            </w:r>
          </w:p>
          <w:p w14:paraId="001D1498">
            <w:pPr>
              <w:spacing w:before="160" w:line="228" w:lineRule="auto"/>
              <w:ind w:left="170"/>
              <w:rPr>
                <w:rFonts w:ascii="宋体" w:hAnsi="宋体" w:eastAsia="宋体" w:cs="宋体"/>
                <w:sz w:val="20"/>
                <w:szCs w:val="20"/>
              </w:rPr>
            </w:pPr>
            <w:r>
              <w:rPr>
                <w:rFonts w:ascii="宋体" w:hAnsi="宋体" w:eastAsia="宋体" w:cs="宋体"/>
                <w:spacing w:val="8"/>
                <w:sz w:val="20"/>
                <w:szCs w:val="20"/>
              </w:rPr>
              <w:t>经化粪池</w:t>
            </w:r>
            <w:r>
              <w:rPr>
                <w:rFonts w:ascii="Times New Roman" w:hAnsi="Times New Roman" w:eastAsia="Times New Roman" w:cs="Times New Roman"/>
                <w:spacing w:val="8"/>
                <w:sz w:val="20"/>
                <w:szCs w:val="20"/>
              </w:rPr>
              <w:t>+</w:t>
            </w:r>
            <w:r>
              <w:rPr>
                <w:rFonts w:ascii="宋体" w:hAnsi="宋体" w:eastAsia="宋体" w:cs="宋体"/>
                <w:spacing w:val="8"/>
                <w:sz w:val="20"/>
                <w:szCs w:val="20"/>
              </w:rPr>
              <w:t>一体化污水处理设</w:t>
            </w:r>
          </w:p>
          <w:p w14:paraId="3B67C922">
            <w:pPr>
              <w:spacing w:before="161" w:line="228" w:lineRule="auto"/>
              <w:ind w:left="122"/>
              <w:rPr>
                <w:rFonts w:ascii="宋体" w:hAnsi="宋体" w:eastAsia="宋体" w:cs="宋体"/>
                <w:sz w:val="20"/>
                <w:szCs w:val="20"/>
              </w:rPr>
            </w:pPr>
            <w:r>
              <w:rPr>
                <w:rFonts w:ascii="宋体" w:hAnsi="宋体" w:eastAsia="宋体" w:cs="宋体"/>
                <w:spacing w:val="9"/>
                <w:sz w:val="20"/>
                <w:szCs w:val="20"/>
              </w:rPr>
              <w:t>施处理达标后回用厂区道路洒</w:t>
            </w:r>
          </w:p>
          <w:p w14:paraId="257A9EF0">
            <w:pPr>
              <w:spacing w:before="161" w:line="228" w:lineRule="auto"/>
              <w:ind w:left="125"/>
              <w:rPr>
                <w:rFonts w:ascii="宋体" w:hAnsi="宋体" w:eastAsia="宋体" w:cs="宋体"/>
                <w:sz w:val="20"/>
                <w:szCs w:val="20"/>
              </w:rPr>
            </w:pPr>
            <w:r>
              <w:rPr>
                <w:rFonts w:ascii="宋体" w:hAnsi="宋体" w:eastAsia="宋体" w:cs="宋体"/>
                <w:spacing w:val="9"/>
                <w:sz w:val="20"/>
                <w:szCs w:val="20"/>
              </w:rPr>
              <w:t>水降尘及绿化，不外排，其余</w:t>
            </w:r>
          </w:p>
          <w:p w14:paraId="7DF3A95E">
            <w:pPr>
              <w:spacing w:before="163" w:line="228" w:lineRule="auto"/>
              <w:ind w:left="131"/>
              <w:rPr>
                <w:rFonts w:ascii="宋体" w:hAnsi="宋体" w:eastAsia="宋体" w:cs="宋体"/>
                <w:sz w:val="20"/>
                <w:szCs w:val="20"/>
              </w:rPr>
            </w:pPr>
            <w:r>
              <w:rPr>
                <w:rFonts w:ascii="宋体" w:hAnsi="宋体" w:eastAsia="宋体" w:cs="宋体"/>
                <w:spacing w:val="8"/>
                <w:sz w:val="20"/>
                <w:szCs w:val="20"/>
              </w:rPr>
              <w:t>雨水排入周边地表沟渠，厂区</w:t>
            </w:r>
          </w:p>
          <w:p w14:paraId="578D1819">
            <w:pPr>
              <w:spacing w:before="161" w:line="228" w:lineRule="auto"/>
              <w:ind w:left="125"/>
              <w:rPr>
                <w:rFonts w:ascii="宋体" w:hAnsi="宋体" w:eastAsia="宋体" w:cs="宋体"/>
                <w:sz w:val="20"/>
                <w:szCs w:val="20"/>
              </w:rPr>
            </w:pPr>
            <w:r>
              <w:rPr>
                <w:rFonts w:ascii="宋体" w:hAnsi="宋体" w:eastAsia="宋体" w:cs="宋体"/>
                <w:spacing w:val="8"/>
                <w:sz w:val="20"/>
                <w:szCs w:val="20"/>
              </w:rPr>
              <w:t>无生产废水产生，不排放有毒</w:t>
            </w:r>
          </w:p>
          <w:p w14:paraId="2DB71911">
            <w:pPr>
              <w:spacing w:before="162" w:line="228" w:lineRule="auto"/>
              <w:ind w:left="114"/>
              <w:rPr>
                <w:rFonts w:ascii="宋体" w:hAnsi="宋体" w:eastAsia="宋体" w:cs="宋体"/>
                <w:sz w:val="20"/>
                <w:szCs w:val="20"/>
              </w:rPr>
            </w:pPr>
            <w:r>
              <w:rPr>
                <w:rFonts w:ascii="宋体" w:hAnsi="宋体" w:eastAsia="宋体" w:cs="宋体"/>
                <w:spacing w:val="9"/>
                <w:sz w:val="20"/>
                <w:szCs w:val="20"/>
              </w:rPr>
              <w:t>有害物质，不新增排放</w:t>
            </w:r>
            <w:r>
              <w:rPr>
                <w:rFonts w:ascii="宋体" w:hAnsi="宋体" w:eastAsia="宋体" w:cs="宋体"/>
                <w:spacing w:val="-38"/>
                <w:sz w:val="20"/>
                <w:szCs w:val="20"/>
              </w:rPr>
              <w:t xml:space="preserve"> </w:t>
            </w:r>
            <w:r>
              <w:rPr>
                <w:rFonts w:ascii="Times New Roman" w:hAnsi="Times New Roman" w:eastAsia="Times New Roman" w:cs="Times New Roman"/>
                <w:sz w:val="20"/>
                <w:szCs w:val="20"/>
              </w:rPr>
              <w:t>COD</w:t>
            </w:r>
            <w:r>
              <w:rPr>
                <w:rFonts w:ascii="宋体" w:hAnsi="宋体" w:eastAsia="宋体" w:cs="宋体"/>
                <w:spacing w:val="9"/>
                <w:sz w:val="20"/>
                <w:szCs w:val="20"/>
              </w:rPr>
              <w:t>、</w:t>
            </w:r>
          </w:p>
          <w:p w14:paraId="1D93683D">
            <w:pPr>
              <w:spacing w:before="160" w:line="229" w:lineRule="auto"/>
              <w:ind w:left="671"/>
              <w:rPr>
                <w:rFonts w:ascii="宋体" w:hAnsi="宋体" w:eastAsia="宋体" w:cs="宋体"/>
                <w:sz w:val="20"/>
                <w:szCs w:val="20"/>
              </w:rPr>
            </w:pPr>
            <w:r>
              <w:rPr>
                <w:rFonts w:ascii="Times New Roman" w:hAnsi="Times New Roman" w:eastAsia="Times New Roman" w:cs="Times New Roman"/>
                <w:sz w:val="20"/>
                <w:szCs w:val="20"/>
              </w:rPr>
              <w:t>TN</w:t>
            </w:r>
            <w:r>
              <w:rPr>
                <w:rFonts w:ascii="Times New Roman" w:hAnsi="Times New Roman" w:eastAsia="Times New Roman" w:cs="Times New Roman"/>
                <w:spacing w:val="-22"/>
                <w:sz w:val="20"/>
                <w:szCs w:val="20"/>
              </w:rPr>
              <w:t xml:space="preserve"> </w:t>
            </w:r>
            <w:r>
              <w:rPr>
                <w:rFonts w:ascii="宋体" w:hAnsi="宋体" w:eastAsia="宋体" w:cs="宋体"/>
                <w:spacing w:val="5"/>
                <w:sz w:val="20"/>
                <w:szCs w:val="20"/>
              </w:rPr>
              <w:t>、</w:t>
            </w:r>
            <w:r>
              <w:rPr>
                <w:rFonts w:ascii="Times New Roman" w:hAnsi="Times New Roman" w:eastAsia="Times New Roman" w:cs="Times New Roman"/>
                <w:sz w:val="20"/>
                <w:szCs w:val="20"/>
              </w:rPr>
              <w:t>TP</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排放量。</w:t>
            </w:r>
          </w:p>
        </w:tc>
        <w:tc>
          <w:tcPr>
            <w:tcW w:w="670" w:type="dxa"/>
            <w:gridSpan w:val="2"/>
            <w:tcBorders>
              <w:top w:val="single" w:color="000000" w:sz="6" w:space="0"/>
            </w:tcBorders>
            <w:vAlign w:val="top"/>
          </w:tcPr>
          <w:p w14:paraId="0772AA73">
            <w:pPr>
              <w:rPr>
                <w:rFonts w:ascii="Arial"/>
                <w:sz w:val="21"/>
              </w:rPr>
            </w:pPr>
          </w:p>
        </w:tc>
        <w:tc>
          <w:tcPr>
            <w:tcW w:w="125" w:type="dxa"/>
            <w:tcBorders>
              <w:top w:val="single" w:color="000000" w:sz="6" w:space="0"/>
              <w:bottom w:val="nil"/>
              <w:right w:val="single" w:color="000000" w:sz="6" w:space="0"/>
            </w:tcBorders>
            <w:vAlign w:val="top"/>
          </w:tcPr>
          <w:p w14:paraId="716032EA">
            <w:pPr>
              <w:rPr>
                <w:rFonts w:ascii="Arial"/>
                <w:sz w:val="21"/>
              </w:rPr>
            </w:pPr>
          </w:p>
        </w:tc>
      </w:tr>
      <w:tr w14:paraId="4EEFF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5" w:hRule="atLeast"/>
        </w:trPr>
        <w:tc>
          <w:tcPr>
            <w:tcW w:w="1160" w:type="dxa"/>
            <w:vMerge w:val="continue"/>
            <w:tcBorders>
              <w:top w:val="nil"/>
              <w:left w:val="single" w:color="000000" w:sz="6" w:space="0"/>
              <w:bottom w:val="nil"/>
            </w:tcBorders>
            <w:vAlign w:val="top"/>
          </w:tcPr>
          <w:p w14:paraId="4D2D8EC0">
            <w:pPr>
              <w:rPr>
                <w:rFonts w:ascii="Arial"/>
                <w:sz w:val="21"/>
              </w:rPr>
            </w:pPr>
          </w:p>
        </w:tc>
        <w:tc>
          <w:tcPr>
            <w:tcW w:w="7712" w:type="dxa"/>
            <w:gridSpan w:val="9"/>
            <w:tcBorders>
              <w:right w:val="single" w:color="000000" w:sz="6" w:space="0"/>
            </w:tcBorders>
            <w:vAlign w:val="top"/>
          </w:tcPr>
          <w:p w14:paraId="3F99322C">
            <w:pPr>
              <w:spacing w:before="40" w:line="359" w:lineRule="auto"/>
              <w:ind w:left="111" w:right="102" w:firstLine="480"/>
              <w:jc w:val="both"/>
              <w:rPr>
                <w:rFonts w:ascii="宋体" w:hAnsi="宋体" w:eastAsia="宋体" w:cs="宋体"/>
                <w:sz w:val="24"/>
                <w:szCs w:val="24"/>
              </w:rPr>
            </w:pPr>
            <w:r>
              <w:rPr>
                <w:rFonts w:ascii="宋体" w:hAnsi="宋体" w:eastAsia="宋体" w:cs="宋体"/>
                <w:spacing w:val="-7"/>
                <w:sz w:val="24"/>
                <w:szCs w:val="24"/>
              </w:rPr>
              <w:t>综上所述，项目不位于限建区和禁建区，项目选址符合《牛栏江（寻</w:t>
            </w:r>
            <w:r>
              <w:rPr>
                <w:rFonts w:ascii="宋体" w:hAnsi="宋体" w:eastAsia="宋体" w:cs="宋体"/>
                <w:spacing w:val="-2"/>
                <w:sz w:val="24"/>
                <w:szCs w:val="24"/>
              </w:rPr>
              <w:t>甸段）水环境保护规划（</w:t>
            </w:r>
            <w:r>
              <w:rPr>
                <w:rFonts w:ascii="Times New Roman" w:hAnsi="Times New Roman" w:eastAsia="Times New Roman" w:cs="Times New Roman"/>
                <w:spacing w:val="-2"/>
                <w:sz w:val="24"/>
                <w:szCs w:val="24"/>
              </w:rPr>
              <w:t>2011~2030</w:t>
            </w:r>
            <w:r>
              <w:rPr>
                <w:rFonts w:ascii="宋体" w:hAnsi="宋体" w:eastAsia="宋体" w:cs="宋体"/>
                <w:spacing w:val="-2"/>
                <w:sz w:val="24"/>
                <w:szCs w:val="24"/>
              </w:rPr>
              <w:t>）》对重点</w:t>
            </w:r>
            <w:r>
              <w:rPr>
                <w:rFonts w:ascii="宋体" w:hAnsi="宋体" w:eastAsia="宋体" w:cs="宋体"/>
                <w:spacing w:val="-3"/>
                <w:sz w:val="24"/>
                <w:szCs w:val="24"/>
              </w:rPr>
              <w:t>污染控制区的水环境保护</w:t>
            </w:r>
            <w:r>
              <w:rPr>
                <w:rFonts w:ascii="宋体" w:hAnsi="宋体" w:eastAsia="宋体" w:cs="宋体"/>
                <w:spacing w:val="-4"/>
                <w:sz w:val="24"/>
                <w:szCs w:val="24"/>
              </w:rPr>
              <w:t>策略。</w:t>
            </w:r>
          </w:p>
          <w:p w14:paraId="2AC19977">
            <w:pPr>
              <w:spacing w:line="219" w:lineRule="auto"/>
              <w:ind w:left="588"/>
              <w:rPr>
                <w:rFonts w:ascii="宋体" w:hAnsi="宋体" w:eastAsia="宋体" w:cs="宋体"/>
                <w:sz w:val="24"/>
                <w:szCs w:val="24"/>
              </w:rPr>
            </w:pPr>
            <w:r>
              <w:rPr>
                <w:rFonts w:ascii="Times New Roman" w:hAnsi="Times New Roman" w:eastAsia="Times New Roman" w:cs="Times New Roman"/>
                <w:b/>
                <w:bCs/>
                <w:spacing w:val="-4"/>
                <w:sz w:val="24"/>
                <w:szCs w:val="24"/>
              </w:rPr>
              <w:t>6</w:t>
            </w:r>
            <w:r>
              <w:rPr>
                <w:rFonts w:ascii="Times New Roman" w:hAnsi="Times New Roman" w:eastAsia="Times New Roman" w:cs="Times New Roman"/>
                <w:b/>
                <w:bCs/>
                <w:spacing w:val="-19"/>
                <w:sz w:val="24"/>
                <w:szCs w:val="24"/>
              </w:rPr>
              <w:t xml:space="preserve"> </w:t>
            </w:r>
            <w:r>
              <w:rPr>
                <w:rFonts w:ascii="宋体" w:hAnsi="宋体" w:eastAsia="宋体" w:cs="宋体"/>
                <w:b/>
                <w:bCs/>
                <w:spacing w:val="-4"/>
                <w:sz w:val="24"/>
                <w:szCs w:val="24"/>
              </w:rPr>
              <w:t>、与《中华人民共和国长江保护法》符合性分析</w:t>
            </w:r>
          </w:p>
          <w:p w14:paraId="65395B1D">
            <w:pPr>
              <w:spacing w:before="183" w:line="357" w:lineRule="auto"/>
              <w:ind w:left="113" w:right="102" w:firstLine="481"/>
              <w:rPr>
                <w:rFonts w:ascii="宋体" w:hAnsi="宋体" w:eastAsia="宋体" w:cs="宋体"/>
                <w:sz w:val="24"/>
                <w:szCs w:val="24"/>
              </w:rPr>
            </w:pPr>
            <w:r>
              <w:rPr>
                <w:rFonts w:ascii="宋体" w:hAnsi="宋体" w:eastAsia="宋体" w:cs="宋体"/>
                <w:spacing w:val="-6"/>
                <w:sz w:val="24"/>
                <w:szCs w:val="24"/>
              </w:rPr>
              <w:t>《中华人民共和国长江保护法》于</w:t>
            </w:r>
            <w:r>
              <w:rPr>
                <w:rFonts w:ascii="宋体" w:hAnsi="宋体" w:eastAsia="宋体" w:cs="宋体"/>
                <w:spacing w:val="-46"/>
                <w:sz w:val="24"/>
                <w:szCs w:val="24"/>
              </w:rPr>
              <w:t xml:space="preserve"> </w:t>
            </w:r>
            <w:r>
              <w:rPr>
                <w:rFonts w:ascii="Times New Roman" w:hAnsi="Times New Roman" w:eastAsia="Times New Roman" w:cs="Times New Roman"/>
                <w:spacing w:val="-6"/>
                <w:sz w:val="24"/>
                <w:szCs w:val="24"/>
              </w:rPr>
              <w:t xml:space="preserve">2021 </w:t>
            </w:r>
            <w:r>
              <w:rPr>
                <w:rFonts w:ascii="宋体" w:hAnsi="宋体" w:eastAsia="宋体" w:cs="宋体"/>
                <w:spacing w:val="-6"/>
                <w:sz w:val="24"/>
                <w:szCs w:val="24"/>
              </w:rPr>
              <w:t>年</w:t>
            </w:r>
            <w:r>
              <w:rPr>
                <w:rFonts w:ascii="宋体" w:hAnsi="宋体" w:eastAsia="宋体" w:cs="宋体"/>
                <w:spacing w:val="-50"/>
                <w:sz w:val="24"/>
                <w:szCs w:val="24"/>
              </w:rPr>
              <w:t xml:space="preserve"> </w:t>
            </w:r>
            <w:r>
              <w:rPr>
                <w:rFonts w:ascii="Times New Roman" w:hAnsi="Times New Roman" w:eastAsia="Times New Roman" w:cs="Times New Roman"/>
                <w:spacing w:val="-6"/>
                <w:sz w:val="24"/>
                <w:szCs w:val="24"/>
              </w:rPr>
              <w:t>3</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 xml:space="preserve">1  </w:t>
            </w:r>
            <w:r>
              <w:rPr>
                <w:rFonts w:ascii="宋体" w:hAnsi="宋体" w:eastAsia="宋体" w:cs="宋体"/>
                <w:spacing w:val="-6"/>
                <w:sz w:val="24"/>
                <w:szCs w:val="24"/>
              </w:rPr>
              <w:t>日起实施，本项目</w:t>
            </w:r>
            <w:r>
              <w:rPr>
                <w:rFonts w:ascii="宋体" w:hAnsi="宋体" w:eastAsia="宋体" w:cs="宋体"/>
                <w:spacing w:val="-2"/>
                <w:sz w:val="24"/>
                <w:szCs w:val="24"/>
              </w:rPr>
              <w:t>与其符合性分析见下表：</w:t>
            </w:r>
          </w:p>
          <w:p w14:paraId="30DA02A8">
            <w:pPr>
              <w:spacing w:line="209" w:lineRule="auto"/>
              <w:ind w:left="843"/>
              <w:rPr>
                <w:rFonts w:ascii="宋体" w:hAnsi="宋体" w:eastAsia="宋体" w:cs="宋体"/>
                <w:sz w:val="20"/>
                <w:szCs w:val="20"/>
              </w:rPr>
            </w:pPr>
            <w:r>
              <w:rPr>
                <w:rFonts w:ascii="宋体" w:hAnsi="宋体" w:eastAsia="宋体" w:cs="宋体"/>
                <w:b/>
                <w:bCs/>
                <w:spacing w:val="7"/>
                <w:sz w:val="20"/>
                <w:szCs w:val="20"/>
              </w:rPr>
              <w:t>表</w:t>
            </w:r>
            <w:r>
              <w:rPr>
                <w:rFonts w:ascii="宋体" w:hAnsi="宋体" w:eastAsia="宋体" w:cs="宋体"/>
                <w:spacing w:val="-31"/>
                <w:sz w:val="20"/>
                <w:szCs w:val="20"/>
              </w:rPr>
              <w:t xml:space="preserve"> </w:t>
            </w:r>
            <w:r>
              <w:rPr>
                <w:rFonts w:ascii="Times New Roman" w:hAnsi="Times New Roman" w:eastAsia="Times New Roman" w:cs="Times New Roman"/>
                <w:b/>
                <w:bCs/>
                <w:spacing w:val="7"/>
                <w:sz w:val="20"/>
                <w:szCs w:val="20"/>
              </w:rPr>
              <w:t xml:space="preserve">1-8    </w:t>
            </w:r>
            <w:r>
              <w:rPr>
                <w:rFonts w:ascii="宋体" w:hAnsi="宋体" w:eastAsia="宋体" w:cs="宋体"/>
                <w:b/>
                <w:bCs/>
                <w:spacing w:val="7"/>
                <w:sz w:val="20"/>
                <w:szCs w:val="20"/>
              </w:rPr>
              <w:t>项目与《中华人民共和国长江保护法》</w:t>
            </w:r>
            <w:r>
              <w:rPr>
                <w:rFonts w:ascii="宋体" w:hAnsi="宋体" w:eastAsia="宋体" w:cs="宋体"/>
                <w:b/>
                <w:bCs/>
                <w:spacing w:val="6"/>
                <w:sz w:val="20"/>
                <w:szCs w:val="20"/>
              </w:rPr>
              <w:t>符合性分析一览表</w:t>
            </w:r>
          </w:p>
        </w:tc>
      </w:tr>
      <w:tr w14:paraId="41F1A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1160" w:type="dxa"/>
            <w:vMerge w:val="continue"/>
            <w:tcBorders>
              <w:top w:val="nil"/>
              <w:left w:val="single" w:color="000000" w:sz="6" w:space="0"/>
              <w:bottom w:val="nil"/>
            </w:tcBorders>
            <w:vAlign w:val="top"/>
          </w:tcPr>
          <w:p w14:paraId="4882416D">
            <w:pPr>
              <w:rPr>
                <w:rFonts w:ascii="Arial"/>
                <w:sz w:val="21"/>
              </w:rPr>
            </w:pPr>
          </w:p>
        </w:tc>
        <w:tc>
          <w:tcPr>
            <w:tcW w:w="113" w:type="dxa"/>
            <w:vMerge w:val="restart"/>
            <w:tcBorders>
              <w:top w:val="nil"/>
              <w:bottom w:val="nil"/>
            </w:tcBorders>
            <w:vAlign w:val="top"/>
          </w:tcPr>
          <w:p w14:paraId="3BFA5042">
            <w:pPr>
              <w:rPr>
                <w:rFonts w:ascii="Arial"/>
                <w:sz w:val="21"/>
              </w:rPr>
            </w:pPr>
          </w:p>
        </w:tc>
        <w:tc>
          <w:tcPr>
            <w:tcW w:w="426" w:type="dxa"/>
            <w:textDirection w:val="tbRlV"/>
            <w:vAlign w:val="top"/>
          </w:tcPr>
          <w:p w14:paraId="15BA728D">
            <w:pPr>
              <w:spacing w:before="112" w:line="218" w:lineRule="auto"/>
              <w:ind w:left="242"/>
              <w:rPr>
                <w:rFonts w:ascii="宋体" w:hAnsi="宋体" w:eastAsia="宋体" w:cs="宋体"/>
                <w:sz w:val="20"/>
                <w:szCs w:val="20"/>
              </w:rPr>
            </w:pPr>
            <w:r>
              <w:rPr>
                <w:rFonts w:ascii="宋体" w:hAnsi="宋体" w:eastAsia="宋体" w:cs="宋体"/>
                <w:b/>
                <w:bCs/>
                <w:spacing w:val="6"/>
                <w:sz w:val="20"/>
                <w:szCs w:val="20"/>
              </w:rPr>
              <w:t>序</w:t>
            </w:r>
            <w:r>
              <w:rPr>
                <w:rFonts w:ascii="宋体" w:hAnsi="宋体" w:eastAsia="宋体" w:cs="宋体"/>
                <w:spacing w:val="99"/>
                <w:sz w:val="20"/>
                <w:szCs w:val="20"/>
              </w:rPr>
              <w:t xml:space="preserve"> </w:t>
            </w:r>
            <w:r>
              <w:rPr>
                <w:rFonts w:ascii="宋体" w:hAnsi="宋体" w:eastAsia="宋体" w:cs="宋体"/>
                <w:b/>
                <w:bCs/>
                <w:spacing w:val="6"/>
                <w:sz w:val="20"/>
                <w:szCs w:val="20"/>
              </w:rPr>
              <w:t>号</w:t>
            </w:r>
          </w:p>
        </w:tc>
        <w:tc>
          <w:tcPr>
            <w:tcW w:w="3513" w:type="dxa"/>
            <w:gridSpan w:val="3"/>
            <w:vAlign w:val="top"/>
          </w:tcPr>
          <w:p w14:paraId="22607CF1">
            <w:pPr>
              <w:spacing w:before="242" w:line="228" w:lineRule="auto"/>
              <w:ind w:left="143"/>
              <w:rPr>
                <w:rFonts w:ascii="宋体" w:hAnsi="宋体" w:eastAsia="宋体" w:cs="宋体"/>
                <w:sz w:val="20"/>
                <w:szCs w:val="20"/>
              </w:rPr>
            </w:pPr>
            <w:r>
              <w:rPr>
                <w:rFonts w:ascii="宋体" w:hAnsi="宋体" w:eastAsia="宋体" w:cs="宋体"/>
                <w:b/>
                <w:bCs/>
                <w:spacing w:val="6"/>
                <w:sz w:val="20"/>
                <w:szCs w:val="20"/>
              </w:rPr>
              <w:t>《中华人民共和国长江保护法》</w:t>
            </w:r>
          </w:p>
          <w:p w14:paraId="76BF22C5">
            <w:pPr>
              <w:spacing w:before="161" w:line="229" w:lineRule="auto"/>
              <w:ind w:left="1400"/>
              <w:rPr>
                <w:rFonts w:ascii="宋体" w:hAnsi="宋体" w:eastAsia="宋体" w:cs="宋体"/>
                <w:sz w:val="20"/>
                <w:szCs w:val="20"/>
              </w:rPr>
            </w:pPr>
            <w:r>
              <w:rPr>
                <w:rFonts w:ascii="宋体" w:hAnsi="宋体" w:eastAsia="宋体" w:cs="宋体"/>
                <w:b/>
                <w:bCs/>
                <w:spacing w:val="3"/>
                <w:sz w:val="20"/>
                <w:szCs w:val="20"/>
              </w:rPr>
              <w:t>要求</w:t>
            </w:r>
          </w:p>
        </w:tc>
        <w:tc>
          <w:tcPr>
            <w:tcW w:w="2991" w:type="dxa"/>
            <w:gridSpan w:val="2"/>
            <w:vAlign w:val="top"/>
          </w:tcPr>
          <w:p w14:paraId="6DEFA25A">
            <w:pPr>
              <w:spacing w:line="379" w:lineRule="auto"/>
              <w:rPr>
                <w:rFonts w:ascii="Arial"/>
                <w:sz w:val="21"/>
              </w:rPr>
            </w:pPr>
          </w:p>
          <w:p w14:paraId="5519E8B8">
            <w:pPr>
              <w:spacing w:before="65" w:line="227" w:lineRule="auto"/>
              <w:ind w:left="1127"/>
              <w:rPr>
                <w:rFonts w:ascii="宋体" w:hAnsi="宋体" w:eastAsia="宋体" w:cs="宋体"/>
                <w:sz w:val="20"/>
                <w:szCs w:val="20"/>
              </w:rPr>
            </w:pPr>
            <w:r>
              <w:rPr>
                <w:rFonts w:ascii="宋体" w:hAnsi="宋体" w:eastAsia="宋体" w:cs="宋体"/>
                <w:b/>
                <w:bCs/>
                <w:spacing w:val="6"/>
                <w:sz w:val="20"/>
                <w:szCs w:val="20"/>
              </w:rPr>
              <w:t>本项目情况</w:t>
            </w:r>
          </w:p>
        </w:tc>
        <w:tc>
          <w:tcPr>
            <w:tcW w:w="544" w:type="dxa"/>
            <w:textDirection w:val="tbRlV"/>
            <w:vAlign w:val="top"/>
          </w:tcPr>
          <w:p w14:paraId="3A063900">
            <w:pPr>
              <w:spacing w:before="159" w:line="215" w:lineRule="auto"/>
              <w:ind w:left="38"/>
              <w:rPr>
                <w:rFonts w:ascii="宋体" w:hAnsi="宋体" w:eastAsia="宋体" w:cs="宋体"/>
                <w:sz w:val="20"/>
                <w:szCs w:val="20"/>
              </w:rPr>
            </w:pPr>
            <w:r>
              <w:rPr>
                <w:rFonts w:ascii="宋体" w:hAnsi="宋体" w:eastAsia="宋体" w:cs="宋体"/>
                <w:b/>
                <w:bCs/>
                <w:spacing w:val="6"/>
                <w:sz w:val="20"/>
                <w:szCs w:val="20"/>
              </w:rPr>
              <w:t>符</w:t>
            </w:r>
            <w:r>
              <w:rPr>
                <w:rFonts w:ascii="宋体" w:hAnsi="宋体" w:eastAsia="宋体" w:cs="宋体"/>
                <w:spacing w:val="100"/>
                <w:sz w:val="20"/>
                <w:szCs w:val="20"/>
              </w:rPr>
              <w:t xml:space="preserve"> </w:t>
            </w:r>
            <w:r>
              <w:rPr>
                <w:rFonts w:ascii="宋体" w:hAnsi="宋体" w:eastAsia="宋体" w:cs="宋体"/>
                <w:b/>
                <w:bCs/>
                <w:spacing w:val="6"/>
                <w:sz w:val="20"/>
                <w:szCs w:val="20"/>
              </w:rPr>
              <w:t>合</w:t>
            </w:r>
            <w:r>
              <w:rPr>
                <w:rFonts w:ascii="宋体" w:hAnsi="宋体" w:eastAsia="宋体" w:cs="宋体"/>
                <w:sz w:val="20"/>
                <w:szCs w:val="20"/>
              </w:rPr>
              <w:t xml:space="preserve">  </w:t>
            </w:r>
            <w:r>
              <w:rPr>
                <w:rFonts w:ascii="宋体" w:hAnsi="宋体" w:eastAsia="宋体" w:cs="宋体"/>
                <w:b/>
                <w:bCs/>
                <w:spacing w:val="6"/>
                <w:sz w:val="20"/>
                <w:szCs w:val="20"/>
              </w:rPr>
              <w:t>性</w:t>
            </w:r>
          </w:p>
        </w:tc>
        <w:tc>
          <w:tcPr>
            <w:tcW w:w="125" w:type="dxa"/>
            <w:tcBorders>
              <w:top w:val="nil"/>
              <w:bottom w:val="nil"/>
              <w:right w:val="single" w:color="000000" w:sz="6" w:space="0"/>
            </w:tcBorders>
            <w:vAlign w:val="top"/>
          </w:tcPr>
          <w:p w14:paraId="194399C9">
            <w:pPr>
              <w:rPr>
                <w:rFonts w:ascii="Arial"/>
                <w:sz w:val="21"/>
              </w:rPr>
            </w:pPr>
          </w:p>
        </w:tc>
      </w:tr>
      <w:tr w14:paraId="3B631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4" w:hRule="atLeast"/>
        </w:trPr>
        <w:tc>
          <w:tcPr>
            <w:tcW w:w="1160" w:type="dxa"/>
            <w:vMerge w:val="continue"/>
            <w:tcBorders>
              <w:top w:val="nil"/>
              <w:left w:val="single" w:color="000000" w:sz="6" w:space="0"/>
              <w:bottom w:val="single" w:color="000000" w:sz="6" w:space="0"/>
            </w:tcBorders>
            <w:vAlign w:val="top"/>
          </w:tcPr>
          <w:p w14:paraId="0A562690">
            <w:pPr>
              <w:rPr>
                <w:rFonts w:ascii="Arial"/>
                <w:sz w:val="21"/>
              </w:rPr>
            </w:pPr>
          </w:p>
        </w:tc>
        <w:tc>
          <w:tcPr>
            <w:tcW w:w="113" w:type="dxa"/>
            <w:vMerge w:val="continue"/>
            <w:tcBorders>
              <w:top w:val="nil"/>
              <w:bottom w:val="single" w:color="000000" w:sz="6" w:space="0"/>
            </w:tcBorders>
            <w:vAlign w:val="top"/>
          </w:tcPr>
          <w:p w14:paraId="10BFC84E">
            <w:pPr>
              <w:rPr>
                <w:rFonts w:ascii="Arial"/>
                <w:sz w:val="21"/>
              </w:rPr>
            </w:pPr>
          </w:p>
        </w:tc>
        <w:tc>
          <w:tcPr>
            <w:tcW w:w="426" w:type="dxa"/>
            <w:tcBorders>
              <w:bottom w:val="single" w:color="000000" w:sz="6" w:space="0"/>
            </w:tcBorders>
            <w:vAlign w:val="top"/>
          </w:tcPr>
          <w:p w14:paraId="28C2C8BC">
            <w:pPr>
              <w:spacing w:line="251" w:lineRule="auto"/>
              <w:rPr>
                <w:rFonts w:ascii="Arial"/>
                <w:sz w:val="21"/>
              </w:rPr>
            </w:pPr>
          </w:p>
          <w:p w14:paraId="384FC4D8">
            <w:pPr>
              <w:spacing w:line="251" w:lineRule="auto"/>
              <w:rPr>
                <w:rFonts w:ascii="Arial"/>
                <w:sz w:val="21"/>
              </w:rPr>
            </w:pPr>
          </w:p>
          <w:p w14:paraId="7F159791">
            <w:pPr>
              <w:spacing w:line="251" w:lineRule="auto"/>
              <w:rPr>
                <w:rFonts w:ascii="Arial"/>
                <w:sz w:val="21"/>
              </w:rPr>
            </w:pPr>
          </w:p>
          <w:p w14:paraId="46C2C67C">
            <w:pPr>
              <w:spacing w:line="251" w:lineRule="auto"/>
              <w:rPr>
                <w:rFonts w:ascii="Arial"/>
                <w:sz w:val="21"/>
              </w:rPr>
            </w:pPr>
          </w:p>
          <w:p w14:paraId="79365223">
            <w:pPr>
              <w:spacing w:line="251" w:lineRule="auto"/>
              <w:rPr>
                <w:rFonts w:ascii="Arial"/>
                <w:sz w:val="21"/>
              </w:rPr>
            </w:pPr>
          </w:p>
          <w:p w14:paraId="01945952">
            <w:pPr>
              <w:spacing w:line="251" w:lineRule="auto"/>
              <w:rPr>
                <w:rFonts w:ascii="Arial"/>
                <w:sz w:val="21"/>
              </w:rPr>
            </w:pPr>
          </w:p>
          <w:p w14:paraId="002FABF3">
            <w:pPr>
              <w:spacing w:line="251" w:lineRule="auto"/>
              <w:rPr>
                <w:rFonts w:ascii="Arial"/>
                <w:sz w:val="21"/>
              </w:rPr>
            </w:pPr>
          </w:p>
          <w:p w14:paraId="513A82A0">
            <w:pPr>
              <w:spacing w:line="251" w:lineRule="auto"/>
              <w:rPr>
                <w:rFonts w:ascii="Arial"/>
                <w:sz w:val="21"/>
              </w:rPr>
            </w:pPr>
          </w:p>
          <w:p w14:paraId="306D2656">
            <w:pPr>
              <w:spacing w:line="252" w:lineRule="auto"/>
              <w:rPr>
                <w:rFonts w:ascii="Arial"/>
                <w:sz w:val="21"/>
              </w:rPr>
            </w:pPr>
          </w:p>
          <w:p w14:paraId="63CC5250">
            <w:pPr>
              <w:spacing w:before="58" w:line="195" w:lineRule="auto"/>
              <w:ind w:left="17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513" w:type="dxa"/>
            <w:gridSpan w:val="3"/>
            <w:tcBorders>
              <w:bottom w:val="single" w:color="000000" w:sz="6" w:space="0"/>
            </w:tcBorders>
            <w:vAlign w:val="top"/>
          </w:tcPr>
          <w:p w14:paraId="3A829E94">
            <w:pPr>
              <w:spacing w:before="162" w:line="371" w:lineRule="auto"/>
              <w:ind w:right="138"/>
              <w:jc w:val="both"/>
              <w:rPr>
                <w:rFonts w:hint="eastAsia" w:ascii="宋体" w:hAnsi="宋体" w:eastAsia="宋体" w:cs="宋体"/>
                <w:spacing w:val="9"/>
                <w:sz w:val="20"/>
                <w:szCs w:val="20"/>
              </w:rPr>
            </w:pPr>
            <w:r>
              <w:rPr>
                <w:rFonts w:hint="eastAsia" w:ascii="宋体" w:hAnsi="宋体" w:eastAsia="宋体" w:cs="宋体"/>
                <w:spacing w:val="9"/>
                <w:sz w:val="20"/>
                <w:szCs w:val="20"/>
              </w:rPr>
              <w:t>第二章规划与管控中第二十二条：长江流域省级人民政府根据本行政区域的生态环境和资源利用状况，制定生态环境分区管控方案和生态环境准入清单，报国务院生态环境主管部门备案后实施。生态环境分区管控方案和生态环境准入清单应当与国土空间规划相衔接。</w:t>
            </w:r>
          </w:p>
          <w:p w14:paraId="5298BDCD">
            <w:pPr>
              <w:spacing w:before="162" w:line="371" w:lineRule="auto"/>
              <w:ind w:right="138"/>
              <w:jc w:val="both"/>
              <w:rPr>
                <w:rFonts w:hint="default" w:ascii="宋体" w:hAnsi="宋体" w:eastAsia="宋体" w:cs="宋体"/>
                <w:sz w:val="20"/>
                <w:szCs w:val="20"/>
                <w:lang w:val="en-US" w:eastAsia="zh-CN"/>
              </w:rPr>
            </w:pPr>
            <w:r>
              <w:rPr>
                <w:rFonts w:ascii="宋体" w:hAnsi="宋体" w:eastAsia="宋体" w:cs="宋体"/>
                <w:spacing w:val="9"/>
                <w:sz w:val="20"/>
                <w:szCs w:val="20"/>
              </w:rPr>
              <w:t>长江流域产业结构和布局应当与长江流域生态系统和资源环境承载能力相适应。禁止在长江流域</w:t>
            </w:r>
            <w:r>
              <w:rPr>
                <w:rFonts w:hint="eastAsia" w:ascii="宋体" w:hAnsi="宋体" w:eastAsia="宋体" w:cs="宋体"/>
                <w:spacing w:val="9"/>
                <w:sz w:val="20"/>
                <w:szCs w:val="20"/>
                <w:lang w:val="en-US" w:eastAsia="zh-CN"/>
              </w:rPr>
              <w:t>重点生态功能区布局对生态系统有严重影响的产业</w:t>
            </w:r>
          </w:p>
        </w:tc>
        <w:tc>
          <w:tcPr>
            <w:tcW w:w="2991" w:type="dxa"/>
            <w:gridSpan w:val="2"/>
            <w:tcBorders>
              <w:bottom w:val="single" w:color="000000" w:sz="6" w:space="0"/>
            </w:tcBorders>
            <w:vAlign w:val="top"/>
          </w:tcPr>
          <w:p w14:paraId="757C0C90">
            <w:pPr>
              <w:spacing w:line="247" w:lineRule="auto"/>
              <w:rPr>
                <w:rFonts w:ascii="Arial"/>
                <w:sz w:val="21"/>
              </w:rPr>
            </w:pPr>
          </w:p>
          <w:p w14:paraId="66889F97">
            <w:pPr>
              <w:spacing w:line="248" w:lineRule="auto"/>
              <w:rPr>
                <w:rFonts w:ascii="Arial"/>
                <w:sz w:val="21"/>
              </w:rPr>
            </w:pPr>
          </w:p>
          <w:p w14:paraId="12A84F15">
            <w:pPr>
              <w:spacing w:line="248" w:lineRule="auto"/>
              <w:rPr>
                <w:rFonts w:ascii="Arial"/>
                <w:sz w:val="21"/>
              </w:rPr>
            </w:pPr>
          </w:p>
          <w:p w14:paraId="56993C56">
            <w:pPr>
              <w:spacing w:line="248" w:lineRule="auto"/>
              <w:rPr>
                <w:rFonts w:ascii="Arial"/>
                <w:sz w:val="21"/>
              </w:rPr>
            </w:pPr>
          </w:p>
          <w:p w14:paraId="1D9CFE18">
            <w:pPr>
              <w:spacing w:before="65" w:line="228" w:lineRule="auto"/>
              <w:ind w:left="117"/>
              <w:rPr>
                <w:rFonts w:ascii="宋体" w:hAnsi="宋体" w:eastAsia="宋体" w:cs="宋体"/>
                <w:sz w:val="20"/>
                <w:szCs w:val="20"/>
              </w:rPr>
            </w:pPr>
            <w:r>
              <w:rPr>
                <w:rFonts w:ascii="宋体" w:hAnsi="宋体" w:eastAsia="宋体" w:cs="宋体"/>
                <w:spacing w:val="4"/>
                <w:sz w:val="20"/>
                <w:szCs w:val="20"/>
              </w:rPr>
              <w:t>项目为塑料筐生产项目，为扩建项</w:t>
            </w:r>
          </w:p>
          <w:p w14:paraId="28616447">
            <w:pPr>
              <w:spacing w:before="160" w:line="228" w:lineRule="auto"/>
              <w:ind w:left="153"/>
              <w:rPr>
                <w:rFonts w:ascii="宋体" w:hAnsi="宋体" w:eastAsia="宋体" w:cs="宋体"/>
                <w:sz w:val="20"/>
                <w:szCs w:val="20"/>
              </w:rPr>
            </w:pPr>
            <w:r>
              <w:rPr>
                <w:rFonts w:ascii="宋体" w:hAnsi="宋体" w:eastAsia="宋体" w:cs="宋体"/>
                <w:spacing w:val="1"/>
                <w:sz w:val="20"/>
                <w:szCs w:val="20"/>
              </w:rPr>
              <w:t>目，位于云南寻甸产业园区金所片</w:t>
            </w:r>
          </w:p>
          <w:p w14:paraId="2CC7CB0D">
            <w:pPr>
              <w:spacing w:before="161" w:line="227" w:lineRule="auto"/>
              <w:ind w:left="129"/>
              <w:rPr>
                <w:rFonts w:ascii="宋体" w:hAnsi="宋体" w:eastAsia="宋体" w:cs="宋体"/>
                <w:sz w:val="20"/>
                <w:szCs w:val="20"/>
              </w:rPr>
            </w:pPr>
            <w:r>
              <w:rPr>
                <w:rFonts w:ascii="宋体" w:hAnsi="宋体" w:eastAsia="宋体" w:cs="宋体"/>
                <w:spacing w:val="3"/>
                <w:sz w:val="20"/>
                <w:szCs w:val="20"/>
              </w:rPr>
              <w:t>区。本项目无废水产生、不外排冷</w:t>
            </w:r>
          </w:p>
          <w:p w14:paraId="38375F1A">
            <w:pPr>
              <w:spacing w:before="161" w:line="228" w:lineRule="auto"/>
              <w:ind w:left="117"/>
              <w:rPr>
                <w:rFonts w:ascii="宋体" w:hAnsi="宋体" w:eastAsia="宋体" w:cs="宋体"/>
                <w:sz w:val="20"/>
                <w:szCs w:val="20"/>
              </w:rPr>
            </w:pPr>
            <w:r>
              <w:rPr>
                <w:rFonts w:ascii="宋体" w:hAnsi="宋体" w:eastAsia="宋体" w:cs="宋体"/>
                <w:spacing w:val="4"/>
                <w:sz w:val="20"/>
                <w:szCs w:val="20"/>
              </w:rPr>
              <w:t>却循环水补水量少，工程建设运行</w:t>
            </w:r>
          </w:p>
          <w:p w14:paraId="26425301">
            <w:pPr>
              <w:spacing w:before="163" w:line="228" w:lineRule="auto"/>
              <w:ind w:left="115"/>
              <w:rPr>
                <w:rFonts w:ascii="宋体" w:hAnsi="宋体" w:eastAsia="宋体" w:cs="宋体"/>
                <w:sz w:val="20"/>
                <w:szCs w:val="20"/>
              </w:rPr>
            </w:pPr>
            <w:r>
              <w:rPr>
                <w:rFonts w:ascii="宋体" w:hAnsi="宋体" w:eastAsia="宋体" w:cs="宋体"/>
                <w:spacing w:val="4"/>
                <w:sz w:val="20"/>
                <w:szCs w:val="20"/>
              </w:rPr>
              <w:t>符合水资源利用上限要求，项目不</w:t>
            </w:r>
          </w:p>
          <w:p w14:paraId="68E09BD4">
            <w:pPr>
              <w:spacing w:before="162" w:line="228" w:lineRule="auto"/>
              <w:ind w:left="115"/>
              <w:rPr>
                <w:rFonts w:ascii="宋体" w:hAnsi="宋体" w:eastAsia="宋体" w:cs="宋体"/>
                <w:sz w:val="20"/>
                <w:szCs w:val="20"/>
              </w:rPr>
            </w:pPr>
            <w:r>
              <w:rPr>
                <w:rFonts w:ascii="宋体" w:hAnsi="宋体" w:eastAsia="宋体" w:cs="宋体"/>
                <w:spacing w:val="4"/>
                <w:sz w:val="20"/>
                <w:szCs w:val="20"/>
              </w:rPr>
              <w:t>属于重污染企业，对长江流域生态</w:t>
            </w:r>
          </w:p>
          <w:p w14:paraId="7733A102">
            <w:pPr>
              <w:spacing w:before="161" w:line="229" w:lineRule="auto"/>
              <w:ind w:left="921"/>
              <w:rPr>
                <w:rFonts w:ascii="宋体" w:hAnsi="宋体" w:eastAsia="宋体" w:cs="宋体"/>
                <w:sz w:val="20"/>
                <w:szCs w:val="20"/>
              </w:rPr>
            </w:pPr>
            <w:r>
              <w:rPr>
                <w:rFonts w:ascii="宋体" w:hAnsi="宋体" w:eastAsia="宋体" w:cs="宋体"/>
                <w:spacing w:val="6"/>
                <w:sz w:val="20"/>
                <w:szCs w:val="20"/>
              </w:rPr>
              <w:t>系统影响较小。</w:t>
            </w:r>
          </w:p>
        </w:tc>
        <w:tc>
          <w:tcPr>
            <w:tcW w:w="544" w:type="dxa"/>
            <w:tcBorders>
              <w:bottom w:val="single" w:color="000000" w:sz="6" w:space="0"/>
            </w:tcBorders>
            <w:textDirection w:val="tbRlV"/>
            <w:vAlign w:val="top"/>
          </w:tcPr>
          <w:p w14:paraId="4E58CD29">
            <w:pPr>
              <w:spacing w:before="159" w:line="215" w:lineRule="auto"/>
              <w:ind w:left="2082"/>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5" w:type="dxa"/>
            <w:tcBorders>
              <w:top w:val="nil"/>
              <w:bottom w:val="single" w:color="000000" w:sz="6" w:space="0"/>
              <w:right w:val="single" w:color="000000" w:sz="6" w:space="0"/>
            </w:tcBorders>
            <w:vAlign w:val="top"/>
          </w:tcPr>
          <w:p w14:paraId="5C108A96">
            <w:pPr>
              <w:rPr>
                <w:rFonts w:ascii="Arial"/>
                <w:sz w:val="21"/>
              </w:rPr>
            </w:pPr>
          </w:p>
        </w:tc>
      </w:tr>
    </w:tbl>
    <w:p w14:paraId="3786FC9A">
      <w:pPr>
        <w:pStyle w:val="2"/>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426"/>
        <w:gridCol w:w="3215"/>
        <w:gridCol w:w="434"/>
        <w:gridCol w:w="2638"/>
        <w:gridCol w:w="215"/>
        <w:gridCol w:w="544"/>
        <w:gridCol w:w="126"/>
      </w:tblGrid>
      <w:tr w14:paraId="61974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1161" w:type="dxa"/>
            <w:vMerge w:val="restart"/>
            <w:tcBorders>
              <w:top w:val="single" w:color="000000" w:sz="6" w:space="0"/>
              <w:left w:val="single" w:color="000000" w:sz="6" w:space="0"/>
              <w:bottom w:val="nil"/>
            </w:tcBorders>
            <w:vAlign w:val="top"/>
          </w:tcPr>
          <w:p w14:paraId="714DD12C">
            <w:pPr>
              <w:rPr>
                <w:rFonts w:ascii="Arial"/>
                <w:sz w:val="21"/>
              </w:rPr>
            </w:pPr>
          </w:p>
        </w:tc>
        <w:tc>
          <w:tcPr>
            <w:tcW w:w="113" w:type="dxa"/>
            <w:tcBorders>
              <w:top w:val="single" w:color="000000" w:sz="6" w:space="0"/>
              <w:bottom w:val="nil"/>
            </w:tcBorders>
            <w:vAlign w:val="top"/>
          </w:tcPr>
          <w:p w14:paraId="17DDE8B2">
            <w:pPr>
              <w:rPr>
                <w:rFonts w:ascii="Arial"/>
                <w:sz w:val="21"/>
              </w:rPr>
            </w:pPr>
          </w:p>
        </w:tc>
        <w:tc>
          <w:tcPr>
            <w:tcW w:w="426" w:type="dxa"/>
            <w:tcBorders>
              <w:top w:val="single" w:color="000000" w:sz="6" w:space="0"/>
            </w:tcBorders>
            <w:vAlign w:val="top"/>
          </w:tcPr>
          <w:p w14:paraId="335E9169">
            <w:pPr>
              <w:rPr>
                <w:rFonts w:ascii="Arial"/>
                <w:sz w:val="21"/>
              </w:rPr>
            </w:pPr>
          </w:p>
        </w:tc>
        <w:tc>
          <w:tcPr>
            <w:tcW w:w="3215" w:type="dxa"/>
            <w:tcBorders>
              <w:top w:val="single" w:color="000000" w:sz="6" w:space="0"/>
            </w:tcBorders>
            <w:vAlign w:val="top"/>
          </w:tcPr>
          <w:p w14:paraId="53C05FC3">
            <w:pPr>
              <w:spacing w:before="37" w:line="365" w:lineRule="auto"/>
              <w:ind w:right="138"/>
              <w:jc w:val="both"/>
              <w:rPr>
                <w:rFonts w:ascii="宋体" w:hAnsi="宋体" w:eastAsia="宋体" w:cs="宋体"/>
                <w:sz w:val="20"/>
                <w:szCs w:val="20"/>
              </w:rPr>
            </w:pPr>
            <w:bookmarkStart w:id="12" w:name="_GoBack"/>
            <w:bookmarkEnd w:id="12"/>
            <w:r>
              <w:rPr>
                <w:rFonts w:ascii="宋体" w:hAnsi="宋体" w:eastAsia="宋体" w:cs="宋体"/>
                <w:spacing w:val="9"/>
                <w:sz w:val="20"/>
                <w:szCs w:val="20"/>
              </w:rPr>
              <w:t>。禁止重污染</w:t>
            </w:r>
            <w:r>
              <w:rPr>
                <w:rFonts w:ascii="宋体" w:hAnsi="宋体" w:eastAsia="宋体" w:cs="宋体"/>
                <w:spacing w:val="8"/>
                <w:sz w:val="20"/>
                <w:szCs w:val="20"/>
              </w:rPr>
              <w:t>企业和项目向长江中上游转移。</w:t>
            </w:r>
          </w:p>
        </w:tc>
        <w:tc>
          <w:tcPr>
            <w:tcW w:w="3287" w:type="dxa"/>
            <w:gridSpan w:val="3"/>
            <w:tcBorders>
              <w:top w:val="single" w:color="000000" w:sz="6" w:space="0"/>
            </w:tcBorders>
            <w:vAlign w:val="top"/>
          </w:tcPr>
          <w:p w14:paraId="56C18824">
            <w:pPr>
              <w:rPr>
                <w:rFonts w:ascii="Arial"/>
                <w:sz w:val="21"/>
              </w:rPr>
            </w:pPr>
          </w:p>
        </w:tc>
        <w:tc>
          <w:tcPr>
            <w:tcW w:w="544" w:type="dxa"/>
            <w:tcBorders>
              <w:top w:val="single" w:color="000000" w:sz="6" w:space="0"/>
            </w:tcBorders>
            <w:vAlign w:val="top"/>
          </w:tcPr>
          <w:p w14:paraId="521E0B00">
            <w:pPr>
              <w:rPr>
                <w:rFonts w:ascii="Arial"/>
                <w:sz w:val="21"/>
              </w:rPr>
            </w:pPr>
          </w:p>
        </w:tc>
        <w:tc>
          <w:tcPr>
            <w:tcW w:w="126" w:type="dxa"/>
            <w:vMerge w:val="restart"/>
            <w:tcBorders>
              <w:top w:val="single" w:color="000000" w:sz="6" w:space="0"/>
              <w:bottom w:val="nil"/>
              <w:right w:val="single" w:color="000000" w:sz="6" w:space="0"/>
            </w:tcBorders>
            <w:vAlign w:val="top"/>
          </w:tcPr>
          <w:p w14:paraId="588E89EE">
            <w:pPr>
              <w:rPr>
                <w:rFonts w:ascii="Arial"/>
                <w:sz w:val="21"/>
              </w:rPr>
            </w:pPr>
          </w:p>
        </w:tc>
      </w:tr>
      <w:tr w14:paraId="24438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9" w:hRule="atLeast"/>
        </w:trPr>
        <w:tc>
          <w:tcPr>
            <w:tcW w:w="1161" w:type="dxa"/>
            <w:vMerge w:val="continue"/>
            <w:tcBorders>
              <w:top w:val="nil"/>
              <w:left w:val="single" w:color="000000" w:sz="6" w:space="0"/>
              <w:bottom w:val="nil"/>
            </w:tcBorders>
            <w:vAlign w:val="top"/>
          </w:tcPr>
          <w:p w14:paraId="58C5D72B">
            <w:pPr>
              <w:rPr>
                <w:rFonts w:ascii="Arial"/>
                <w:sz w:val="21"/>
              </w:rPr>
            </w:pPr>
          </w:p>
        </w:tc>
        <w:tc>
          <w:tcPr>
            <w:tcW w:w="113" w:type="dxa"/>
            <w:tcBorders>
              <w:top w:val="nil"/>
              <w:bottom w:val="nil"/>
            </w:tcBorders>
            <w:vAlign w:val="top"/>
          </w:tcPr>
          <w:p w14:paraId="39FE379C">
            <w:pPr>
              <w:rPr>
                <w:rFonts w:ascii="Arial"/>
                <w:sz w:val="21"/>
              </w:rPr>
            </w:pPr>
          </w:p>
        </w:tc>
        <w:tc>
          <w:tcPr>
            <w:tcW w:w="426" w:type="dxa"/>
            <w:vAlign w:val="top"/>
          </w:tcPr>
          <w:p w14:paraId="27C9FC8C">
            <w:pPr>
              <w:spacing w:line="287" w:lineRule="auto"/>
              <w:rPr>
                <w:rFonts w:ascii="Arial"/>
                <w:sz w:val="21"/>
              </w:rPr>
            </w:pPr>
          </w:p>
          <w:p w14:paraId="34F8340E">
            <w:pPr>
              <w:spacing w:line="288" w:lineRule="auto"/>
              <w:rPr>
                <w:rFonts w:ascii="Arial"/>
                <w:sz w:val="21"/>
              </w:rPr>
            </w:pPr>
          </w:p>
          <w:p w14:paraId="42C99D20">
            <w:pPr>
              <w:spacing w:line="288" w:lineRule="auto"/>
              <w:rPr>
                <w:rFonts w:ascii="Arial"/>
                <w:sz w:val="21"/>
              </w:rPr>
            </w:pPr>
          </w:p>
          <w:p w14:paraId="77CC63A9">
            <w:pPr>
              <w:spacing w:line="288" w:lineRule="auto"/>
              <w:rPr>
                <w:rFonts w:ascii="Arial"/>
                <w:sz w:val="21"/>
              </w:rPr>
            </w:pPr>
          </w:p>
          <w:p w14:paraId="7AD973EF">
            <w:pPr>
              <w:spacing w:line="288" w:lineRule="auto"/>
              <w:rPr>
                <w:rFonts w:ascii="Arial"/>
                <w:sz w:val="21"/>
              </w:rPr>
            </w:pPr>
          </w:p>
          <w:p w14:paraId="5694CBD5">
            <w:pPr>
              <w:spacing w:before="57" w:line="195" w:lineRule="auto"/>
              <w:ind w:left="15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3215" w:type="dxa"/>
            <w:vAlign w:val="top"/>
          </w:tcPr>
          <w:p w14:paraId="301740CF">
            <w:pPr>
              <w:spacing w:before="31" w:line="227" w:lineRule="auto"/>
              <w:ind w:left="194"/>
              <w:rPr>
                <w:rFonts w:ascii="宋体" w:hAnsi="宋体" w:eastAsia="宋体" w:cs="宋体"/>
                <w:sz w:val="20"/>
                <w:szCs w:val="20"/>
              </w:rPr>
            </w:pPr>
            <w:r>
              <w:rPr>
                <w:rFonts w:ascii="宋体" w:hAnsi="宋体" w:eastAsia="宋体" w:cs="宋体"/>
                <w:spacing w:val="8"/>
                <w:sz w:val="20"/>
                <w:szCs w:val="20"/>
              </w:rPr>
              <w:t>第二十六条 禁止在长江干支流</w:t>
            </w:r>
          </w:p>
          <w:p w14:paraId="416BE6EB">
            <w:pPr>
              <w:spacing w:before="161" w:line="228" w:lineRule="auto"/>
              <w:ind w:left="141"/>
              <w:rPr>
                <w:rFonts w:ascii="宋体" w:hAnsi="宋体" w:eastAsia="宋体" w:cs="宋体"/>
                <w:sz w:val="20"/>
                <w:szCs w:val="20"/>
              </w:rPr>
            </w:pPr>
            <w:r>
              <w:rPr>
                <w:rFonts w:ascii="宋体" w:hAnsi="宋体" w:eastAsia="宋体" w:cs="宋体"/>
                <w:spacing w:val="9"/>
                <w:sz w:val="20"/>
                <w:szCs w:val="20"/>
              </w:rPr>
              <w:t>岸线一公里范围内新建、扩建化</w:t>
            </w:r>
          </w:p>
          <w:p w14:paraId="6FA7D74D">
            <w:pPr>
              <w:spacing w:before="164" w:line="228" w:lineRule="auto"/>
              <w:ind w:left="667"/>
              <w:rPr>
                <w:rFonts w:ascii="宋体" w:hAnsi="宋体" w:eastAsia="宋体" w:cs="宋体"/>
                <w:sz w:val="20"/>
                <w:szCs w:val="20"/>
              </w:rPr>
            </w:pPr>
            <w:r>
              <w:rPr>
                <w:rFonts w:ascii="宋体" w:hAnsi="宋体" w:eastAsia="宋体" w:cs="宋体"/>
                <w:spacing w:val="7"/>
                <w:sz w:val="20"/>
                <w:szCs w:val="20"/>
              </w:rPr>
              <w:t>工园区和化工项目。</w:t>
            </w:r>
          </w:p>
          <w:p w14:paraId="7A962F57">
            <w:pPr>
              <w:spacing w:before="160" w:line="227" w:lineRule="auto"/>
              <w:ind w:left="141"/>
              <w:rPr>
                <w:rFonts w:ascii="宋体" w:hAnsi="宋体" w:eastAsia="宋体" w:cs="宋体"/>
                <w:sz w:val="20"/>
                <w:szCs w:val="20"/>
              </w:rPr>
            </w:pPr>
            <w:r>
              <w:rPr>
                <w:rFonts w:ascii="宋体" w:hAnsi="宋体" w:eastAsia="宋体" w:cs="宋体"/>
                <w:spacing w:val="9"/>
                <w:sz w:val="20"/>
                <w:szCs w:val="20"/>
              </w:rPr>
              <w:t>禁止在长江干流岸线三公里范围</w:t>
            </w:r>
          </w:p>
          <w:p w14:paraId="1077107B">
            <w:pPr>
              <w:spacing w:before="162" w:line="228" w:lineRule="auto"/>
              <w:ind w:left="166"/>
              <w:rPr>
                <w:rFonts w:ascii="宋体" w:hAnsi="宋体" w:eastAsia="宋体" w:cs="宋体"/>
                <w:sz w:val="20"/>
                <w:szCs w:val="20"/>
              </w:rPr>
            </w:pPr>
            <w:r>
              <w:rPr>
                <w:rFonts w:ascii="宋体" w:hAnsi="宋体" w:eastAsia="宋体" w:cs="宋体"/>
                <w:spacing w:val="7"/>
                <w:sz w:val="20"/>
                <w:szCs w:val="20"/>
              </w:rPr>
              <w:t>内和重要支流岸线一公里范围内</w:t>
            </w:r>
          </w:p>
          <w:p w14:paraId="48A8C8A8">
            <w:pPr>
              <w:spacing w:before="161" w:line="228" w:lineRule="auto"/>
              <w:ind w:left="142"/>
              <w:rPr>
                <w:rFonts w:ascii="宋体" w:hAnsi="宋体" w:eastAsia="宋体" w:cs="宋体"/>
                <w:sz w:val="20"/>
                <w:szCs w:val="20"/>
              </w:rPr>
            </w:pPr>
            <w:r>
              <w:rPr>
                <w:rFonts w:ascii="宋体" w:hAnsi="宋体" w:eastAsia="宋体" w:cs="宋体"/>
                <w:spacing w:val="9"/>
                <w:sz w:val="20"/>
                <w:szCs w:val="20"/>
              </w:rPr>
              <w:t>新建、改建、扩建尾矿库；但是</w:t>
            </w:r>
          </w:p>
          <w:p w14:paraId="0BC0FC42">
            <w:pPr>
              <w:spacing w:before="161" w:line="228" w:lineRule="auto"/>
              <w:ind w:left="165"/>
              <w:rPr>
                <w:rFonts w:ascii="宋体" w:hAnsi="宋体" w:eastAsia="宋体" w:cs="宋体"/>
                <w:sz w:val="20"/>
                <w:szCs w:val="20"/>
              </w:rPr>
            </w:pPr>
            <w:r>
              <w:rPr>
                <w:rFonts w:ascii="宋体" w:hAnsi="宋体" w:eastAsia="宋体" w:cs="宋体"/>
                <w:spacing w:val="7"/>
                <w:sz w:val="20"/>
                <w:szCs w:val="20"/>
              </w:rPr>
              <w:t>以提升安全、生态环境保护水平</w:t>
            </w:r>
          </w:p>
          <w:p w14:paraId="32733C90">
            <w:pPr>
              <w:spacing w:before="161" w:line="228" w:lineRule="auto"/>
              <w:ind w:left="667"/>
              <w:rPr>
                <w:rFonts w:ascii="宋体" w:hAnsi="宋体" w:eastAsia="宋体" w:cs="宋体"/>
                <w:sz w:val="20"/>
                <w:szCs w:val="20"/>
              </w:rPr>
            </w:pPr>
            <w:r>
              <w:rPr>
                <w:rFonts w:ascii="宋体" w:hAnsi="宋体" w:eastAsia="宋体" w:cs="宋体"/>
                <w:spacing w:val="7"/>
                <w:sz w:val="20"/>
                <w:szCs w:val="20"/>
              </w:rPr>
              <w:t>为目的的改建除外。</w:t>
            </w:r>
          </w:p>
        </w:tc>
        <w:tc>
          <w:tcPr>
            <w:tcW w:w="3287" w:type="dxa"/>
            <w:gridSpan w:val="3"/>
            <w:vAlign w:val="top"/>
          </w:tcPr>
          <w:p w14:paraId="03A3F9F3">
            <w:pPr>
              <w:spacing w:before="235" w:line="228" w:lineRule="auto"/>
              <w:ind w:left="117"/>
              <w:rPr>
                <w:rFonts w:ascii="宋体" w:hAnsi="宋体" w:eastAsia="宋体" w:cs="宋体"/>
                <w:sz w:val="20"/>
                <w:szCs w:val="20"/>
              </w:rPr>
            </w:pPr>
            <w:r>
              <w:rPr>
                <w:rFonts w:ascii="宋体" w:hAnsi="宋体" w:eastAsia="宋体" w:cs="宋体"/>
                <w:spacing w:val="4"/>
                <w:sz w:val="20"/>
                <w:szCs w:val="20"/>
              </w:rPr>
              <w:t>项目为塑料筐生产项目，为扩建项</w:t>
            </w:r>
          </w:p>
          <w:p w14:paraId="2266D265">
            <w:pPr>
              <w:spacing w:before="160" w:line="228" w:lineRule="auto"/>
              <w:ind w:left="153"/>
              <w:rPr>
                <w:rFonts w:ascii="宋体" w:hAnsi="宋体" w:eastAsia="宋体" w:cs="宋体"/>
                <w:sz w:val="20"/>
                <w:szCs w:val="20"/>
              </w:rPr>
            </w:pPr>
            <w:r>
              <w:rPr>
                <w:rFonts w:ascii="宋体" w:hAnsi="宋体" w:eastAsia="宋体" w:cs="宋体"/>
                <w:spacing w:val="1"/>
                <w:sz w:val="20"/>
                <w:szCs w:val="20"/>
              </w:rPr>
              <w:t>目，位于云南寻甸产业园区金所片</w:t>
            </w:r>
          </w:p>
          <w:p w14:paraId="307FC2EC">
            <w:pPr>
              <w:spacing w:before="163" w:line="227" w:lineRule="auto"/>
              <w:ind w:left="129"/>
              <w:rPr>
                <w:rFonts w:ascii="宋体" w:hAnsi="宋体" w:eastAsia="宋体" w:cs="宋体"/>
                <w:sz w:val="20"/>
                <w:szCs w:val="20"/>
              </w:rPr>
            </w:pPr>
            <w:r>
              <w:rPr>
                <w:rFonts w:ascii="宋体" w:hAnsi="宋体" w:eastAsia="宋体" w:cs="宋体"/>
                <w:spacing w:val="3"/>
                <w:sz w:val="20"/>
                <w:szCs w:val="20"/>
              </w:rPr>
              <w:t>区，不在长江干支流岸线一公里范</w:t>
            </w:r>
          </w:p>
          <w:p w14:paraId="2C12B6DD">
            <w:pPr>
              <w:spacing w:before="162" w:line="227" w:lineRule="auto"/>
              <w:ind w:left="132"/>
              <w:rPr>
                <w:rFonts w:ascii="宋体" w:hAnsi="宋体" w:eastAsia="宋体" w:cs="宋体"/>
                <w:sz w:val="20"/>
                <w:szCs w:val="20"/>
              </w:rPr>
            </w:pPr>
            <w:r>
              <w:rPr>
                <w:rFonts w:ascii="宋体" w:hAnsi="宋体" w:eastAsia="宋体" w:cs="宋体"/>
                <w:spacing w:val="3"/>
                <w:sz w:val="20"/>
                <w:szCs w:val="20"/>
              </w:rPr>
              <w:t>围内，不在长江干流岸线三公里范</w:t>
            </w:r>
          </w:p>
          <w:p w14:paraId="229206D6">
            <w:pPr>
              <w:spacing w:before="162" w:line="228" w:lineRule="auto"/>
              <w:ind w:left="202"/>
              <w:rPr>
                <w:rFonts w:ascii="宋体" w:hAnsi="宋体" w:eastAsia="宋体" w:cs="宋体"/>
                <w:sz w:val="20"/>
                <w:szCs w:val="20"/>
              </w:rPr>
            </w:pPr>
            <w:r>
              <w:rPr>
                <w:rFonts w:ascii="宋体" w:hAnsi="宋体" w:eastAsia="宋体" w:cs="宋体"/>
                <w:spacing w:val="7"/>
                <w:sz w:val="20"/>
                <w:szCs w:val="20"/>
              </w:rPr>
              <w:t>围内和重要支流岸线一公里范围</w:t>
            </w:r>
          </w:p>
          <w:p w14:paraId="57163593">
            <w:pPr>
              <w:spacing w:before="161" w:line="228" w:lineRule="auto"/>
              <w:ind w:left="139"/>
              <w:rPr>
                <w:rFonts w:ascii="宋体" w:hAnsi="宋体" w:eastAsia="宋体" w:cs="宋体"/>
                <w:sz w:val="20"/>
                <w:szCs w:val="20"/>
              </w:rPr>
            </w:pPr>
            <w:r>
              <w:rPr>
                <w:rFonts w:ascii="宋体" w:hAnsi="宋体" w:eastAsia="宋体" w:cs="宋体"/>
                <w:spacing w:val="2"/>
                <w:sz w:val="20"/>
                <w:szCs w:val="20"/>
              </w:rPr>
              <w:t>内，不属于化工项目，项目也不新</w:t>
            </w:r>
          </w:p>
          <w:p w14:paraId="464AA49C">
            <w:pPr>
              <w:spacing w:before="161" w:line="228" w:lineRule="auto"/>
              <w:ind w:left="605"/>
              <w:rPr>
                <w:rFonts w:ascii="宋体" w:hAnsi="宋体" w:eastAsia="宋体" w:cs="宋体"/>
                <w:sz w:val="20"/>
                <w:szCs w:val="20"/>
              </w:rPr>
            </w:pPr>
            <w:r>
              <w:rPr>
                <w:rFonts w:ascii="宋体" w:hAnsi="宋体" w:eastAsia="宋体" w:cs="宋体"/>
                <w:spacing w:val="7"/>
                <w:sz w:val="20"/>
                <w:szCs w:val="20"/>
              </w:rPr>
              <w:t>建尾矿库，符合要求。</w:t>
            </w:r>
          </w:p>
        </w:tc>
        <w:tc>
          <w:tcPr>
            <w:tcW w:w="544" w:type="dxa"/>
            <w:textDirection w:val="tbRlV"/>
            <w:vAlign w:val="top"/>
          </w:tcPr>
          <w:p w14:paraId="2E528EC4">
            <w:pPr>
              <w:spacing w:before="158" w:line="215" w:lineRule="auto"/>
              <w:ind w:left="1258"/>
              <w:rPr>
                <w:rFonts w:ascii="宋体" w:hAnsi="宋体" w:eastAsia="宋体" w:cs="宋体"/>
                <w:sz w:val="20"/>
                <w:szCs w:val="20"/>
              </w:rPr>
            </w:pPr>
            <w:r>
              <w:rPr>
                <w:rFonts w:ascii="宋体" w:hAnsi="宋体" w:eastAsia="宋体" w:cs="宋体"/>
                <w:spacing w:val="8"/>
                <w:sz w:val="20"/>
                <w:szCs w:val="20"/>
              </w:rPr>
              <w:t>符</w:t>
            </w:r>
            <w:r>
              <w:rPr>
                <w:rFonts w:ascii="宋体" w:hAnsi="宋体" w:eastAsia="宋体" w:cs="宋体"/>
                <w:spacing w:val="99"/>
                <w:sz w:val="20"/>
                <w:szCs w:val="20"/>
              </w:rPr>
              <w:t xml:space="preserve"> </w:t>
            </w:r>
            <w:r>
              <w:rPr>
                <w:rFonts w:ascii="宋体" w:hAnsi="宋体" w:eastAsia="宋体" w:cs="宋体"/>
                <w:spacing w:val="8"/>
                <w:sz w:val="20"/>
                <w:szCs w:val="20"/>
              </w:rPr>
              <w:t>合</w:t>
            </w:r>
          </w:p>
        </w:tc>
        <w:tc>
          <w:tcPr>
            <w:tcW w:w="126" w:type="dxa"/>
            <w:vMerge w:val="continue"/>
            <w:tcBorders>
              <w:top w:val="nil"/>
              <w:bottom w:val="nil"/>
              <w:right w:val="single" w:color="000000" w:sz="6" w:space="0"/>
            </w:tcBorders>
            <w:vAlign w:val="top"/>
          </w:tcPr>
          <w:p w14:paraId="1528A17E">
            <w:pPr>
              <w:rPr>
                <w:rFonts w:ascii="Arial"/>
                <w:sz w:val="21"/>
              </w:rPr>
            </w:pPr>
          </w:p>
        </w:tc>
      </w:tr>
      <w:tr w14:paraId="15978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1" w:hRule="atLeast"/>
        </w:trPr>
        <w:tc>
          <w:tcPr>
            <w:tcW w:w="1161" w:type="dxa"/>
            <w:vMerge w:val="continue"/>
            <w:tcBorders>
              <w:top w:val="nil"/>
              <w:left w:val="single" w:color="000000" w:sz="6" w:space="0"/>
              <w:bottom w:val="nil"/>
            </w:tcBorders>
            <w:vAlign w:val="top"/>
          </w:tcPr>
          <w:p w14:paraId="3A9B05C6">
            <w:pPr>
              <w:rPr>
                <w:rFonts w:ascii="Arial"/>
                <w:sz w:val="21"/>
              </w:rPr>
            </w:pPr>
          </w:p>
        </w:tc>
        <w:tc>
          <w:tcPr>
            <w:tcW w:w="7585" w:type="dxa"/>
            <w:gridSpan w:val="7"/>
            <w:tcBorders>
              <w:right w:val="nil"/>
            </w:tcBorders>
            <w:vAlign w:val="top"/>
          </w:tcPr>
          <w:p w14:paraId="567E26F8">
            <w:pPr>
              <w:spacing w:before="160" w:line="219" w:lineRule="auto"/>
              <w:ind w:left="591"/>
              <w:rPr>
                <w:rFonts w:ascii="宋体" w:hAnsi="宋体" w:eastAsia="宋体" w:cs="宋体"/>
                <w:sz w:val="24"/>
                <w:szCs w:val="24"/>
              </w:rPr>
            </w:pPr>
            <w:r>
              <w:rPr>
                <w:rFonts w:ascii="宋体" w:hAnsi="宋体" w:eastAsia="宋体" w:cs="宋体"/>
                <w:spacing w:val="-1"/>
                <w:sz w:val="24"/>
                <w:szCs w:val="24"/>
              </w:rPr>
              <w:t>综上，本项目符合《中华人民共和国长江保护法》相关规定。</w:t>
            </w:r>
          </w:p>
          <w:p w14:paraId="78224975">
            <w:pPr>
              <w:spacing w:before="181" w:line="360" w:lineRule="auto"/>
              <w:ind w:left="112" w:firstLine="472"/>
              <w:rPr>
                <w:rFonts w:ascii="宋体" w:hAnsi="宋体" w:eastAsia="宋体" w:cs="宋体"/>
                <w:sz w:val="24"/>
                <w:szCs w:val="24"/>
              </w:rPr>
            </w:pPr>
            <w:r>
              <w:rPr>
                <w:rFonts w:ascii="Times New Roman" w:hAnsi="Times New Roman" w:eastAsia="Times New Roman" w:cs="Times New Roman"/>
                <w:b/>
                <w:bCs/>
                <w:sz w:val="24"/>
                <w:szCs w:val="24"/>
              </w:rPr>
              <w:t>7</w:t>
            </w:r>
            <w:r>
              <w:rPr>
                <w:rFonts w:ascii="Times New Roman" w:hAnsi="Times New Roman" w:eastAsia="Times New Roman" w:cs="Times New Roman"/>
                <w:b/>
                <w:bCs/>
                <w:spacing w:val="-29"/>
                <w:sz w:val="24"/>
                <w:szCs w:val="24"/>
              </w:rPr>
              <w:t xml:space="preserve"> </w:t>
            </w:r>
            <w:r>
              <w:rPr>
                <w:rFonts w:ascii="宋体" w:hAnsi="宋体" w:eastAsia="宋体" w:cs="宋体"/>
                <w:b/>
                <w:bCs/>
                <w:sz w:val="24"/>
                <w:szCs w:val="24"/>
              </w:rPr>
              <w:t>、与《长江经济带发展负面清单指南》（试行，</w:t>
            </w:r>
            <w:r>
              <w:rPr>
                <w:rFonts w:ascii="Times New Roman" w:hAnsi="Times New Roman" w:eastAsia="Times New Roman" w:cs="Times New Roman"/>
                <w:b/>
                <w:bCs/>
                <w:sz w:val="24"/>
                <w:szCs w:val="24"/>
              </w:rPr>
              <w:t xml:space="preserve">2022 </w:t>
            </w:r>
            <w:r>
              <w:rPr>
                <w:rFonts w:ascii="宋体" w:hAnsi="宋体" w:eastAsia="宋体" w:cs="宋体"/>
                <w:b/>
                <w:bCs/>
                <w:sz w:val="24"/>
                <w:szCs w:val="24"/>
              </w:rPr>
              <w:t>年</w:t>
            </w:r>
            <w:r>
              <w:rPr>
                <w:rFonts w:ascii="宋体" w:hAnsi="宋体" w:eastAsia="宋体" w:cs="宋体"/>
                <w:b/>
                <w:bCs/>
                <w:spacing w:val="-1"/>
                <w:sz w:val="24"/>
                <w:szCs w:val="24"/>
              </w:rPr>
              <w:t>版）的通</w:t>
            </w:r>
            <w:r>
              <w:rPr>
                <w:rFonts w:ascii="宋体" w:hAnsi="宋体" w:eastAsia="宋体" w:cs="宋体"/>
                <w:b/>
                <w:bCs/>
                <w:spacing w:val="-4"/>
                <w:sz w:val="24"/>
                <w:szCs w:val="24"/>
              </w:rPr>
              <w:t>知》的符合性分析</w:t>
            </w:r>
          </w:p>
          <w:p w14:paraId="726F4C40">
            <w:pPr>
              <w:spacing w:line="357" w:lineRule="auto"/>
              <w:ind w:left="112" w:firstLine="477"/>
              <w:rPr>
                <w:rFonts w:ascii="宋体" w:hAnsi="宋体" w:eastAsia="宋体" w:cs="宋体"/>
                <w:sz w:val="24"/>
                <w:szCs w:val="24"/>
              </w:rPr>
            </w:pPr>
            <w:r>
              <w:rPr>
                <w:rFonts w:ascii="宋体" w:hAnsi="宋体" w:eastAsia="宋体" w:cs="宋体"/>
                <w:spacing w:val="-1"/>
                <w:sz w:val="24"/>
                <w:szCs w:val="24"/>
              </w:rPr>
              <w:t>项目与《长江经济带发展负面清单指南》（试行，</w:t>
            </w:r>
            <w:r>
              <w:rPr>
                <w:rFonts w:ascii="Times New Roman" w:hAnsi="Times New Roman" w:eastAsia="Times New Roman" w:cs="Times New Roman"/>
                <w:spacing w:val="-1"/>
                <w:sz w:val="24"/>
                <w:szCs w:val="24"/>
              </w:rPr>
              <w:t xml:space="preserve">2022 </w:t>
            </w:r>
            <w:r>
              <w:rPr>
                <w:rFonts w:ascii="宋体" w:hAnsi="宋体" w:eastAsia="宋体" w:cs="宋体"/>
                <w:spacing w:val="-1"/>
                <w:sz w:val="24"/>
                <w:szCs w:val="24"/>
              </w:rPr>
              <w:t>年版）的通</w:t>
            </w:r>
            <w:r>
              <w:rPr>
                <w:rFonts w:ascii="宋体" w:hAnsi="宋体" w:eastAsia="宋体" w:cs="宋体"/>
                <w:spacing w:val="-4"/>
                <w:sz w:val="24"/>
                <w:szCs w:val="24"/>
              </w:rPr>
              <w:t>知对比分析情况见下表</w:t>
            </w:r>
            <w:r>
              <w:rPr>
                <w:rFonts w:ascii="宋体" w:hAnsi="宋体" w:eastAsia="宋体" w:cs="宋体"/>
                <w:spacing w:val="-26"/>
                <w:sz w:val="24"/>
                <w:szCs w:val="24"/>
              </w:rPr>
              <w:t xml:space="preserve"> </w:t>
            </w:r>
            <w:r>
              <w:rPr>
                <w:rFonts w:ascii="Times New Roman" w:hAnsi="Times New Roman" w:eastAsia="Times New Roman" w:cs="Times New Roman"/>
                <w:spacing w:val="-4"/>
                <w:sz w:val="24"/>
                <w:szCs w:val="24"/>
              </w:rPr>
              <w:t>1-9</w:t>
            </w:r>
            <w:r>
              <w:rPr>
                <w:rFonts w:ascii="宋体" w:hAnsi="宋体" w:eastAsia="宋体" w:cs="宋体"/>
                <w:spacing w:val="-4"/>
                <w:sz w:val="24"/>
                <w:szCs w:val="24"/>
              </w:rPr>
              <w:t>。</w:t>
            </w:r>
          </w:p>
          <w:p w14:paraId="498E5FF2">
            <w:pPr>
              <w:spacing w:line="227" w:lineRule="auto"/>
              <w:ind w:right="9"/>
              <w:jc w:val="right"/>
              <w:rPr>
                <w:rFonts w:ascii="宋体" w:hAnsi="宋体" w:eastAsia="宋体" w:cs="宋体"/>
                <w:sz w:val="20"/>
                <w:szCs w:val="20"/>
              </w:rPr>
            </w:pPr>
            <w:r>
              <w:rPr>
                <w:rFonts w:ascii="宋体" w:hAnsi="宋体" w:eastAsia="宋体" w:cs="宋体"/>
                <w:b/>
                <w:bCs/>
                <w:spacing w:val="7"/>
                <w:sz w:val="20"/>
                <w:szCs w:val="20"/>
              </w:rPr>
              <w:t>表</w:t>
            </w:r>
            <w:r>
              <w:rPr>
                <w:rFonts w:ascii="宋体" w:hAnsi="宋体" w:eastAsia="宋体" w:cs="宋体"/>
                <w:spacing w:val="-34"/>
                <w:sz w:val="20"/>
                <w:szCs w:val="20"/>
              </w:rPr>
              <w:t xml:space="preserve"> </w:t>
            </w:r>
            <w:r>
              <w:rPr>
                <w:rFonts w:ascii="Times New Roman" w:hAnsi="Times New Roman" w:eastAsia="Times New Roman" w:cs="Times New Roman"/>
                <w:b/>
                <w:bCs/>
                <w:spacing w:val="7"/>
                <w:sz w:val="20"/>
                <w:szCs w:val="20"/>
              </w:rPr>
              <w:t xml:space="preserve">1-9  </w:t>
            </w:r>
            <w:r>
              <w:rPr>
                <w:rFonts w:ascii="宋体" w:hAnsi="宋体" w:eastAsia="宋体" w:cs="宋体"/>
                <w:b/>
                <w:bCs/>
                <w:spacing w:val="7"/>
                <w:sz w:val="20"/>
                <w:szCs w:val="20"/>
              </w:rPr>
              <w:t>与《长江经济带发展负面清单指南》（试行，</w:t>
            </w:r>
            <w:r>
              <w:rPr>
                <w:rFonts w:ascii="Times New Roman" w:hAnsi="Times New Roman" w:eastAsia="Times New Roman" w:cs="Times New Roman"/>
                <w:b/>
                <w:bCs/>
                <w:spacing w:val="7"/>
                <w:sz w:val="20"/>
                <w:szCs w:val="20"/>
              </w:rPr>
              <w:t xml:space="preserve">2022 </w:t>
            </w:r>
            <w:r>
              <w:rPr>
                <w:rFonts w:ascii="宋体" w:hAnsi="宋体" w:eastAsia="宋体" w:cs="宋体"/>
                <w:b/>
                <w:bCs/>
                <w:spacing w:val="7"/>
                <w:sz w:val="20"/>
                <w:szCs w:val="20"/>
              </w:rPr>
              <w:t>年版）的通知相符性分</w:t>
            </w:r>
          </w:p>
          <w:p w14:paraId="741FF846">
            <w:pPr>
              <w:spacing w:before="24" w:line="211" w:lineRule="auto"/>
              <w:ind w:left="3754"/>
              <w:rPr>
                <w:rFonts w:ascii="宋体" w:hAnsi="宋体" w:eastAsia="宋体" w:cs="宋体"/>
                <w:sz w:val="20"/>
                <w:szCs w:val="20"/>
              </w:rPr>
            </w:pPr>
            <w:r>
              <w:rPr>
                <w:rFonts w:ascii="宋体" w:hAnsi="宋体" w:eastAsia="宋体" w:cs="宋体"/>
                <w:b/>
                <w:bCs/>
                <w:spacing w:val="-3"/>
                <w:sz w:val="20"/>
                <w:szCs w:val="20"/>
              </w:rPr>
              <w:t>析</w:t>
            </w:r>
          </w:p>
        </w:tc>
        <w:tc>
          <w:tcPr>
            <w:tcW w:w="126" w:type="dxa"/>
            <w:vMerge w:val="restart"/>
            <w:tcBorders>
              <w:top w:val="nil"/>
              <w:bottom w:val="nil"/>
              <w:right w:val="single" w:color="000000" w:sz="6" w:space="0"/>
            </w:tcBorders>
            <w:vAlign w:val="top"/>
          </w:tcPr>
          <w:p w14:paraId="57912D5F">
            <w:pPr>
              <w:rPr>
                <w:rFonts w:ascii="Arial"/>
                <w:sz w:val="21"/>
              </w:rPr>
            </w:pPr>
          </w:p>
        </w:tc>
      </w:tr>
      <w:tr w14:paraId="39296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161" w:type="dxa"/>
            <w:vMerge w:val="continue"/>
            <w:tcBorders>
              <w:top w:val="nil"/>
              <w:left w:val="single" w:color="000000" w:sz="6" w:space="0"/>
              <w:bottom w:val="nil"/>
            </w:tcBorders>
            <w:vAlign w:val="top"/>
          </w:tcPr>
          <w:p w14:paraId="2B089EB0">
            <w:pPr>
              <w:rPr>
                <w:rFonts w:ascii="Arial"/>
                <w:sz w:val="21"/>
              </w:rPr>
            </w:pPr>
          </w:p>
        </w:tc>
        <w:tc>
          <w:tcPr>
            <w:tcW w:w="113" w:type="dxa"/>
            <w:tcBorders>
              <w:top w:val="nil"/>
              <w:bottom w:val="nil"/>
            </w:tcBorders>
            <w:vAlign w:val="top"/>
          </w:tcPr>
          <w:p w14:paraId="2CA2EFDC">
            <w:pPr>
              <w:rPr>
                <w:rFonts w:ascii="Arial"/>
                <w:sz w:val="21"/>
              </w:rPr>
            </w:pPr>
          </w:p>
        </w:tc>
        <w:tc>
          <w:tcPr>
            <w:tcW w:w="4075" w:type="dxa"/>
            <w:gridSpan w:val="3"/>
            <w:vAlign w:val="top"/>
          </w:tcPr>
          <w:p w14:paraId="1F9739C8">
            <w:pPr>
              <w:spacing w:before="244" w:line="229" w:lineRule="auto"/>
              <w:ind w:left="1412"/>
              <w:rPr>
                <w:rFonts w:ascii="宋体" w:hAnsi="宋体" w:eastAsia="宋体" w:cs="宋体"/>
                <w:sz w:val="20"/>
                <w:szCs w:val="20"/>
              </w:rPr>
            </w:pPr>
            <w:r>
              <w:rPr>
                <w:rFonts w:ascii="宋体" w:hAnsi="宋体" w:eastAsia="宋体" w:cs="宋体"/>
                <w:b/>
                <w:bCs/>
                <w:spacing w:val="6"/>
                <w:sz w:val="20"/>
                <w:szCs w:val="20"/>
              </w:rPr>
              <w:t>《指南》要求</w:t>
            </w:r>
          </w:p>
        </w:tc>
        <w:tc>
          <w:tcPr>
            <w:tcW w:w="2638" w:type="dxa"/>
            <w:vAlign w:val="top"/>
          </w:tcPr>
          <w:p w14:paraId="2B4A2809">
            <w:pPr>
              <w:spacing w:before="243" w:line="227" w:lineRule="auto"/>
              <w:ind w:left="1012"/>
              <w:rPr>
                <w:rFonts w:ascii="宋体" w:hAnsi="宋体" w:eastAsia="宋体" w:cs="宋体"/>
                <w:sz w:val="20"/>
                <w:szCs w:val="20"/>
              </w:rPr>
            </w:pPr>
            <w:r>
              <w:rPr>
                <w:rFonts w:ascii="宋体" w:hAnsi="宋体" w:eastAsia="宋体" w:cs="宋体"/>
                <w:b/>
                <w:bCs/>
                <w:spacing w:val="5"/>
                <w:sz w:val="20"/>
                <w:szCs w:val="20"/>
              </w:rPr>
              <w:t>本项目</w:t>
            </w:r>
          </w:p>
        </w:tc>
        <w:tc>
          <w:tcPr>
            <w:tcW w:w="759" w:type="dxa"/>
            <w:gridSpan w:val="2"/>
            <w:vAlign w:val="top"/>
          </w:tcPr>
          <w:p w14:paraId="0B123FC2">
            <w:pPr>
              <w:spacing w:before="39" w:line="356" w:lineRule="auto"/>
              <w:ind w:left="288" w:right="161" w:hanging="108"/>
              <w:rPr>
                <w:rFonts w:ascii="宋体" w:hAnsi="宋体" w:eastAsia="宋体" w:cs="宋体"/>
                <w:sz w:val="20"/>
                <w:szCs w:val="20"/>
              </w:rPr>
            </w:pPr>
            <w:r>
              <w:rPr>
                <w:rFonts w:ascii="宋体" w:hAnsi="宋体" w:eastAsia="宋体" w:cs="宋体"/>
                <w:b/>
                <w:bCs/>
                <w:spacing w:val="3"/>
                <w:sz w:val="20"/>
                <w:szCs w:val="20"/>
              </w:rPr>
              <w:t>相符</w:t>
            </w:r>
            <w:r>
              <w:rPr>
                <w:rFonts w:ascii="宋体" w:hAnsi="宋体" w:eastAsia="宋体" w:cs="宋体"/>
                <w:b/>
                <w:bCs/>
                <w:spacing w:val="-3"/>
                <w:sz w:val="20"/>
                <w:szCs w:val="20"/>
              </w:rPr>
              <w:t>性</w:t>
            </w:r>
          </w:p>
        </w:tc>
        <w:tc>
          <w:tcPr>
            <w:tcW w:w="126" w:type="dxa"/>
            <w:vMerge w:val="continue"/>
            <w:tcBorders>
              <w:top w:val="nil"/>
              <w:bottom w:val="nil"/>
              <w:right w:val="single" w:color="000000" w:sz="6" w:space="0"/>
            </w:tcBorders>
            <w:vAlign w:val="top"/>
          </w:tcPr>
          <w:p w14:paraId="7B15DE7F">
            <w:pPr>
              <w:rPr>
                <w:rFonts w:ascii="Arial"/>
                <w:sz w:val="21"/>
              </w:rPr>
            </w:pPr>
          </w:p>
        </w:tc>
      </w:tr>
      <w:tr w14:paraId="52190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1161" w:type="dxa"/>
            <w:vMerge w:val="continue"/>
            <w:tcBorders>
              <w:top w:val="nil"/>
              <w:left w:val="single" w:color="000000" w:sz="6" w:space="0"/>
              <w:bottom w:val="nil"/>
            </w:tcBorders>
            <w:vAlign w:val="top"/>
          </w:tcPr>
          <w:p w14:paraId="75BBD9C1">
            <w:pPr>
              <w:rPr>
                <w:rFonts w:ascii="Arial"/>
                <w:sz w:val="21"/>
              </w:rPr>
            </w:pPr>
          </w:p>
        </w:tc>
        <w:tc>
          <w:tcPr>
            <w:tcW w:w="113" w:type="dxa"/>
            <w:tcBorders>
              <w:top w:val="nil"/>
              <w:bottom w:val="nil"/>
            </w:tcBorders>
            <w:vAlign w:val="top"/>
          </w:tcPr>
          <w:p w14:paraId="53574E20">
            <w:pPr>
              <w:rPr>
                <w:rFonts w:ascii="Arial"/>
                <w:sz w:val="21"/>
              </w:rPr>
            </w:pPr>
          </w:p>
        </w:tc>
        <w:tc>
          <w:tcPr>
            <w:tcW w:w="4075" w:type="dxa"/>
            <w:gridSpan w:val="3"/>
            <w:vAlign w:val="top"/>
          </w:tcPr>
          <w:p w14:paraId="4D194380">
            <w:pPr>
              <w:spacing w:before="39" w:line="227" w:lineRule="auto"/>
              <w:ind w:left="160"/>
              <w:rPr>
                <w:rFonts w:ascii="宋体" w:hAnsi="宋体" w:eastAsia="宋体" w:cs="宋体"/>
                <w:sz w:val="20"/>
                <w:szCs w:val="20"/>
              </w:rPr>
            </w:pPr>
            <w:r>
              <w:rPr>
                <w:rFonts w:ascii="宋体" w:hAnsi="宋体" w:eastAsia="宋体" w:cs="宋体"/>
                <w:spacing w:val="8"/>
                <w:sz w:val="20"/>
                <w:szCs w:val="20"/>
              </w:rPr>
              <w:t>（一）禁止建设不符合全国和省级港口布</w:t>
            </w:r>
          </w:p>
          <w:p w14:paraId="463519B9">
            <w:pPr>
              <w:spacing w:before="161" w:line="228" w:lineRule="auto"/>
              <w:ind w:left="152"/>
              <w:rPr>
                <w:rFonts w:ascii="宋体" w:hAnsi="宋体" w:eastAsia="宋体" w:cs="宋体"/>
                <w:sz w:val="20"/>
                <w:szCs w:val="20"/>
              </w:rPr>
            </w:pPr>
            <w:r>
              <w:rPr>
                <w:rFonts w:ascii="宋体" w:hAnsi="宋体" w:eastAsia="宋体" w:cs="宋体"/>
                <w:spacing w:val="9"/>
                <w:sz w:val="20"/>
                <w:szCs w:val="20"/>
              </w:rPr>
              <w:t>局规划以及港口总体规划的码头项目，禁</w:t>
            </w:r>
          </w:p>
          <w:p w14:paraId="0EAEE0DF">
            <w:pPr>
              <w:spacing w:before="163" w:line="227" w:lineRule="auto"/>
              <w:ind w:left="150"/>
              <w:rPr>
                <w:rFonts w:ascii="宋体" w:hAnsi="宋体" w:eastAsia="宋体" w:cs="宋体"/>
                <w:sz w:val="20"/>
                <w:szCs w:val="20"/>
              </w:rPr>
            </w:pPr>
            <w:r>
              <w:rPr>
                <w:rFonts w:ascii="宋体" w:hAnsi="宋体" w:eastAsia="宋体" w:cs="宋体"/>
                <w:spacing w:val="9"/>
                <w:sz w:val="20"/>
                <w:szCs w:val="20"/>
              </w:rPr>
              <w:t>止建设不符合《长江干线过江通道布局规</w:t>
            </w:r>
          </w:p>
          <w:p w14:paraId="572B2772">
            <w:pPr>
              <w:spacing w:before="162" w:line="228" w:lineRule="auto"/>
              <w:ind w:left="989"/>
              <w:rPr>
                <w:rFonts w:ascii="宋体" w:hAnsi="宋体" w:eastAsia="宋体" w:cs="宋体"/>
                <w:sz w:val="20"/>
                <w:szCs w:val="20"/>
              </w:rPr>
            </w:pPr>
            <w:r>
              <w:rPr>
                <w:rFonts w:ascii="宋体" w:hAnsi="宋体" w:eastAsia="宋体" w:cs="宋体"/>
                <w:spacing w:val="8"/>
                <w:sz w:val="20"/>
                <w:szCs w:val="20"/>
              </w:rPr>
              <w:t>划》的过江通道项目。</w:t>
            </w:r>
          </w:p>
        </w:tc>
        <w:tc>
          <w:tcPr>
            <w:tcW w:w="2638" w:type="dxa"/>
            <w:vAlign w:val="top"/>
          </w:tcPr>
          <w:p w14:paraId="0DA1B21B">
            <w:pPr>
              <w:spacing w:before="39" w:line="228" w:lineRule="auto"/>
              <w:ind w:left="177"/>
              <w:rPr>
                <w:rFonts w:ascii="宋体" w:hAnsi="宋体" w:eastAsia="宋体" w:cs="宋体"/>
                <w:sz w:val="20"/>
                <w:szCs w:val="20"/>
              </w:rPr>
            </w:pPr>
            <w:r>
              <w:rPr>
                <w:rFonts w:ascii="宋体" w:hAnsi="宋体" w:eastAsia="宋体" w:cs="宋体"/>
                <w:spacing w:val="8"/>
                <w:sz w:val="20"/>
                <w:szCs w:val="20"/>
              </w:rPr>
              <w:t>项目位于云南省昆明市寻</w:t>
            </w:r>
          </w:p>
          <w:p w14:paraId="38595A1C">
            <w:pPr>
              <w:spacing w:before="161" w:line="228" w:lineRule="auto"/>
              <w:ind w:right="18"/>
              <w:jc w:val="right"/>
              <w:rPr>
                <w:rFonts w:ascii="宋体" w:hAnsi="宋体" w:eastAsia="宋体" w:cs="宋体"/>
                <w:sz w:val="20"/>
                <w:szCs w:val="20"/>
              </w:rPr>
            </w:pPr>
            <w:r>
              <w:rPr>
                <w:rFonts w:ascii="宋体" w:hAnsi="宋体" w:eastAsia="宋体" w:cs="宋体"/>
                <w:spacing w:val="7"/>
                <w:sz w:val="20"/>
                <w:szCs w:val="20"/>
              </w:rPr>
              <w:t>甸特色产业园区金所片区，</w:t>
            </w:r>
          </w:p>
          <w:p w14:paraId="3E53FCFA">
            <w:pPr>
              <w:spacing w:before="163" w:line="228" w:lineRule="auto"/>
              <w:ind w:left="177"/>
              <w:rPr>
                <w:rFonts w:ascii="宋体" w:hAnsi="宋体" w:eastAsia="宋体" w:cs="宋体"/>
                <w:sz w:val="20"/>
                <w:szCs w:val="20"/>
              </w:rPr>
            </w:pPr>
            <w:r>
              <w:rPr>
                <w:rFonts w:ascii="宋体" w:hAnsi="宋体" w:eastAsia="宋体" w:cs="宋体"/>
                <w:spacing w:val="8"/>
                <w:sz w:val="20"/>
                <w:szCs w:val="20"/>
              </w:rPr>
              <w:t>不属于码头或过长江通道</w:t>
            </w:r>
          </w:p>
          <w:p w14:paraId="1BED4DC6">
            <w:pPr>
              <w:spacing w:before="161" w:line="228" w:lineRule="auto"/>
              <w:ind w:left="1017"/>
              <w:rPr>
                <w:rFonts w:ascii="宋体" w:hAnsi="宋体" w:eastAsia="宋体" w:cs="宋体"/>
                <w:sz w:val="20"/>
                <w:szCs w:val="20"/>
              </w:rPr>
            </w:pPr>
            <w:r>
              <w:rPr>
                <w:rFonts w:ascii="宋体" w:hAnsi="宋体" w:eastAsia="宋体" w:cs="宋体"/>
                <w:spacing w:val="2"/>
                <w:sz w:val="20"/>
                <w:szCs w:val="20"/>
              </w:rPr>
              <w:t>项目。</w:t>
            </w:r>
          </w:p>
        </w:tc>
        <w:tc>
          <w:tcPr>
            <w:tcW w:w="759" w:type="dxa"/>
            <w:gridSpan w:val="2"/>
            <w:vAlign w:val="top"/>
          </w:tcPr>
          <w:p w14:paraId="6E525DA5">
            <w:pPr>
              <w:spacing w:line="291" w:lineRule="auto"/>
              <w:rPr>
                <w:rFonts w:ascii="Arial"/>
                <w:sz w:val="21"/>
              </w:rPr>
            </w:pPr>
          </w:p>
          <w:p w14:paraId="55C648C4">
            <w:pPr>
              <w:spacing w:line="291" w:lineRule="auto"/>
              <w:rPr>
                <w:rFonts w:ascii="Arial"/>
                <w:sz w:val="21"/>
              </w:rPr>
            </w:pPr>
          </w:p>
          <w:p w14:paraId="1F25A80B">
            <w:pPr>
              <w:spacing w:before="65" w:line="228" w:lineRule="auto"/>
              <w:ind w:left="183"/>
              <w:rPr>
                <w:rFonts w:ascii="宋体" w:hAnsi="宋体" w:eastAsia="宋体" w:cs="宋体"/>
                <w:sz w:val="20"/>
                <w:szCs w:val="20"/>
              </w:rPr>
            </w:pPr>
            <w:r>
              <w:rPr>
                <w:rFonts w:ascii="宋体" w:hAnsi="宋体" w:eastAsia="宋体" w:cs="宋体"/>
                <w:spacing w:val="4"/>
                <w:sz w:val="20"/>
                <w:szCs w:val="20"/>
              </w:rPr>
              <w:t>相符</w:t>
            </w:r>
          </w:p>
        </w:tc>
        <w:tc>
          <w:tcPr>
            <w:tcW w:w="126" w:type="dxa"/>
            <w:vMerge w:val="continue"/>
            <w:tcBorders>
              <w:top w:val="nil"/>
              <w:bottom w:val="nil"/>
              <w:right w:val="single" w:color="000000" w:sz="6" w:space="0"/>
            </w:tcBorders>
            <w:vAlign w:val="top"/>
          </w:tcPr>
          <w:p w14:paraId="30939DCA">
            <w:pPr>
              <w:rPr>
                <w:rFonts w:ascii="Arial"/>
                <w:sz w:val="21"/>
              </w:rPr>
            </w:pPr>
          </w:p>
        </w:tc>
      </w:tr>
      <w:tr w14:paraId="1CA0B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5" w:hRule="atLeast"/>
        </w:trPr>
        <w:tc>
          <w:tcPr>
            <w:tcW w:w="1161" w:type="dxa"/>
            <w:vMerge w:val="continue"/>
            <w:tcBorders>
              <w:top w:val="nil"/>
              <w:left w:val="single" w:color="000000" w:sz="6" w:space="0"/>
              <w:bottom w:val="nil"/>
            </w:tcBorders>
            <w:vAlign w:val="top"/>
          </w:tcPr>
          <w:p w14:paraId="37DC77AC">
            <w:pPr>
              <w:rPr>
                <w:rFonts w:ascii="Arial"/>
                <w:sz w:val="21"/>
              </w:rPr>
            </w:pPr>
          </w:p>
        </w:tc>
        <w:tc>
          <w:tcPr>
            <w:tcW w:w="113" w:type="dxa"/>
            <w:tcBorders>
              <w:top w:val="nil"/>
              <w:bottom w:val="nil"/>
            </w:tcBorders>
            <w:vAlign w:val="top"/>
          </w:tcPr>
          <w:p w14:paraId="116980FE">
            <w:pPr>
              <w:rPr>
                <w:rFonts w:ascii="Arial"/>
                <w:sz w:val="21"/>
              </w:rPr>
            </w:pPr>
          </w:p>
        </w:tc>
        <w:tc>
          <w:tcPr>
            <w:tcW w:w="4075" w:type="dxa"/>
            <w:gridSpan w:val="3"/>
            <w:vAlign w:val="top"/>
          </w:tcPr>
          <w:p w14:paraId="575929B0">
            <w:pPr>
              <w:spacing w:before="41" w:line="228" w:lineRule="auto"/>
              <w:ind w:left="160"/>
              <w:rPr>
                <w:rFonts w:ascii="宋体" w:hAnsi="宋体" w:eastAsia="宋体" w:cs="宋体"/>
                <w:sz w:val="20"/>
                <w:szCs w:val="20"/>
              </w:rPr>
            </w:pPr>
            <w:r>
              <w:rPr>
                <w:rFonts w:ascii="宋体" w:hAnsi="宋体" w:eastAsia="宋体" w:cs="宋体"/>
                <w:spacing w:val="8"/>
                <w:sz w:val="20"/>
                <w:szCs w:val="20"/>
              </w:rPr>
              <w:t>（二）禁止在自然保护区核心区、缓冲区</w:t>
            </w:r>
          </w:p>
          <w:p w14:paraId="426628D9">
            <w:pPr>
              <w:spacing w:before="160" w:line="228" w:lineRule="auto"/>
              <w:ind w:left="167"/>
              <w:rPr>
                <w:rFonts w:ascii="宋体" w:hAnsi="宋体" w:eastAsia="宋体" w:cs="宋体"/>
                <w:sz w:val="20"/>
                <w:szCs w:val="20"/>
              </w:rPr>
            </w:pPr>
            <w:r>
              <w:rPr>
                <w:rFonts w:ascii="宋体" w:hAnsi="宋体" w:eastAsia="宋体" w:cs="宋体"/>
                <w:spacing w:val="8"/>
                <w:sz w:val="20"/>
                <w:szCs w:val="20"/>
              </w:rPr>
              <w:t>的岸线和河段范围内投资建设旅游和生产</w:t>
            </w:r>
          </w:p>
          <w:p w14:paraId="03A855C9">
            <w:pPr>
              <w:spacing w:before="163" w:line="228" w:lineRule="auto"/>
              <w:ind w:left="151"/>
              <w:rPr>
                <w:rFonts w:ascii="宋体" w:hAnsi="宋体" w:eastAsia="宋体" w:cs="宋体"/>
                <w:sz w:val="20"/>
                <w:szCs w:val="20"/>
              </w:rPr>
            </w:pPr>
            <w:r>
              <w:rPr>
                <w:rFonts w:ascii="宋体" w:hAnsi="宋体" w:eastAsia="宋体" w:cs="宋体"/>
                <w:spacing w:val="9"/>
                <w:sz w:val="20"/>
                <w:szCs w:val="20"/>
              </w:rPr>
              <w:t>经营项目。禁止在风景名胜区核心景区的</w:t>
            </w:r>
          </w:p>
          <w:p w14:paraId="0C20E075">
            <w:pPr>
              <w:spacing w:before="161" w:line="228" w:lineRule="auto"/>
              <w:ind w:left="149"/>
              <w:rPr>
                <w:rFonts w:ascii="宋体" w:hAnsi="宋体" w:eastAsia="宋体" w:cs="宋体"/>
                <w:sz w:val="20"/>
                <w:szCs w:val="20"/>
              </w:rPr>
            </w:pPr>
            <w:r>
              <w:rPr>
                <w:rFonts w:ascii="宋体" w:hAnsi="宋体" w:eastAsia="宋体" w:cs="宋体"/>
                <w:spacing w:val="9"/>
                <w:sz w:val="20"/>
                <w:szCs w:val="20"/>
              </w:rPr>
              <w:t>岸线和河段范围内投资建设与风景名胜资</w:t>
            </w:r>
          </w:p>
          <w:p w14:paraId="5FACF6C2">
            <w:pPr>
              <w:spacing w:before="161" w:line="228" w:lineRule="auto"/>
              <w:ind w:left="1094"/>
              <w:rPr>
                <w:rFonts w:ascii="宋体" w:hAnsi="宋体" w:eastAsia="宋体" w:cs="宋体"/>
                <w:sz w:val="20"/>
                <w:szCs w:val="20"/>
              </w:rPr>
            </w:pPr>
            <w:r>
              <w:rPr>
                <w:rFonts w:ascii="宋体" w:hAnsi="宋体" w:eastAsia="宋体" w:cs="宋体"/>
                <w:spacing w:val="7"/>
                <w:sz w:val="20"/>
                <w:szCs w:val="20"/>
              </w:rPr>
              <w:t>源保护无关的项目。</w:t>
            </w:r>
          </w:p>
        </w:tc>
        <w:tc>
          <w:tcPr>
            <w:tcW w:w="2638" w:type="dxa"/>
            <w:vAlign w:val="top"/>
          </w:tcPr>
          <w:p w14:paraId="10A6F300">
            <w:pPr>
              <w:spacing w:before="41" w:line="228" w:lineRule="auto"/>
              <w:ind w:left="177"/>
              <w:rPr>
                <w:rFonts w:ascii="宋体" w:hAnsi="宋体" w:eastAsia="宋体" w:cs="宋体"/>
                <w:sz w:val="20"/>
                <w:szCs w:val="20"/>
              </w:rPr>
            </w:pPr>
            <w:r>
              <w:rPr>
                <w:rFonts w:ascii="宋体" w:hAnsi="宋体" w:eastAsia="宋体" w:cs="宋体"/>
                <w:spacing w:val="8"/>
                <w:sz w:val="20"/>
                <w:szCs w:val="20"/>
              </w:rPr>
              <w:t>项目位于云南省昆明市寻</w:t>
            </w:r>
          </w:p>
          <w:p w14:paraId="78D80933">
            <w:pPr>
              <w:spacing w:before="160" w:line="228" w:lineRule="auto"/>
              <w:ind w:right="18"/>
              <w:jc w:val="right"/>
              <w:rPr>
                <w:rFonts w:ascii="宋体" w:hAnsi="宋体" w:eastAsia="宋体" w:cs="宋体"/>
                <w:sz w:val="20"/>
                <w:szCs w:val="20"/>
              </w:rPr>
            </w:pPr>
            <w:r>
              <w:rPr>
                <w:rFonts w:ascii="宋体" w:hAnsi="宋体" w:eastAsia="宋体" w:cs="宋体"/>
                <w:spacing w:val="7"/>
                <w:sz w:val="20"/>
                <w:szCs w:val="20"/>
              </w:rPr>
              <w:t>甸特色产业园区金所片区，</w:t>
            </w:r>
          </w:p>
          <w:p w14:paraId="2A032F2C">
            <w:pPr>
              <w:spacing w:before="164" w:line="228" w:lineRule="auto"/>
              <w:ind w:left="177"/>
              <w:rPr>
                <w:rFonts w:ascii="宋体" w:hAnsi="宋体" w:eastAsia="宋体" w:cs="宋体"/>
                <w:sz w:val="20"/>
                <w:szCs w:val="20"/>
              </w:rPr>
            </w:pPr>
            <w:r>
              <w:rPr>
                <w:rFonts w:ascii="宋体" w:hAnsi="宋体" w:eastAsia="宋体" w:cs="宋体"/>
                <w:spacing w:val="8"/>
                <w:sz w:val="20"/>
                <w:szCs w:val="20"/>
              </w:rPr>
              <w:t>项目选址区域不涉及自然</w:t>
            </w:r>
          </w:p>
          <w:p w14:paraId="68794D9C">
            <w:pPr>
              <w:spacing w:before="160" w:line="228" w:lineRule="auto"/>
              <w:ind w:left="117"/>
              <w:rPr>
                <w:rFonts w:ascii="宋体" w:hAnsi="宋体" w:eastAsia="宋体" w:cs="宋体"/>
                <w:sz w:val="20"/>
                <w:szCs w:val="20"/>
              </w:rPr>
            </w:pPr>
            <w:r>
              <w:rPr>
                <w:rFonts w:ascii="宋体" w:hAnsi="宋体" w:eastAsia="宋体" w:cs="宋体"/>
                <w:spacing w:val="1"/>
                <w:sz w:val="20"/>
                <w:szCs w:val="20"/>
              </w:rPr>
              <w:t>保护区、风景名胜区等，不</w:t>
            </w:r>
          </w:p>
          <w:p w14:paraId="29347F3A">
            <w:pPr>
              <w:spacing w:before="161" w:line="228" w:lineRule="auto"/>
              <w:ind w:left="384"/>
              <w:rPr>
                <w:rFonts w:ascii="宋体" w:hAnsi="宋体" w:eastAsia="宋体" w:cs="宋体"/>
                <w:sz w:val="20"/>
                <w:szCs w:val="20"/>
              </w:rPr>
            </w:pPr>
            <w:r>
              <w:rPr>
                <w:rFonts w:ascii="宋体" w:hAnsi="宋体" w:eastAsia="宋体" w:cs="宋体"/>
                <w:spacing w:val="7"/>
                <w:sz w:val="20"/>
                <w:szCs w:val="20"/>
              </w:rPr>
              <w:t>涉及条款禁止行为。</w:t>
            </w:r>
          </w:p>
        </w:tc>
        <w:tc>
          <w:tcPr>
            <w:tcW w:w="759" w:type="dxa"/>
            <w:gridSpan w:val="2"/>
            <w:vAlign w:val="top"/>
          </w:tcPr>
          <w:p w14:paraId="3486FF13">
            <w:pPr>
              <w:spacing w:line="262" w:lineRule="auto"/>
              <w:rPr>
                <w:rFonts w:ascii="Arial"/>
                <w:sz w:val="21"/>
              </w:rPr>
            </w:pPr>
          </w:p>
          <w:p w14:paraId="44FDF491">
            <w:pPr>
              <w:spacing w:line="262" w:lineRule="auto"/>
              <w:rPr>
                <w:rFonts w:ascii="Arial"/>
                <w:sz w:val="21"/>
              </w:rPr>
            </w:pPr>
          </w:p>
          <w:p w14:paraId="363D1F49">
            <w:pPr>
              <w:spacing w:line="263" w:lineRule="auto"/>
              <w:rPr>
                <w:rFonts w:ascii="Arial"/>
                <w:sz w:val="21"/>
              </w:rPr>
            </w:pPr>
          </w:p>
          <w:p w14:paraId="4DC061AE">
            <w:pPr>
              <w:spacing w:before="65" w:line="228" w:lineRule="auto"/>
              <w:ind w:left="183"/>
              <w:rPr>
                <w:rFonts w:ascii="宋体" w:hAnsi="宋体" w:eastAsia="宋体" w:cs="宋体"/>
                <w:sz w:val="20"/>
                <w:szCs w:val="20"/>
              </w:rPr>
            </w:pPr>
            <w:r>
              <w:rPr>
                <w:rFonts w:ascii="宋体" w:hAnsi="宋体" w:eastAsia="宋体" w:cs="宋体"/>
                <w:spacing w:val="4"/>
                <w:sz w:val="20"/>
                <w:szCs w:val="20"/>
              </w:rPr>
              <w:t>相符</w:t>
            </w:r>
          </w:p>
        </w:tc>
        <w:tc>
          <w:tcPr>
            <w:tcW w:w="126" w:type="dxa"/>
            <w:vMerge w:val="continue"/>
            <w:tcBorders>
              <w:top w:val="nil"/>
              <w:bottom w:val="nil"/>
              <w:right w:val="single" w:color="000000" w:sz="6" w:space="0"/>
            </w:tcBorders>
            <w:vAlign w:val="top"/>
          </w:tcPr>
          <w:p w14:paraId="5A819F3A">
            <w:pPr>
              <w:rPr>
                <w:rFonts w:ascii="Arial"/>
                <w:sz w:val="21"/>
              </w:rPr>
            </w:pPr>
          </w:p>
        </w:tc>
      </w:tr>
      <w:tr w14:paraId="78BDC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 w:hRule="atLeast"/>
        </w:trPr>
        <w:tc>
          <w:tcPr>
            <w:tcW w:w="1161" w:type="dxa"/>
            <w:vMerge w:val="continue"/>
            <w:tcBorders>
              <w:top w:val="nil"/>
              <w:left w:val="single" w:color="000000" w:sz="6" w:space="0"/>
              <w:bottom w:val="single" w:color="000000" w:sz="6" w:space="0"/>
            </w:tcBorders>
            <w:vAlign w:val="top"/>
          </w:tcPr>
          <w:p w14:paraId="75CCD51E">
            <w:pPr>
              <w:rPr>
                <w:rFonts w:ascii="Arial"/>
                <w:sz w:val="21"/>
              </w:rPr>
            </w:pPr>
          </w:p>
        </w:tc>
        <w:tc>
          <w:tcPr>
            <w:tcW w:w="113" w:type="dxa"/>
            <w:tcBorders>
              <w:top w:val="nil"/>
              <w:bottom w:val="single" w:color="000000" w:sz="6" w:space="0"/>
            </w:tcBorders>
            <w:vAlign w:val="top"/>
          </w:tcPr>
          <w:p w14:paraId="01C07CAB">
            <w:pPr>
              <w:rPr>
                <w:rFonts w:ascii="Arial"/>
                <w:sz w:val="21"/>
              </w:rPr>
            </w:pPr>
          </w:p>
        </w:tc>
        <w:tc>
          <w:tcPr>
            <w:tcW w:w="4075" w:type="dxa"/>
            <w:gridSpan w:val="3"/>
            <w:tcBorders>
              <w:bottom w:val="single" w:color="000000" w:sz="6" w:space="0"/>
            </w:tcBorders>
            <w:vAlign w:val="top"/>
          </w:tcPr>
          <w:p w14:paraId="340E6EA9">
            <w:pPr>
              <w:spacing w:before="46" w:line="371" w:lineRule="auto"/>
              <w:ind w:left="152" w:right="148" w:firstLine="7"/>
              <w:jc w:val="both"/>
              <w:rPr>
                <w:rFonts w:ascii="宋体" w:hAnsi="宋体" w:eastAsia="宋体" w:cs="宋体"/>
                <w:sz w:val="20"/>
                <w:szCs w:val="20"/>
              </w:rPr>
            </w:pPr>
            <w:r>
              <w:rPr>
                <w:rFonts w:ascii="宋体" w:hAnsi="宋体" w:eastAsia="宋体" w:cs="宋体"/>
                <w:spacing w:val="8"/>
                <w:sz w:val="20"/>
                <w:szCs w:val="20"/>
              </w:rPr>
              <w:t>（三）禁止在饮用水水源一级保护区的岸</w:t>
            </w:r>
            <w:r>
              <w:rPr>
                <w:rFonts w:ascii="宋体" w:hAnsi="宋体" w:eastAsia="宋体" w:cs="宋体"/>
                <w:spacing w:val="9"/>
                <w:sz w:val="20"/>
                <w:szCs w:val="20"/>
              </w:rPr>
              <w:t>线和河段范围内新建、改建、扩建与供水设施和保护水源无关的项目，以及网箱养</w:t>
            </w:r>
          </w:p>
        </w:tc>
        <w:tc>
          <w:tcPr>
            <w:tcW w:w="2638" w:type="dxa"/>
            <w:tcBorders>
              <w:bottom w:val="single" w:color="000000" w:sz="6" w:space="0"/>
            </w:tcBorders>
            <w:vAlign w:val="top"/>
          </w:tcPr>
          <w:p w14:paraId="5F4097D4">
            <w:pPr>
              <w:spacing w:before="46" w:line="371" w:lineRule="auto"/>
              <w:ind w:left="121" w:right="57" w:firstLine="55"/>
              <w:jc w:val="both"/>
              <w:rPr>
                <w:rFonts w:ascii="宋体" w:hAnsi="宋体" w:eastAsia="宋体" w:cs="宋体"/>
                <w:sz w:val="20"/>
                <w:szCs w:val="20"/>
              </w:rPr>
            </w:pPr>
            <w:r>
              <w:rPr>
                <w:rFonts w:ascii="宋体" w:hAnsi="宋体" w:eastAsia="宋体" w:cs="宋体"/>
                <w:spacing w:val="8"/>
                <w:sz w:val="20"/>
                <w:szCs w:val="20"/>
              </w:rPr>
              <w:t>项目位于云南省昆明市寻</w:t>
            </w:r>
            <w:r>
              <w:rPr>
                <w:rFonts w:ascii="宋体" w:hAnsi="宋体" w:eastAsia="宋体" w:cs="宋体"/>
                <w:spacing w:val="4"/>
                <w:sz w:val="20"/>
                <w:szCs w:val="20"/>
              </w:rPr>
              <w:t>甸特色产业园区金所片区，</w:t>
            </w:r>
            <w:r>
              <w:rPr>
                <w:rFonts w:ascii="宋体" w:hAnsi="宋体" w:eastAsia="宋体" w:cs="宋体"/>
                <w:spacing w:val="13"/>
                <w:sz w:val="20"/>
                <w:szCs w:val="20"/>
              </w:rPr>
              <w:t>项目选址区域不涉及饮用</w:t>
            </w:r>
          </w:p>
        </w:tc>
        <w:tc>
          <w:tcPr>
            <w:tcW w:w="759" w:type="dxa"/>
            <w:gridSpan w:val="2"/>
            <w:tcBorders>
              <w:bottom w:val="single" w:color="000000" w:sz="6" w:space="0"/>
            </w:tcBorders>
            <w:vAlign w:val="top"/>
          </w:tcPr>
          <w:p w14:paraId="45D44577">
            <w:pPr>
              <w:spacing w:line="386" w:lineRule="auto"/>
              <w:rPr>
                <w:rFonts w:ascii="Arial"/>
                <w:sz w:val="21"/>
              </w:rPr>
            </w:pPr>
          </w:p>
          <w:p w14:paraId="6D44A61F">
            <w:pPr>
              <w:spacing w:before="65" w:line="228" w:lineRule="auto"/>
              <w:ind w:left="183"/>
              <w:rPr>
                <w:rFonts w:ascii="宋体" w:hAnsi="宋体" w:eastAsia="宋体" w:cs="宋体"/>
                <w:sz w:val="20"/>
                <w:szCs w:val="20"/>
              </w:rPr>
            </w:pPr>
            <w:r>
              <w:rPr>
                <w:rFonts w:ascii="宋体" w:hAnsi="宋体" w:eastAsia="宋体" w:cs="宋体"/>
                <w:spacing w:val="4"/>
                <w:sz w:val="20"/>
                <w:szCs w:val="20"/>
              </w:rPr>
              <w:t>相符</w:t>
            </w:r>
          </w:p>
        </w:tc>
        <w:tc>
          <w:tcPr>
            <w:tcW w:w="126" w:type="dxa"/>
            <w:vMerge w:val="continue"/>
            <w:tcBorders>
              <w:top w:val="nil"/>
              <w:bottom w:val="single" w:color="000000" w:sz="6" w:space="0"/>
              <w:right w:val="single" w:color="000000" w:sz="6" w:space="0"/>
            </w:tcBorders>
            <w:vAlign w:val="top"/>
          </w:tcPr>
          <w:p w14:paraId="4C8922E7">
            <w:pPr>
              <w:rPr>
                <w:rFonts w:ascii="Arial"/>
                <w:sz w:val="21"/>
              </w:rPr>
            </w:pPr>
          </w:p>
        </w:tc>
      </w:tr>
    </w:tbl>
    <w:p w14:paraId="754C68EF">
      <w:pPr>
        <w:pStyle w:val="2"/>
      </w:pPr>
    </w:p>
    <w:p w14:paraId="5227C9B5">
      <w:pPr>
        <w:sectPr>
          <w:footerReference r:id="rId33" w:type="default"/>
          <w:pgSz w:w="11906" w:h="16839"/>
          <w:pgMar w:top="400" w:right="1509" w:bottom="1329" w:left="1509" w:header="0" w:footer="1113" w:gutter="0"/>
          <w:cols w:space="720" w:num="1"/>
        </w:sectPr>
      </w:pPr>
    </w:p>
    <w:p w14:paraId="083E9B7D">
      <w:pPr>
        <w:spacing w:before="19"/>
      </w:pPr>
      <w:r>
        <w:pict>
          <v:shape id="_x0000_s1039" o:spid="_x0000_s1039" style="position:absolute;left:0pt;margin-left:139pt;margin-top:742.1pt;height:0.5pt;width:374.8pt;mso-position-horizontal-relative:page;mso-position-vertical-relative:page;z-index:251662336;mso-width-relative:page;mso-height-relative:page;" filled="f" stroked="t" coordsize="7495,10" o:allowincell="f" path="m0,4l7495,4e">
            <v:fill on="f" focussize="0,0"/>
            <v:stroke weight="0.48pt" color="#000000" miterlimit="2" joinstyle="bevel"/>
            <v:imagedata o:title=""/>
            <o:lock v:ext="edit"/>
          </v:shape>
        </w:pict>
      </w:r>
    </w:p>
    <w:p w14:paraId="575D7222">
      <w:pPr>
        <w:spacing w:before="19"/>
      </w:pPr>
    </w:p>
    <w:p w14:paraId="23B2FA69">
      <w:pPr>
        <w:spacing w:before="19"/>
      </w:pPr>
    </w:p>
    <w:p w14:paraId="3515AECE">
      <w:pPr>
        <w:spacing w:before="18"/>
      </w:pPr>
    </w:p>
    <w:p w14:paraId="066955F1">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4076"/>
        <w:gridCol w:w="2638"/>
        <w:gridCol w:w="759"/>
        <w:gridCol w:w="125"/>
      </w:tblGrid>
      <w:tr w14:paraId="1F254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2" w:hRule="atLeast"/>
        </w:trPr>
        <w:tc>
          <w:tcPr>
            <w:tcW w:w="1161" w:type="dxa"/>
            <w:vMerge w:val="restart"/>
            <w:tcBorders>
              <w:top w:val="single" w:color="000000" w:sz="6" w:space="0"/>
              <w:left w:val="single" w:color="000000" w:sz="6" w:space="0"/>
              <w:bottom w:val="nil"/>
            </w:tcBorders>
            <w:vAlign w:val="top"/>
          </w:tcPr>
          <w:p w14:paraId="793FC92A">
            <w:pPr>
              <w:rPr>
                <w:rFonts w:ascii="Arial"/>
                <w:sz w:val="21"/>
              </w:rPr>
            </w:pPr>
          </w:p>
        </w:tc>
        <w:tc>
          <w:tcPr>
            <w:tcW w:w="113" w:type="dxa"/>
            <w:tcBorders>
              <w:top w:val="single" w:color="000000" w:sz="6" w:space="0"/>
              <w:bottom w:val="nil"/>
            </w:tcBorders>
            <w:vAlign w:val="top"/>
          </w:tcPr>
          <w:p w14:paraId="6FE33839">
            <w:pPr>
              <w:rPr>
                <w:rFonts w:ascii="Arial"/>
                <w:sz w:val="21"/>
              </w:rPr>
            </w:pPr>
          </w:p>
        </w:tc>
        <w:tc>
          <w:tcPr>
            <w:tcW w:w="4076" w:type="dxa"/>
            <w:vAlign w:val="top"/>
          </w:tcPr>
          <w:p w14:paraId="3F9481AB">
            <w:pPr>
              <w:spacing w:before="37" w:line="228" w:lineRule="auto"/>
              <w:ind w:left="150"/>
              <w:rPr>
                <w:rFonts w:ascii="宋体" w:hAnsi="宋体" w:eastAsia="宋体" w:cs="宋体"/>
                <w:sz w:val="20"/>
                <w:szCs w:val="20"/>
              </w:rPr>
            </w:pPr>
            <w:r>
              <w:rPr>
                <w:rFonts w:ascii="宋体" w:hAnsi="宋体" w:eastAsia="宋体" w:cs="宋体"/>
                <w:spacing w:val="9"/>
                <w:sz w:val="20"/>
                <w:szCs w:val="20"/>
              </w:rPr>
              <w:t>殖、畜禽养殖、旅游等可能污染饮用水水</w:t>
            </w:r>
          </w:p>
          <w:p w14:paraId="318C2200">
            <w:pPr>
              <w:spacing w:before="160" w:line="228" w:lineRule="auto"/>
              <w:ind w:left="149"/>
              <w:rPr>
                <w:rFonts w:ascii="宋体" w:hAnsi="宋体" w:eastAsia="宋体" w:cs="宋体"/>
                <w:sz w:val="20"/>
                <w:szCs w:val="20"/>
              </w:rPr>
            </w:pPr>
            <w:r>
              <w:rPr>
                <w:rFonts w:ascii="宋体" w:hAnsi="宋体" w:eastAsia="宋体" w:cs="宋体"/>
                <w:spacing w:val="9"/>
                <w:sz w:val="20"/>
                <w:szCs w:val="20"/>
              </w:rPr>
              <w:t>体的投资建设项目。禁止在饮用水水源二</w:t>
            </w:r>
          </w:p>
          <w:p w14:paraId="2F503629">
            <w:pPr>
              <w:spacing w:before="161" w:line="228" w:lineRule="auto"/>
              <w:ind w:right="11"/>
              <w:jc w:val="right"/>
              <w:rPr>
                <w:rFonts w:ascii="宋体" w:hAnsi="宋体" w:eastAsia="宋体" w:cs="宋体"/>
                <w:sz w:val="20"/>
                <w:szCs w:val="20"/>
              </w:rPr>
            </w:pPr>
            <w:r>
              <w:rPr>
                <w:rFonts w:ascii="宋体" w:hAnsi="宋体" w:eastAsia="宋体" w:cs="宋体"/>
                <w:spacing w:val="7"/>
                <w:sz w:val="20"/>
                <w:szCs w:val="20"/>
              </w:rPr>
              <w:t>级保护区的岸线和河段范围内新建、改建、</w:t>
            </w:r>
          </w:p>
          <w:p w14:paraId="77170746">
            <w:pPr>
              <w:spacing w:before="161" w:line="228" w:lineRule="auto"/>
              <w:ind w:left="466"/>
              <w:rPr>
                <w:rFonts w:ascii="宋体" w:hAnsi="宋体" w:eastAsia="宋体" w:cs="宋体"/>
                <w:sz w:val="20"/>
                <w:szCs w:val="20"/>
              </w:rPr>
            </w:pPr>
            <w:r>
              <w:rPr>
                <w:rFonts w:ascii="宋体" w:hAnsi="宋体" w:eastAsia="宋体" w:cs="宋体"/>
                <w:spacing w:val="8"/>
                <w:sz w:val="20"/>
                <w:szCs w:val="20"/>
              </w:rPr>
              <w:t>扩建排放污染物的投资建设项目。</w:t>
            </w:r>
          </w:p>
        </w:tc>
        <w:tc>
          <w:tcPr>
            <w:tcW w:w="2638" w:type="dxa"/>
            <w:vAlign w:val="top"/>
          </w:tcPr>
          <w:p w14:paraId="037EF7D6">
            <w:pPr>
              <w:spacing w:before="37" w:line="228" w:lineRule="auto"/>
              <w:ind w:left="118"/>
              <w:rPr>
                <w:rFonts w:ascii="宋体" w:hAnsi="宋体" w:eastAsia="宋体" w:cs="宋体"/>
                <w:sz w:val="20"/>
                <w:szCs w:val="20"/>
              </w:rPr>
            </w:pPr>
            <w:r>
              <w:rPr>
                <w:rFonts w:ascii="宋体" w:hAnsi="宋体" w:eastAsia="宋体" w:cs="宋体"/>
                <w:spacing w:val="1"/>
                <w:sz w:val="20"/>
                <w:szCs w:val="20"/>
              </w:rPr>
              <w:t>水水源一、二级保护区，不</w:t>
            </w:r>
          </w:p>
          <w:p w14:paraId="6A650D7B">
            <w:pPr>
              <w:spacing w:before="160" w:line="228" w:lineRule="auto"/>
              <w:ind w:left="383"/>
              <w:rPr>
                <w:rFonts w:ascii="宋体" w:hAnsi="宋体" w:eastAsia="宋体" w:cs="宋体"/>
                <w:sz w:val="20"/>
                <w:szCs w:val="20"/>
              </w:rPr>
            </w:pPr>
            <w:r>
              <w:rPr>
                <w:rFonts w:ascii="宋体" w:hAnsi="宋体" w:eastAsia="宋体" w:cs="宋体"/>
                <w:spacing w:val="7"/>
                <w:sz w:val="20"/>
                <w:szCs w:val="20"/>
              </w:rPr>
              <w:t>涉及条款禁止行为。</w:t>
            </w:r>
          </w:p>
        </w:tc>
        <w:tc>
          <w:tcPr>
            <w:tcW w:w="759" w:type="dxa"/>
            <w:vAlign w:val="top"/>
          </w:tcPr>
          <w:p w14:paraId="745CB4AF">
            <w:pPr>
              <w:rPr>
                <w:rFonts w:ascii="Arial"/>
                <w:sz w:val="21"/>
              </w:rPr>
            </w:pPr>
          </w:p>
        </w:tc>
        <w:tc>
          <w:tcPr>
            <w:tcW w:w="125" w:type="dxa"/>
            <w:vMerge w:val="restart"/>
            <w:tcBorders>
              <w:top w:val="single" w:color="000000" w:sz="6" w:space="0"/>
              <w:bottom w:val="nil"/>
              <w:right w:val="single" w:color="000000" w:sz="6" w:space="0"/>
            </w:tcBorders>
            <w:vAlign w:val="top"/>
          </w:tcPr>
          <w:p w14:paraId="46A3D120">
            <w:pPr>
              <w:rPr>
                <w:rFonts w:ascii="Arial"/>
                <w:sz w:val="21"/>
              </w:rPr>
            </w:pPr>
          </w:p>
        </w:tc>
      </w:tr>
      <w:tr w14:paraId="2E2D9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3" w:hRule="atLeast"/>
        </w:trPr>
        <w:tc>
          <w:tcPr>
            <w:tcW w:w="1161" w:type="dxa"/>
            <w:vMerge w:val="continue"/>
            <w:tcBorders>
              <w:top w:val="nil"/>
              <w:left w:val="single" w:color="000000" w:sz="6" w:space="0"/>
              <w:bottom w:val="nil"/>
            </w:tcBorders>
            <w:vAlign w:val="top"/>
          </w:tcPr>
          <w:p w14:paraId="70D8129C">
            <w:pPr>
              <w:rPr>
                <w:rFonts w:ascii="Arial"/>
                <w:sz w:val="21"/>
              </w:rPr>
            </w:pPr>
          </w:p>
        </w:tc>
        <w:tc>
          <w:tcPr>
            <w:tcW w:w="113" w:type="dxa"/>
            <w:tcBorders>
              <w:top w:val="nil"/>
              <w:bottom w:val="nil"/>
            </w:tcBorders>
            <w:vAlign w:val="top"/>
          </w:tcPr>
          <w:p w14:paraId="5644084F">
            <w:pPr>
              <w:rPr>
                <w:rFonts w:ascii="Arial"/>
                <w:sz w:val="21"/>
              </w:rPr>
            </w:pPr>
          </w:p>
        </w:tc>
        <w:tc>
          <w:tcPr>
            <w:tcW w:w="4076" w:type="dxa"/>
            <w:vAlign w:val="top"/>
          </w:tcPr>
          <w:p w14:paraId="5BBAAC43">
            <w:pPr>
              <w:spacing w:before="34" w:line="228" w:lineRule="auto"/>
              <w:ind w:left="160"/>
              <w:rPr>
                <w:rFonts w:ascii="宋体" w:hAnsi="宋体" w:eastAsia="宋体" w:cs="宋体"/>
                <w:sz w:val="20"/>
                <w:szCs w:val="20"/>
              </w:rPr>
            </w:pPr>
            <w:r>
              <w:rPr>
                <w:rFonts w:ascii="宋体" w:hAnsi="宋体" w:eastAsia="宋体" w:cs="宋体"/>
                <w:spacing w:val="8"/>
                <w:sz w:val="20"/>
                <w:szCs w:val="20"/>
              </w:rPr>
              <w:t>（四）禁止在水产种质资源保护区的岸线</w:t>
            </w:r>
          </w:p>
          <w:p w14:paraId="11C09176">
            <w:pPr>
              <w:spacing w:before="161" w:line="228" w:lineRule="auto"/>
              <w:ind w:left="150"/>
              <w:rPr>
                <w:rFonts w:ascii="宋体" w:hAnsi="宋体" w:eastAsia="宋体" w:cs="宋体"/>
                <w:sz w:val="20"/>
                <w:szCs w:val="20"/>
              </w:rPr>
            </w:pPr>
            <w:r>
              <w:rPr>
                <w:rFonts w:ascii="宋体" w:hAnsi="宋体" w:eastAsia="宋体" w:cs="宋体"/>
                <w:spacing w:val="9"/>
                <w:sz w:val="20"/>
                <w:szCs w:val="20"/>
              </w:rPr>
              <w:t>和河段范围内新建围湖造田、围海造地或</w:t>
            </w:r>
          </w:p>
          <w:p w14:paraId="04860867">
            <w:pPr>
              <w:spacing w:before="161" w:line="228" w:lineRule="auto"/>
              <w:ind w:left="168"/>
              <w:rPr>
                <w:rFonts w:ascii="宋体" w:hAnsi="宋体" w:eastAsia="宋体" w:cs="宋体"/>
                <w:sz w:val="20"/>
                <w:szCs w:val="20"/>
              </w:rPr>
            </w:pPr>
            <w:r>
              <w:rPr>
                <w:rFonts w:ascii="宋体" w:hAnsi="宋体" w:eastAsia="宋体" w:cs="宋体"/>
                <w:spacing w:val="8"/>
                <w:sz w:val="20"/>
                <w:szCs w:val="20"/>
              </w:rPr>
              <w:t>围填海等投资建设项目。禁止在国家湿地</w:t>
            </w:r>
          </w:p>
          <w:p w14:paraId="104B7398">
            <w:pPr>
              <w:spacing w:before="161" w:line="227" w:lineRule="auto"/>
              <w:ind w:left="156"/>
              <w:rPr>
                <w:rFonts w:ascii="宋体" w:hAnsi="宋体" w:eastAsia="宋体" w:cs="宋体"/>
                <w:sz w:val="20"/>
                <w:szCs w:val="20"/>
              </w:rPr>
            </w:pPr>
            <w:r>
              <w:rPr>
                <w:rFonts w:ascii="宋体" w:hAnsi="宋体" w:eastAsia="宋体" w:cs="宋体"/>
                <w:spacing w:val="10"/>
                <w:sz w:val="20"/>
                <w:szCs w:val="20"/>
              </w:rPr>
              <w:t>公园的岸线和河段范围内挖沙、采矿，以</w:t>
            </w:r>
          </w:p>
          <w:p w14:paraId="45F1D969">
            <w:pPr>
              <w:spacing w:before="161" w:line="228" w:lineRule="auto"/>
              <w:ind w:left="149"/>
              <w:rPr>
                <w:rFonts w:ascii="宋体" w:hAnsi="宋体" w:eastAsia="宋体" w:cs="宋体"/>
                <w:sz w:val="20"/>
                <w:szCs w:val="20"/>
              </w:rPr>
            </w:pPr>
            <w:r>
              <w:rPr>
                <w:rFonts w:ascii="宋体" w:hAnsi="宋体" w:eastAsia="宋体" w:cs="宋体"/>
                <w:spacing w:val="9"/>
                <w:sz w:val="20"/>
                <w:szCs w:val="20"/>
              </w:rPr>
              <w:t>及任何不符合主体功能定位的投资建设项</w:t>
            </w:r>
          </w:p>
          <w:p w14:paraId="77E36E24">
            <w:pPr>
              <w:spacing w:before="160" w:line="231" w:lineRule="auto"/>
              <w:ind w:left="1869"/>
              <w:rPr>
                <w:rFonts w:ascii="宋体" w:hAnsi="宋体" w:eastAsia="宋体" w:cs="宋体"/>
                <w:sz w:val="20"/>
                <w:szCs w:val="20"/>
              </w:rPr>
            </w:pPr>
            <w:r>
              <w:rPr>
                <w:rFonts w:ascii="宋体" w:hAnsi="宋体" w:eastAsia="宋体" w:cs="宋体"/>
                <w:spacing w:val="-20"/>
                <w:sz w:val="20"/>
                <w:szCs w:val="20"/>
              </w:rPr>
              <w:t>目。</w:t>
            </w:r>
          </w:p>
        </w:tc>
        <w:tc>
          <w:tcPr>
            <w:tcW w:w="2638" w:type="dxa"/>
            <w:vAlign w:val="top"/>
          </w:tcPr>
          <w:p w14:paraId="7B5EC7FE">
            <w:pPr>
              <w:spacing w:before="34" w:line="228" w:lineRule="auto"/>
              <w:ind w:left="176"/>
              <w:rPr>
                <w:rFonts w:ascii="宋体" w:hAnsi="宋体" w:eastAsia="宋体" w:cs="宋体"/>
                <w:sz w:val="20"/>
                <w:szCs w:val="20"/>
              </w:rPr>
            </w:pPr>
            <w:r>
              <w:rPr>
                <w:rFonts w:ascii="宋体" w:hAnsi="宋体" w:eastAsia="宋体" w:cs="宋体"/>
                <w:spacing w:val="8"/>
                <w:sz w:val="20"/>
                <w:szCs w:val="20"/>
              </w:rPr>
              <w:t>项目不属于在水产种质资</w:t>
            </w:r>
          </w:p>
          <w:p w14:paraId="38A2DEAE">
            <w:pPr>
              <w:spacing w:before="161" w:line="228" w:lineRule="auto"/>
              <w:ind w:left="172"/>
              <w:rPr>
                <w:rFonts w:ascii="宋体" w:hAnsi="宋体" w:eastAsia="宋体" w:cs="宋体"/>
                <w:sz w:val="20"/>
                <w:szCs w:val="20"/>
              </w:rPr>
            </w:pPr>
            <w:r>
              <w:rPr>
                <w:rFonts w:ascii="宋体" w:hAnsi="宋体" w:eastAsia="宋体" w:cs="宋体"/>
                <w:spacing w:val="9"/>
                <w:sz w:val="20"/>
                <w:szCs w:val="20"/>
              </w:rPr>
              <w:t>源保护区的岸线和河段范</w:t>
            </w:r>
          </w:p>
          <w:p w14:paraId="4CDE2835">
            <w:pPr>
              <w:spacing w:before="160" w:line="228" w:lineRule="auto"/>
              <w:ind w:left="134"/>
              <w:rPr>
                <w:rFonts w:ascii="宋体" w:hAnsi="宋体" w:eastAsia="宋体" w:cs="宋体"/>
                <w:sz w:val="20"/>
                <w:szCs w:val="20"/>
              </w:rPr>
            </w:pPr>
            <w:r>
              <w:rPr>
                <w:rFonts w:ascii="宋体" w:hAnsi="宋体" w:eastAsia="宋体" w:cs="宋体"/>
                <w:spacing w:val="-1"/>
                <w:sz w:val="20"/>
                <w:szCs w:val="20"/>
              </w:rPr>
              <w:t>围内新建围湖造田、围海造</w:t>
            </w:r>
          </w:p>
          <w:p w14:paraId="7901A9F3">
            <w:pPr>
              <w:spacing w:before="160" w:line="228" w:lineRule="auto"/>
              <w:ind w:left="173"/>
              <w:rPr>
                <w:rFonts w:ascii="宋体" w:hAnsi="宋体" w:eastAsia="宋体" w:cs="宋体"/>
                <w:sz w:val="20"/>
                <w:szCs w:val="20"/>
              </w:rPr>
            </w:pPr>
            <w:r>
              <w:rPr>
                <w:rFonts w:ascii="宋体" w:hAnsi="宋体" w:eastAsia="宋体" w:cs="宋体"/>
                <w:spacing w:val="9"/>
                <w:sz w:val="20"/>
                <w:szCs w:val="20"/>
              </w:rPr>
              <w:t>地或围填海等投资建设项</w:t>
            </w:r>
          </w:p>
          <w:p w14:paraId="258FFBE5">
            <w:pPr>
              <w:spacing w:before="161" w:line="228" w:lineRule="auto"/>
              <w:ind w:left="155"/>
              <w:rPr>
                <w:rFonts w:ascii="宋体" w:hAnsi="宋体" w:eastAsia="宋体" w:cs="宋体"/>
                <w:sz w:val="20"/>
                <w:szCs w:val="20"/>
              </w:rPr>
            </w:pPr>
            <w:r>
              <w:rPr>
                <w:rFonts w:ascii="宋体" w:hAnsi="宋体" w:eastAsia="宋体" w:cs="宋体"/>
                <w:spacing w:val="-2"/>
                <w:sz w:val="20"/>
                <w:szCs w:val="20"/>
              </w:rPr>
              <w:t>目，项目符合主体功能定位</w:t>
            </w:r>
          </w:p>
          <w:p w14:paraId="25B6EF3F">
            <w:pPr>
              <w:spacing w:before="161" w:line="228" w:lineRule="auto"/>
              <w:ind w:left="504"/>
              <w:rPr>
                <w:rFonts w:ascii="宋体" w:hAnsi="宋体" w:eastAsia="宋体" w:cs="宋体"/>
                <w:sz w:val="20"/>
                <w:szCs w:val="20"/>
              </w:rPr>
            </w:pPr>
            <w:r>
              <w:rPr>
                <w:rFonts w:ascii="宋体" w:hAnsi="宋体" w:eastAsia="宋体" w:cs="宋体"/>
                <w:spacing w:val="5"/>
                <w:sz w:val="20"/>
                <w:szCs w:val="20"/>
              </w:rPr>
              <w:t>的投资建设项目。</w:t>
            </w:r>
          </w:p>
        </w:tc>
        <w:tc>
          <w:tcPr>
            <w:tcW w:w="759" w:type="dxa"/>
            <w:vAlign w:val="top"/>
          </w:tcPr>
          <w:p w14:paraId="01440B42">
            <w:pPr>
              <w:spacing w:line="245" w:lineRule="auto"/>
              <w:rPr>
                <w:rFonts w:ascii="Arial"/>
                <w:sz w:val="21"/>
              </w:rPr>
            </w:pPr>
          </w:p>
          <w:p w14:paraId="3071D802">
            <w:pPr>
              <w:spacing w:line="246" w:lineRule="auto"/>
              <w:rPr>
                <w:rFonts w:ascii="Arial"/>
                <w:sz w:val="21"/>
              </w:rPr>
            </w:pPr>
          </w:p>
          <w:p w14:paraId="15288B05">
            <w:pPr>
              <w:spacing w:line="246" w:lineRule="auto"/>
              <w:rPr>
                <w:rFonts w:ascii="Arial"/>
                <w:sz w:val="21"/>
              </w:rPr>
            </w:pPr>
          </w:p>
          <w:p w14:paraId="7F8DD91C">
            <w:pPr>
              <w:spacing w:line="246" w:lineRule="auto"/>
              <w:rPr>
                <w:rFonts w:ascii="Arial"/>
                <w:sz w:val="21"/>
              </w:rPr>
            </w:pPr>
          </w:p>
          <w:p w14:paraId="5A07E39F">
            <w:pPr>
              <w:spacing w:before="65" w:line="228" w:lineRule="auto"/>
              <w:ind w:left="182"/>
              <w:rPr>
                <w:rFonts w:ascii="宋体" w:hAnsi="宋体" w:eastAsia="宋体" w:cs="宋体"/>
                <w:sz w:val="20"/>
                <w:szCs w:val="20"/>
              </w:rPr>
            </w:pPr>
            <w:r>
              <w:rPr>
                <w:rFonts w:ascii="宋体" w:hAnsi="宋体" w:eastAsia="宋体" w:cs="宋体"/>
                <w:spacing w:val="4"/>
                <w:sz w:val="20"/>
                <w:szCs w:val="20"/>
              </w:rPr>
              <w:t>相符</w:t>
            </w:r>
          </w:p>
        </w:tc>
        <w:tc>
          <w:tcPr>
            <w:tcW w:w="125" w:type="dxa"/>
            <w:vMerge w:val="continue"/>
            <w:tcBorders>
              <w:top w:val="nil"/>
              <w:bottom w:val="nil"/>
              <w:right w:val="single" w:color="000000" w:sz="6" w:space="0"/>
            </w:tcBorders>
            <w:vAlign w:val="top"/>
          </w:tcPr>
          <w:p w14:paraId="1F0E06A1">
            <w:pPr>
              <w:rPr>
                <w:rFonts w:ascii="Arial"/>
                <w:sz w:val="21"/>
              </w:rPr>
            </w:pPr>
          </w:p>
        </w:tc>
      </w:tr>
      <w:tr w14:paraId="07813A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5" w:hRule="atLeast"/>
        </w:trPr>
        <w:tc>
          <w:tcPr>
            <w:tcW w:w="1161" w:type="dxa"/>
            <w:vMerge w:val="continue"/>
            <w:tcBorders>
              <w:top w:val="nil"/>
              <w:left w:val="single" w:color="000000" w:sz="6" w:space="0"/>
              <w:bottom w:val="nil"/>
            </w:tcBorders>
            <w:vAlign w:val="top"/>
          </w:tcPr>
          <w:p w14:paraId="032A92C1">
            <w:pPr>
              <w:rPr>
                <w:rFonts w:ascii="Arial"/>
                <w:sz w:val="21"/>
              </w:rPr>
            </w:pPr>
          </w:p>
        </w:tc>
        <w:tc>
          <w:tcPr>
            <w:tcW w:w="113" w:type="dxa"/>
            <w:tcBorders>
              <w:top w:val="nil"/>
              <w:bottom w:val="nil"/>
            </w:tcBorders>
            <w:vAlign w:val="top"/>
          </w:tcPr>
          <w:p w14:paraId="1B7CF91A">
            <w:pPr>
              <w:rPr>
                <w:rFonts w:ascii="Arial"/>
                <w:sz w:val="21"/>
              </w:rPr>
            </w:pPr>
          </w:p>
        </w:tc>
        <w:tc>
          <w:tcPr>
            <w:tcW w:w="4076" w:type="dxa"/>
            <w:vAlign w:val="top"/>
          </w:tcPr>
          <w:p w14:paraId="054F8010">
            <w:pPr>
              <w:spacing w:before="36" w:line="228" w:lineRule="auto"/>
              <w:ind w:left="160"/>
              <w:rPr>
                <w:rFonts w:ascii="宋体" w:hAnsi="宋体" w:eastAsia="宋体" w:cs="宋体"/>
                <w:sz w:val="20"/>
                <w:szCs w:val="20"/>
              </w:rPr>
            </w:pPr>
            <w:r>
              <w:rPr>
                <w:rFonts w:ascii="宋体" w:hAnsi="宋体" w:eastAsia="宋体" w:cs="宋体"/>
                <w:spacing w:val="6"/>
                <w:sz w:val="20"/>
                <w:szCs w:val="20"/>
              </w:rPr>
              <w:t>（五）禁止违法利用、</w:t>
            </w:r>
            <w:r>
              <w:rPr>
                <w:rFonts w:ascii="宋体" w:hAnsi="宋体" w:eastAsia="宋体" w:cs="宋体"/>
                <w:spacing w:val="-48"/>
                <w:sz w:val="20"/>
                <w:szCs w:val="20"/>
              </w:rPr>
              <w:t xml:space="preserve"> </w:t>
            </w:r>
            <w:r>
              <w:rPr>
                <w:rFonts w:ascii="宋体" w:hAnsi="宋体" w:eastAsia="宋体" w:cs="宋体"/>
                <w:spacing w:val="6"/>
                <w:sz w:val="20"/>
                <w:szCs w:val="20"/>
              </w:rPr>
              <w:t>占用长江流域河湖</w:t>
            </w:r>
          </w:p>
          <w:p w14:paraId="24EE8B9D">
            <w:pPr>
              <w:spacing w:before="161" w:line="228" w:lineRule="auto"/>
              <w:ind w:left="149"/>
              <w:rPr>
                <w:rFonts w:ascii="宋体" w:hAnsi="宋体" w:eastAsia="宋体" w:cs="宋体"/>
                <w:sz w:val="20"/>
                <w:szCs w:val="20"/>
              </w:rPr>
            </w:pPr>
            <w:r>
              <w:rPr>
                <w:rFonts w:ascii="宋体" w:hAnsi="宋体" w:eastAsia="宋体" w:cs="宋体"/>
                <w:spacing w:val="9"/>
                <w:sz w:val="20"/>
                <w:szCs w:val="20"/>
              </w:rPr>
              <w:t>岸线。禁止在《长江岸线保护和开发利用</w:t>
            </w:r>
          </w:p>
          <w:p w14:paraId="0ACF6CDF">
            <w:pPr>
              <w:spacing w:before="160" w:line="228" w:lineRule="auto"/>
              <w:ind w:left="155"/>
              <w:rPr>
                <w:rFonts w:ascii="宋体" w:hAnsi="宋体" w:eastAsia="宋体" w:cs="宋体"/>
                <w:sz w:val="20"/>
                <w:szCs w:val="20"/>
              </w:rPr>
            </w:pPr>
            <w:r>
              <w:rPr>
                <w:rFonts w:ascii="宋体" w:hAnsi="宋体" w:eastAsia="宋体" w:cs="宋体"/>
                <w:spacing w:val="9"/>
                <w:sz w:val="20"/>
                <w:szCs w:val="20"/>
              </w:rPr>
              <w:t>总体规划》划定的岸线保护区和保留区内</w:t>
            </w:r>
          </w:p>
          <w:p w14:paraId="62DCC695">
            <w:pPr>
              <w:spacing w:before="160" w:line="228" w:lineRule="auto"/>
              <w:ind w:left="152"/>
              <w:rPr>
                <w:rFonts w:ascii="宋体" w:hAnsi="宋体" w:eastAsia="宋体" w:cs="宋体"/>
                <w:sz w:val="20"/>
                <w:szCs w:val="20"/>
              </w:rPr>
            </w:pPr>
            <w:r>
              <w:rPr>
                <w:rFonts w:ascii="宋体" w:hAnsi="宋体" w:eastAsia="宋体" w:cs="宋体"/>
                <w:spacing w:val="9"/>
                <w:sz w:val="20"/>
                <w:szCs w:val="20"/>
              </w:rPr>
              <w:t>投资建设除事关公共安全及公众利益的防</w:t>
            </w:r>
          </w:p>
          <w:p w14:paraId="2F8DAA89">
            <w:pPr>
              <w:spacing w:before="163" w:line="227" w:lineRule="auto"/>
              <w:ind w:right="11"/>
              <w:jc w:val="right"/>
              <w:rPr>
                <w:rFonts w:ascii="宋体" w:hAnsi="宋体" w:eastAsia="宋体" w:cs="宋体"/>
                <w:sz w:val="20"/>
                <w:szCs w:val="20"/>
              </w:rPr>
            </w:pPr>
            <w:r>
              <w:rPr>
                <w:rFonts w:ascii="宋体" w:hAnsi="宋体" w:eastAsia="宋体" w:cs="宋体"/>
                <w:spacing w:val="7"/>
                <w:sz w:val="20"/>
                <w:szCs w:val="20"/>
              </w:rPr>
              <w:t>洪护岸、河道治理、供水、生态环境保护、</w:t>
            </w:r>
          </w:p>
          <w:p w14:paraId="168779FA">
            <w:pPr>
              <w:spacing w:before="163" w:line="228" w:lineRule="auto"/>
              <w:ind w:right="11"/>
              <w:jc w:val="right"/>
              <w:rPr>
                <w:rFonts w:ascii="宋体" w:hAnsi="宋体" w:eastAsia="宋体" w:cs="宋体"/>
                <w:sz w:val="20"/>
                <w:szCs w:val="20"/>
              </w:rPr>
            </w:pPr>
            <w:r>
              <w:rPr>
                <w:rFonts w:ascii="宋体" w:hAnsi="宋体" w:eastAsia="宋体" w:cs="宋体"/>
                <w:spacing w:val="8"/>
                <w:sz w:val="20"/>
                <w:szCs w:val="20"/>
              </w:rPr>
              <w:t>航道整治、国家重要基础设施以外的项目。</w:t>
            </w:r>
          </w:p>
          <w:p w14:paraId="139B5881">
            <w:pPr>
              <w:spacing w:before="160" w:line="228" w:lineRule="auto"/>
              <w:ind w:left="149"/>
              <w:rPr>
                <w:rFonts w:ascii="宋体" w:hAnsi="宋体" w:eastAsia="宋体" w:cs="宋体"/>
                <w:sz w:val="20"/>
                <w:szCs w:val="20"/>
              </w:rPr>
            </w:pPr>
            <w:r>
              <w:rPr>
                <w:rFonts w:ascii="宋体" w:hAnsi="宋体" w:eastAsia="宋体" w:cs="宋体"/>
                <w:spacing w:val="8"/>
                <w:sz w:val="20"/>
                <w:szCs w:val="20"/>
              </w:rPr>
              <w:t>禁止在《全国重要江河湖泊水功能区划》</w:t>
            </w:r>
          </w:p>
          <w:p w14:paraId="04C88561">
            <w:pPr>
              <w:spacing w:before="161" w:line="228" w:lineRule="auto"/>
              <w:ind w:left="149"/>
              <w:rPr>
                <w:rFonts w:ascii="宋体" w:hAnsi="宋体" w:eastAsia="宋体" w:cs="宋体"/>
                <w:sz w:val="20"/>
                <w:szCs w:val="20"/>
              </w:rPr>
            </w:pPr>
            <w:r>
              <w:rPr>
                <w:rFonts w:ascii="宋体" w:hAnsi="宋体" w:eastAsia="宋体" w:cs="宋体"/>
                <w:spacing w:val="9"/>
                <w:sz w:val="20"/>
                <w:szCs w:val="20"/>
              </w:rPr>
              <w:t>划定的河段及湖泊保护区、保留区内投资</w:t>
            </w:r>
          </w:p>
          <w:p w14:paraId="3B1E8742">
            <w:pPr>
              <w:spacing w:before="163" w:line="228" w:lineRule="auto"/>
              <w:ind w:left="258"/>
              <w:rPr>
                <w:rFonts w:ascii="宋体" w:hAnsi="宋体" w:eastAsia="宋体" w:cs="宋体"/>
                <w:sz w:val="20"/>
                <w:szCs w:val="20"/>
              </w:rPr>
            </w:pPr>
            <w:r>
              <w:rPr>
                <w:rFonts w:ascii="宋体" w:hAnsi="宋体" w:eastAsia="宋体" w:cs="宋体"/>
                <w:spacing w:val="9"/>
                <w:sz w:val="20"/>
                <w:szCs w:val="20"/>
              </w:rPr>
              <w:t>建设不利于水资源及自然生态保护的项</w:t>
            </w:r>
          </w:p>
          <w:p w14:paraId="6808D2B4">
            <w:pPr>
              <w:spacing w:before="161" w:line="231" w:lineRule="auto"/>
              <w:ind w:left="1869"/>
              <w:rPr>
                <w:rFonts w:ascii="宋体" w:hAnsi="宋体" w:eastAsia="宋体" w:cs="宋体"/>
                <w:sz w:val="20"/>
                <w:szCs w:val="20"/>
              </w:rPr>
            </w:pPr>
            <w:r>
              <w:rPr>
                <w:rFonts w:ascii="宋体" w:hAnsi="宋体" w:eastAsia="宋体" w:cs="宋体"/>
                <w:spacing w:val="-20"/>
                <w:sz w:val="20"/>
                <w:szCs w:val="20"/>
              </w:rPr>
              <w:t>目。</w:t>
            </w:r>
          </w:p>
        </w:tc>
        <w:tc>
          <w:tcPr>
            <w:tcW w:w="2638" w:type="dxa"/>
            <w:vAlign w:val="top"/>
          </w:tcPr>
          <w:p w14:paraId="41B02961">
            <w:pPr>
              <w:spacing w:line="260" w:lineRule="auto"/>
              <w:rPr>
                <w:rFonts w:ascii="Arial"/>
                <w:sz w:val="21"/>
              </w:rPr>
            </w:pPr>
          </w:p>
          <w:p w14:paraId="7B13026B">
            <w:pPr>
              <w:spacing w:line="261" w:lineRule="auto"/>
              <w:rPr>
                <w:rFonts w:ascii="Arial"/>
                <w:sz w:val="21"/>
              </w:rPr>
            </w:pPr>
          </w:p>
          <w:p w14:paraId="03EED571">
            <w:pPr>
              <w:spacing w:line="261" w:lineRule="auto"/>
              <w:rPr>
                <w:rFonts w:ascii="Arial"/>
                <w:sz w:val="21"/>
              </w:rPr>
            </w:pPr>
          </w:p>
          <w:p w14:paraId="51F6217D">
            <w:pPr>
              <w:spacing w:before="65" w:line="228" w:lineRule="auto"/>
              <w:ind w:left="176"/>
              <w:rPr>
                <w:rFonts w:ascii="宋体" w:hAnsi="宋体" w:eastAsia="宋体" w:cs="宋体"/>
                <w:sz w:val="20"/>
                <w:szCs w:val="20"/>
              </w:rPr>
            </w:pPr>
            <w:r>
              <w:rPr>
                <w:rFonts w:ascii="宋体" w:hAnsi="宋体" w:eastAsia="宋体" w:cs="宋体"/>
                <w:spacing w:val="8"/>
                <w:sz w:val="20"/>
                <w:szCs w:val="20"/>
              </w:rPr>
              <w:t>项目位于云南省昆明市寻</w:t>
            </w:r>
          </w:p>
          <w:p w14:paraId="0426B900">
            <w:pPr>
              <w:spacing w:before="160" w:line="228" w:lineRule="auto"/>
              <w:ind w:right="19"/>
              <w:jc w:val="right"/>
              <w:rPr>
                <w:rFonts w:ascii="宋体" w:hAnsi="宋体" w:eastAsia="宋体" w:cs="宋体"/>
                <w:sz w:val="20"/>
                <w:szCs w:val="20"/>
              </w:rPr>
            </w:pPr>
            <w:r>
              <w:rPr>
                <w:rFonts w:ascii="宋体" w:hAnsi="宋体" w:eastAsia="宋体" w:cs="宋体"/>
                <w:spacing w:val="7"/>
                <w:sz w:val="20"/>
                <w:szCs w:val="20"/>
              </w:rPr>
              <w:t>甸特色产业园区金所片区，</w:t>
            </w:r>
          </w:p>
          <w:p w14:paraId="11A5E592">
            <w:pPr>
              <w:spacing w:before="161" w:line="229" w:lineRule="auto"/>
              <w:ind w:left="118"/>
              <w:rPr>
                <w:rFonts w:ascii="宋体" w:hAnsi="宋体" w:eastAsia="宋体" w:cs="宋体"/>
                <w:sz w:val="20"/>
                <w:szCs w:val="20"/>
              </w:rPr>
            </w:pPr>
            <w:r>
              <w:rPr>
                <w:rFonts w:ascii="宋体" w:hAnsi="宋体" w:eastAsia="宋体" w:cs="宋体"/>
                <w:spacing w:val="1"/>
                <w:sz w:val="20"/>
                <w:szCs w:val="20"/>
              </w:rPr>
              <w:t>不属于违法利用、占用长江</w:t>
            </w:r>
          </w:p>
          <w:p w14:paraId="5803077C">
            <w:pPr>
              <w:spacing w:before="160" w:line="228" w:lineRule="auto"/>
              <w:ind w:left="173"/>
              <w:rPr>
                <w:rFonts w:ascii="宋体" w:hAnsi="宋体" w:eastAsia="宋体" w:cs="宋体"/>
                <w:sz w:val="20"/>
                <w:szCs w:val="20"/>
              </w:rPr>
            </w:pPr>
            <w:r>
              <w:rPr>
                <w:rFonts w:ascii="宋体" w:hAnsi="宋体" w:eastAsia="宋体" w:cs="宋体"/>
                <w:spacing w:val="9"/>
                <w:sz w:val="20"/>
                <w:szCs w:val="20"/>
              </w:rPr>
              <w:t>流域河湖岸线和投资建设</w:t>
            </w:r>
          </w:p>
          <w:p w14:paraId="231D0891">
            <w:pPr>
              <w:spacing w:before="162" w:line="228" w:lineRule="auto"/>
              <w:ind w:left="176"/>
              <w:rPr>
                <w:rFonts w:ascii="宋体" w:hAnsi="宋体" w:eastAsia="宋体" w:cs="宋体"/>
                <w:sz w:val="20"/>
                <w:szCs w:val="20"/>
              </w:rPr>
            </w:pPr>
            <w:r>
              <w:rPr>
                <w:rFonts w:ascii="宋体" w:hAnsi="宋体" w:eastAsia="宋体" w:cs="宋体"/>
                <w:spacing w:val="8"/>
                <w:sz w:val="20"/>
                <w:szCs w:val="20"/>
              </w:rPr>
              <w:t>不利于水资源及自然生态</w:t>
            </w:r>
          </w:p>
          <w:p w14:paraId="255384F9">
            <w:pPr>
              <w:spacing w:before="162" w:line="228" w:lineRule="auto"/>
              <w:ind w:left="699"/>
              <w:rPr>
                <w:rFonts w:ascii="宋体" w:hAnsi="宋体" w:eastAsia="宋体" w:cs="宋体"/>
                <w:sz w:val="20"/>
                <w:szCs w:val="20"/>
              </w:rPr>
            </w:pPr>
            <w:r>
              <w:rPr>
                <w:rFonts w:ascii="宋体" w:hAnsi="宋体" w:eastAsia="宋体" w:cs="宋体"/>
                <w:spacing w:val="6"/>
                <w:sz w:val="20"/>
                <w:szCs w:val="20"/>
              </w:rPr>
              <w:t>保护的项目。</w:t>
            </w:r>
          </w:p>
        </w:tc>
        <w:tc>
          <w:tcPr>
            <w:tcW w:w="759" w:type="dxa"/>
            <w:vAlign w:val="top"/>
          </w:tcPr>
          <w:p w14:paraId="52E64CD5">
            <w:pPr>
              <w:spacing w:line="256" w:lineRule="auto"/>
              <w:rPr>
                <w:rFonts w:ascii="Arial"/>
                <w:sz w:val="21"/>
              </w:rPr>
            </w:pPr>
          </w:p>
          <w:p w14:paraId="5E3CCB0B">
            <w:pPr>
              <w:spacing w:line="257" w:lineRule="auto"/>
              <w:rPr>
                <w:rFonts w:ascii="Arial"/>
                <w:sz w:val="21"/>
              </w:rPr>
            </w:pPr>
          </w:p>
          <w:p w14:paraId="7CE4A5C9">
            <w:pPr>
              <w:spacing w:line="257" w:lineRule="auto"/>
              <w:rPr>
                <w:rFonts w:ascii="Arial"/>
                <w:sz w:val="21"/>
              </w:rPr>
            </w:pPr>
          </w:p>
          <w:p w14:paraId="5FF168BD">
            <w:pPr>
              <w:spacing w:line="257" w:lineRule="auto"/>
              <w:rPr>
                <w:rFonts w:ascii="Arial"/>
                <w:sz w:val="21"/>
              </w:rPr>
            </w:pPr>
          </w:p>
          <w:p w14:paraId="12D117A7">
            <w:pPr>
              <w:spacing w:line="257" w:lineRule="auto"/>
              <w:rPr>
                <w:rFonts w:ascii="Arial"/>
                <w:sz w:val="21"/>
              </w:rPr>
            </w:pPr>
          </w:p>
          <w:p w14:paraId="1349E4EE">
            <w:pPr>
              <w:spacing w:line="257" w:lineRule="auto"/>
              <w:rPr>
                <w:rFonts w:ascii="Arial"/>
                <w:sz w:val="21"/>
              </w:rPr>
            </w:pPr>
          </w:p>
          <w:p w14:paraId="1214A46B">
            <w:pPr>
              <w:spacing w:line="257" w:lineRule="auto"/>
              <w:rPr>
                <w:rFonts w:ascii="Arial"/>
                <w:sz w:val="21"/>
              </w:rPr>
            </w:pPr>
          </w:p>
          <w:p w14:paraId="6DE22730">
            <w:pPr>
              <w:spacing w:before="65" w:line="228" w:lineRule="auto"/>
              <w:ind w:left="182"/>
              <w:rPr>
                <w:rFonts w:ascii="宋体" w:hAnsi="宋体" w:eastAsia="宋体" w:cs="宋体"/>
                <w:sz w:val="20"/>
                <w:szCs w:val="20"/>
              </w:rPr>
            </w:pPr>
            <w:r>
              <w:rPr>
                <w:rFonts w:ascii="宋体" w:hAnsi="宋体" w:eastAsia="宋体" w:cs="宋体"/>
                <w:spacing w:val="4"/>
                <w:sz w:val="20"/>
                <w:szCs w:val="20"/>
              </w:rPr>
              <w:t>相符</w:t>
            </w:r>
          </w:p>
        </w:tc>
        <w:tc>
          <w:tcPr>
            <w:tcW w:w="125" w:type="dxa"/>
            <w:vMerge w:val="continue"/>
            <w:tcBorders>
              <w:top w:val="nil"/>
              <w:bottom w:val="nil"/>
              <w:right w:val="single" w:color="000000" w:sz="6" w:space="0"/>
            </w:tcBorders>
            <w:vAlign w:val="top"/>
          </w:tcPr>
          <w:p w14:paraId="4BF77C65">
            <w:pPr>
              <w:rPr>
                <w:rFonts w:ascii="Arial"/>
                <w:sz w:val="21"/>
              </w:rPr>
            </w:pPr>
          </w:p>
        </w:tc>
      </w:tr>
      <w:tr w14:paraId="0B6B8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161" w:type="dxa"/>
            <w:vMerge w:val="continue"/>
            <w:tcBorders>
              <w:top w:val="nil"/>
              <w:left w:val="single" w:color="000000" w:sz="6" w:space="0"/>
              <w:bottom w:val="nil"/>
            </w:tcBorders>
            <w:vAlign w:val="top"/>
          </w:tcPr>
          <w:p w14:paraId="3C4190FB">
            <w:pPr>
              <w:rPr>
                <w:rFonts w:ascii="Arial"/>
                <w:sz w:val="21"/>
              </w:rPr>
            </w:pPr>
          </w:p>
        </w:tc>
        <w:tc>
          <w:tcPr>
            <w:tcW w:w="113" w:type="dxa"/>
            <w:tcBorders>
              <w:top w:val="nil"/>
              <w:bottom w:val="nil"/>
            </w:tcBorders>
            <w:vAlign w:val="top"/>
          </w:tcPr>
          <w:p w14:paraId="04DC0F64">
            <w:pPr>
              <w:rPr>
                <w:rFonts w:ascii="Arial"/>
                <w:sz w:val="21"/>
              </w:rPr>
            </w:pPr>
          </w:p>
        </w:tc>
        <w:tc>
          <w:tcPr>
            <w:tcW w:w="4076" w:type="dxa"/>
            <w:vAlign w:val="top"/>
          </w:tcPr>
          <w:p w14:paraId="37587AF4">
            <w:pPr>
              <w:spacing w:before="40" w:line="227" w:lineRule="auto"/>
              <w:ind w:left="160"/>
              <w:rPr>
                <w:rFonts w:ascii="宋体" w:hAnsi="宋体" w:eastAsia="宋体" w:cs="宋体"/>
                <w:sz w:val="20"/>
                <w:szCs w:val="20"/>
              </w:rPr>
            </w:pPr>
            <w:r>
              <w:rPr>
                <w:rFonts w:ascii="宋体" w:hAnsi="宋体" w:eastAsia="宋体" w:cs="宋体"/>
                <w:spacing w:val="8"/>
                <w:sz w:val="20"/>
                <w:szCs w:val="20"/>
              </w:rPr>
              <w:t>（六）禁止未经许可在长江干支流及湖泊</w:t>
            </w:r>
          </w:p>
          <w:p w14:paraId="7F3E95CB">
            <w:pPr>
              <w:spacing w:before="161" w:line="228" w:lineRule="auto"/>
              <w:ind w:left="781"/>
              <w:rPr>
                <w:rFonts w:ascii="宋体" w:hAnsi="宋体" w:eastAsia="宋体" w:cs="宋体"/>
                <w:sz w:val="20"/>
                <w:szCs w:val="20"/>
              </w:rPr>
            </w:pPr>
            <w:r>
              <w:rPr>
                <w:rFonts w:ascii="宋体" w:hAnsi="宋体" w:eastAsia="宋体" w:cs="宋体"/>
                <w:spacing w:val="8"/>
                <w:sz w:val="20"/>
                <w:szCs w:val="20"/>
              </w:rPr>
              <w:t>新设、改设或扩大排污口。</w:t>
            </w:r>
          </w:p>
        </w:tc>
        <w:tc>
          <w:tcPr>
            <w:tcW w:w="2638" w:type="dxa"/>
            <w:vAlign w:val="top"/>
          </w:tcPr>
          <w:p w14:paraId="39857055">
            <w:pPr>
              <w:spacing w:before="244" w:line="228" w:lineRule="auto"/>
              <w:ind w:left="490"/>
              <w:rPr>
                <w:rFonts w:ascii="宋体" w:hAnsi="宋体" w:eastAsia="宋体" w:cs="宋体"/>
                <w:sz w:val="20"/>
                <w:szCs w:val="20"/>
              </w:rPr>
            </w:pPr>
            <w:r>
              <w:rPr>
                <w:rFonts w:ascii="宋体" w:hAnsi="宋体" w:eastAsia="宋体" w:cs="宋体"/>
                <w:spacing w:val="7"/>
                <w:sz w:val="20"/>
                <w:szCs w:val="20"/>
              </w:rPr>
              <w:t>项目废水不外排。</w:t>
            </w:r>
          </w:p>
        </w:tc>
        <w:tc>
          <w:tcPr>
            <w:tcW w:w="759" w:type="dxa"/>
            <w:vAlign w:val="top"/>
          </w:tcPr>
          <w:p w14:paraId="4922F35C">
            <w:pPr>
              <w:spacing w:before="244" w:line="228" w:lineRule="auto"/>
              <w:ind w:left="182"/>
              <w:rPr>
                <w:rFonts w:ascii="宋体" w:hAnsi="宋体" w:eastAsia="宋体" w:cs="宋体"/>
                <w:sz w:val="20"/>
                <w:szCs w:val="20"/>
              </w:rPr>
            </w:pPr>
            <w:r>
              <w:rPr>
                <w:rFonts w:ascii="宋体" w:hAnsi="宋体" w:eastAsia="宋体" w:cs="宋体"/>
                <w:spacing w:val="4"/>
                <w:sz w:val="20"/>
                <w:szCs w:val="20"/>
              </w:rPr>
              <w:t>相符</w:t>
            </w:r>
          </w:p>
        </w:tc>
        <w:tc>
          <w:tcPr>
            <w:tcW w:w="125" w:type="dxa"/>
            <w:vMerge w:val="continue"/>
            <w:tcBorders>
              <w:top w:val="nil"/>
              <w:bottom w:val="nil"/>
              <w:right w:val="single" w:color="000000" w:sz="6" w:space="0"/>
            </w:tcBorders>
            <w:vAlign w:val="top"/>
          </w:tcPr>
          <w:p w14:paraId="47A16ED8">
            <w:pPr>
              <w:rPr>
                <w:rFonts w:ascii="Arial"/>
                <w:sz w:val="21"/>
              </w:rPr>
            </w:pPr>
          </w:p>
        </w:tc>
      </w:tr>
      <w:tr w14:paraId="14953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161" w:type="dxa"/>
            <w:vMerge w:val="continue"/>
            <w:tcBorders>
              <w:top w:val="nil"/>
              <w:left w:val="single" w:color="000000" w:sz="6" w:space="0"/>
              <w:bottom w:val="nil"/>
            </w:tcBorders>
            <w:vAlign w:val="top"/>
          </w:tcPr>
          <w:p w14:paraId="11A7D241">
            <w:pPr>
              <w:rPr>
                <w:rFonts w:ascii="Arial"/>
                <w:sz w:val="21"/>
              </w:rPr>
            </w:pPr>
          </w:p>
        </w:tc>
        <w:tc>
          <w:tcPr>
            <w:tcW w:w="113" w:type="dxa"/>
            <w:tcBorders>
              <w:top w:val="nil"/>
              <w:bottom w:val="nil"/>
            </w:tcBorders>
            <w:vAlign w:val="top"/>
          </w:tcPr>
          <w:p w14:paraId="7E5E59D6">
            <w:pPr>
              <w:rPr>
                <w:rFonts w:ascii="Arial"/>
                <w:sz w:val="21"/>
              </w:rPr>
            </w:pPr>
          </w:p>
        </w:tc>
        <w:tc>
          <w:tcPr>
            <w:tcW w:w="4076" w:type="dxa"/>
            <w:vAlign w:val="top"/>
          </w:tcPr>
          <w:p w14:paraId="4CC0A1F1">
            <w:pPr>
              <w:spacing w:before="41" w:line="355" w:lineRule="auto"/>
              <w:ind w:left="360" w:right="188" w:hanging="162"/>
              <w:rPr>
                <w:rFonts w:ascii="宋体" w:hAnsi="宋体" w:eastAsia="宋体" w:cs="宋体"/>
                <w:sz w:val="20"/>
                <w:szCs w:val="20"/>
              </w:rPr>
            </w:pPr>
            <w:r>
              <w:rPr>
                <w:rFonts w:ascii="宋体" w:hAnsi="宋体" w:eastAsia="宋体" w:cs="宋体"/>
                <w:spacing w:val="7"/>
                <w:sz w:val="20"/>
                <w:szCs w:val="20"/>
              </w:rPr>
              <w:t>（七）禁止在</w:t>
            </w:r>
            <w:r>
              <w:rPr>
                <w:rFonts w:ascii="Times New Roman" w:hAnsi="Times New Roman" w:eastAsia="Times New Roman" w:cs="Times New Roman"/>
                <w:spacing w:val="7"/>
                <w:sz w:val="20"/>
                <w:szCs w:val="20"/>
              </w:rPr>
              <w:t>“</w:t>
            </w:r>
            <w:r>
              <w:rPr>
                <w:rFonts w:ascii="宋体" w:hAnsi="宋体" w:eastAsia="宋体" w:cs="宋体"/>
                <w:spacing w:val="7"/>
                <w:sz w:val="20"/>
                <w:szCs w:val="20"/>
              </w:rPr>
              <w:t>一江一口两湖七河</w:t>
            </w:r>
            <w:r>
              <w:rPr>
                <w:rFonts w:ascii="Times New Roman" w:hAnsi="Times New Roman" w:eastAsia="Times New Roman" w:cs="Times New Roman"/>
                <w:spacing w:val="7"/>
                <w:sz w:val="20"/>
                <w:szCs w:val="20"/>
              </w:rPr>
              <w:t>”</w:t>
            </w:r>
            <w:r>
              <w:rPr>
                <w:rFonts w:ascii="宋体" w:hAnsi="宋体" w:eastAsia="宋体" w:cs="宋体"/>
                <w:spacing w:val="7"/>
                <w:sz w:val="20"/>
                <w:szCs w:val="20"/>
              </w:rPr>
              <w:t>和</w:t>
            </w:r>
            <w:r>
              <w:rPr>
                <w:rFonts w:ascii="宋体" w:hAnsi="宋体" w:eastAsia="宋体" w:cs="宋体"/>
                <w:spacing w:val="-35"/>
                <w:sz w:val="20"/>
                <w:szCs w:val="20"/>
              </w:rPr>
              <w:t xml:space="preserve"> </w:t>
            </w:r>
            <w:r>
              <w:rPr>
                <w:rFonts w:ascii="Times New Roman" w:hAnsi="Times New Roman" w:eastAsia="Times New Roman" w:cs="Times New Roman"/>
                <w:spacing w:val="7"/>
                <w:sz w:val="20"/>
                <w:szCs w:val="20"/>
              </w:rPr>
              <w:t>332</w:t>
            </w:r>
            <w:r>
              <w:rPr>
                <w:rFonts w:ascii="宋体" w:hAnsi="宋体" w:eastAsia="宋体" w:cs="宋体"/>
                <w:spacing w:val="8"/>
                <w:sz w:val="20"/>
                <w:szCs w:val="20"/>
              </w:rPr>
              <w:t>个水生生物保护区开展生产性捕捞。</w:t>
            </w:r>
          </w:p>
        </w:tc>
        <w:tc>
          <w:tcPr>
            <w:tcW w:w="2638" w:type="dxa"/>
            <w:vAlign w:val="top"/>
          </w:tcPr>
          <w:p w14:paraId="11BE96AE">
            <w:pPr>
              <w:spacing w:before="246" w:line="228" w:lineRule="auto"/>
              <w:ind w:left="490"/>
              <w:rPr>
                <w:rFonts w:ascii="宋体" w:hAnsi="宋体" w:eastAsia="宋体" w:cs="宋体"/>
                <w:sz w:val="20"/>
                <w:szCs w:val="20"/>
              </w:rPr>
            </w:pPr>
            <w:r>
              <w:rPr>
                <w:rFonts w:ascii="宋体" w:hAnsi="宋体" w:eastAsia="宋体" w:cs="宋体"/>
                <w:spacing w:val="7"/>
                <w:sz w:val="20"/>
                <w:szCs w:val="20"/>
              </w:rPr>
              <w:t>项目不涉及捕捞。</w:t>
            </w:r>
          </w:p>
        </w:tc>
        <w:tc>
          <w:tcPr>
            <w:tcW w:w="759" w:type="dxa"/>
            <w:vAlign w:val="top"/>
          </w:tcPr>
          <w:p w14:paraId="75637F83">
            <w:pPr>
              <w:spacing w:before="246" w:line="228" w:lineRule="auto"/>
              <w:ind w:left="182"/>
              <w:rPr>
                <w:rFonts w:ascii="宋体" w:hAnsi="宋体" w:eastAsia="宋体" w:cs="宋体"/>
                <w:sz w:val="20"/>
                <w:szCs w:val="20"/>
              </w:rPr>
            </w:pPr>
            <w:r>
              <w:rPr>
                <w:rFonts w:ascii="宋体" w:hAnsi="宋体" w:eastAsia="宋体" w:cs="宋体"/>
                <w:spacing w:val="4"/>
                <w:sz w:val="20"/>
                <w:szCs w:val="20"/>
              </w:rPr>
              <w:t>相符</w:t>
            </w:r>
          </w:p>
        </w:tc>
        <w:tc>
          <w:tcPr>
            <w:tcW w:w="125" w:type="dxa"/>
            <w:vMerge w:val="continue"/>
            <w:tcBorders>
              <w:top w:val="nil"/>
              <w:bottom w:val="nil"/>
              <w:right w:val="single" w:color="000000" w:sz="6" w:space="0"/>
            </w:tcBorders>
            <w:vAlign w:val="top"/>
          </w:tcPr>
          <w:p w14:paraId="1B5CF4CF">
            <w:pPr>
              <w:rPr>
                <w:rFonts w:ascii="Arial"/>
                <w:sz w:val="21"/>
              </w:rPr>
            </w:pPr>
          </w:p>
        </w:tc>
      </w:tr>
      <w:tr w14:paraId="29F2A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3" w:hRule="atLeast"/>
        </w:trPr>
        <w:tc>
          <w:tcPr>
            <w:tcW w:w="1161" w:type="dxa"/>
            <w:vMerge w:val="continue"/>
            <w:tcBorders>
              <w:top w:val="nil"/>
              <w:left w:val="single" w:color="000000" w:sz="6" w:space="0"/>
              <w:bottom w:val="single" w:color="000000" w:sz="6" w:space="0"/>
            </w:tcBorders>
            <w:vAlign w:val="top"/>
          </w:tcPr>
          <w:p w14:paraId="3976BC88">
            <w:pPr>
              <w:rPr>
                <w:rFonts w:ascii="Arial"/>
                <w:sz w:val="21"/>
              </w:rPr>
            </w:pPr>
          </w:p>
        </w:tc>
        <w:tc>
          <w:tcPr>
            <w:tcW w:w="113" w:type="dxa"/>
            <w:tcBorders>
              <w:top w:val="nil"/>
              <w:bottom w:val="single" w:color="000000" w:sz="6" w:space="0"/>
            </w:tcBorders>
            <w:vAlign w:val="top"/>
          </w:tcPr>
          <w:p w14:paraId="29AEF3FB">
            <w:pPr>
              <w:rPr>
                <w:rFonts w:ascii="Arial"/>
                <w:sz w:val="21"/>
              </w:rPr>
            </w:pPr>
          </w:p>
        </w:tc>
        <w:tc>
          <w:tcPr>
            <w:tcW w:w="4076" w:type="dxa"/>
            <w:tcBorders>
              <w:bottom w:val="single" w:color="000000" w:sz="6" w:space="0"/>
            </w:tcBorders>
            <w:vAlign w:val="top"/>
          </w:tcPr>
          <w:p w14:paraId="6184D8D4">
            <w:pPr>
              <w:spacing w:before="246" w:line="227" w:lineRule="auto"/>
              <w:ind w:left="160"/>
              <w:rPr>
                <w:rFonts w:ascii="宋体" w:hAnsi="宋体" w:eastAsia="宋体" w:cs="宋体"/>
                <w:sz w:val="20"/>
                <w:szCs w:val="20"/>
              </w:rPr>
            </w:pPr>
            <w:r>
              <w:rPr>
                <w:rFonts w:ascii="宋体" w:hAnsi="宋体" w:eastAsia="宋体" w:cs="宋体"/>
                <w:spacing w:val="8"/>
                <w:sz w:val="20"/>
                <w:szCs w:val="20"/>
              </w:rPr>
              <w:t>（八）禁止在长江干支流、重要湖泊岸线</w:t>
            </w:r>
          </w:p>
          <w:p w14:paraId="546F711F">
            <w:pPr>
              <w:spacing w:before="161" w:line="228" w:lineRule="auto"/>
              <w:ind w:left="153"/>
              <w:rPr>
                <w:rFonts w:ascii="宋体" w:hAnsi="宋体" w:eastAsia="宋体" w:cs="宋体"/>
                <w:sz w:val="20"/>
                <w:szCs w:val="20"/>
              </w:rPr>
            </w:pPr>
            <w:r>
              <w:rPr>
                <w:rFonts w:ascii="宋体" w:hAnsi="宋体" w:eastAsia="宋体" w:cs="宋体"/>
                <w:spacing w:val="9"/>
                <w:sz w:val="20"/>
                <w:szCs w:val="20"/>
              </w:rPr>
              <w:t>一公里范围内新建、扩建化工园区和化工</w:t>
            </w:r>
          </w:p>
          <w:p w14:paraId="3F565BBA">
            <w:pPr>
              <w:spacing w:before="163" w:line="227" w:lineRule="auto"/>
              <w:ind w:left="153"/>
              <w:rPr>
                <w:rFonts w:ascii="宋体" w:hAnsi="宋体" w:eastAsia="宋体" w:cs="宋体"/>
                <w:sz w:val="20"/>
                <w:szCs w:val="20"/>
              </w:rPr>
            </w:pPr>
            <w:r>
              <w:rPr>
                <w:rFonts w:ascii="宋体" w:hAnsi="宋体" w:eastAsia="宋体" w:cs="宋体"/>
                <w:spacing w:val="9"/>
                <w:sz w:val="20"/>
                <w:szCs w:val="20"/>
              </w:rPr>
              <w:t>项目。禁止在长江干流岸线三公里范围内</w:t>
            </w:r>
          </w:p>
          <w:p w14:paraId="4F61C6AC">
            <w:pPr>
              <w:spacing w:before="161" w:line="228" w:lineRule="auto"/>
              <w:ind w:right="11"/>
              <w:jc w:val="right"/>
              <w:rPr>
                <w:rFonts w:ascii="宋体" w:hAnsi="宋体" w:eastAsia="宋体" w:cs="宋体"/>
                <w:sz w:val="20"/>
                <w:szCs w:val="20"/>
              </w:rPr>
            </w:pPr>
            <w:r>
              <w:rPr>
                <w:rFonts w:ascii="宋体" w:hAnsi="宋体" w:eastAsia="宋体" w:cs="宋体"/>
                <w:spacing w:val="7"/>
                <w:sz w:val="20"/>
                <w:szCs w:val="20"/>
              </w:rPr>
              <w:t>和重要支流岸线一公里范围内新建、改建、</w:t>
            </w:r>
          </w:p>
          <w:p w14:paraId="694A9661">
            <w:pPr>
              <w:spacing w:before="161" w:line="227" w:lineRule="auto"/>
              <w:ind w:left="149"/>
              <w:rPr>
                <w:rFonts w:ascii="宋体" w:hAnsi="宋体" w:eastAsia="宋体" w:cs="宋体"/>
                <w:sz w:val="20"/>
                <w:szCs w:val="20"/>
              </w:rPr>
            </w:pPr>
            <w:r>
              <w:rPr>
                <w:rFonts w:ascii="宋体" w:hAnsi="宋体" w:eastAsia="宋体" w:cs="宋体"/>
                <w:spacing w:val="7"/>
                <w:sz w:val="20"/>
                <w:szCs w:val="20"/>
              </w:rPr>
              <w:t>扩建尾矿库、冶炼渣库和磷石膏库，</w:t>
            </w:r>
            <w:r>
              <w:rPr>
                <w:rFonts w:ascii="宋体" w:hAnsi="宋体" w:eastAsia="宋体" w:cs="宋体"/>
                <w:spacing w:val="-58"/>
                <w:sz w:val="20"/>
                <w:szCs w:val="20"/>
              </w:rPr>
              <w:t xml:space="preserve"> </w:t>
            </w:r>
            <w:r>
              <w:rPr>
                <w:rFonts w:ascii="宋体" w:hAnsi="宋体" w:eastAsia="宋体" w:cs="宋体"/>
                <w:spacing w:val="7"/>
                <w:sz w:val="20"/>
                <w:szCs w:val="20"/>
              </w:rPr>
              <w:t>以提</w:t>
            </w:r>
          </w:p>
          <w:p w14:paraId="53D64ED5">
            <w:pPr>
              <w:spacing w:before="162" w:line="228" w:lineRule="auto"/>
              <w:ind w:left="151"/>
              <w:rPr>
                <w:rFonts w:ascii="宋体" w:hAnsi="宋体" w:eastAsia="宋体" w:cs="宋体"/>
                <w:sz w:val="20"/>
                <w:szCs w:val="20"/>
              </w:rPr>
            </w:pPr>
            <w:r>
              <w:rPr>
                <w:rFonts w:ascii="宋体" w:hAnsi="宋体" w:eastAsia="宋体" w:cs="宋体"/>
                <w:spacing w:val="9"/>
                <w:sz w:val="20"/>
                <w:szCs w:val="20"/>
              </w:rPr>
              <w:t>升安全、生态环境保护水平为目的的改建</w:t>
            </w:r>
          </w:p>
          <w:p w14:paraId="0849E892">
            <w:pPr>
              <w:spacing w:before="164" w:line="228" w:lineRule="auto"/>
              <w:ind w:left="1739"/>
              <w:rPr>
                <w:rFonts w:ascii="宋体" w:hAnsi="宋体" w:eastAsia="宋体" w:cs="宋体"/>
                <w:sz w:val="20"/>
                <w:szCs w:val="20"/>
              </w:rPr>
            </w:pPr>
            <w:r>
              <w:rPr>
                <w:rFonts w:ascii="宋体" w:hAnsi="宋体" w:eastAsia="宋体" w:cs="宋体"/>
                <w:spacing w:val="-1"/>
                <w:sz w:val="20"/>
                <w:szCs w:val="20"/>
              </w:rPr>
              <w:t>除外。</w:t>
            </w:r>
          </w:p>
        </w:tc>
        <w:tc>
          <w:tcPr>
            <w:tcW w:w="2638" w:type="dxa"/>
            <w:tcBorders>
              <w:bottom w:val="single" w:color="000000" w:sz="6" w:space="0"/>
            </w:tcBorders>
            <w:vAlign w:val="top"/>
          </w:tcPr>
          <w:p w14:paraId="64794453">
            <w:pPr>
              <w:spacing w:before="43" w:line="375" w:lineRule="auto"/>
              <w:ind w:left="117" w:right="42" w:firstLine="59"/>
              <w:jc w:val="both"/>
              <w:rPr>
                <w:rFonts w:ascii="宋体" w:hAnsi="宋体" w:eastAsia="宋体" w:cs="宋体"/>
                <w:sz w:val="20"/>
                <w:szCs w:val="20"/>
              </w:rPr>
            </w:pPr>
            <w:r>
              <w:rPr>
                <w:rFonts w:ascii="宋体" w:hAnsi="宋体" w:eastAsia="宋体" w:cs="宋体"/>
                <w:spacing w:val="8"/>
                <w:sz w:val="20"/>
                <w:szCs w:val="20"/>
              </w:rPr>
              <w:t>项目位于云南省昆明市寻</w:t>
            </w:r>
            <w:r>
              <w:rPr>
                <w:rFonts w:ascii="宋体" w:hAnsi="宋体" w:eastAsia="宋体" w:cs="宋体"/>
                <w:spacing w:val="6"/>
                <w:sz w:val="20"/>
                <w:szCs w:val="20"/>
              </w:rPr>
              <w:t>甸特色产业园区金所片区，</w:t>
            </w:r>
            <w:r>
              <w:rPr>
                <w:rFonts w:ascii="宋体" w:hAnsi="宋体" w:eastAsia="宋体" w:cs="宋体"/>
                <w:spacing w:val="1"/>
                <w:sz w:val="20"/>
                <w:szCs w:val="20"/>
              </w:rPr>
              <w:t>不涉及长江干支流、重要湖泊岸线一公里范围内、长江</w:t>
            </w:r>
            <w:r>
              <w:rPr>
                <w:rFonts w:ascii="宋体" w:hAnsi="宋体" w:eastAsia="宋体" w:cs="宋体"/>
                <w:spacing w:val="14"/>
                <w:sz w:val="20"/>
                <w:szCs w:val="20"/>
              </w:rPr>
              <w:t>干流岸线三公里范围内和重要支流岸线一公里范围</w:t>
            </w:r>
            <w:r>
              <w:rPr>
                <w:rFonts w:ascii="宋体" w:hAnsi="宋体" w:eastAsia="宋体" w:cs="宋体"/>
                <w:spacing w:val="1"/>
                <w:sz w:val="20"/>
                <w:szCs w:val="20"/>
              </w:rPr>
              <w:t>内，项目不属于尾矿库、冶</w:t>
            </w:r>
            <w:r>
              <w:rPr>
                <w:rFonts w:ascii="宋体" w:hAnsi="宋体" w:eastAsia="宋体" w:cs="宋体"/>
                <w:spacing w:val="6"/>
                <w:sz w:val="20"/>
                <w:szCs w:val="20"/>
              </w:rPr>
              <w:t>炼渣库和磷石膏库的项目。</w:t>
            </w:r>
          </w:p>
        </w:tc>
        <w:tc>
          <w:tcPr>
            <w:tcW w:w="759" w:type="dxa"/>
            <w:tcBorders>
              <w:bottom w:val="single" w:color="000000" w:sz="6" w:space="0"/>
            </w:tcBorders>
            <w:vAlign w:val="top"/>
          </w:tcPr>
          <w:p w14:paraId="7082A2F8">
            <w:pPr>
              <w:spacing w:line="279" w:lineRule="auto"/>
              <w:rPr>
                <w:rFonts w:ascii="Arial"/>
                <w:sz w:val="21"/>
              </w:rPr>
            </w:pPr>
          </w:p>
          <w:p w14:paraId="7402F23B">
            <w:pPr>
              <w:spacing w:line="279" w:lineRule="auto"/>
              <w:rPr>
                <w:rFonts w:ascii="Arial"/>
                <w:sz w:val="21"/>
              </w:rPr>
            </w:pPr>
          </w:p>
          <w:p w14:paraId="0B8E78BD">
            <w:pPr>
              <w:spacing w:line="280" w:lineRule="auto"/>
              <w:rPr>
                <w:rFonts w:ascii="Arial"/>
                <w:sz w:val="21"/>
              </w:rPr>
            </w:pPr>
          </w:p>
          <w:p w14:paraId="341D2FF2">
            <w:pPr>
              <w:spacing w:line="280" w:lineRule="auto"/>
              <w:rPr>
                <w:rFonts w:ascii="Arial"/>
                <w:sz w:val="21"/>
              </w:rPr>
            </w:pPr>
          </w:p>
          <w:p w14:paraId="6D02D0DA">
            <w:pPr>
              <w:spacing w:line="280" w:lineRule="auto"/>
              <w:rPr>
                <w:rFonts w:ascii="Arial"/>
                <w:sz w:val="21"/>
              </w:rPr>
            </w:pPr>
          </w:p>
          <w:p w14:paraId="7BC9D10D">
            <w:pPr>
              <w:spacing w:before="65" w:line="228" w:lineRule="auto"/>
              <w:ind w:left="182"/>
              <w:rPr>
                <w:rFonts w:ascii="宋体" w:hAnsi="宋体" w:eastAsia="宋体" w:cs="宋体"/>
                <w:sz w:val="20"/>
                <w:szCs w:val="20"/>
              </w:rPr>
            </w:pPr>
            <w:r>
              <w:rPr>
                <w:rFonts w:ascii="宋体" w:hAnsi="宋体" w:eastAsia="宋体" w:cs="宋体"/>
                <w:spacing w:val="4"/>
                <w:sz w:val="20"/>
                <w:szCs w:val="20"/>
              </w:rPr>
              <w:t>相符</w:t>
            </w:r>
          </w:p>
        </w:tc>
        <w:tc>
          <w:tcPr>
            <w:tcW w:w="125" w:type="dxa"/>
            <w:vMerge w:val="continue"/>
            <w:tcBorders>
              <w:top w:val="nil"/>
              <w:bottom w:val="single" w:color="000000" w:sz="6" w:space="0"/>
              <w:right w:val="single" w:color="000000" w:sz="6" w:space="0"/>
            </w:tcBorders>
            <w:vAlign w:val="top"/>
          </w:tcPr>
          <w:p w14:paraId="1124BD22">
            <w:pPr>
              <w:rPr>
                <w:rFonts w:ascii="Arial"/>
                <w:sz w:val="21"/>
              </w:rPr>
            </w:pPr>
          </w:p>
        </w:tc>
      </w:tr>
    </w:tbl>
    <w:p w14:paraId="7F097F6D">
      <w:pPr>
        <w:pStyle w:val="2"/>
      </w:pPr>
    </w:p>
    <w:p w14:paraId="01958214">
      <w:pPr>
        <w:sectPr>
          <w:footerReference r:id="rId34" w:type="default"/>
          <w:pgSz w:w="11906" w:h="16839"/>
          <w:pgMar w:top="400" w:right="1509" w:bottom="1329" w:left="1509" w:header="0" w:footer="1113" w:gutter="0"/>
          <w:cols w:space="720" w:num="1"/>
        </w:sectPr>
      </w:pPr>
    </w:p>
    <w:p w14:paraId="54625E3C">
      <w:pPr>
        <w:spacing w:before="19"/>
      </w:pPr>
    </w:p>
    <w:p w14:paraId="2F4BFCAC">
      <w:pPr>
        <w:spacing w:before="19"/>
      </w:pPr>
    </w:p>
    <w:p w14:paraId="44193C08">
      <w:pPr>
        <w:spacing w:before="19"/>
      </w:pPr>
    </w:p>
    <w:p w14:paraId="1F1944D9">
      <w:pPr>
        <w:spacing w:before="18"/>
      </w:pPr>
    </w:p>
    <w:p w14:paraId="7EFE064E">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5"/>
        <w:gridCol w:w="4076"/>
        <w:gridCol w:w="438"/>
        <w:gridCol w:w="2200"/>
        <w:gridCol w:w="139"/>
        <w:gridCol w:w="618"/>
        <w:gridCol w:w="125"/>
      </w:tblGrid>
      <w:tr w14:paraId="74F55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161" w:type="dxa"/>
            <w:vMerge w:val="restart"/>
            <w:tcBorders>
              <w:top w:val="single" w:color="000000" w:sz="6" w:space="0"/>
              <w:left w:val="single" w:color="000000" w:sz="6" w:space="0"/>
              <w:bottom w:val="nil"/>
            </w:tcBorders>
            <w:vAlign w:val="top"/>
          </w:tcPr>
          <w:p w14:paraId="3B109BCD">
            <w:pPr>
              <w:rPr>
                <w:rFonts w:ascii="Arial"/>
                <w:sz w:val="21"/>
              </w:rPr>
            </w:pPr>
          </w:p>
        </w:tc>
        <w:tc>
          <w:tcPr>
            <w:tcW w:w="115" w:type="dxa"/>
            <w:tcBorders>
              <w:top w:val="single" w:color="000000" w:sz="6" w:space="0"/>
              <w:bottom w:val="nil"/>
            </w:tcBorders>
            <w:vAlign w:val="top"/>
          </w:tcPr>
          <w:p w14:paraId="75638AF6">
            <w:pPr>
              <w:rPr>
                <w:rFonts w:ascii="Arial"/>
                <w:sz w:val="21"/>
              </w:rPr>
            </w:pPr>
          </w:p>
        </w:tc>
        <w:tc>
          <w:tcPr>
            <w:tcW w:w="4076" w:type="dxa"/>
            <w:tcBorders>
              <w:top w:val="single" w:color="000000" w:sz="6" w:space="0"/>
            </w:tcBorders>
            <w:vAlign w:val="top"/>
          </w:tcPr>
          <w:p w14:paraId="0BE56DC7">
            <w:pPr>
              <w:spacing w:line="290" w:lineRule="auto"/>
              <w:rPr>
                <w:rFonts w:ascii="Arial"/>
                <w:sz w:val="21"/>
              </w:rPr>
            </w:pPr>
          </w:p>
          <w:p w14:paraId="1C4BF7DD">
            <w:pPr>
              <w:spacing w:line="290" w:lineRule="auto"/>
              <w:rPr>
                <w:rFonts w:ascii="Arial"/>
                <w:sz w:val="21"/>
              </w:rPr>
            </w:pPr>
          </w:p>
          <w:p w14:paraId="1FE99B86">
            <w:pPr>
              <w:spacing w:before="65" w:line="228" w:lineRule="auto"/>
              <w:ind w:right="13"/>
              <w:jc w:val="right"/>
              <w:rPr>
                <w:rFonts w:ascii="宋体" w:hAnsi="宋体" w:eastAsia="宋体" w:cs="宋体"/>
                <w:sz w:val="20"/>
                <w:szCs w:val="20"/>
              </w:rPr>
            </w:pPr>
            <w:r>
              <w:rPr>
                <w:rFonts w:ascii="宋体" w:hAnsi="宋体" w:eastAsia="宋体" w:cs="宋体"/>
                <w:spacing w:val="7"/>
                <w:sz w:val="20"/>
                <w:szCs w:val="20"/>
              </w:rPr>
              <w:t>（九）禁止在合规园区外新建、扩建钢铁、</w:t>
            </w:r>
          </w:p>
          <w:p w14:paraId="3367FA36">
            <w:pPr>
              <w:spacing w:before="161" w:line="227" w:lineRule="auto"/>
              <w:ind w:left="148"/>
              <w:rPr>
                <w:rFonts w:ascii="宋体" w:hAnsi="宋体" w:eastAsia="宋体" w:cs="宋体"/>
                <w:sz w:val="20"/>
                <w:szCs w:val="20"/>
              </w:rPr>
            </w:pPr>
            <w:r>
              <w:rPr>
                <w:rFonts w:ascii="宋体" w:hAnsi="宋体" w:eastAsia="宋体" w:cs="宋体"/>
                <w:spacing w:val="9"/>
                <w:sz w:val="20"/>
                <w:szCs w:val="20"/>
              </w:rPr>
              <w:t>石化、化工、焦化、建材、有色、制浆造</w:t>
            </w:r>
          </w:p>
          <w:p w14:paraId="4085D7F0">
            <w:pPr>
              <w:spacing w:before="161" w:line="228" w:lineRule="auto"/>
              <w:ind w:left="1200"/>
              <w:rPr>
                <w:rFonts w:ascii="宋体" w:hAnsi="宋体" w:eastAsia="宋体" w:cs="宋体"/>
                <w:sz w:val="20"/>
                <w:szCs w:val="20"/>
              </w:rPr>
            </w:pPr>
            <w:r>
              <w:rPr>
                <w:rFonts w:ascii="宋体" w:hAnsi="宋体" w:eastAsia="宋体" w:cs="宋体"/>
                <w:spacing w:val="7"/>
                <w:sz w:val="20"/>
                <w:szCs w:val="20"/>
              </w:rPr>
              <w:t>纸等高污染项目。</w:t>
            </w:r>
          </w:p>
        </w:tc>
        <w:tc>
          <w:tcPr>
            <w:tcW w:w="2638" w:type="dxa"/>
            <w:gridSpan w:val="2"/>
            <w:tcBorders>
              <w:top w:val="single" w:color="000000" w:sz="6" w:space="0"/>
            </w:tcBorders>
            <w:vAlign w:val="top"/>
          </w:tcPr>
          <w:p w14:paraId="1F2C676D">
            <w:pPr>
              <w:spacing w:before="37" w:line="228" w:lineRule="auto"/>
              <w:ind w:left="174"/>
              <w:rPr>
                <w:rFonts w:ascii="宋体" w:hAnsi="宋体" w:eastAsia="宋体" w:cs="宋体"/>
                <w:sz w:val="20"/>
                <w:szCs w:val="20"/>
              </w:rPr>
            </w:pPr>
            <w:r>
              <w:rPr>
                <w:rFonts w:ascii="宋体" w:hAnsi="宋体" w:eastAsia="宋体" w:cs="宋体"/>
                <w:spacing w:val="8"/>
                <w:sz w:val="20"/>
                <w:szCs w:val="20"/>
              </w:rPr>
              <w:t>项目位于云南省昆明市寻</w:t>
            </w:r>
          </w:p>
          <w:p w14:paraId="11E85CD4">
            <w:pPr>
              <w:spacing w:before="160" w:line="228" w:lineRule="auto"/>
              <w:ind w:left="118"/>
              <w:rPr>
                <w:rFonts w:ascii="宋体" w:hAnsi="宋体" w:eastAsia="宋体" w:cs="宋体"/>
                <w:sz w:val="20"/>
                <w:szCs w:val="20"/>
              </w:rPr>
            </w:pPr>
            <w:r>
              <w:rPr>
                <w:rFonts w:ascii="宋体" w:hAnsi="宋体" w:eastAsia="宋体" w:cs="宋体"/>
                <w:spacing w:val="7"/>
                <w:sz w:val="20"/>
                <w:szCs w:val="20"/>
              </w:rPr>
              <w:t>甸特色产业园区金所片区，</w:t>
            </w:r>
          </w:p>
          <w:p w14:paraId="3091B2BC">
            <w:pPr>
              <w:spacing w:before="161" w:line="228" w:lineRule="auto"/>
              <w:ind w:left="115"/>
              <w:rPr>
                <w:rFonts w:ascii="宋体" w:hAnsi="宋体" w:eastAsia="宋体" w:cs="宋体"/>
                <w:sz w:val="20"/>
                <w:szCs w:val="20"/>
              </w:rPr>
            </w:pPr>
            <w:r>
              <w:rPr>
                <w:rFonts w:ascii="宋体" w:hAnsi="宋体" w:eastAsia="宋体" w:cs="宋体"/>
                <w:spacing w:val="1"/>
                <w:sz w:val="20"/>
                <w:szCs w:val="20"/>
              </w:rPr>
              <w:t>属于金属表面处理项目，不</w:t>
            </w:r>
          </w:p>
          <w:p w14:paraId="0B7FC855">
            <w:pPr>
              <w:spacing w:before="160" w:line="229" w:lineRule="auto"/>
              <w:ind w:left="115"/>
              <w:rPr>
                <w:rFonts w:ascii="宋体" w:hAnsi="宋体" w:eastAsia="宋体" w:cs="宋体"/>
                <w:sz w:val="20"/>
                <w:szCs w:val="20"/>
              </w:rPr>
            </w:pPr>
            <w:r>
              <w:rPr>
                <w:rFonts w:ascii="宋体" w:hAnsi="宋体" w:eastAsia="宋体" w:cs="宋体"/>
                <w:spacing w:val="1"/>
                <w:sz w:val="20"/>
                <w:szCs w:val="20"/>
              </w:rPr>
              <w:t>属于钢铁、石化、化工、焦</w:t>
            </w:r>
          </w:p>
          <w:p w14:paraId="6C4162F0">
            <w:pPr>
              <w:spacing w:before="160" w:line="227" w:lineRule="auto"/>
              <w:ind w:left="114"/>
              <w:rPr>
                <w:rFonts w:ascii="宋体" w:hAnsi="宋体" w:eastAsia="宋体" w:cs="宋体"/>
                <w:sz w:val="20"/>
                <w:szCs w:val="20"/>
              </w:rPr>
            </w:pPr>
            <w:r>
              <w:rPr>
                <w:rFonts w:ascii="宋体" w:hAnsi="宋体" w:eastAsia="宋体" w:cs="宋体"/>
                <w:spacing w:val="1"/>
                <w:sz w:val="20"/>
                <w:szCs w:val="20"/>
              </w:rPr>
              <w:t>化、建材、有色、制浆造纸</w:t>
            </w:r>
          </w:p>
          <w:p w14:paraId="31B0A7D3">
            <w:pPr>
              <w:spacing w:before="162" w:line="228" w:lineRule="auto"/>
              <w:ind w:left="592"/>
              <w:rPr>
                <w:rFonts w:ascii="宋体" w:hAnsi="宋体" w:eastAsia="宋体" w:cs="宋体"/>
                <w:sz w:val="20"/>
                <w:szCs w:val="20"/>
              </w:rPr>
            </w:pPr>
            <w:r>
              <w:rPr>
                <w:rFonts w:ascii="宋体" w:hAnsi="宋体" w:eastAsia="宋体" w:cs="宋体"/>
                <w:spacing w:val="6"/>
                <w:sz w:val="20"/>
                <w:szCs w:val="20"/>
              </w:rPr>
              <w:t>等高污染项目。</w:t>
            </w:r>
          </w:p>
        </w:tc>
        <w:tc>
          <w:tcPr>
            <w:tcW w:w="757" w:type="dxa"/>
            <w:gridSpan w:val="2"/>
            <w:tcBorders>
              <w:top w:val="single" w:color="000000" w:sz="6" w:space="0"/>
            </w:tcBorders>
            <w:vAlign w:val="top"/>
          </w:tcPr>
          <w:p w14:paraId="04896474">
            <w:pPr>
              <w:spacing w:line="246" w:lineRule="auto"/>
              <w:rPr>
                <w:rFonts w:ascii="Arial"/>
                <w:sz w:val="21"/>
              </w:rPr>
            </w:pPr>
          </w:p>
          <w:p w14:paraId="0ED5CB49">
            <w:pPr>
              <w:spacing w:line="246" w:lineRule="auto"/>
              <w:rPr>
                <w:rFonts w:ascii="Arial"/>
                <w:sz w:val="21"/>
              </w:rPr>
            </w:pPr>
          </w:p>
          <w:p w14:paraId="26CB6773">
            <w:pPr>
              <w:spacing w:line="246" w:lineRule="auto"/>
              <w:rPr>
                <w:rFonts w:ascii="Arial"/>
                <w:sz w:val="21"/>
              </w:rPr>
            </w:pPr>
          </w:p>
          <w:p w14:paraId="4639FB15">
            <w:pPr>
              <w:spacing w:line="247" w:lineRule="auto"/>
              <w:rPr>
                <w:rFonts w:ascii="Arial"/>
                <w:sz w:val="21"/>
              </w:rPr>
            </w:pPr>
          </w:p>
          <w:p w14:paraId="13F1C45F">
            <w:pPr>
              <w:spacing w:before="66" w:line="228" w:lineRule="auto"/>
              <w:ind w:left="180"/>
              <w:rPr>
                <w:rFonts w:ascii="宋体" w:hAnsi="宋体" w:eastAsia="宋体" w:cs="宋体"/>
                <w:sz w:val="20"/>
                <w:szCs w:val="20"/>
              </w:rPr>
            </w:pPr>
            <w:r>
              <w:rPr>
                <w:rFonts w:ascii="宋体" w:hAnsi="宋体" w:eastAsia="宋体" w:cs="宋体"/>
                <w:spacing w:val="4"/>
                <w:sz w:val="20"/>
                <w:szCs w:val="20"/>
              </w:rPr>
              <w:t>相符</w:t>
            </w:r>
          </w:p>
        </w:tc>
        <w:tc>
          <w:tcPr>
            <w:tcW w:w="125" w:type="dxa"/>
            <w:vMerge w:val="restart"/>
            <w:tcBorders>
              <w:top w:val="single" w:color="000000" w:sz="6" w:space="0"/>
              <w:bottom w:val="nil"/>
              <w:right w:val="single" w:color="000000" w:sz="6" w:space="0"/>
            </w:tcBorders>
            <w:vAlign w:val="top"/>
          </w:tcPr>
          <w:p w14:paraId="013B54A0">
            <w:pPr>
              <w:rPr>
                <w:rFonts w:ascii="Arial"/>
                <w:sz w:val="21"/>
              </w:rPr>
            </w:pPr>
          </w:p>
        </w:tc>
      </w:tr>
      <w:tr w14:paraId="307F4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9" w:hRule="atLeast"/>
        </w:trPr>
        <w:tc>
          <w:tcPr>
            <w:tcW w:w="1161" w:type="dxa"/>
            <w:vMerge w:val="continue"/>
            <w:tcBorders>
              <w:top w:val="nil"/>
              <w:left w:val="single" w:color="000000" w:sz="6" w:space="0"/>
              <w:bottom w:val="nil"/>
            </w:tcBorders>
            <w:vAlign w:val="top"/>
          </w:tcPr>
          <w:p w14:paraId="74533B92">
            <w:pPr>
              <w:rPr>
                <w:rFonts w:ascii="Arial"/>
                <w:sz w:val="21"/>
              </w:rPr>
            </w:pPr>
          </w:p>
        </w:tc>
        <w:tc>
          <w:tcPr>
            <w:tcW w:w="115" w:type="dxa"/>
            <w:tcBorders>
              <w:top w:val="nil"/>
              <w:bottom w:val="nil"/>
            </w:tcBorders>
            <w:vAlign w:val="top"/>
          </w:tcPr>
          <w:p w14:paraId="0E6D661E">
            <w:pPr>
              <w:rPr>
                <w:rFonts w:ascii="Arial"/>
                <w:sz w:val="21"/>
              </w:rPr>
            </w:pPr>
          </w:p>
        </w:tc>
        <w:tc>
          <w:tcPr>
            <w:tcW w:w="4076" w:type="dxa"/>
            <w:vAlign w:val="top"/>
          </w:tcPr>
          <w:p w14:paraId="32546B4A">
            <w:pPr>
              <w:spacing w:line="288" w:lineRule="auto"/>
              <w:rPr>
                <w:rFonts w:ascii="Arial"/>
                <w:sz w:val="21"/>
              </w:rPr>
            </w:pPr>
          </w:p>
          <w:p w14:paraId="6937BEDD">
            <w:pPr>
              <w:spacing w:line="289" w:lineRule="auto"/>
              <w:rPr>
                <w:rFonts w:ascii="Arial"/>
                <w:sz w:val="21"/>
              </w:rPr>
            </w:pPr>
          </w:p>
          <w:p w14:paraId="38738C51">
            <w:pPr>
              <w:spacing w:before="65" w:line="228" w:lineRule="auto"/>
              <w:ind w:left="158"/>
              <w:rPr>
                <w:rFonts w:ascii="宋体" w:hAnsi="宋体" w:eastAsia="宋体" w:cs="宋体"/>
                <w:sz w:val="20"/>
                <w:szCs w:val="20"/>
              </w:rPr>
            </w:pPr>
            <w:r>
              <w:rPr>
                <w:rFonts w:ascii="宋体" w:hAnsi="宋体" w:eastAsia="宋体" w:cs="宋体"/>
                <w:spacing w:val="8"/>
                <w:sz w:val="20"/>
                <w:szCs w:val="20"/>
              </w:rPr>
              <w:t>（十）禁止新建、扩建法律法规和相关政</w:t>
            </w:r>
          </w:p>
          <w:p w14:paraId="5AEE5989">
            <w:pPr>
              <w:spacing w:before="161" w:line="227" w:lineRule="auto"/>
              <w:ind w:left="149"/>
              <w:rPr>
                <w:rFonts w:ascii="宋体" w:hAnsi="宋体" w:eastAsia="宋体" w:cs="宋体"/>
                <w:sz w:val="20"/>
                <w:szCs w:val="20"/>
              </w:rPr>
            </w:pPr>
            <w:r>
              <w:rPr>
                <w:rFonts w:ascii="宋体" w:hAnsi="宋体" w:eastAsia="宋体" w:cs="宋体"/>
                <w:spacing w:val="8"/>
                <w:sz w:val="20"/>
                <w:szCs w:val="20"/>
              </w:rPr>
              <w:t>策明令禁止的落后产能项目。禁止新建、</w:t>
            </w:r>
          </w:p>
          <w:p w14:paraId="5231505D">
            <w:pPr>
              <w:spacing w:before="161" w:line="228" w:lineRule="auto"/>
              <w:ind w:left="147"/>
              <w:rPr>
                <w:rFonts w:ascii="宋体" w:hAnsi="宋体" w:eastAsia="宋体" w:cs="宋体"/>
                <w:sz w:val="20"/>
                <w:szCs w:val="20"/>
              </w:rPr>
            </w:pPr>
            <w:r>
              <w:rPr>
                <w:rFonts w:ascii="宋体" w:hAnsi="宋体" w:eastAsia="宋体" w:cs="宋体"/>
                <w:spacing w:val="9"/>
                <w:sz w:val="20"/>
                <w:szCs w:val="20"/>
              </w:rPr>
              <w:t>扩建不符合国家产能置换要求的严重过剩</w:t>
            </w:r>
          </w:p>
          <w:p w14:paraId="715E66DE">
            <w:pPr>
              <w:spacing w:before="160" w:line="228" w:lineRule="auto"/>
              <w:ind w:left="147"/>
              <w:rPr>
                <w:rFonts w:ascii="宋体" w:hAnsi="宋体" w:eastAsia="宋体" w:cs="宋体"/>
                <w:sz w:val="20"/>
                <w:szCs w:val="20"/>
              </w:rPr>
            </w:pPr>
            <w:r>
              <w:rPr>
                <w:rFonts w:ascii="宋体" w:hAnsi="宋体" w:eastAsia="宋体" w:cs="宋体"/>
                <w:spacing w:val="9"/>
                <w:sz w:val="20"/>
                <w:szCs w:val="20"/>
              </w:rPr>
              <w:t>产能行业的项目。禁止新建、扩建不符合</w:t>
            </w:r>
          </w:p>
          <w:p w14:paraId="071041D4">
            <w:pPr>
              <w:spacing w:before="163" w:line="228" w:lineRule="auto"/>
              <w:ind w:left="779"/>
              <w:rPr>
                <w:rFonts w:ascii="宋体" w:hAnsi="宋体" w:eastAsia="宋体" w:cs="宋体"/>
                <w:sz w:val="20"/>
                <w:szCs w:val="20"/>
              </w:rPr>
            </w:pPr>
            <w:r>
              <w:rPr>
                <w:rFonts w:ascii="宋体" w:hAnsi="宋体" w:eastAsia="宋体" w:cs="宋体"/>
                <w:spacing w:val="8"/>
                <w:sz w:val="20"/>
                <w:szCs w:val="20"/>
              </w:rPr>
              <w:t>要求的高耗能高排放项目。</w:t>
            </w:r>
          </w:p>
        </w:tc>
        <w:tc>
          <w:tcPr>
            <w:tcW w:w="2638" w:type="dxa"/>
            <w:gridSpan w:val="2"/>
            <w:vAlign w:val="top"/>
          </w:tcPr>
          <w:p w14:paraId="40B6C29F">
            <w:pPr>
              <w:spacing w:before="34" w:line="228" w:lineRule="auto"/>
              <w:ind w:left="116"/>
              <w:rPr>
                <w:rFonts w:ascii="宋体" w:hAnsi="宋体" w:eastAsia="宋体" w:cs="宋体"/>
                <w:sz w:val="20"/>
                <w:szCs w:val="20"/>
              </w:rPr>
            </w:pPr>
            <w:r>
              <w:rPr>
                <w:rFonts w:ascii="宋体" w:hAnsi="宋体" w:eastAsia="宋体" w:cs="宋体"/>
                <w:spacing w:val="1"/>
                <w:sz w:val="20"/>
                <w:szCs w:val="20"/>
              </w:rPr>
              <w:t>项目不属于新建、扩建法律</w:t>
            </w:r>
          </w:p>
          <w:p w14:paraId="5BE0CC61">
            <w:pPr>
              <w:spacing w:before="161" w:line="227" w:lineRule="auto"/>
              <w:ind w:left="171"/>
              <w:rPr>
                <w:rFonts w:ascii="宋体" w:hAnsi="宋体" w:eastAsia="宋体" w:cs="宋体"/>
                <w:sz w:val="20"/>
                <w:szCs w:val="20"/>
              </w:rPr>
            </w:pPr>
            <w:r>
              <w:rPr>
                <w:rFonts w:ascii="宋体" w:hAnsi="宋体" w:eastAsia="宋体" w:cs="宋体"/>
                <w:spacing w:val="9"/>
                <w:sz w:val="20"/>
                <w:szCs w:val="20"/>
              </w:rPr>
              <w:t>法规和相关政策明令禁止</w:t>
            </w:r>
          </w:p>
          <w:p w14:paraId="62496AD8">
            <w:pPr>
              <w:spacing w:before="161" w:line="228" w:lineRule="auto"/>
              <w:ind w:left="130"/>
              <w:rPr>
                <w:rFonts w:ascii="宋体" w:hAnsi="宋体" w:eastAsia="宋体" w:cs="宋体"/>
                <w:sz w:val="20"/>
                <w:szCs w:val="20"/>
              </w:rPr>
            </w:pPr>
            <w:r>
              <w:rPr>
                <w:rFonts w:ascii="宋体" w:hAnsi="宋体" w:eastAsia="宋体" w:cs="宋体"/>
                <w:spacing w:val="-1"/>
                <w:sz w:val="20"/>
                <w:szCs w:val="20"/>
              </w:rPr>
              <w:t>的落后产能项目，不属于禁</w:t>
            </w:r>
          </w:p>
          <w:p w14:paraId="1C6F8FA5">
            <w:pPr>
              <w:spacing w:before="161" w:line="228" w:lineRule="auto"/>
              <w:ind w:left="114"/>
              <w:rPr>
                <w:rFonts w:ascii="宋体" w:hAnsi="宋体" w:eastAsia="宋体" w:cs="宋体"/>
                <w:sz w:val="20"/>
                <w:szCs w:val="20"/>
              </w:rPr>
            </w:pPr>
            <w:r>
              <w:rPr>
                <w:rFonts w:ascii="宋体" w:hAnsi="宋体" w:eastAsia="宋体" w:cs="宋体"/>
                <w:spacing w:val="1"/>
                <w:sz w:val="20"/>
                <w:szCs w:val="20"/>
              </w:rPr>
              <w:t>止新建、扩建不符合国家产</w:t>
            </w:r>
          </w:p>
          <w:p w14:paraId="749FCA1B">
            <w:pPr>
              <w:spacing w:before="163" w:line="228" w:lineRule="auto"/>
              <w:ind w:left="179"/>
              <w:rPr>
                <w:rFonts w:ascii="宋体" w:hAnsi="宋体" w:eastAsia="宋体" w:cs="宋体"/>
                <w:sz w:val="20"/>
                <w:szCs w:val="20"/>
              </w:rPr>
            </w:pPr>
            <w:r>
              <w:rPr>
                <w:rFonts w:ascii="宋体" w:hAnsi="宋体" w:eastAsia="宋体" w:cs="宋体"/>
                <w:spacing w:val="8"/>
                <w:sz w:val="20"/>
                <w:szCs w:val="20"/>
              </w:rPr>
              <w:t>能置换要求的严重过剩产</w:t>
            </w:r>
          </w:p>
          <w:p w14:paraId="57CB1F15">
            <w:pPr>
              <w:spacing w:before="161" w:line="228" w:lineRule="auto"/>
              <w:ind w:left="121"/>
              <w:rPr>
                <w:rFonts w:ascii="宋体" w:hAnsi="宋体" w:eastAsia="宋体" w:cs="宋体"/>
                <w:sz w:val="20"/>
                <w:szCs w:val="20"/>
              </w:rPr>
            </w:pPr>
            <w:r>
              <w:rPr>
                <w:rFonts w:ascii="宋体" w:hAnsi="宋体" w:eastAsia="宋体" w:cs="宋体"/>
                <w:sz w:val="20"/>
                <w:szCs w:val="20"/>
              </w:rPr>
              <w:t>能行业的项目，不属于禁止</w:t>
            </w:r>
          </w:p>
          <w:p w14:paraId="0A77B5FF">
            <w:pPr>
              <w:spacing w:before="160" w:line="228" w:lineRule="auto"/>
              <w:ind w:left="114"/>
              <w:rPr>
                <w:rFonts w:ascii="宋体" w:hAnsi="宋体" w:eastAsia="宋体" w:cs="宋体"/>
                <w:sz w:val="20"/>
                <w:szCs w:val="20"/>
              </w:rPr>
            </w:pPr>
            <w:r>
              <w:rPr>
                <w:rFonts w:ascii="宋体" w:hAnsi="宋体" w:eastAsia="宋体" w:cs="宋体"/>
                <w:spacing w:val="1"/>
                <w:sz w:val="20"/>
                <w:szCs w:val="20"/>
              </w:rPr>
              <w:t>新建、扩建不符合要求的高</w:t>
            </w:r>
          </w:p>
          <w:p w14:paraId="1248712F">
            <w:pPr>
              <w:spacing w:before="161" w:line="228" w:lineRule="auto"/>
              <w:ind w:left="486"/>
              <w:rPr>
                <w:rFonts w:ascii="宋体" w:hAnsi="宋体" w:eastAsia="宋体" w:cs="宋体"/>
                <w:sz w:val="20"/>
                <w:szCs w:val="20"/>
              </w:rPr>
            </w:pPr>
            <w:r>
              <w:rPr>
                <w:rFonts w:ascii="宋体" w:hAnsi="宋体" w:eastAsia="宋体" w:cs="宋体"/>
                <w:spacing w:val="7"/>
                <w:sz w:val="20"/>
                <w:szCs w:val="20"/>
              </w:rPr>
              <w:t>耗能高排放项目。</w:t>
            </w:r>
          </w:p>
        </w:tc>
        <w:tc>
          <w:tcPr>
            <w:tcW w:w="757" w:type="dxa"/>
            <w:gridSpan w:val="2"/>
            <w:vAlign w:val="top"/>
          </w:tcPr>
          <w:p w14:paraId="124A93DE">
            <w:pPr>
              <w:spacing w:line="277" w:lineRule="auto"/>
              <w:rPr>
                <w:rFonts w:ascii="Arial"/>
                <w:sz w:val="21"/>
              </w:rPr>
            </w:pPr>
          </w:p>
          <w:p w14:paraId="0992E635">
            <w:pPr>
              <w:spacing w:line="277" w:lineRule="auto"/>
              <w:rPr>
                <w:rFonts w:ascii="Arial"/>
                <w:sz w:val="21"/>
              </w:rPr>
            </w:pPr>
          </w:p>
          <w:p w14:paraId="510C01F8">
            <w:pPr>
              <w:spacing w:line="278" w:lineRule="auto"/>
              <w:rPr>
                <w:rFonts w:ascii="Arial"/>
                <w:sz w:val="21"/>
              </w:rPr>
            </w:pPr>
          </w:p>
          <w:p w14:paraId="29C770EA">
            <w:pPr>
              <w:spacing w:line="278" w:lineRule="auto"/>
              <w:rPr>
                <w:rFonts w:ascii="Arial"/>
                <w:sz w:val="21"/>
              </w:rPr>
            </w:pPr>
          </w:p>
          <w:p w14:paraId="5FAA8B98">
            <w:pPr>
              <w:spacing w:line="278" w:lineRule="auto"/>
              <w:rPr>
                <w:rFonts w:ascii="Arial"/>
                <w:sz w:val="21"/>
              </w:rPr>
            </w:pPr>
          </w:p>
          <w:p w14:paraId="6FA147DB">
            <w:pPr>
              <w:spacing w:before="65" w:line="228" w:lineRule="auto"/>
              <w:ind w:left="180"/>
              <w:rPr>
                <w:rFonts w:ascii="宋体" w:hAnsi="宋体" w:eastAsia="宋体" w:cs="宋体"/>
                <w:sz w:val="20"/>
                <w:szCs w:val="20"/>
              </w:rPr>
            </w:pPr>
            <w:r>
              <w:rPr>
                <w:rFonts w:ascii="宋体" w:hAnsi="宋体" w:eastAsia="宋体" w:cs="宋体"/>
                <w:spacing w:val="4"/>
                <w:sz w:val="20"/>
                <w:szCs w:val="20"/>
              </w:rPr>
              <w:t>相符</w:t>
            </w:r>
          </w:p>
        </w:tc>
        <w:tc>
          <w:tcPr>
            <w:tcW w:w="125" w:type="dxa"/>
            <w:vMerge w:val="continue"/>
            <w:tcBorders>
              <w:top w:val="nil"/>
              <w:bottom w:val="nil"/>
              <w:right w:val="single" w:color="000000" w:sz="6" w:space="0"/>
            </w:tcBorders>
            <w:vAlign w:val="top"/>
          </w:tcPr>
          <w:p w14:paraId="0D9D61F5">
            <w:pPr>
              <w:rPr>
                <w:rFonts w:ascii="Arial"/>
                <w:sz w:val="21"/>
              </w:rPr>
            </w:pPr>
          </w:p>
        </w:tc>
      </w:tr>
      <w:tr w14:paraId="5C9D2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4" w:hRule="atLeast"/>
        </w:trPr>
        <w:tc>
          <w:tcPr>
            <w:tcW w:w="1161" w:type="dxa"/>
            <w:vMerge w:val="continue"/>
            <w:tcBorders>
              <w:top w:val="nil"/>
              <w:left w:val="single" w:color="000000" w:sz="6" w:space="0"/>
              <w:bottom w:val="nil"/>
            </w:tcBorders>
            <w:vAlign w:val="top"/>
          </w:tcPr>
          <w:p w14:paraId="5EBFB90F">
            <w:pPr>
              <w:rPr>
                <w:rFonts w:ascii="Arial"/>
                <w:sz w:val="21"/>
              </w:rPr>
            </w:pPr>
          </w:p>
        </w:tc>
        <w:tc>
          <w:tcPr>
            <w:tcW w:w="7586" w:type="dxa"/>
            <w:gridSpan w:val="6"/>
            <w:tcBorders>
              <w:right w:val="nil"/>
            </w:tcBorders>
            <w:vAlign w:val="top"/>
          </w:tcPr>
          <w:p w14:paraId="4DAA32F9">
            <w:pPr>
              <w:spacing w:before="43" w:line="358" w:lineRule="auto"/>
              <w:ind w:left="127" w:right="3" w:firstLine="461"/>
              <w:rPr>
                <w:rFonts w:ascii="宋体" w:hAnsi="宋体" w:eastAsia="宋体" w:cs="宋体"/>
                <w:sz w:val="24"/>
                <w:szCs w:val="24"/>
              </w:rPr>
            </w:pPr>
            <w:r>
              <w:rPr>
                <w:rFonts w:ascii="宋体" w:hAnsi="宋体" w:eastAsia="宋体" w:cs="宋体"/>
                <w:spacing w:val="-1"/>
                <w:sz w:val="24"/>
                <w:szCs w:val="24"/>
              </w:rPr>
              <w:t>本项目符合《长江经济带发展负面清单指南》（试行，</w:t>
            </w:r>
            <w:r>
              <w:rPr>
                <w:rFonts w:ascii="Times New Roman" w:hAnsi="Times New Roman" w:eastAsia="Times New Roman" w:cs="Times New Roman"/>
                <w:spacing w:val="-1"/>
                <w:sz w:val="24"/>
                <w:szCs w:val="24"/>
              </w:rPr>
              <w:t xml:space="preserve">2022 </w:t>
            </w:r>
            <w:r>
              <w:rPr>
                <w:rFonts w:ascii="宋体" w:hAnsi="宋体" w:eastAsia="宋体" w:cs="宋体"/>
                <w:spacing w:val="-1"/>
                <w:sz w:val="24"/>
                <w:szCs w:val="24"/>
              </w:rPr>
              <w:t>年版）</w:t>
            </w:r>
            <w:r>
              <w:rPr>
                <w:rFonts w:ascii="宋体" w:hAnsi="宋体" w:eastAsia="宋体" w:cs="宋体"/>
                <w:spacing w:val="-8"/>
                <w:sz w:val="24"/>
                <w:szCs w:val="24"/>
              </w:rPr>
              <w:t>的通知。</w:t>
            </w:r>
          </w:p>
          <w:p w14:paraId="2C5943A1">
            <w:pPr>
              <w:spacing w:line="358" w:lineRule="auto"/>
              <w:ind w:left="109" w:firstLine="476"/>
              <w:rPr>
                <w:rFonts w:ascii="宋体" w:hAnsi="宋体" w:eastAsia="宋体" w:cs="宋体"/>
                <w:sz w:val="24"/>
                <w:szCs w:val="24"/>
              </w:rPr>
            </w:pPr>
            <w:r>
              <w:rPr>
                <w:rFonts w:ascii="Times New Roman" w:hAnsi="Times New Roman" w:eastAsia="Times New Roman" w:cs="Times New Roman"/>
                <w:b/>
                <w:bCs/>
                <w:spacing w:val="-6"/>
                <w:sz w:val="24"/>
                <w:szCs w:val="24"/>
              </w:rPr>
              <w:t>8</w:t>
            </w:r>
            <w:r>
              <w:rPr>
                <w:rFonts w:ascii="Times New Roman" w:hAnsi="Times New Roman" w:eastAsia="Times New Roman" w:cs="Times New Roman"/>
                <w:b/>
                <w:bCs/>
                <w:spacing w:val="-23"/>
                <w:sz w:val="24"/>
                <w:szCs w:val="24"/>
              </w:rPr>
              <w:t xml:space="preserve"> </w:t>
            </w:r>
            <w:r>
              <w:rPr>
                <w:rFonts w:ascii="宋体" w:hAnsi="宋体" w:eastAsia="宋体" w:cs="宋体"/>
                <w:b/>
                <w:bCs/>
                <w:spacing w:val="-6"/>
                <w:sz w:val="24"/>
                <w:szCs w:val="24"/>
              </w:rPr>
              <w:t>、与《云南省长江经济带发展负面清单指南实施细则（试行）</w:t>
            </w:r>
            <w:r>
              <w:rPr>
                <w:rFonts w:ascii="Times New Roman" w:hAnsi="Times New Roman" w:eastAsia="Times New Roman" w:cs="Times New Roman"/>
                <w:b/>
                <w:bCs/>
                <w:spacing w:val="-6"/>
                <w:sz w:val="24"/>
                <w:szCs w:val="24"/>
              </w:rPr>
              <w:t>2022</w:t>
            </w:r>
            <w:r>
              <w:rPr>
                <w:rFonts w:ascii="宋体" w:hAnsi="宋体" w:eastAsia="宋体" w:cs="宋体"/>
                <w:b/>
                <w:bCs/>
                <w:spacing w:val="-4"/>
                <w:sz w:val="24"/>
                <w:szCs w:val="24"/>
              </w:rPr>
              <w:t>年版》的符合性分析</w:t>
            </w:r>
          </w:p>
          <w:p w14:paraId="72A873A1">
            <w:pPr>
              <w:spacing w:line="227" w:lineRule="auto"/>
              <w:jc w:val="right"/>
              <w:rPr>
                <w:rFonts w:ascii="宋体" w:hAnsi="宋体" w:eastAsia="宋体" w:cs="宋体"/>
                <w:sz w:val="20"/>
                <w:szCs w:val="20"/>
              </w:rPr>
            </w:pPr>
            <w:r>
              <w:rPr>
                <w:rFonts w:ascii="宋体" w:hAnsi="宋体" w:eastAsia="宋体" w:cs="宋体"/>
                <w:b/>
                <w:bCs/>
                <w:spacing w:val="7"/>
                <w:sz w:val="20"/>
                <w:szCs w:val="20"/>
              </w:rPr>
              <w:t>表</w:t>
            </w:r>
            <w:r>
              <w:rPr>
                <w:rFonts w:ascii="宋体" w:hAnsi="宋体" w:eastAsia="宋体" w:cs="宋体"/>
                <w:spacing w:val="-33"/>
                <w:sz w:val="20"/>
                <w:szCs w:val="20"/>
              </w:rPr>
              <w:t xml:space="preserve"> </w:t>
            </w:r>
            <w:r>
              <w:rPr>
                <w:rFonts w:ascii="Times New Roman" w:hAnsi="Times New Roman" w:eastAsia="Times New Roman" w:cs="Times New Roman"/>
                <w:b/>
                <w:bCs/>
                <w:spacing w:val="7"/>
                <w:sz w:val="20"/>
                <w:szCs w:val="20"/>
              </w:rPr>
              <w:t xml:space="preserve">1-10    </w:t>
            </w:r>
            <w:r>
              <w:rPr>
                <w:rFonts w:ascii="宋体" w:hAnsi="宋体" w:eastAsia="宋体" w:cs="宋体"/>
                <w:b/>
                <w:bCs/>
                <w:spacing w:val="7"/>
                <w:sz w:val="20"/>
                <w:szCs w:val="20"/>
              </w:rPr>
              <w:t>《云南省长江经济带发展负面清单指南实施细则（试行，</w:t>
            </w:r>
            <w:r>
              <w:rPr>
                <w:rFonts w:ascii="Times New Roman" w:hAnsi="Times New Roman" w:eastAsia="Times New Roman" w:cs="Times New Roman"/>
                <w:b/>
                <w:bCs/>
                <w:spacing w:val="7"/>
                <w:sz w:val="20"/>
                <w:szCs w:val="20"/>
              </w:rPr>
              <w:t xml:space="preserve">2022 </w:t>
            </w:r>
            <w:r>
              <w:rPr>
                <w:rFonts w:ascii="宋体" w:hAnsi="宋体" w:eastAsia="宋体" w:cs="宋体"/>
                <w:b/>
                <w:bCs/>
                <w:spacing w:val="7"/>
                <w:sz w:val="20"/>
                <w:szCs w:val="20"/>
              </w:rPr>
              <w:t>年</w:t>
            </w:r>
            <w:r>
              <w:rPr>
                <w:rFonts w:ascii="宋体" w:hAnsi="宋体" w:eastAsia="宋体" w:cs="宋体"/>
                <w:b/>
                <w:bCs/>
                <w:spacing w:val="6"/>
                <w:sz w:val="20"/>
                <w:szCs w:val="20"/>
              </w:rPr>
              <w:t>版）》</w:t>
            </w:r>
          </w:p>
          <w:p w14:paraId="10976624">
            <w:pPr>
              <w:spacing w:before="25" w:line="209" w:lineRule="auto"/>
              <w:ind w:left="3331"/>
              <w:rPr>
                <w:rFonts w:ascii="宋体" w:hAnsi="宋体" w:eastAsia="宋体" w:cs="宋体"/>
                <w:sz w:val="20"/>
                <w:szCs w:val="20"/>
              </w:rPr>
            </w:pPr>
            <w:r>
              <w:rPr>
                <w:rFonts w:ascii="宋体" w:hAnsi="宋体" w:eastAsia="宋体" w:cs="宋体"/>
                <w:b/>
                <w:bCs/>
                <w:spacing w:val="6"/>
                <w:sz w:val="20"/>
                <w:szCs w:val="20"/>
              </w:rPr>
              <w:t>符合性分析</w:t>
            </w:r>
          </w:p>
        </w:tc>
        <w:tc>
          <w:tcPr>
            <w:tcW w:w="125" w:type="dxa"/>
            <w:vMerge w:val="restart"/>
            <w:tcBorders>
              <w:top w:val="nil"/>
              <w:bottom w:val="nil"/>
              <w:right w:val="single" w:color="000000" w:sz="6" w:space="0"/>
            </w:tcBorders>
            <w:vAlign w:val="top"/>
          </w:tcPr>
          <w:p w14:paraId="478E09F3">
            <w:pPr>
              <w:rPr>
                <w:rFonts w:ascii="Arial"/>
                <w:sz w:val="21"/>
              </w:rPr>
            </w:pPr>
          </w:p>
        </w:tc>
      </w:tr>
      <w:tr w14:paraId="67625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1161" w:type="dxa"/>
            <w:vMerge w:val="continue"/>
            <w:tcBorders>
              <w:top w:val="nil"/>
              <w:left w:val="single" w:color="000000" w:sz="6" w:space="0"/>
              <w:bottom w:val="nil"/>
            </w:tcBorders>
            <w:vAlign w:val="top"/>
          </w:tcPr>
          <w:p w14:paraId="55824CD6">
            <w:pPr>
              <w:rPr>
                <w:rFonts w:ascii="Arial"/>
                <w:sz w:val="21"/>
              </w:rPr>
            </w:pPr>
          </w:p>
        </w:tc>
        <w:tc>
          <w:tcPr>
            <w:tcW w:w="115" w:type="dxa"/>
            <w:tcBorders>
              <w:top w:val="nil"/>
              <w:bottom w:val="nil"/>
            </w:tcBorders>
            <w:vAlign w:val="top"/>
          </w:tcPr>
          <w:p w14:paraId="5968F3C9">
            <w:pPr>
              <w:rPr>
                <w:rFonts w:ascii="Arial"/>
                <w:sz w:val="21"/>
              </w:rPr>
            </w:pPr>
          </w:p>
        </w:tc>
        <w:tc>
          <w:tcPr>
            <w:tcW w:w="4514" w:type="dxa"/>
            <w:gridSpan w:val="2"/>
            <w:vAlign w:val="top"/>
          </w:tcPr>
          <w:p w14:paraId="4322FD5D">
            <w:pPr>
              <w:spacing w:line="382" w:lineRule="auto"/>
              <w:rPr>
                <w:rFonts w:ascii="Arial"/>
                <w:sz w:val="21"/>
              </w:rPr>
            </w:pPr>
          </w:p>
          <w:p w14:paraId="70AD377F">
            <w:pPr>
              <w:spacing w:before="65" w:line="229" w:lineRule="auto"/>
              <w:ind w:left="1840"/>
              <w:rPr>
                <w:rFonts w:ascii="宋体" w:hAnsi="宋体" w:eastAsia="宋体" w:cs="宋体"/>
                <w:sz w:val="20"/>
                <w:szCs w:val="20"/>
              </w:rPr>
            </w:pPr>
            <w:r>
              <w:rPr>
                <w:rFonts w:ascii="宋体" w:hAnsi="宋体" w:eastAsia="宋体" w:cs="宋体"/>
                <w:b/>
                <w:bCs/>
                <w:spacing w:val="6"/>
                <w:sz w:val="20"/>
                <w:szCs w:val="20"/>
              </w:rPr>
              <w:t>规范要求</w:t>
            </w:r>
          </w:p>
        </w:tc>
        <w:tc>
          <w:tcPr>
            <w:tcW w:w="2339" w:type="dxa"/>
            <w:gridSpan w:val="2"/>
            <w:vAlign w:val="top"/>
          </w:tcPr>
          <w:p w14:paraId="5A297FB5">
            <w:pPr>
              <w:spacing w:line="382" w:lineRule="auto"/>
              <w:rPr>
                <w:rFonts w:ascii="Arial"/>
                <w:sz w:val="21"/>
              </w:rPr>
            </w:pPr>
          </w:p>
          <w:p w14:paraId="2CD59C0D">
            <w:pPr>
              <w:spacing w:before="65" w:line="228" w:lineRule="auto"/>
              <w:ind w:left="550"/>
              <w:rPr>
                <w:rFonts w:ascii="宋体" w:hAnsi="宋体" w:eastAsia="宋体" w:cs="宋体"/>
                <w:sz w:val="20"/>
                <w:szCs w:val="20"/>
              </w:rPr>
            </w:pPr>
            <w:r>
              <w:rPr>
                <w:rFonts w:ascii="宋体" w:hAnsi="宋体" w:eastAsia="宋体" w:cs="宋体"/>
                <w:b/>
                <w:bCs/>
                <w:spacing w:val="6"/>
                <w:sz w:val="20"/>
                <w:szCs w:val="20"/>
              </w:rPr>
              <w:t>项目实际情况</w:t>
            </w:r>
          </w:p>
        </w:tc>
        <w:tc>
          <w:tcPr>
            <w:tcW w:w="618" w:type="dxa"/>
            <w:textDirection w:val="tbRlV"/>
            <w:vAlign w:val="top"/>
          </w:tcPr>
          <w:p w14:paraId="2905C8CE">
            <w:pPr>
              <w:spacing w:before="195" w:line="216" w:lineRule="auto"/>
              <w:ind w:left="41"/>
              <w:rPr>
                <w:rFonts w:ascii="宋体" w:hAnsi="宋体" w:eastAsia="宋体" w:cs="宋体"/>
                <w:sz w:val="20"/>
                <w:szCs w:val="20"/>
              </w:rPr>
            </w:pPr>
            <w:r>
              <w:rPr>
                <w:rFonts w:ascii="宋体" w:hAnsi="宋体" w:eastAsia="宋体" w:cs="宋体"/>
                <w:b/>
                <w:bCs/>
                <w:spacing w:val="6"/>
                <w:sz w:val="20"/>
                <w:szCs w:val="20"/>
              </w:rPr>
              <w:t>相</w:t>
            </w:r>
            <w:r>
              <w:rPr>
                <w:rFonts w:ascii="宋体" w:hAnsi="宋体" w:eastAsia="宋体" w:cs="宋体"/>
                <w:spacing w:val="100"/>
                <w:sz w:val="20"/>
                <w:szCs w:val="20"/>
              </w:rPr>
              <w:t xml:space="preserve"> </w:t>
            </w:r>
            <w:r>
              <w:rPr>
                <w:rFonts w:ascii="宋体" w:hAnsi="宋体" w:eastAsia="宋体" w:cs="宋体"/>
                <w:b/>
                <w:bCs/>
                <w:spacing w:val="6"/>
                <w:sz w:val="20"/>
                <w:szCs w:val="20"/>
              </w:rPr>
              <w:t>符</w:t>
            </w:r>
            <w:r>
              <w:rPr>
                <w:rFonts w:ascii="宋体" w:hAnsi="宋体" w:eastAsia="宋体" w:cs="宋体"/>
                <w:spacing w:val="99"/>
                <w:sz w:val="20"/>
                <w:szCs w:val="20"/>
              </w:rPr>
              <w:t xml:space="preserve"> </w:t>
            </w:r>
            <w:r>
              <w:rPr>
                <w:rFonts w:ascii="宋体" w:hAnsi="宋体" w:eastAsia="宋体" w:cs="宋体"/>
                <w:b/>
                <w:bCs/>
                <w:spacing w:val="6"/>
                <w:sz w:val="20"/>
                <w:szCs w:val="20"/>
              </w:rPr>
              <w:t>性</w:t>
            </w:r>
          </w:p>
        </w:tc>
        <w:tc>
          <w:tcPr>
            <w:tcW w:w="125" w:type="dxa"/>
            <w:vMerge w:val="continue"/>
            <w:tcBorders>
              <w:top w:val="nil"/>
              <w:bottom w:val="nil"/>
              <w:right w:val="single" w:color="000000" w:sz="6" w:space="0"/>
            </w:tcBorders>
            <w:vAlign w:val="top"/>
          </w:tcPr>
          <w:p w14:paraId="5E265F71">
            <w:pPr>
              <w:rPr>
                <w:rFonts w:ascii="Arial"/>
                <w:sz w:val="21"/>
              </w:rPr>
            </w:pPr>
          </w:p>
        </w:tc>
      </w:tr>
      <w:tr w14:paraId="6E289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3" w:hRule="atLeast"/>
        </w:trPr>
        <w:tc>
          <w:tcPr>
            <w:tcW w:w="1161" w:type="dxa"/>
            <w:vMerge w:val="continue"/>
            <w:tcBorders>
              <w:top w:val="nil"/>
              <w:left w:val="single" w:color="000000" w:sz="6" w:space="0"/>
              <w:bottom w:val="nil"/>
            </w:tcBorders>
            <w:vAlign w:val="top"/>
          </w:tcPr>
          <w:p w14:paraId="39879D78">
            <w:pPr>
              <w:rPr>
                <w:rFonts w:ascii="Arial"/>
                <w:sz w:val="21"/>
              </w:rPr>
            </w:pPr>
          </w:p>
        </w:tc>
        <w:tc>
          <w:tcPr>
            <w:tcW w:w="115" w:type="dxa"/>
            <w:tcBorders>
              <w:top w:val="nil"/>
              <w:bottom w:val="nil"/>
            </w:tcBorders>
            <w:vAlign w:val="top"/>
          </w:tcPr>
          <w:p w14:paraId="7A4AC4BB">
            <w:pPr>
              <w:rPr>
                <w:rFonts w:ascii="Arial"/>
                <w:sz w:val="21"/>
              </w:rPr>
            </w:pPr>
          </w:p>
        </w:tc>
        <w:tc>
          <w:tcPr>
            <w:tcW w:w="4514" w:type="dxa"/>
            <w:gridSpan w:val="2"/>
            <w:vAlign w:val="top"/>
          </w:tcPr>
          <w:p w14:paraId="31CF7188">
            <w:pPr>
              <w:spacing w:before="42" w:line="228" w:lineRule="auto"/>
              <w:ind w:left="109"/>
              <w:rPr>
                <w:rFonts w:ascii="宋体" w:hAnsi="宋体" w:eastAsia="宋体" w:cs="宋体"/>
                <w:sz w:val="20"/>
                <w:szCs w:val="20"/>
              </w:rPr>
            </w:pPr>
            <w:r>
              <w:rPr>
                <w:rFonts w:ascii="宋体" w:hAnsi="宋体" w:eastAsia="宋体" w:cs="宋体"/>
                <w:spacing w:val="4"/>
                <w:sz w:val="20"/>
                <w:szCs w:val="20"/>
              </w:rPr>
              <w:t>禁止新建、改建和扩建不符合《全国内河航道与</w:t>
            </w:r>
          </w:p>
          <w:p w14:paraId="018840B6">
            <w:pPr>
              <w:spacing w:before="161" w:line="227" w:lineRule="auto"/>
              <w:ind w:left="108"/>
              <w:rPr>
                <w:rFonts w:ascii="宋体" w:hAnsi="宋体" w:eastAsia="宋体" w:cs="宋体"/>
                <w:sz w:val="20"/>
                <w:szCs w:val="20"/>
              </w:rPr>
            </w:pPr>
            <w:r>
              <w:rPr>
                <w:rFonts w:ascii="宋体" w:hAnsi="宋体" w:eastAsia="宋体" w:cs="宋体"/>
                <w:spacing w:val="4"/>
                <w:sz w:val="20"/>
                <w:szCs w:val="20"/>
              </w:rPr>
              <w:t>港口布局规划》等全国港口规划和《昭通市港口</w:t>
            </w:r>
          </w:p>
          <w:p w14:paraId="4A094D9E">
            <w:pPr>
              <w:spacing w:before="161" w:line="228" w:lineRule="auto"/>
              <w:jc w:val="right"/>
              <w:rPr>
                <w:rFonts w:ascii="宋体" w:hAnsi="宋体" w:eastAsia="宋体" w:cs="宋体"/>
                <w:sz w:val="20"/>
                <w:szCs w:val="20"/>
              </w:rPr>
            </w:pPr>
            <w:r>
              <w:rPr>
                <w:rFonts w:ascii="宋体" w:hAnsi="宋体" w:eastAsia="宋体" w:cs="宋体"/>
                <w:spacing w:val="1"/>
                <w:sz w:val="20"/>
                <w:szCs w:val="20"/>
              </w:rPr>
              <w:t>码头岸线规划（金沙江段</w:t>
            </w:r>
            <w:r>
              <w:rPr>
                <w:rFonts w:ascii="宋体" w:hAnsi="宋体" w:eastAsia="宋体" w:cs="宋体"/>
                <w:spacing w:val="-28"/>
                <w:sz w:val="20"/>
                <w:szCs w:val="20"/>
              </w:rPr>
              <w:t xml:space="preserve"> </w:t>
            </w:r>
            <w:r>
              <w:rPr>
                <w:rFonts w:ascii="Times New Roman" w:hAnsi="Times New Roman" w:eastAsia="Times New Roman" w:cs="Times New Roman"/>
                <w:spacing w:val="1"/>
                <w:sz w:val="20"/>
                <w:szCs w:val="20"/>
              </w:rPr>
              <w:t xml:space="preserve">2019 </w:t>
            </w:r>
            <w:r>
              <w:rPr>
                <w:rFonts w:ascii="宋体" w:hAnsi="宋体" w:eastAsia="宋体" w:cs="宋体"/>
                <w:spacing w:val="1"/>
                <w:sz w:val="20"/>
                <w:szCs w:val="20"/>
              </w:rPr>
              <w:t>年</w:t>
            </w:r>
            <w:r>
              <w:rPr>
                <w:rFonts w:ascii="Times New Roman" w:hAnsi="Times New Roman" w:eastAsia="Times New Roman" w:cs="Times New Roman"/>
                <w:spacing w:val="1"/>
                <w:sz w:val="20"/>
                <w:szCs w:val="20"/>
              </w:rPr>
              <w:t xml:space="preserve">—2035 </w:t>
            </w:r>
            <w:r>
              <w:rPr>
                <w:rFonts w:ascii="宋体" w:hAnsi="宋体" w:eastAsia="宋体" w:cs="宋体"/>
                <w:spacing w:val="1"/>
                <w:sz w:val="20"/>
                <w:szCs w:val="20"/>
              </w:rPr>
              <w:t>年）》、</w:t>
            </w:r>
          </w:p>
          <w:p w14:paraId="67BCB69C">
            <w:pPr>
              <w:spacing w:before="161" w:line="227" w:lineRule="auto"/>
              <w:ind w:right="7"/>
              <w:jc w:val="right"/>
              <w:rPr>
                <w:rFonts w:ascii="宋体" w:hAnsi="宋体" w:eastAsia="宋体" w:cs="宋体"/>
                <w:sz w:val="20"/>
                <w:szCs w:val="20"/>
              </w:rPr>
            </w:pPr>
            <w:r>
              <w:rPr>
                <w:rFonts w:ascii="宋体" w:hAnsi="宋体" w:eastAsia="宋体" w:cs="宋体"/>
                <w:spacing w:val="-3"/>
                <w:sz w:val="20"/>
                <w:szCs w:val="20"/>
              </w:rPr>
              <w:t>《景洪港总体规划（</w:t>
            </w:r>
            <w:r>
              <w:rPr>
                <w:rFonts w:ascii="Times New Roman" w:hAnsi="Times New Roman" w:eastAsia="Times New Roman" w:cs="Times New Roman"/>
                <w:spacing w:val="-3"/>
                <w:sz w:val="20"/>
                <w:szCs w:val="20"/>
              </w:rPr>
              <w:t xml:space="preserve">2019—2035 </w:t>
            </w:r>
            <w:r>
              <w:rPr>
                <w:rFonts w:ascii="宋体" w:hAnsi="宋体" w:eastAsia="宋体" w:cs="宋体"/>
                <w:spacing w:val="-3"/>
                <w:sz w:val="20"/>
                <w:szCs w:val="20"/>
              </w:rPr>
              <w:t>年）》等州（市）</w:t>
            </w:r>
          </w:p>
          <w:p w14:paraId="2D91C53D">
            <w:pPr>
              <w:spacing w:before="162" w:line="227" w:lineRule="auto"/>
              <w:ind w:left="165"/>
              <w:rPr>
                <w:rFonts w:ascii="宋体" w:hAnsi="宋体" w:eastAsia="宋体" w:cs="宋体"/>
                <w:sz w:val="20"/>
                <w:szCs w:val="20"/>
              </w:rPr>
            </w:pPr>
            <w:r>
              <w:rPr>
                <w:rFonts w:ascii="宋体" w:hAnsi="宋体" w:eastAsia="宋体" w:cs="宋体"/>
                <w:spacing w:val="9"/>
                <w:sz w:val="20"/>
                <w:szCs w:val="20"/>
              </w:rPr>
              <w:t>级以上港口布局规划以及港口总体规划的码头</w:t>
            </w:r>
          </w:p>
          <w:p w14:paraId="1530D4F0">
            <w:pPr>
              <w:spacing w:before="162" w:line="228" w:lineRule="auto"/>
              <w:ind w:left="1948"/>
              <w:rPr>
                <w:rFonts w:ascii="宋体" w:hAnsi="宋体" w:eastAsia="宋体" w:cs="宋体"/>
                <w:sz w:val="20"/>
                <w:szCs w:val="20"/>
              </w:rPr>
            </w:pPr>
            <w:r>
              <w:rPr>
                <w:rFonts w:ascii="宋体" w:hAnsi="宋体" w:eastAsia="宋体" w:cs="宋体"/>
                <w:spacing w:val="2"/>
                <w:sz w:val="20"/>
                <w:szCs w:val="20"/>
              </w:rPr>
              <w:t>项目。</w:t>
            </w:r>
          </w:p>
        </w:tc>
        <w:tc>
          <w:tcPr>
            <w:tcW w:w="2339" w:type="dxa"/>
            <w:gridSpan w:val="2"/>
            <w:vAlign w:val="top"/>
          </w:tcPr>
          <w:p w14:paraId="6073F522">
            <w:pPr>
              <w:spacing w:line="292" w:lineRule="auto"/>
              <w:rPr>
                <w:rFonts w:ascii="Arial"/>
                <w:sz w:val="21"/>
              </w:rPr>
            </w:pPr>
          </w:p>
          <w:p w14:paraId="6D0EBF7E">
            <w:pPr>
              <w:spacing w:line="293" w:lineRule="auto"/>
              <w:rPr>
                <w:rFonts w:ascii="Arial"/>
                <w:sz w:val="21"/>
              </w:rPr>
            </w:pPr>
          </w:p>
          <w:p w14:paraId="65529B69">
            <w:pPr>
              <w:spacing w:before="65" w:line="227" w:lineRule="auto"/>
              <w:ind w:left="129"/>
              <w:rPr>
                <w:rFonts w:ascii="宋体" w:hAnsi="宋体" w:eastAsia="宋体" w:cs="宋体"/>
                <w:sz w:val="20"/>
                <w:szCs w:val="20"/>
              </w:rPr>
            </w:pPr>
            <w:r>
              <w:rPr>
                <w:rFonts w:ascii="宋体" w:hAnsi="宋体" w:eastAsia="宋体" w:cs="宋体"/>
                <w:spacing w:val="8"/>
                <w:sz w:val="20"/>
                <w:szCs w:val="20"/>
              </w:rPr>
              <w:t>本项目不属于港口布局</w:t>
            </w:r>
          </w:p>
          <w:p w14:paraId="42029749">
            <w:pPr>
              <w:spacing w:before="162" w:line="229" w:lineRule="auto"/>
              <w:ind w:left="129"/>
              <w:rPr>
                <w:rFonts w:ascii="宋体" w:hAnsi="宋体" w:eastAsia="宋体" w:cs="宋体"/>
                <w:sz w:val="20"/>
                <w:szCs w:val="20"/>
              </w:rPr>
            </w:pPr>
            <w:r>
              <w:rPr>
                <w:rFonts w:ascii="宋体" w:hAnsi="宋体" w:eastAsia="宋体" w:cs="宋体"/>
                <w:spacing w:val="8"/>
                <w:sz w:val="20"/>
                <w:szCs w:val="20"/>
              </w:rPr>
              <w:t>规划以及港口总体规划</w:t>
            </w:r>
          </w:p>
          <w:p w14:paraId="3A0CC84F">
            <w:pPr>
              <w:spacing w:before="159" w:line="228" w:lineRule="auto"/>
              <w:ind w:left="566"/>
              <w:rPr>
                <w:rFonts w:ascii="宋体" w:hAnsi="宋体" w:eastAsia="宋体" w:cs="宋体"/>
                <w:sz w:val="20"/>
                <w:szCs w:val="20"/>
              </w:rPr>
            </w:pPr>
            <w:r>
              <w:rPr>
                <w:rFonts w:ascii="宋体" w:hAnsi="宋体" w:eastAsia="宋体" w:cs="宋体"/>
                <w:spacing w:val="3"/>
                <w:sz w:val="20"/>
                <w:szCs w:val="20"/>
              </w:rPr>
              <w:t>的码头项目。</w:t>
            </w:r>
          </w:p>
        </w:tc>
        <w:tc>
          <w:tcPr>
            <w:tcW w:w="618" w:type="dxa"/>
            <w:textDirection w:val="tbRlV"/>
            <w:vAlign w:val="top"/>
          </w:tcPr>
          <w:p w14:paraId="069BE5C9">
            <w:pPr>
              <w:spacing w:before="195" w:line="216" w:lineRule="auto"/>
              <w:ind w:left="858"/>
              <w:rPr>
                <w:rFonts w:ascii="宋体" w:hAnsi="宋体" w:eastAsia="宋体" w:cs="宋体"/>
                <w:sz w:val="20"/>
                <w:szCs w:val="20"/>
              </w:rPr>
            </w:pPr>
            <w:r>
              <w:rPr>
                <w:rFonts w:ascii="宋体" w:hAnsi="宋体" w:eastAsia="宋体" w:cs="宋体"/>
                <w:spacing w:val="8"/>
                <w:sz w:val="20"/>
                <w:szCs w:val="20"/>
              </w:rPr>
              <w:t>相</w:t>
            </w:r>
            <w:r>
              <w:rPr>
                <w:rFonts w:ascii="宋体" w:hAnsi="宋体" w:eastAsia="宋体" w:cs="宋体"/>
                <w:spacing w:val="99"/>
                <w:sz w:val="20"/>
                <w:szCs w:val="20"/>
              </w:rPr>
              <w:t xml:space="preserve"> </w:t>
            </w:r>
            <w:r>
              <w:rPr>
                <w:rFonts w:ascii="宋体" w:hAnsi="宋体" w:eastAsia="宋体" w:cs="宋体"/>
                <w:spacing w:val="8"/>
                <w:sz w:val="20"/>
                <w:szCs w:val="20"/>
              </w:rPr>
              <w:t>符</w:t>
            </w:r>
          </w:p>
        </w:tc>
        <w:tc>
          <w:tcPr>
            <w:tcW w:w="125" w:type="dxa"/>
            <w:vMerge w:val="continue"/>
            <w:tcBorders>
              <w:top w:val="nil"/>
              <w:bottom w:val="nil"/>
              <w:right w:val="single" w:color="000000" w:sz="6" w:space="0"/>
            </w:tcBorders>
            <w:vAlign w:val="top"/>
          </w:tcPr>
          <w:p w14:paraId="5A6A16C8">
            <w:pPr>
              <w:rPr>
                <w:rFonts w:ascii="Arial"/>
                <w:sz w:val="21"/>
              </w:rPr>
            </w:pPr>
          </w:p>
        </w:tc>
      </w:tr>
      <w:tr w14:paraId="345FF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 w:hRule="atLeast"/>
        </w:trPr>
        <w:tc>
          <w:tcPr>
            <w:tcW w:w="1161" w:type="dxa"/>
            <w:vMerge w:val="continue"/>
            <w:tcBorders>
              <w:top w:val="nil"/>
              <w:left w:val="single" w:color="000000" w:sz="6" w:space="0"/>
              <w:bottom w:val="single" w:color="000000" w:sz="6" w:space="0"/>
            </w:tcBorders>
            <w:vAlign w:val="top"/>
          </w:tcPr>
          <w:p w14:paraId="5FE8CD05">
            <w:pPr>
              <w:rPr>
                <w:rFonts w:ascii="Arial"/>
                <w:sz w:val="21"/>
              </w:rPr>
            </w:pPr>
          </w:p>
        </w:tc>
        <w:tc>
          <w:tcPr>
            <w:tcW w:w="115" w:type="dxa"/>
            <w:tcBorders>
              <w:top w:val="nil"/>
              <w:bottom w:val="single" w:color="000000" w:sz="6" w:space="0"/>
            </w:tcBorders>
            <w:vAlign w:val="top"/>
          </w:tcPr>
          <w:p w14:paraId="5CA80825">
            <w:pPr>
              <w:rPr>
                <w:rFonts w:ascii="Arial"/>
                <w:sz w:val="21"/>
              </w:rPr>
            </w:pPr>
          </w:p>
        </w:tc>
        <w:tc>
          <w:tcPr>
            <w:tcW w:w="4514" w:type="dxa"/>
            <w:gridSpan w:val="2"/>
            <w:tcBorders>
              <w:bottom w:val="single" w:color="000000" w:sz="6" w:space="0"/>
            </w:tcBorders>
            <w:vAlign w:val="top"/>
          </w:tcPr>
          <w:p w14:paraId="2FE66C4F">
            <w:pPr>
              <w:spacing w:before="43" w:line="372" w:lineRule="auto"/>
              <w:ind w:left="113" w:right="104" w:hanging="4"/>
              <w:jc w:val="both"/>
              <w:rPr>
                <w:rFonts w:ascii="宋体" w:hAnsi="宋体" w:eastAsia="宋体" w:cs="宋体"/>
                <w:sz w:val="20"/>
                <w:szCs w:val="20"/>
              </w:rPr>
            </w:pPr>
            <w:r>
              <w:rPr>
                <w:rFonts w:ascii="宋体" w:hAnsi="宋体" w:eastAsia="宋体" w:cs="宋体"/>
                <w:spacing w:val="4"/>
                <w:sz w:val="20"/>
                <w:szCs w:val="20"/>
              </w:rPr>
              <w:t>禁止在自然保护区核心区、缓冲区的岸线和河段范围内投资建设旅游和生产经营项目。禁止建设与自然保护区保护方向不一致的旅游项目。禁止</w:t>
            </w:r>
          </w:p>
        </w:tc>
        <w:tc>
          <w:tcPr>
            <w:tcW w:w="2339" w:type="dxa"/>
            <w:gridSpan w:val="2"/>
            <w:tcBorders>
              <w:bottom w:val="single" w:color="000000" w:sz="6" w:space="0"/>
            </w:tcBorders>
            <w:vAlign w:val="top"/>
          </w:tcPr>
          <w:p w14:paraId="6415438F">
            <w:pPr>
              <w:spacing w:before="43" w:line="372" w:lineRule="auto"/>
              <w:ind w:left="129" w:right="115"/>
              <w:jc w:val="both"/>
              <w:rPr>
                <w:rFonts w:ascii="宋体" w:hAnsi="宋体" w:eastAsia="宋体" w:cs="宋体"/>
                <w:sz w:val="20"/>
                <w:szCs w:val="20"/>
              </w:rPr>
            </w:pPr>
            <w:r>
              <w:rPr>
                <w:rFonts w:ascii="宋体" w:hAnsi="宋体" w:eastAsia="宋体" w:cs="宋体"/>
                <w:spacing w:val="8"/>
                <w:sz w:val="20"/>
                <w:szCs w:val="20"/>
              </w:rPr>
              <w:t>本项目不涉及《长江岸线保护和开发利用总体规划》划定的岸线保护</w:t>
            </w:r>
          </w:p>
        </w:tc>
        <w:tc>
          <w:tcPr>
            <w:tcW w:w="618" w:type="dxa"/>
            <w:tcBorders>
              <w:bottom w:val="single" w:color="000000" w:sz="6" w:space="0"/>
            </w:tcBorders>
            <w:textDirection w:val="tbRlV"/>
            <w:vAlign w:val="top"/>
          </w:tcPr>
          <w:p w14:paraId="001B3DF3">
            <w:pPr>
              <w:spacing w:before="195" w:line="216" w:lineRule="auto"/>
              <w:ind w:left="248"/>
              <w:rPr>
                <w:rFonts w:ascii="宋体" w:hAnsi="宋体" w:eastAsia="宋体" w:cs="宋体"/>
                <w:sz w:val="20"/>
                <w:szCs w:val="20"/>
              </w:rPr>
            </w:pPr>
            <w:r>
              <w:rPr>
                <w:rFonts w:ascii="宋体" w:hAnsi="宋体" w:eastAsia="宋体" w:cs="宋体"/>
                <w:spacing w:val="8"/>
                <w:sz w:val="20"/>
                <w:szCs w:val="20"/>
              </w:rPr>
              <w:t>相</w:t>
            </w:r>
            <w:r>
              <w:rPr>
                <w:rFonts w:ascii="宋体" w:hAnsi="宋体" w:eastAsia="宋体" w:cs="宋体"/>
                <w:spacing w:val="99"/>
                <w:sz w:val="20"/>
                <w:szCs w:val="20"/>
              </w:rPr>
              <w:t xml:space="preserve"> </w:t>
            </w:r>
            <w:r>
              <w:rPr>
                <w:rFonts w:ascii="宋体" w:hAnsi="宋体" w:eastAsia="宋体" w:cs="宋体"/>
                <w:spacing w:val="8"/>
                <w:sz w:val="20"/>
                <w:szCs w:val="20"/>
              </w:rPr>
              <w:t>符</w:t>
            </w:r>
          </w:p>
        </w:tc>
        <w:tc>
          <w:tcPr>
            <w:tcW w:w="125" w:type="dxa"/>
            <w:vMerge w:val="continue"/>
            <w:tcBorders>
              <w:top w:val="nil"/>
              <w:bottom w:val="single" w:color="000000" w:sz="6" w:space="0"/>
              <w:right w:val="single" w:color="000000" w:sz="6" w:space="0"/>
            </w:tcBorders>
            <w:vAlign w:val="top"/>
          </w:tcPr>
          <w:p w14:paraId="205F6CB5">
            <w:pPr>
              <w:rPr>
                <w:rFonts w:ascii="Arial"/>
                <w:sz w:val="21"/>
              </w:rPr>
            </w:pPr>
          </w:p>
        </w:tc>
      </w:tr>
    </w:tbl>
    <w:p w14:paraId="291ED64D">
      <w:pPr>
        <w:pStyle w:val="2"/>
      </w:pPr>
    </w:p>
    <w:p w14:paraId="405F95DE">
      <w:pPr>
        <w:sectPr>
          <w:footerReference r:id="rId35" w:type="default"/>
          <w:pgSz w:w="11906" w:h="16839"/>
          <w:pgMar w:top="400" w:right="1509" w:bottom="1329" w:left="1509" w:header="0" w:footer="1113" w:gutter="0"/>
          <w:cols w:space="720" w:num="1"/>
        </w:sectPr>
      </w:pPr>
    </w:p>
    <w:p w14:paraId="7137B2CC">
      <w:pPr>
        <w:spacing w:before="19"/>
      </w:pPr>
      <w:r>
        <w:pict>
          <v:shape id="_x0000_s1040" o:spid="_x0000_s1040" style="position:absolute;left:0pt;margin-left:139.15pt;margin-top:741.6pt;height:0.5pt;width:374.65pt;mso-position-horizontal-relative:page;mso-position-vertical-relative:page;z-index:251663360;mso-width-relative:page;mso-height-relative:page;" filled="f" stroked="t" coordsize="7492,10" o:allowincell="f" path="m0,4l7492,4e">
            <v:fill on="f" focussize="0,0"/>
            <v:stroke weight="0.48pt" color="#000000" miterlimit="2" joinstyle="bevel"/>
            <v:imagedata o:title=""/>
            <o:lock v:ext="edit"/>
          </v:shape>
        </w:pict>
      </w:r>
    </w:p>
    <w:p w14:paraId="1F07B275">
      <w:pPr>
        <w:spacing w:before="19"/>
      </w:pPr>
    </w:p>
    <w:p w14:paraId="47ED718D">
      <w:pPr>
        <w:spacing w:before="19"/>
      </w:pPr>
    </w:p>
    <w:p w14:paraId="32C66286">
      <w:pPr>
        <w:spacing w:before="18"/>
      </w:pPr>
    </w:p>
    <w:p w14:paraId="31386C7F">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6"/>
        <w:gridCol w:w="4514"/>
        <w:gridCol w:w="2339"/>
        <w:gridCol w:w="617"/>
        <w:gridCol w:w="125"/>
      </w:tblGrid>
      <w:tr w14:paraId="3D6A1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4" w:hRule="atLeast"/>
        </w:trPr>
        <w:tc>
          <w:tcPr>
            <w:tcW w:w="1161" w:type="dxa"/>
            <w:vMerge w:val="restart"/>
            <w:tcBorders>
              <w:top w:val="single" w:color="000000" w:sz="6" w:space="0"/>
              <w:left w:val="single" w:color="000000" w:sz="6" w:space="0"/>
              <w:bottom w:val="nil"/>
            </w:tcBorders>
            <w:vAlign w:val="top"/>
          </w:tcPr>
          <w:p w14:paraId="077ADB32">
            <w:pPr>
              <w:rPr>
                <w:rFonts w:ascii="Arial"/>
                <w:sz w:val="21"/>
              </w:rPr>
            </w:pPr>
          </w:p>
        </w:tc>
        <w:tc>
          <w:tcPr>
            <w:tcW w:w="116" w:type="dxa"/>
            <w:tcBorders>
              <w:top w:val="single" w:color="000000" w:sz="6" w:space="0"/>
              <w:bottom w:val="nil"/>
            </w:tcBorders>
            <w:vAlign w:val="top"/>
          </w:tcPr>
          <w:p w14:paraId="354F4505">
            <w:pPr>
              <w:rPr>
                <w:rFonts w:ascii="Arial"/>
                <w:sz w:val="21"/>
              </w:rPr>
            </w:pPr>
          </w:p>
        </w:tc>
        <w:tc>
          <w:tcPr>
            <w:tcW w:w="4514" w:type="dxa"/>
            <w:vAlign w:val="top"/>
          </w:tcPr>
          <w:p w14:paraId="1B1732E5">
            <w:pPr>
              <w:spacing w:before="37" w:line="227" w:lineRule="auto"/>
              <w:ind w:right="10"/>
              <w:jc w:val="right"/>
              <w:rPr>
                <w:rFonts w:ascii="宋体" w:hAnsi="宋体" w:eastAsia="宋体" w:cs="宋体"/>
                <w:sz w:val="20"/>
                <w:szCs w:val="20"/>
              </w:rPr>
            </w:pPr>
            <w:r>
              <w:rPr>
                <w:rFonts w:ascii="宋体" w:hAnsi="宋体" w:eastAsia="宋体" w:cs="宋体"/>
                <w:spacing w:val="9"/>
                <w:sz w:val="20"/>
                <w:szCs w:val="20"/>
              </w:rPr>
              <w:t>在自然保护区内进行开矿、采石、挖沙等活动。</w:t>
            </w:r>
          </w:p>
          <w:p w14:paraId="2236B8AE">
            <w:pPr>
              <w:spacing w:before="161" w:line="228" w:lineRule="auto"/>
              <w:ind w:left="161"/>
              <w:rPr>
                <w:rFonts w:ascii="宋体" w:hAnsi="宋体" w:eastAsia="宋体" w:cs="宋体"/>
                <w:sz w:val="20"/>
                <w:szCs w:val="20"/>
              </w:rPr>
            </w:pPr>
            <w:r>
              <w:rPr>
                <w:rFonts w:ascii="宋体" w:hAnsi="宋体" w:eastAsia="宋体" w:cs="宋体"/>
                <w:spacing w:val="9"/>
                <w:sz w:val="20"/>
                <w:szCs w:val="20"/>
              </w:rPr>
              <w:t>禁止在自然保护区的核心区和缓冲区内建设任</w:t>
            </w:r>
          </w:p>
          <w:p w14:paraId="642962AD">
            <w:pPr>
              <w:spacing w:before="161" w:line="228" w:lineRule="auto"/>
              <w:ind w:left="111"/>
              <w:rPr>
                <w:rFonts w:ascii="宋体" w:hAnsi="宋体" w:eastAsia="宋体" w:cs="宋体"/>
                <w:sz w:val="20"/>
                <w:szCs w:val="20"/>
              </w:rPr>
            </w:pPr>
            <w:r>
              <w:rPr>
                <w:rFonts w:ascii="宋体" w:hAnsi="宋体" w:eastAsia="宋体" w:cs="宋体"/>
                <w:spacing w:val="4"/>
                <w:sz w:val="20"/>
                <w:szCs w:val="20"/>
              </w:rPr>
              <w:t>何生产设施，禁止在自然保护区的实验区内建设</w:t>
            </w:r>
          </w:p>
          <w:p w14:paraId="5C270284">
            <w:pPr>
              <w:spacing w:before="160" w:line="228" w:lineRule="auto"/>
              <w:ind w:left="266"/>
              <w:rPr>
                <w:rFonts w:ascii="宋体" w:hAnsi="宋体" w:eastAsia="宋体" w:cs="宋体"/>
                <w:sz w:val="20"/>
                <w:szCs w:val="20"/>
              </w:rPr>
            </w:pPr>
            <w:r>
              <w:rPr>
                <w:rFonts w:ascii="宋体" w:hAnsi="宋体" w:eastAsia="宋体" w:cs="宋体"/>
                <w:spacing w:val="8"/>
                <w:sz w:val="20"/>
                <w:szCs w:val="20"/>
              </w:rPr>
              <w:t>污染环境、破坏资源或者景观的生产设施。</w:t>
            </w:r>
          </w:p>
        </w:tc>
        <w:tc>
          <w:tcPr>
            <w:tcW w:w="2339" w:type="dxa"/>
            <w:vAlign w:val="top"/>
          </w:tcPr>
          <w:p w14:paraId="5C187270">
            <w:pPr>
              <w:spacing w:before="40" w:line="372" w:lineRule="auto"/>
              <w:ind w:left="127" w:right="31" w:firstLine="16"/>
              <w:rPr>
                <w:rFonts w:ascii="宋体" w:hAnsi="宋体" w:eastAsia="宋体" w:cs="宋体"/>
                <w:sz w:val="20"/>
                <w:szCs w:val="20"/>
              </w:rPr>
            </w:pPr>
            <w:r>
              <w:rPr>
                <w:rFonts w:ascii="宋体" w:hAnsi="宋体" w:eastAsia="宋体" w:cs="宋体"/>
                <w:spacing w:val="7"/>
                <w:sz w:val="20"/>
                <w:szCs w:val="20"/>
              </w:rPr>
              <w:t>区、《全国重要江河湖</w:t>
            </w:r>
            <w:r>
              <w:rPr>
                <w:rFonts w:ascii="宋体" w:hAnsi="宋体" w:eastAsia="宋体" w:cs="宋体"/>
                <w:spacing w:val="9"/>
                <w:sz w:val="20"/>
                <w:szCs w:val="20"/>
              </w:rPr>
              <w:t>泊水功能区划》划定的</w:t>
            </w:r>
            <w:r>
              <w:rPr>
                <w:rFonts w:ascii="宋体" w:hAnsi="宋体" w:eastAsia="宋体" w:cs="宋体"/>
                <w:spacing w:val="11"/>
                <w:sz w:val="20"/>
                <w:szCs w:val="20"/>
              </w:rPr>
              <w:t>河段保护区、保留区。</w:t>
            </w:r>
            <w:r>
              <w:rPr>
                <w:rFonts w:ascii="宋体" w:hAnsi="宋体" w:eastAsia="宋体" w:cs="宋体"/>
                <w:spacing w:val="20"/>
                <w:sz w:val="20"/>
                <w:szCs w:val="20"/>
              </w:rPr>
              <w:t>本项目不属于旅游项</w:t>
            </w:r>
            <w:r>
              <w:rPr>
                <w:rFonts w:ascii="宋体" w:hAnsi="宋体" w:eastAsia="宋体" w:cs="宋体"/>
                <w:spacing w:val="-3"/>
                <w:sz w:val="20"/>
                <w:szCs w:val="20"/>
              </w:rPr>
              <w:t>目，不进行开矿、采石、</w:t>
            </w:r>
            <w:r>
              <w:rPr>
                <w:rFonts w:ascii="宋体" w:hAnsi="宋体" w:eastAsia="宋体" w:cs="宋体"/>
                <w:spacing w:val="9"/>
                <w:sz w:val="20"/>
                <w:szCs w:val="20"/>
              </w:rPr>
              <w:t>挖沙等活动；本项目不属于自然保护区的核心</w:t>
            </w:r>
            <w:r>
              <w:rPr>
                <w:rFonts w:ascii="宋体" w:hAnsi="宋体" w:eastAsia="宋体" w:cs="宋体"/>
                <w:spacing w:val="-3"/>
                <w:sz w:val="20"/>
                <w:szCs w:val="20"/>
              </w:rPr>
              <w:t>区、缓冲区和试验区内。</w:t>
            </w:r>
          </w:p>
        </w:tc>
        <w:tc>
          <w:tcPr>
            <w:tcW w:w="617" w:type="dxa"/>
            <w:vAlign w:val="top"/>
          </w:tcPr>
          <w:p w14:paraId="0E0B6796">
            <w:pPr>
              <w:rPr>
                <w:rFonts w:ascii="Arial"/>
                <w:sz w:val="21"/>
              </w:rPr>
            </w:pPr>
          </w:p>
        </w:tc>
        <w:tc>
          <w:tcPr>
            <w:tcW w:w="125" w:type="dxa"/>
            <w:vMerge w:val="restart"/>
            <w:tcBorders>
              <w:top w:val="single" w:color="000000" w:sz="6" w:space="0"/>
              <w:bottom w:val="nil"/>
              <w:right w:val="single" w:color="000000" w:sz="6" w:space="0"/>
            </w:tcBorders>
            <w:vAlign w:val="top"/>
          </w:tcPr>
          <w:p w14:paraId="0DDC0579">
            <w:pPr>
              <w:rPr>
                <w:rFonts w:ascii="Arial"/>
                <w:sz w:val="21"/>
              </w:rPr>
            </w:pPr>
          </w:p>
        </w:tc>
      </w:tr>
      <w:tr w14:paraId="34DA8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8" w:hRule="atLeast"/>
        </w:trPr>
        <w:tc>
          <w:tcPr>
            <w:tcW w:w="1161" w:type="dxa"/>
            <w:vMerge w:val="continue"/>
            <w:tcBorders>
              <w:top w:val="nil"/>
              <w:left w:val="single" w:color="000000" w:sz="6" w:space="0"/>
              <w:bottom w:val="nil"/>
            </w:tcBorders>
            <w:vAlign w:val="top"/>
          </w:tcPr>
          <w:p w14:paraId="012DE112">
            <w:pPr>
              <w:rPr>
                <w:rFonts w:ascii="Arial"/>
                <w:sz w:val="21"/>
              </w:rPr>
            </w:pPr>
          </w:p>
        </w:tc>
        <w:tc>
          <w:tcPr>
            <w:tcW w:w="116" w:type="dxa"/>
            <w:tcBorders>
              <w:top w:val="nil"/>
              <w:bottom w:val="nil"/>
            </w:tcBorders>
            <w:vAlign w:val="top"/>
          </w:tcPr>
          <w:p w14:paraId="72AF24DE">
            <w:pPr>
              <w:rPr>
                <w:rFonts w:ascii="Arial"/>
                <w:sz w:val="21"/>
              </w:rPr>
            </w:pPr>
          </w:p>
        </w:tc>
        <w:tc>
          <w:tcPr>
            <w:tcW w:w="4514" w:type="dxa"/>
            <w:vAlign w:val="top"/>
          </w:tcPr>
          <w:p w14:paraId="68E6B587">
            <w:pPr>
              <w:spacing w:before="34" w:line="228" w:lineRule="auto"/>
              <w:ind w:left="161"/>
              <w:rPr>
                <w:rFonts w:ascii="宋体" w:hAnsi="宋体" w:eastAsia="宋体" w:cs="宋体"/>
                <w:sz w:val="20"/>
                <w:szCs w:val="20"/>
              </w:rPr>
            </w:pPr>
            <w:r>
              <w:rPr>
                <w:rFonts w:ascii="宋体" w:hAnsi="宋体" w:eastAsia="宋体" w:cs="宋体"/>
                <w:spacing w:val="9"/>
                <w:sz w:val="20"/>
                <w:szCs w:val="20"/>
              </w:rPr>
              <w:t>禁止在风景名胜区核心景区的岸线和河段范围</w:t>
            </w:r>
          </w:p>
          <w:p w14:paraId="21D029AD">
            <w:pPr>
              <w:spacing w:before="161" w:line="228" w:lineRule="auto"/>
              <w:ind w:left="133"/>
              <w:rPr>
                <w:rFonts w:ascii="宋体" w:hAnsi="宋体" w:eastAsia="宋体" w:cs="宋体"/>
                <w:sz w:val="20"/>
                <w:szCs w:val="20"/>
              </w:rPr>
            </w:pPr>
            <w:r>
              <w:rPr>
                <w:rFonts w:ascii="宋体" w:hAnsi="宋体" w:eastAsia="宋体" w:cs="宋体"/>
                <w:spacing w:val="3"/>
                <w:sz w:val="20"/>
                <w:szCs w:val="20"/>
              </w:rPr>
              <w:t>内投资建设与风景名胜资源保护无关的项目。禁</w:t>
            </w:r>
          </w:p>
          <w:p w14:paraId="07B098AC">
            <w:pPr>
              <w:spacing w:before="163" w:line="227" w:lineRule="auto"/>
              <w:ind w:right="10"/>
              <w:jc w:val="right"/>
              <w:rPr>
                <w:rFonts w:ascii="宋体" w:hAnsi="宋体" w:eastAsia="宋体" w:cs="宋体"/>
                <w:sz w:val="20"/>
                <w:szCs w:val="20"/>
              </w:rPr>
            </w:pPr>
            <w:r>
              <w:rPr>
                <w:rFonts w:ascii="宋体" w:hAnsi="宋体" w:eastAsia="宋体" w:cs="宋体"/>
                <w:spacing w:val="-1"/>
                <w:sz w:val="20"/>
                <w:szCs w:val="20"/>
              </w:rPr>
              <w:t>止在风景名胜区内进行开山、采石、开矿、开荒、</w:t>
            </w:r>
          </w:p>
          <w:p w14:paraId="4F4337DD">
            <w:pPr>
              <w:spacing w:before="162" w:line="227" w:lineRule="auto"/>
              <w:ind w:left="108"/>
              <w:rPr>
                <w:rFonts w:ascii="宋体" w:hAnsi="宋体" w:eastAsia="宋体" w:cs="宋体"/>
                <w:sz w:val="20"/>
                <w:szCs w:val="20"/>
              </w:rPr>
            </w:pPr>
            <w:r>
              <w:rPr>
                <w:rFonts w:ascii="宋体" w:hAnsi="宋体" w:eastAsia="宋体" w:cs="宋体"/>
                <w:spacing w:val="4"/>
                <w:sz w:val="20"/>
                <w:szCs w:val="20"/>
              </w:rPr>
              <w:t>修坟立碑等破坏景观、植被和地形地貌的活动以</w:t>
            </w:r>
          </w:p>
          <w:p w14:paraId="0E39FE2F">
            <w:pPr>
              <w:spacing w:before="162" w:line="226" w:lineRule="auto"/>
              <w:ind w:right="10"/>
              <w:jc w:val="right"/>
              <w:rPr>
                <w:rFonts w:ascii="宋体" w:hAnsi="宋体" w:eastAsia="宋体" w:cs="宋体"/>
                <w:sz w:val="20"/>
                <w:szCs w:val="20"/>
              </w:rPr>
            </w:pPr>
            <w:r>
              <w:rPr>
                <w:rFonts w:ascii="宋体" w:hAnsi="宋体" w:eastAsia="宋体" w:cs="宋体"/>
                <w:spacing w:val="9"/>
                <w:sz w:val="20"/>
                <w:szCs w:val="20"/>
              </w:rPr>
              <w:t>及修建储存爆炸性、易燃性、放射性、毒害性、</w:t>
            </w:r>
          </w:p>
          <w:p w14:paraId="6E66625B">
            <w:pPr>
              <w:spacing w:before="162" w:line="228" w:lineRule="auto"/>
              <w:ind w:left="108"/>
              <w:rPr>
                <w:rFonts w:ascii="宋体" w:hAnsi="宋体" w:eastAsia="宋体" w:cs="宋体"/>
                <w:sz w:val="20"/>
                <w:szCs w:val="20"/>
              </w:rPr>
            </w:pPr>
            <w:r>
              <w:rPr>
                <w:rFonts w:ascii="宋体" w:hAnsi="宋体" w:eastAsia="宋体" w:cs="宋体"/>
                <w:spacing w:val="4"/>
                <w:sz w:val="20"/>
                <w:szCs w:val="20"/>
              </w:rPr>
              <w:t>腐蚀性物品的设施；禁止在风景名胜区内设立开</w:t>
            </w:r>
          </w:p>
          <w:p w14:paraId="3EFB7F99">
            <w:pPr>
              <w:spacing w:before="163" w:line="227" w:lineRule="auto"/>
              <w:ind w:right="10"/>
              <w:jc w:val="right"/>
              <w:rPr>
                <w:rFonts w:ascii="宋体" w:hAnsi="宋体" w:eastAsia="宋体" w:cs="宋体"/>
                <w:sz w:val="20"/>
                <w:szCs w:val="20"/>
              </w:rPr>
            </w:pPr>
            <w:r>
              <w:rPr>
                <w:rFonts w:ascii="宋体" w:hAnsi="宋体" w:eastAsia="宋体" w:cs="宋体"/>
                <w:spacing w:val="-1"/>
                <w:sz w:val="20"/>
                <w:szCs w:val="20"/>
              </w:rPr>
              <w:t>发区和在核心景区内建设宾馆、会所、培训中心、</w:t>
            </w:r>
          </w:p>
          <w:p w14:paraId="41A70557">
            <w:pPr>
              <w:spacing w:before="162" w:line="228" w:lineRule="auto"/>
              <w:ind w:left="160"/>
              <w:rPr>
                <w:rFonts w:ascii="宋体" w:hAnsi="宋体" w:eastAsia="宋体" w:cs="宋体"/>
                <w:sz w:val="20"/>
                <w:szCs w:val="20"/>
              </w:rPr>
            </w:pPr>
            <w:r>
              <w:rPr>
                <w:rFonts w:ascii="宋体" w:hAnsi="宋体" w:eastAsia="宋体" w:cs="宋体"/>
                <w:spacing w:val="9"/>
                <w:sz w:val="20"/>
                <w:szCs w:val="20"/>
              </w:rPr>
              <w:t>疗养院以及与风景名胜资源保护无关的投资建</w:t>
            </w:r>
          </w:p>
          <w:p w14:paraId="172F04A9">
            <w:pPr>
              <w:spacing w:before="162" w:line="228" w:lineRule="auto"/>
              <w:ind w:left="1844"/>
              <w:rPr>
                <w:rFonts w:ascii="宋体" w:hAnsi="宋体" w:eastAsia="宋体" w:cs="宋体"/>
                <w:sz w:val="20"/>
                <w:szCs w:val="20"/>
              </w:rPr>
            </w:pPr>
            <w:r>
              <w:rPr>
                <w:rFonts w:ascii="宋体" w:hAnsi="宋体" w:eastAsia="宋体" w:cs="宋体"/>
                <w:spacing w:val="4"/>
                <w:sz w:val="20"/>
                <w:szCs w:val="20"/>
              </w:rPr>
              <w:t>设项目。</w:t>
            </w:r>
          </w:p>
        </w:tc>
        <w:tc>
          <w:tcPr>
            <w:tcW w:w="2339" w:type="dxa"/>
            <w:vAlign w:val="top"/>
          </w:tcPr>
          <w:p w14:paraId="520A3EA2">
            <w:pPr>
              <w:spacing w:line="278" w:lineRule="auto"/>
              <w:rPr>
                <w:rFonts w:ascii="Arial"/>
                <w:sz w:val="21"/>
              </w:rPr>
            </w:pPr>
          </w:p>
          <w:p w14:paraId="552784EE">
            <w:pPr>
              <w:spacing w:line="278" w:lineRule="auto"/>
              <w:rPr>
                <w:rFonts w:ascii="Arial"/>
                <w:sz w:val="21"/>
              </w:rPr>
            </w:pPr>
          </w:p>
          <w:p w14:paraId="0FD5C2CD">
            <w:pPr>
              <w:spacing w:line="278" w:lineRule="auto"/>
              <w:rPr>
                <w:rFonts w:ascii="Arial"/>
                <w:sz w:val="21"/>
              </w:rPr>
            </w:pPr>
          </w:p>
          <w:p w14:paraId="68496739">
            <w:pPr>
              <w:spacing w:line="278" w:lineRule="auto"/>
              <w:rPr>
                <w:rFonts w:ascii="Arial"/>
                <w:sz w:val="21"/>
              </w:rPr>
            </w:pPr>
          </w:p>
          <w:p w14:paraId="15807F79">
            <w:pPr>
              <w:spacing w:line="278" w:lineRule="auto"/>
              <w:rPr>
                <w:rFonts w:ascii="Arial"/>
                <w:sz w:val="21"/>
              </w:rPr>
            </w:pPr>
          </w:p>
          <w:p w14:paraId="5B83EBC8">
            <w:pPr>
              <w:spacing w:before="65" w:line="228" w:lineRule="auto"/>
              <w:ind w:left="131"/>
              <w:rPr>
                <w:rFonts w:ascii="宋体" w:hAnsi="宋体" w:eastAsia="宋体" w:cs="宋体"/>
                <w:sz w:val="20"/>
                <w:szCs w:val="20"/>
              </w:rPr>
            </w:pPr>
            <w:r>
              <w:rPr>
                <w:rFonts w:ascii="宋体" w:hAnsi="宋体" w:eastAsia="宋体" w:cs="宋体"/>
                <w:spacing w:val="8"/>
                <w:sz w:val="20"/>
                <w:szCs w:val="20"/>
              </w:rPr>
              <w:t>项目用地不涉及风景名</w:t>
            </w:r>
          </w:p>
          <w:p w14:paraId="5D321255">
            <w:pPr>
              <w:spacing w:before="161" w:line="229" w:lineRule="auto"/>
              <w:ind w:left="862"/>
              <w:rPr>
                <w:rFonts w:ascii="宋体" w:hAnsi="宋体" w:eastAsia="宋体" w:cs="宋体"/>
                <w:sz w:val="20"/>
                <w:szCs w:val="20"/>
              </w:rPr>
            </w:pPr>
            <w:r>
              <w:rPr>
                <w:rFonts w:ascii="宋体" w:hAnsi="宋体" w:eastAsia="宋体" w:cs="宋体"/>
                <w:spacing w:val="3"/>
                <w:sz w:val="20"/>
                <w:szCs w:val="20"/>
              </w:rPr>
              <w:t>胜区。</w:t>
            </w:r>
          </w:p>
        </w:tc>
        <w:tc>
          <w:tcPr>
            <w:tcW w:w="617" w:type="dxa"/>
            <w:textDirection w:val="tbRlV"/>
            <w:vAlign w:val="top"/>
          </w:tcPr>
          <w:p w14:paraId="2A275BF3">
            <w:pPr>
              <w:spacing w:before="195" w:line="216" w:lineRule="auto"/>
              <w:ind w:left="1464"/>
              <w:rPr>
                <w:rFonts w:ascii="宋体" w:hAnsi="宋体" w:eastAsia="宋体" w:cs="宋体"/>
                <w:sz w:val="20"/>
                <w:szCs w:val="20"/>
              </w:rPr>
            </w:pPr>
            <w:r>
              <w:rPr>
                <w:rFonts w:ascii="宋体" w:hAnsi="宋体" w:eastAsia="宋体" w:cs="宋体"/>
                <w:spacing w:val="8"/>
                <w:sz w:val="20"/>
                <w:szCs w:val="20"/>
              </w:rPr>
              <w:t>相</w:t>
            </w:r>
            <w:r>
              <w:rPr>
                <w:rFonts w:ascii="宋体" w:hAnsi="宋体" w:eastAsia="宋体" w:cs="宋体"/>
                <w:spacing w:val="99"/>
                <w:sz w:val="20"/>
                <w:szCs w:val="20"/>
              </w:rPr>
              <w:t xml:space="preserve"> </w:t>
            </w:r>
            <w:r>
              <w:rPr>
                <w:rFonts w:ascii="宋体" w:hAnsi="宋体" w:eastAsia="宋体" w:cs="宋体"/>
                <w:spacing w:val="8"/>
                <w:sz w:val="20"/>
                <w:szCs w:val="20"/>
              </w:rPr>
              <w:t>符</w:t>
            </w:r>
          </w:p>
        </w:tc>
        <w:tc>
          <w:tcPr>
            <w:tcW w:w="125" w:type="dxa"/>
            <w:vMerge w:val="continue"/>
            <w:tcBorders>
              <w:top w:val="nil"/>
              <w:bottom w:val="nil"/>
              <w:right w:val="single" w:color="000000" w:sz="6" w:space="0"/>
            </w:tcBorders>
            <w:vAlign w:val="top"/>
          </w:tcPr>
          <w:p w14:paraId="13957765">
            <w:pPr>
              <w:rPr>
                <w:rFonts w:ascii="Arial"/>
                <w:sz w:val="21"/>
              </w:rPr>
            </w:pPr>
          </w:p>
        </w:tc>
      </w:tr>
      <w:tr w14:paraId="14F02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3" w:hRule="atLeast"/>
        </w:trPr>
        <w:tc>
          <w:tcPr>
            <w:tcW w:w="1161" w:type="dxa"/>
            <w:vMerge w:val="continue"/>
            <w:tcBorders>
              <w:top w:val="nil"/>
              <w:left w:val="single" w:color="000000" w:sz="6" w:space="0"/>
              <w:bottom w:val="nil"/>
            </w:tcBorders>
            <w:vAlign w:val="top"/>
          </w:tcPr>
          <w:p w14:paraId="61D66042">
            <w:pPr>
              <w:rPr>
                <w:rFonts w:ascii="Arial"/>
                <w:sz w:val="21"/>
              </w:rPr>
            </w:pPr>
          </w:p>
        </w:tc>
        <w:tc>
          <w:tcPr>
            <w:tcW w:w="116" w:type="dxa"/>
            <w:tcBorders>
              <w:top w:val="nil"/>
              <w:bottom w:val="nil"/>
            </w:tcBorders>
            <w:vAlign w:val="top"/>
          </w:tcPr>
          <w:p w14:paraId="4A77BB2B">
            <w:pPr>
              <w:rPr>
                <w:rFonts w:ascii="Arial"/>
                <w:sz w:val="21"/>
              </w:rPr>
            </w:pPr>
          </w:p>
        </w:tc>
        <w:tc>
          <w:tcPr>
            <w:tcW w:w="4514" w:type="dxa"/>
            <w:vAlign w:val="top"/>
          </w:tcPr>
          <w:p w14:paraId="45F62F84">
            <w:pPr>
              <w:spacing w:before="37" w:line="370" w:lineRule="auto"/>
              <w:ind w:left="107" w:right="34" w:firstLine="53"/>
              <w:jc w:val="both"/>
              <w:rPr>
                <w:rFonts w:ascii="宋体" w:hAnsi="宋体" w:eastAsia="宋体" w:cs="宋体"/>
                <w:sz w:val="20"/>
                <w:szCs w:val="20"/>
              </w:rPr>
            </w:pPr>
            <w:r>
              <w:rPr>
                <w:rFonts w:ascii="宋体" w:hAnsi="宋体" w:eastAsia="宋体" w:cs="宋体"/>
                <w:spacing w:val="9"/>
                <w:sz w:val="20"/>
                <w:szCs w:val="20"/>
              </w:rPr>
              <w:t>禁止在饮用水水源一级保护区的岸线和河段范</w:t>
            </w:r>
            <w:r>
              <w:rPr>
                <w:rFonts w:ascii="宋体" w:hAnsi="宋体" w:eastAsia="宋体" w:cs="宋体"/>
                <w:spacing w:val="4"/>
                <w:sz w:val="20"/>
                <w:szCs w:val="20"/>
              </w:rPr>
              <w:t>围内新建、改建、扩建与供水设施和保护水源无</w:t>
            </w:r>
            <w:r>
              <w:rPr>
                <w:rFonts w:ascii="宋体" w:hAnsi="宋体" w:eastAsia="宋体" w:cs="宋体"/>
                <w:spacing w:val="7"/>
                <w:sz w:val="20"/>
                <w:szCs w:val="20"/>
              </w:rPr>
              <w:t>关的投资建设项目，以及网箱养殖、畜禽养殖、</w:t>
            </w:r>
            <w:r>
              <w:rPr>
                <w:rFonts w:ascii="宋体" w:hAnsi="宋体" w:eastAsia="宋体" w:cs="宋体"/>
                <w:spacing w:val="4"/>
                <w:sz w:val="20"/>
                <w:szCs w:val="20"/>
              </w:rPr>
              <w:t>旅游等可能污染饮用水水体的投资建设项目。禁</w:t>
            </w:r>
            <w:r>
              <w:rPr>
                <w:rFonts w:ascii="宋体" w:hAnsi="宋体" w:eastAsia="宋体" w:cs="宋体"/>
                <w:spacing w:val="12"/>
                <w:sz w:val="20"/>
                <w:szCs w:val="20"/>
              </w:rPr>
              <w:t>止在饮用水水源二级保护区的岸线和河段范围</w:t>
            </w:r>
            <w:r>
              <w:rPr>
                <w:rFonts w:ascii="宋体" w:hAnsi="宋体" w:eastAsia="宋体" w:cs="宋体"/>
                <w:spacing w:val="4"/>
                <w:sz w:val="20"/>
                <w:szCs w:val="20"/>
              </w:rPr>
              <w:t>内新建、改建、扩建排放污染物的投资建设项目</w:t>
            </w:r>
          </w:p>
        </w:tc>
        <w:tc>
          <w:tcPr>
            <w:tcW w:w="2339" w:type="dxa"/>
            <w:vAlign w:val="top"/>
          </w:tcPr>
          <w:p w14:paraId="11BDEA05">
            <w:pPr>
              <w:spacing w:line="290" w:lineRule="auto"/>
              <w:rPr>
                <w:rFonts w:ascii="Arial"/>
                <w:sz w:val="21"/>
              </w:rPr>
            </w:pPr>
          </w:p>
          <w:p w14:paraId="17C8EA6D">
            <w:pPr>
              <w:spacing w:line="291" w:lineRule="auto"/>
              <w:rPr>
                <w:rFonts w:ascii="Arial"/>
                <w:sz w:val="21"/>
              </w:rPr>
            </w:pPr>
          </w:p>
          <w:p w14:paraId="64B4206B">
            <w:pPr>
              <w:spacing w:before="65" w:line="227" w:lineRule="auto"/>
              <w:ind w:left="128"/>
              <w:rPr>
                <w:rFonts w:ascii="宋体" w:hAnsi="宋体" w:eastAsia="宋体" w:cs="宋体"/>
                <w:sz w:val="20"/>
                <w:szCs w:val="20"/>
              </w:rPr>
            </w:pPr>
            <w:r>
              <w:rPr>
                <w:rFonts w:ascii="宋体" w:hAnsi="宋体" w:eastAsia="宋体" w:cs="宋体"/>
                <w:spacing w:val="8"/>
                <w:sz w:val="20"/>
                <w:szCs w:val="20"/>
              </w:rPr>
              <w:t>本项目不涉及饮用水水</w:t>
            </w:r>
          </w:p>
          <w:p w14:paraId="3485B773">
            <w:pPr>
              <w:spacing w:before="161" w:line="228" w:lineRule="auto"/>
              <w:ind w:left="127"/>
              <w:rPr>
                <w:rFonts w:ascii="宋体" w:hAnsi="宋体" w:eastAsia="宋体" w:cs="宋体"/>
                <w:sz w:val="20"/>
                <w:szCs w:val="20"/>
              </w:rPr>
            </w:pPr>
            <w:r>
              <w:rPr>
                <w:rFonts w:ascii="宋体" w:hAnsi="宋体" w:eastAsia="宋体" w:cs="宋体"/>
                <w:spacing w:val="9"/>
                <w:sz w:val="20"/>
                <w:szCs w:val="20"/>
              </w:rPr>
              <w:t>源一级保护区、饮用水</w:t>
            </w:r>
          </w:p>
          <w:p w14:paraId="457BEAD1">
            <w:pPr>
              <w:spacing w:before="163" w:line="228" w:lineRule="auto"/>
              <w:ind w:left="341"/>
              <w:rPr>
                <w:rFonts w:ascii="宋体" w:hAnsi="宋体" w:eastAsia="宋体" w:cs="宋体"/>
                <w:sz w:val="20"/>
                <w:szCs w:val="20"/>
              </w:rPr>
            </w:pPr>
            <w:r>
              <w:rPr>
                <w:rFonts w:ascii="宋体" w:hAnsi="宋体" w:eastAsia="宋体" w:cs="宋体"/>
                <w:spacing w:val="7"/>
                <w:sz w:val="20"/>
                <w:szCs w:val="20"/>
              </w:rPr>
              <w:t>水源二级保护区。</w:t>
            </w:r>
          </w:p>
        </w:tc>
        <w:tc>
          <w:tcPr>
            <w:tcW w:w="617" w:type="dxa"/>
            <w:textDirection w:val="tbRlV"/>
            <w:vAlign w:val="top"/>
          </w:tcPr>
          <w:p w14:paraId="4BE2DC27">
            <w:pPr>
              <w:spacing w:before="195" w:line="216" w:lineRule="auto"/>
              <w:ind w:left="853"/>
              <w:rPr>
                <w:rFonts w:ascii="宋体" w:hAnsi="宋体" w:eastAsia="宋体" w:cs="宋体"/>
                <w:sz w:val="20"/>
                <w:szCs w:val="20"/>
              </w:rPr>
            </w:pPr>
            <w:r>
              <w:rPr>
                <w:rFonts w:ascii="宋体" w:hAnsi="宋体" w:eastAsia="宋体" w:cs="宋体"/>
                <w:spacing w:val="8"/>
                <w:sz w:val="20"/>
                <w:szCs w:val="20"/>
              </w:rPr>
              <w:t>相</w:t>
            </w:r>
            <w:r>
              <w:rPr>
                <w:rFonts w:ascii="宋体" w:hAnsi="宋体" w:eastAsia="宋体" w:cs="宋体"/>
                <w:spacing w:val="99"/>
                <w:sz w:val="20"/>
                <w:szCs w:val="20"/>
              </w:rPr>
              <w:t xml:space="preserve"> </w:t>
            </w:r>
            <w:r>
              <w:rPr>
                <w:rFonts w:ascii="宋体" w:hAnsi="宋体" w:eastAsia="宋体" w:cs="宋体"/>
                <w:spacing w:val="8"/>
                <w:sz w:val="20"/>
                <w:szCs w:val="20"/>
              </w:rPr>
              <w:t>符</w:t>
            </w:r>
          </w:p>
        </w:tc>
        <w:tc>
          <w:tcPr>
            <w:tcW w:w="125" w:type="dxa"/>
            <w:vMerge w:val="continue"/>
            <w:tcBorders>
              <w:top w:val="nil"/>
              <w:bottom w:val="nil"/>
              <w:right w:val="single" w:color="000000" w:sz="6" w:space="0"/>
            </w:tcBorders>
            <w:vAlign w:val="top"/>
          </w:tcPr>
          <w:p w14:paraId="7F80FE2B">
            <w:pPr>
              <w:rPr>
                <w:rFonts w:ascii="Arial"/>
                <w:sz w:val="21"/>
              </w:rPr>
            </w:pPr>
          </w:p>
        </w:tc>
      </w:tr>
      <w:tr w14:paraId="1E8A7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3" w:hRule="atLeast"/>
        </w:trPr>
        <w:tc>
          <w:tcPr>
            <w:tcW w:w="1161" w:type="dxa"/>
            <w:vMerge w:val="continue"/>
            <w:tcBorders>
              <w:top w:val="nil"/>
              <w:left w:val="single" w:color="000000" w:sz="6" w:space="0"/>
              <w:bottom w:val="nil"/>
            </w:tcBorders>
            <w:vAlign w:val="top"/>
          </w:tcPr>
          <w:p w14:paraId="3FE787F3">
            <w:pPr>
              <w:rPr>
                <w:rFonts w:ascii="Arial"/>
                <w:sz w:val="21"/>
              </w:rPr>
            </w:pPr>
          </w:p>
        </w:tc>
        <w:tc>
          <w:tcPr>
            <w:tcW w:w="116" w:type="dxa"/>
            <w:tcBorders>
              <w:top w:val="nil"/>
              <w:bottom w:val="nil"/>
            </w:tcBorders>
            <w:vAlign w:val="top"/>
          </w:tcPr>
          <w:p w14:paraId="4FE4B0E9">
            <w:pPr>
              <w:rPr>
                <w:rFonts w:ascii="Arial"/>
                <w:sz w:val="21"/>
              </w:rPr>
            </w:pPr>
          </w:p>
        </w:tc>
        <w:tc>
          <w:tcPr>
            <w:tcW w:w="4514" w:type="dxa"/>
            <w:vAlign w:val="top"/>
          </w:tcPr>
          <w:p w14:paraId="560E8AC6">
            <w:pPr>
              <w:spacing w:before="41" w:line="228" w:lineRule="auto"/>
              <w:ind w:left="161"/>
              <w:rPr>
                <w:rFonts w:ascii="宋体" w:hAnsi="宋体" w:eastAsia="宋体" w:cs="宋体"/>
                <w:sz w:val="20"/>
                <w:szCs w:val="20"/>
              </w:rPr>
            </w:pPr>
            <w:r>
              <w:rPr>
                <w:rFonts w:ascii="宋体" w:hAnsi="宋体" w:eastAsia="宋体" w:cs="宋体"/>
                <w:spacing w:val="9"/>
                <w:sz w:val="20"/>
                <w:szCs w:val="20"/>
              </w:rPr>
              <w:t>禁止在水产种质资源保护区的岸线和河段范围</w:t>
            </w:r>
          </w:p>
          <w:p w14:paraId="78B215B8">
            <w:pPr>
              <w:spacing w:before="161" w:line="228" w:lineRule="auto"/>
              <w:ind w:left="133"/>
              <w:rPr>
                <w:rFonts w:ascii="宋体" w:hAnsi="宋体" w:eastAsia="宋体" w:cs="宋体"/>
                <w:sz w:val="20"/>
                <w:szCs w:val="20"/>
              </w:rPr>
            </w:pPr>
            <w:r>
              <w:rPr>
                <w:rFonts w:ascii="宋体" w:hAnsi="宋体" w:eastAsia="宋体" w:cs="宋体"/>
                <w:spacing w:val="3"/>
                <w:sz w:val="20"/>
                <w:szCs w:val="20"/>
              </w:rPr>
              <w:t>内新建围湖造田、围湖造地或围填海等投资建设</w:t>
            </w:r>
          </w:p>
          <w:p w14:paraId="33D40F4C">
            <w:pPr>
              <w:spacing w:before="160" w:line="228" w:lineRule="auto"/>
              <w:ind w:right="8"/>
              <w:jc w:val="right"/>
              <w:rPr>
                <w:rFonts w:ascii="宋体" w:hAnsi="宋体" w:eastAsia="宋体" w:cs="宋体"/>
                <w:sz w:val="20"/>
                <w:szCs w:val="20"/>
              </w:rPr>
            </w:pPr>
            <w:r>
              <w:rPr>
                <w:rFonts w:ascii="宋体" w:hAnsi="宋体" w:eastAsia="宋体" w:cs="宋体"/>
                <w:spacing w:val="-1"/>
                <w:sz w:val="20"/>
                <w:szCs w:val="20"/>
              </w:rPr>
              <w:t>项目。禁止擅自征收、占用国家湿地公园的土地；</w:t>
            </w:r>
          </w:p>
          <w:p w14:paraId="19740F9C">
            <w:pPr>
              <w:spacing w:before="161" w:line="227" w:lineRule="auto"/>
              <w:ind w:left="108"/>
              <w:rPr>
                <w:rFonts w:ascii="宋体" w:hAnsi="宋体" w:eastAsia="宋体" w:cs="宋体"/>
                <w:sz w:val="20"/>
                <w:szCs w:val="20"/>
              </w:rPr>
            </w:pPr>
            <w:r>
              <w:rPr>
                <w:rFonts w:ascii="宋体" w:hAnsi="宋体" w:eastAsia="宋体" w:cs="宋体"/>
                <w:spacing w:val="4"/>
                <w:sz w:val="20"/>
                <w:szCs w:val="20"/>
              </w:rPr>
              <w:t>禁止在国家湿地公园内挖沙、采矿，以及建设度</w:t>
            </w:r>
          </w:p>
          <w:p w14:paraId="5C001096">
            <w:pPr>
              <w:spacing w:before="162" w:line="227" w:lineRule="auto"/>
              <w:ind w:left="108"/>
              <w:rPr>
                <w:rFonts w:ascii="宋体" w:hAnsi="宋体" w:eastAsia="宋体" w:cs="宋体"/>
                <w:sz w:val="20"/>
                <w:szCs w:val="20"/>
              </w:rPr>
            </w:pPr>
            <w:r>
              <w:rPr>
                <w:rFonts w:ascii="宋体" w:hAnsi="宋体" w:eastAsia="宋体" w:cs="宋体"/>
                <w:spacing w:val="4"/>
                <w:sz w:val="20"/>
                <w:szCs w:val="20"/>
              </w:rPr>
              <w:t>假村、高尔夫球场等任何不符合主体功能定位的</w:t>
            </w:r>
          </w:p>
          <w:p w14:paraId="76DE5E5D">
            <w:pPr>
              <w:spacing w:before="162" w:line="228" w:lineRule="auto"/>
              <w:ind w:left="1527"/>
              <w:rPr>
                <w:rFonts w:ascii="宋体" w:hAnsi="宋体" w:eastAsia="宋体" w:cs="宋体"/>
                <w:sz w:val="20"/>
                <w:szCs w:val="20"/>
              </w:rPr>
            </w:pPr>
            <w:r>
              <w:rPr>
                <w:rFonts w:ascii="宋体" w:hAnsi="宋体" w:eastAsia="宋体" w:cs="宋体"/>
                <w:spacing w:val="6"/>
                <w:sz w:val="20"/>
                <w:szCs w:val="20"/>
              </w:rPr>
              <w:t>投资建设项目。</w:t>
            </w:r>
          </w:p>
        </w:tc>
        <w:tc>
          <w:tcPr>
            <w:tcW w:w="2339" w:type="dxa"/>
            <w:vAlign w:val="top"/>
          </w:tcPr>
          <w:p w14:paraId="4CA10954">
            <w:pPr>
              <w:spacing w:line="385" w:lineRule="auto"/>
              <w:rPr>
                <w:rFonts w:ascii="Arial"/>
                <w:sz w:val="21"/>
              </w:rPr>
            </w:pPr>
          </w:p>
          <w:p w14:paraId="11D5C4C3">
            <w:pPr>
              <w:spacing w:before="65" w:line="377" w:lineRule="auto"/>
              <w:ind w:left="128" w:right="116"/>
              <w:jc w:val="both"/>
              <w:rPr>
                <w:rFonts w:ascii="宋体" w:hAnsi="宋体" w:eastAsia="宋体" w:cs="宋体"/>
                <w:sz w:val="20"/>
                <w:szCs w:val="20"/>
              </w:rPr>
            </w:pPr>
            <w:r>
              <w:rPr>
                <w:rFonts w:ascii="宋体" w:hAnsi="宋体" w:eastAsia="宋体" w:cs="宋体"/>
                <w:spacing w:val="8"/>
                <w:sz w:val="20"/>
                <w:szCs w:val="20"/>
              </w:rPr>
              <w:t>本项目不涉及水产种质资源保护区的岸线或河段范围；本项目不涉及</w:t>
            </w:r>
            <w:r>
              <w:rPr>
                <w:rFonts w:ascii="宋体" w:hAnsi="宋体" w:eastAsia="宋体" w:cs="宋体"/>
                <w:spacing w:val="7"/>
                <w:sz w:val="20"/>
                <w:szCs w:val="20"/>
              </w:rPr>
              <w:t>国家湿地公园的土地。</w:t>
            </w:r>
          </w:p>
        </w:tc>
        <w:tc>
          <w:tcPr>
            <w:tcW w:w="617" w:type="dxa"/>
            <w:textDirection w:val="tbRlV"/>
            <w:vAlign w:val="top"/>
          </w:tcPr>
          <w:p w14:paraId="4E47F6EE">
            <w:pPr>
              <w:spacing w:before="195" w:line="216" w:lineRule="auto"/>
              <w:ind w:left="858"/>
              <w:rPr>
                <w:rFonts w:ascii="宋体" w:hAnsi="宋体" w:eastAsia="宋体" w:cs="宋体"/>
                <w:sz w:val="20"/>
                <w:szCs w:val="20"/>
              </w:rPr>
            </w:pPr>
            <w:r>
              <w:rPr>
                <w:rFonts w:ascii="宋体" w:hAnsi="宋体" w:eastAsia="宋体" w:cs="宋体"/>
                <w:spacing w:val="8"/>
                <w:sz w:val="20"/>
                <w:szCs w:val="20"/>
              </w:rPr>
              <w:t>相</w:t>
            </w:r>
            <w:r>
              <w:rPr>
                <w:rFonts w:ascii="宋体" w:hAnsi="宋体" w:eastAsia="宋体" w:cs="宋体"/>
                <w:spacing w:val="99"/>
                <w:sz w:val="20"/>
                <w:szCs w:val="20"/>
              </w:rPr>
              <w:t xml:space="preserve"> </w:t>
            </w:r>
            <w:r>
              <w:rPr>
                <w:rFonts w:ascii="宋体" w:hAnsi="宋体" w:eastAsia="宋体" w:cs="宋体"/>
                <w:spacing w:val="8"/>
                <w:sz w:val="20"/>
                <w:szCs w:val="20"/>
              </w:rPr>
              <w:t>符</w:t>
            </w:r>
          </w:p>
        </w:tc>
        <w:tc>
          <w:tcPr>
            <w:tcW w:w="125" w:type="dxa"/>
            <w:vMerge w:val="continue"/>
            <w:tcBorders>
              <w:top w:val="nil"/>
              <w:bottom w:val="nil"/>
              <w:right w:val="single" w:color="000000" w:sz="6" w:space="0"/>
            </w:tcBorders>
            <w:vAlign w:val="top"/>
          </w:tcPr>
          <w:p w14:paraId="734F2329">
            <w:pPr>
              <w:rPr>
                <w:rFonts w:ascii="Arial"/>
                <w:sz w:val="21"/>
              </w:rPr>
            </w:pPr>
          </w:p>
        </w:tc>
      </w:tr>
      <w:tr w14:paraId="72770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 w:hRule="atLeast"/>
        </w:trPr>
        <w:tc>
          <w:tcPr>
            <w:tcW w:w="1161" w:type="dxa"/>
            <w:vMerge w:val="continue"/>
            <w:tcBorders>
              <w:top w:val="nil"/>
              <w:left w:val="single" w:color="000000" w:sz="6" w:space="0"/>
              <w:bottom w:val="single" w:color="000000" w:sz="6" w:space="0"/>
            </w:tcBorders>
            <w:vAlign w:val="top"/>
          </w:tcPr>
          <w:p w14:paraId="665C6CB9">
            <w:pPr>
              <w:rPr>
                <w:rFonts w:ascii="Arial"/>
                <w:sz w:val="21"/>
              </w:rPr>
            </w:pPr>
          </w:p>
        </w:tc>
        <w:tc>
          <w:tcPr>
            <w:tcW w:w="116" w:type="dxa"/>
            <w:tcBorders>
              <w:top w:val="nil"/>
              <w:bottom w:val="single" w:color="000000" w:sz="6" w:space="0"/>
            </w:tcBorders>
            <w:vAlign w:val="top"/>
          </w:tcPr>
          <w:p w14:paraId="53959AD2">
            <w:pPr>
              <w:rPr>
                <w:rFonts w:ascii="Arial"/>
                <w:sz w:val="21"/>
              </w:rPr>
            </w:pPr>
          </w:p>
        </w:tc>
        <w:tc>
          <w:tcPr>
            <w:tcW w:w="4514" w:type="dxa"/>
            <w:tcBorders>
              <w:bottom w:val="single" w:color="000000" w:sz="6" w:space="0"/>
            </w:tcBorders>
            <w:vAlign w:val="top"/>
          </w:tcPr>
          <w:p w14:paraId="119249BD">
            <w:pPr>
              <w:spacing w:before="43" w:line="372" w:lineRule="auto"/>
              <w:ind w:left="114" w:right="105" w:hanging="6"/>
              <w:jc w:val="both"/>
              <w:rPr>
                <w:rFonts w:ascii="宋体" w:hAnsi="宋体" w:eastAsia="宋体" w:cs="宋体"/>
                <w:sz w:val="20"/>
                <w:szCs w:val="20"/>
              </w:rPr>
            </w:pPr>
            <w:r>
              <w:rPr>
                <w:rFonts w:ascii="宋体" w:hAnsi="宋体" w:eastAsia="宋体" w:cs="宋体"/>
                <w:spacing w:val="4"/>
                <w:sz w:val="20"/>
                <w:szCs w:val="20"/>
              </w:rPr>
              <w:t>禁止违法利用、占用长江流域河湖岸线。禁止在</w:t>
            </w:r>
            <w:r>
              <w:rPr>
                <w:rFonts w:ascii="宋体" w:hAnsi="宋体" w:eastAsia="宋体" w:cs="宋体"/>
                <w:spacing w:val="11"/>
                <w:sz w:val="20"/>
                <w:szCs w:val="20"/>
              </w:rPr>
              <w:t>金沙江岸线保护区和保留区内投资建设除事关</w:t>
            </w:r>
            <w:r>
              <w:rPr>
                <w:rFonts w:ascii="宋体" w:hAnsi="宋体" w:eastAsia="宋体" w:cs="宋体"/>
                <w:spacing w:val="4"/>
                <w:sz w:val="20"/>
                <w:szCs w:val="20"/>
              </w:rPr>
              <w:t>公共安全及公众利益的防洪护岸、河道治理、供</w:t>
            </w:r>
          </w:p>
        </w:tc>
        <w:tc>
          <w:tcPr>
            <w:tcW w:w="2339" w:type="dxa"/>
            <w:tcBorders>
              <w:bottom w:val="single" w:color="000000" w:sz="6" w:space="0"/>
            </w:tcBorders>
            <w:vAlign w:val="top"/>
          </w:tcPr>
          <w:p w14:paraId="5C53AEBB">
            <w:pPr>
              <w:spacing w:before="249" w:line="378" w:lineRule="auto"/>
              <w:ind w:left="233" w:right="116" w:hanging="105"/>
              <w:rPr>
                <w:rFonts w:ascii="宋体" w:hAnsi="宋体" w:eastAsia="宋体" w:cs="宋体"/>
                <w:sz w:val="20"/>
                <w:szCs w:val="20"/>
              </w:rPr>
            </w:pPr>
            <w:r>
              <w:rPr>
                <w:rFonts w:ascii="宋体" w:hAnsi="宋体" w:eastAsia="宋体" w:cs="宋体"/>
                <w:spacing w:val="8"/>
                <w:sz w:val="20"/>
                <w:szCs w:val="20"/>
              </w:rPr>
              <w:t>本项目不涉及占用长江</w:t>
            </w:r>
            <w:r>
              <w:rPr>
                <w:rFonts w:ascii="宋体" w:hAnsi="宋体" w:eastAsia="宋体" w:cs="宋体"/>
                <w:spacing w:val="7"/>
                <w:sz w:val="20"/>
                <w:szCs w:val="20"/>
              </w:rPr>
              <w:t>流域河湖岸线项目。</w:t>
            </w:r>
          </w:p>
        </w:tc>
        <w:tc>
          <w:tcPr>
            <w:tcW w:w="617" w:type="dxa"/>
            <w:tcBorders>
              <w:bottom w:val="single" w:color="000000" w:sz="6" w:space="0"/>
            </w:tcBorders>
            <w:textDirection w:val="tbRlV"/>
            <w:vAlign w:val="top"/>
          </w:tcPr>
          <w:p w14:paraId="0755D422">
            <w:pPr>
              <w:spacing w:before="195" w:line="216" w:lineRule="auto"/>
              <w:ind w:left="248"/>
              <w:rPr>
                <w:rFonts w:ascii="宋体" w:hAnsi="宋体" w:eastAsia="宋体" w:cs="宋体"/>
                <w:sz w:val="20"/>
                <w:szCs w:val="20"/>
              </w:rPr>
            </w:pPr>
            <w:r>
              <w:rPr>
                <w:rFonts w:ascii="宋体" w:hAnsi="宋体" w:eastAsia="宋体" w:cs="宋体"/>
                <w:spacing w:val="8"/>
                <w:sz w:val="20"/>
                <w:szCs w:val="20"/>
              </w:rPr>
              <w:t>相</w:t>
            </w:r>
            <w:r>
              <w:rPr>
                <w:rFonts w:ascii="宋体" w:hAnsi="宋体" w:eastAsia="宋体" w:cs="宋体"/>
                <w:spacing w:val="99"/>
                <w:sz w:val="20"/>
                <w:szCs w:val="20"/>
              </w:rPr>
              <w:t xml:space="preserve"> </w:t>
            </w:r>
            <w:r>
              <w:rPr>
                <w:rFonts w:ascii="宋体" w:hAnsi="宋体" w:eastAsia="宋体" w:cs="宋体"/>
                <w:spacing w:val="8"/>
                <w:sz w:val="20"/>
                <w:szCs w:val="20"/>
              </w:rPr>
              <w:t>符</w:t>
            </w:r>
          </w:p>
        </w:tc>
        <w:tc>
          <w:tcPr>
            <w:tcW w:w="125" w:type="dxa"/>
            <w:vMerge w:val="continue"/>
            <w:tcBorders>
              <w:top w:val="nil"/>
              <w:bottom w:val="single" w:color="000000" w:sz="6" w:space="0"/>
              <w:right w:val="single" w:color="000000" w:sz="6" w:space="0"/>
            </w:tcBorders>
            <w:vAlign w:val="top"/>
          </w:tcPr>
          <w:p w14:paraId="7C7BD71A">
            <w:pPr>
              <w:rPr>
                <w:rFonts w:ascii="Arial"/>
                <w:sz w:val="21"/>
              </w:rPr>
            </w:pPr>
          </w:p>
        </w:tc>
      </w:tr>
    </w:tbl>
    <w:p w14:paraId="5C03FA8A">
      <w:pPr>
        <w:pStyle w:val="2"/>
      </w:pPr>
    </w:p>
    <w:p w14:paraId="0C8D788E">
      <w:pPr>
        <w:sectPr>
          <w:footerReference r:id="rId36" w:type="default"/>
          <w:pgSz w:w="11906" w:h="16839"/>
          <w:pgMar w:top="400" w:right="1509" w:bottom="1329" w:left="1509" w:header="0" w:footer="1113" w:gutter="0"/>
          <w:cols w:space="720" w:num="1"/>
        </w:sectPr>
      </w:pPr>
    </w:p>
    <w:p w14:paraId="60FE196F">
      <w:pPr>
        <w:spacing w:before="19"/>
      </w:pPr>
      <w:r>
        <w:pict>
          <v:shape id="_x0000_s1041" o:spid="_x0000_s1041" style="position:absolute;left:0pt;margin-left:139.15pt;margin-top:743.1pt;height:0.5pt;width:374.65pt;mso-position-horizontal-relative:page;mso-position-vertical-relative:page;z-index:251664384;mso-width-relative:page;mso-height-relative:page;" filled="f" stroked="t" coordsize="7492,10" o:allowincell="f" path="m0,4l7492,4e">
            <v:fill on="f" focussize="0,0"/>
            <v:stroke weight="0.48pt" color="#000000" miterlimit="2" joinstyle="bevel"/>
            <v:imagedata o:title=""/>
            <o:lock v:ext="edit"/>
          </v:shape>
        </w:pict>
      </w:r>
    </w:p>
    <w:p w14:paraId="5C9996E1">
      <w:pPr>
        <w:spacing w:before="19"/>
      </w:pPr>
    </w:p>
    <w:p w14:paraId="1970FD08">
      <w:pPr>
        <w:spacing w:before="19"/>
      </w:pPr>
    </w:p>
    <w:p w14:paraId="3560445C">
      <w:pPr>
        <w:spacing w:before="18"/>
      </w:pPr>
    </w:p>
    <w:p w14:paraId="437691D2">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6"/>
        <w:gridCol w:w="4514"/>
        <w:gridCol w:w="2339"/>
        <w:gridCol w:w="617"/>
        <w:gridCol w:w="125"/>
      </w:tblGrid>
      <w:tr w14:paraId="5BAA3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2" w:hRule="atLeast"/>
        </w:trPr>
        <w:tc>
          <w:tcPr>
            <w:tcW w:w="1161" w:type="dxa"/>
            <w:vMerge w:val="restart"/>
            <w:tcBorders>
              <w:top w:val="single" w:color="000000" w:sz="6" w:space="0"/>
              <w:left w:val="single" w:color="000000" w:sz="6" w:space="0"/>
              <w:bottom w:val="nil"/>
            </w:tcBorders>
            <w:vAlign w:val="top"/>
          </w:tcPr>
          <w:p w14:paraId="443ECDC4">
            <w:pPr>
              <w:rPr>
                <w:rFonts w:ascii="Arial"/>
                <w:sz w:val="21"/>
              </w:rPr>
            </w:pPr>
          </w:p>
        </w:tc>
        <w:tc>
          <w:tcPr>
            <w:tcW w:w="116" w:type="dxa"/>
            <w:tcBorders>
              <w:top w:val="single" w:color="000000" w:sz="6" w:space="0"/>
              <w:bottom w:val="nil"/>
            </w:tcBorders>
            <w:vAlign w:val="top"/>
          </w:tcPr>
          <w:p w14:paraId="1BE636E6">
            <w:pPr>
              <w:rPr>
                <w:rFonts w:ascii="Arial"/>
                <w:sz w:val="21"/>
              </w:rPr>
            </w:pPr>
          </w:p>
        </w:tc>
        <w:tc>
          <w:tcPr>
            <w:tcW w:w="4514" w:type="dxa"/>
            <w:vAlign w:val="top"/>
          </w:tcPr>
          <w:p w14:paraId="06EF13E1">
            <w:pPr>
              <w:spacing w:before="37" w:line="228" w:lineRule="auto"/>
              <w:ind w:left="111"/>
              <w:rPr>
                <w:rFonts w:ascii="宋体" w:hAnsi="宋体" w:eastAsia="宋体" w:cs="宋体"/>
                <w:sz w:val="20"/>
                <w:szCs w:val="20"/>
              </w:rPr>
            </w:pPr>
            <w:r>
              <w:rPr>
                <w:rFonts w:ascii="宋体" w:hAnsi="宋体" w:eastAsia="宋体" w:cs="宋体"/>
                <w:spacing w:val="4"/>
                <w:sz w:val="20"/>
                <w:szCs w:val="20"/>
              </w:rPr>
              <w:t>水、生态环境保护、航道整治、国家重要基础设</w:t>
            </w:r>
          </w:p>
          <w:p w14:paraId="3652E371">
            <w:pPr>
              <w:spacing w:before="161" w:line="227" w:lineRule="auto"/>
              <w:ind w:left="107"/>
              <w:rPr>
                <w:rFonts w:ascii="宋体" w:hAnsi="宋体" w:eastAsia="宋体" w:cs="宋体"/>
                <w:sz w:val="20"/>
                <w:szCs w:val="20"/>
              </w:rPr>
            </w:pPr>
            <w:r>
              <w:rPr>
                <w:rFonts w:ascii="宋体" w:hAnsi="宋体" w:eastAsia="宋体" w:cs="宋体"/>
                <w:spacing w:val="4"/>
                <w:sz w:val="20"/>
                <w:szCs w:val="20"/>
              </w:rPr>
              <w:t>施以外的项目。禁止在金沙江干流、九大高原湖</w:t>
            </w:r>
          </w:p>
          <w:p w14:paraId="5BBDC6DB">
            <w:pPr>
              <w:spacing w:before="161" w:line="228" w:lineRule="auto"/>
              <w:ind w:left="114"/>
              <w:rPr>
                <w:rFonts w:ascii="宋体" w:hAnsi="宋体" w:eastAsia="宋体" w:cs="宋体"/>
                <w:sz w:val="20"/>
                <w:szCs w:val="20"/>
              </w:rPr>
            </w:pPr>
            <w:r>
              <w:rPr>
                <w:rFonts w:ascii="宋体" w:hAnsi="宋体" w:eastAsia="宋体" w:cs="宋体"/>
                <w:spacing w:val="4"/>
                <w:sz w:val="20"/>
                <w:szCs w:val="20"/>
              </w:rPr>
              <w:t>泊保护区、保留区内投资建设不利于水资源及自</w:t>
            </w:r>
          </w:p>
          <w:p w14:paraId="2C0D90BB">
            <w:pPr>
              <w:spacing w:before="161" w:line="228" w:lineRule="auto"/>
              <w:ind w:left="1316"/>
              <w:rPr>
                <w:rFonts w:ascii="宋体" w:hAnsi="宋体" w:eastAsia="宋体" w:cs="宋体"/>
                <w:sz w:val="20"/>
                <w:szCs w:val="20"/>
              </w:rPr>
            </w:pPr>
            <w:r>
              <w:rPr>
                <w:rFonts w:ascii="宋体" w:hAnsi="宋体" w:eastAsia="宋体" w:cs="宋体"/>
                <w:spacing w:val="7"/>
                <w:sz w:val="20"/>
                <w:szCs w:val="20"/>
              </w:rPr>
              <w:t>然生态保护的项目。</w:t>
            </w:r>
          </w:p>
        </w:tc>
        <w:tc>
          <w:tcPr>
            <w:tcW w:w="2339" w:type="dxa"/>
            <w:vAlign w:val="top"/>
          </w:tcPr>
          <w:p w14:paraId="57E59712">
            <w:pPr>
              <w:rPr>
                <w:rFonts w:ascii="Arial"/>
                <w:sz w:val="21"/>
              </w:rPr>
            </w:pPr>
          </w:p>
        </w:tc>
        <w:tc>
          <w:tcPr>
            <w:tcW w:w="617" w:type="dxa"/>
            <w:vAlign w:val="top"/>
          </w:tcPr>
          <w:p w14:paraId="71CD955D">
            <w:pPr>
              <w:rPr>
                <w:rFonts w:ascii="Arial"/>
                <w:sz w:val="21"/>
              </w:rPr>
            </w:pPr>
          </w:p>
        </w:tc>
        <w:tc>
          <w:tcPr>
            <w:tcW w:w="125" w:type="dxa"/>
            <w:vMerge w:val="restart"/>
            <w:tcBorders>
              <w:top w:val="single" w:color="000000" w:sz="6" w:space="0"/>
              <w:bottom w:val="nil"/>
              <w:right w:val="single" w:color="000000" w:sz="6" w:space="0"/>
            </w:tcBorders>
            <w:vAlign w:val="top"/>
          </w:tcPr>
          <w:p w14:paraId="5C4ED449">
            <w:pPr>
              <w:rPr>
                <w:rFonts w:ascii="Arial"/>
                <w:sz w:val="21"/>
              </w:rPr>
            </w:pPr>
          </w:p>
        </w:tc>
      </w:tr>
      <w:tr w14:paraId="180DB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6" w:hRule="atLeast"/>
        </w:trPr>
        <w:tc>
          <w:tcPr>
            <w:tcW w:w="1161" w:type="dxa"/>
            <w:vMerge w:val="continue"/>
            <w:tcBorders>
              <w:top w:val="nil"/>
              <w:left w:val="single" w:color="000000" w:sz="6" w:space="0"/>
              <w:bottom w:val="nil"/>
            </w:tcBorders>
            <w:vAlign w:val="top"/>
          </w:tcPr>
          <w:p w14:paraId="48599DD1">
            <w:pPr>
              <w:rPr>
                <w:rFonts w:ascii="Arial"/>
                <w:sz w:val="21"/>
              </w:rPr>
            </w:pPr>
          </w:p>
        </w:tc>
        <w:tc>
          <w:tcPr>
            <w:tcW w:w="116" w:type="dxa"/>
            <w:tcBorders>
              <w:top w:val="nil"/>
              <w:bottom w:val="nil"/>
            </w:tcBorders>
            <w:vAlign w:val="top"/>
          </w:tcPr>
          <w:p w14:paraId="1C463CC1">
            <w:pPr>
              <w:rPr>
                <w:rFonts w:ascii="Arial"/>
                <w:sz w:val="21"/>
              </w:rPr>
            </w:pPr>
          </w:p>
        </w:tc>
        <w:tc>
          <w:tcPr>
            <w:tcW w:w="4514" w:type="dxa"/>
            <w:vAlign w:val="top"/>
          </w:tcPr>
          <w:p w14:paraId="5256F77B">
            <w:pPr>
              <w:spacing w:before="34" w:line="227" w:lineRule="auto"/>
              <w:ind w:left="161"/>
              <w:rPr>
                <w:rFonts w:ascii="宋体" w:hAnsi="宋体" w:eastAsia="宋体" w:cs="宋体"/>
                <w:sz w:val="20"/>
                <w:szCs w:val="20"/>
              </w:rPr>
            </w:pPr>
            <w:r>
              <w:rPr>
                <w:rFonts w:ascii="宋体" w:hAnsi="宋体" w:eastAsia="宋体" w:cs="宋体"/>
                <w:spacing w:val="9"/>
                <w:sz w:val="20"/>
                <w:szCs w:val="20"/>
              </w:rPr>
              <w:t>禁止在金沙江干流、长江一级支流建设除党中</w:t>
            </w:r>
          </w:p>
          <w:p w14:paraId="28C765FF">
            <w:pPr>
              <w:spacing w:before="161" w:line="228" w:lineRule="auto"/>
              <w:ind w:left="111"/>
              <w:rPr>
                <w:rFonts w:ascii="宋体" w:hAnsi="宋体" w:eastAsia="宋体" w:cs="宋体"/>
                <w:sz w:val="20"/>
                <w:szCs w:val="20"/>
              </w:rPr>
            </w:pPr>
            <w:r>
              <w:rPr>
                <w:rFonts w:ascii="宋体" w:hAnsi="宋体" w:eastAsia="宋体" w:cs="宋体"/>
                <w:spacing w:val="4"/>
                <w:sz w:val="20"/>
                <w:szCs w:val="20"/>
              </w:rPr>
              <w:t>央、国务院、国家投资主管部门、省级有关部门</w:t>
            </w:r>
          </w:p>
          <w:p w14:paraId="40BE0DAC">
            <w:pPr>
              <w:spacing w:before="161" w:line="228" w:lineRule="auto"/>
              <w:ind w:left="107"/>
              <w:rPr>
                <w:rFonts w:ascii="宋体" w:hAnsi="宋体" w:eastAsia="宋体" w:cs="宋体"/>
                <w:sz w:val="20"/>
                <w:szCs w:val="20"/>
              </w:rPr>
            </w:pPr>
            <w:r>
              <w:rPr>
                <w:rFonts w:ascii="宋体" w:hAnsi="宋体" w:eastAsia="宋体" w:cs="宋体"/>
                <w:spacing w:val="4"/>
                <w:sz w:val="20"/>
                <w:szCs w:val="20"/>
              </w:rPr>
              <w:t>批复同意以外的过江基础设施项目；禁止未经许</w:t>
            </w:r>
          </w:p>
          <w:p w14:paraId="30634EF0">
            <w:pPr>
              <w:spacing w:before="161" w:line="227" w:lineRule="auto"/>
              <w:ind w:left="110"/>
              <w:rPr>
                <w:rFonts w:ascii="宋体" w:hAnsi="宋体" w:eastAsia="宋体" w:cs="宋体"/>
                <w:sz w:val="20"/>
                <w:szCs w:val="20"/>
              </w:rPr>
            </w:pPr>
            <w:r>
              <w:rPr>
                <w:rFonts w:ascii="宋体" w:hAnsi="宋体" w:eastAsia="宋体" w:cs="宋体"/>
                <w:spacing w:val="4"/>
                <w:sz w:val="20"/>
                <w:szCs w:val="20"/>
              </w:rPr>
              <w:t>可在金沙江干流、长江一级支流、九大高原湖泊</w:t>
            </w:r>
          </w:p>
          <w:p w14:paraId="478753F3">
            <w:pPr>
              <w:spacing w:before="161" w:line="228" w:lineRule="auto"/>
              <w:ind w:left="790"/>
              <w:rPr>
                <w:rFonts w:ascii="宋体" w:hAnsi="宋体" w:eastAsia="宋体" w:cs="宋体"/>
                <w:sz w:val="20"/>
                <w:szCs w:val="20"/>
              </w:rPr>
            </w:pPr>
            <w:r>
              <w:rPr>
                <w:rFonts w:ascii="宋体" w:hAnsi="宋体" w:eastAsia="宋体" w:cs="宋体"/>
                <w:spacing w:val="8"/>
                <w:sz w:val="20"/>
                <w:szCs w:val="20"/>
              </w:rPr>
              <w:t>流域新设、改设或扩大排污口。</w:t>
            </w:r>
          </w:p>
        </w:tc>
        <w:tc>
          <w:tcPr>
            <w:tcW w:w="2339" w:type="dxa"/>
            <w:vAlign w:val="top"/>
          </w:tcPr>
          <w:p w14:paraId="07558440">
            <w:pPr>
              <w:spacing w:line="373" w:lineRule="auto"/>
              <w:rPr>
                <w:rFonts w:ascii="Arial"/>
                <w:sz w:val="21"/>
              </w:rPr>
            </w:pPr>
          </w:p>
          <w:p w14:paraId="5A6C386C">
            <w:pPr>
              <w:spacing w:before="65" w:line="378" w:lineRule="auto"/>
              <w:ind w:left="127" w:right="116" w:firstLine="4"/>
              <w:rPr>
                <w:rFonts w:ascii="宋体" w:hAnsi="宋体" w:eastAsia="宋体" w:cs="宋体"/>
                <w:sz w:val="20"/>
                <w:szCs w:val="20"/>
              </w:rPr>
            </w:pPr>
            <w:r>
              <w:rPr>
                <w:rFonts w:ascii="宋体" w:hAnsi="宋体" w:eastAsia="宋体" w:cs="宋体"/>
                <w:spacing w:val="8"/>
                <w:sz w:val="20"/>
                <w:szCs w:val="20"/>
              </w:rPr>
              <w:t>项目不属于过江基础设</w:t>
            </w:r>
            <w:r>
              <w:rPr>
                <w:rFonts w:ascii="宋体" w:hAnsi="宋体" w:eastAsia="宋体" w:cs="宋体"/>
                <w:spacing w:val="9"/>
                <w:sz w:val="20"/>
                <w:szCs w:val="20"/>
              </w:rPr>
              <w:t>施项目，不涉及新设、</w:t>
            </w:r>
            <w:r>
              <w:rPr>
                <w:rFonts w:ascii="宋体" w:hAnsi="宋体" w:eastAsia="宋体" w:cs="宋体"/>
                <w:spacing w:val="19"/>
                <w:sz w:val="20"/>
                <w:szCs w:val="20"/>
              </w:rPr>
              <w:t>改设或扩大排污口。</w:t>
            </w:r>
          </w:p>
        </w:tc>
        <w:tc>
          <w:tcPr>
            <w:tcW w:w="617" w:type="dxa"/>
            <w:textDirection w:val="tbRlV"/>
            <w:vAlign w:val="top"/>
          </w:tcPr>
          <w:p w14:paraId="70D33BF3">
            <w:pPr>
              <w:spacing w:before="195" w:line="216" w:lineRule="auto"/>
              <w:ind w:left="646"/>
              <w:rPr>
                <w:rFonts w:ascii="宋体" w:hAnsi="宋体" w:eastAsia="宋体" w:cs="宋体"/>
                <w:sz w:val="20"/>
                <w:szCs w:val="20"/>
              </w:rPr>
            </w:pPr>
            <w:r>
              <w:rPr>
                <w:rFonts w:ascii="宋体" w:hAnsi="宋体" w:eastAsia="宋体" w:cs="宋体"/>
                <w:spacing w:val="8"/>
                <w:sz w:val="20"/>
                <w:szCs w:val="20"/>
              </w:rPr>
              <w:t>相</w:t>
            </w:r>
            <w:r>
              <w:rPr>
                <w:rFonts w:ascii="宋体" w:hAnsi="宋体" w:eastAsia="宋体" w:cs="宋体"/>
                <w:spacing w:val="99"/>
                <w:sz w:val="20"/>
                <w:szCs w:val="20"/>
              </w:rPr>
              <w:t xml:space="preserve"> </w:t>
            </w:r>
            <w:r>
              <w:rPr>
                <w:rFonts w:ascii="宋体" w:hAnsi="宋体" w:eastAsia="宋体" w:cs="宋体"/>
                <w:spacing w:val="8"/>
                <w:sz w:val="20"/>
                <w:szCs w:val="20"/>
              </w:rPr>
              <w:t>符</w:t>
            </w:r>
          </w:p>
        </w:tc>
        <w:tc>
          <w:tcPr>
            <w:tcW w:w="125" w:type="dxa"/>
            <w:vMerge w:val="continue"/>
            <w:tcBorders>
              <w:top w:val="nil"/>
              <w:bottom w:val="nil"/>
              <w:right w:val="single" w:color="000000" w:sz="6" w:space="0"/>
            </w:tcBorders>
            <w:vAlign w:val="top"/>
          </w:tcPr>
          <w:p w14:paraId="3CFC1986">
            <w:pPr>
              <w:rPr>
                <w:rFonts w:ascii="Arial"/>
                <w:sz w:val="21"/>
              </w:rPr>
            </w:pPr>
          </w:p>
        </w:tc>
      </w:tr>
      <w:tr w14:paraId="57E74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trPr>
        <w:tc>
          <w:tcPr>
            <w:tcW w:w="1161" w:type="dxa"/>
            <w:vMerge w:val="continue"/>
            <w:tcBorders>
              <w:top w:val="nil"/>
              <w:left w:val="single" w:color="000000" w:sz="6" w:space="0"/>
              <w:bottom w:val="nil"/>
            </w:tcBorders>
            <w:vAlign w:val="top"/>
          </w:tcPr>
          <w:p w14:paraId="69E88588">
            <w:pPr>
              <w:rPr>
                <w:rFonts w:ascii="Arial"/>
                <w:sz w:val="21"/>
              </w:rPr>
            </w:pPr>
          </w:p>
        </w:tc>
        <w:tc>
          <w:tcPr>
            <w:tcW w:w="116" w:type="dxa"/>
            <w:tcBorders>
              <w:top w:val="nil"/>
              <w:bottom w:val="nil"/>
            </w:tcBorders>
            <w:vAlign w:val="top"/>
          </w:tcPr>
          <w:p w14:paraId="16A5588E">
            <w:pPr>
              <w:rPr>
                <w:rFonts w:ascii="Arial"/>
                <w:sz w:val="21"/>
              </w:rPr>
            </w:pPr>
          </w:p>
        </w:tc>
        <w:tc>
          <w:tcPr>
            <w:tcW w:w="4514" w:type="dxa"/>
            <w:vAlign w:val="top"/>
          </w:tcPr>
          <w:p w14:paraId="640BDBE7">
            <w:pPr>
              <w:spacing w:before="35" w:line="227" w:lineRule="auto"/>
              <w:ind w:left="108"/>
              <w:rPr>
                <w:rFonts w:ascii="宋体" w:hAnsi="宋体" w:eastAsia="宋体" w:cs="宋体"/>
                <w:sz w:val="20"/>
                <w:szCs w:val="20"/>
              </w:rPr>
            </w:pPr>
            <w:r>
              <w:rPr>
                <w:rFonts w:ascii="宋体" w:hAnsi="宋体" w:eastAsia="宋体" w:cs="宋体"/>
                <w:spacing w:val="4"/>
                <w:sz w:val="20"/>
                <w:szCs w:val="20"/>
              </w:rPr>
              <w:t>禁止在金沙江干流、长江一级支流、水生生物保</w:t>
            </w:r>
          </w:p>
          <w:p w14:paraId="4E89C4C9">
            <w:pPr>
              <w:spacing w:before="161" w:line="228" w:lineRule="auto"/>
              <w:ind w:left="162"/>
              <w:rPr>
                <w:rFonts w:ascii="宋体" w:hAnsi="宋体" w:eastAsia="宋体" w:cs="宋体"/>
                <w:sz w:val="20"/>
                <w:szCs w:val="20"/>
              </w:rPr>
            </w:pPr>
            <w:r>
              <w:rPr>
                <w:rFonts w:ascii="宋体" w:hAnsi="宋体" w:eastAsia="宋体" w:cs="宋体"/>
                <w:spacing w:val="9"/>
                <w:sz w:val="20"/>
                <w:szCs w:val="20"/>
              </w:rPr>
              <w:t>护区和长江流域禁捕水域开展天然渔业资源生</w:t>
            </w:r>
          </w:p>
          <w:p w14:paraId="123A9DA6">
            <w:pPr>
              <w:spacing w:before="161" w:line="228" w:lineRule="auto"/>
              <w:ind w:left="1735"/>
              <w:rPr>
                <w:rFonts w:ascii="宋体" w:hAnsi="宋体" w:eastAsia="宋体" w:cs="宋体"/>
                <w:sz w:val="20"/>
                <w:szCs w:val="20"/>
              </w:rPr>
            </w:pPr>
            <w:r>
              <w:rPr>
                <w:rFonts w:ascii="宋体" w:hAnsi="宋体" w:eastAsia="宋体" w:cs="宋体"/>
                <w:spacing w:val="5"/>
                <w:sz w:val="20"/>
                <w:szCs w:val="20"/>
              </w:rPr>
              <w:t>产性捕捞。</w:t>
            </w:r>
          </w:p>
        </w:tc>
        <w:tc>
          <w:tcPr>
            <w:tcW w:w="2339" w:type="dxa"/>
            <w:vAlign w:val="top"/>
          </w:tcPr>
          <w:p w14:paraId="444C7E7E">
            <w:pPr>
              <w:spacing w:before="237" w:line="378" w:lineRule="auto"/>
              <w:ind w:left="347" w:right="116" w:hanging="219"/>
              <w:rPr>
                <w:rFonts w:ascii="宋体" w:hAnsi="宋体" w:eastAsia="宋体" w:cs="宋体"/>
                <w:sz w:val="20"/>
                <w:szCs w:val="20"/>
              </w:rPr>
            </w:pPr>
            <w:r>
              <w:rPr>
                <w:rFonts w:ascii="宋体" w:hAnsi="宋体" w:eastAsia="宋体" w:cs="宋体"/>
                <w:spacing w:val="8"/>
                <w:sz w:val="20"/>
                <w:szCs w:val="20"/>
              </w:rPr>
              <w:t>本项目不涉及天然渔业</w:t>
            </w:r>
            <w:r>
              <w:rPr>
                <w:rFonts w:ascii="宋体" w:hAnsi="宋体" w:eastAsia="宋体" w:cs="宋体"/>
                <w:spacing w:val="6"/>
                <w:sz w:val="20"/>
                <w:szCs w:val="20"/>
              </w:rPr>
              <w:t>资源生产性捕捞。</w:t>
            </w:r>
          </w:p>
        </w:tc>
        <w:tc>
          <w:tcPr>
            <w:tcW w:w="617" w:type="dxa"/>
            <w:textDirection w:val="tbRlV"/>
            <w:vAlign w:val="top"/>
          </w:tcPr>
          <w:p w14:paraId="4F7E4C34">
            <w:pPr>
              <w:spacing w:before="195" w:line="216" w:lineRule="auto"/>
              <w:ind w:left="237"/>
              <w:rPr>
                <w:rFonts w:ascii="宋体" w:hAnsi="宋体" w:eastAsia="宋体" w:cs="宋体"/>
                <w:sz w:val="20"/>
                <w:szCs w:val="20"/>
              </w:rPr>
            </w:pPr>
            <w:r>
              <w:rPr>
                <w:rFonts w:ascii="宋体" w:hAnsi="宋体" w:eastAsia="宋体" w:cs="宋体"/>
                <w:spacing w:val="8"/>
                <w:sz w:val="20"/>
                <w:szCs w:val="20"/>
              </w:rPr>
              <w:t>相</w:t>
            </w:r>
            <w:r>
              <w:rPr>
                <w:rFonts w:ascii="宋体" w:hAnsi="宋体" w:eastAsia="宋体" w:cs="宋体"/>
                <w:spacing w:val="99"/>
                <w:sz w:val="20"/>
                <w:szCs w:val="20"/>
              </w:rPr>
              <w:t xml:space="preserve"> </w:t>
            </w:r>
            <w:r>
              <w:rPr>
                <w:rFonts w:ascii="宋体" w:hAnsi="宋体" w:eastAsia="宋体" w:cs="宋体"/>
                <w:spacing w:val="8"/>
                <w:sz w:val="20"/>
                <w:szCs w:val="20"/>
              </w:rPr>
              <w:t>符</w:t>
            </w:r>
          </w:p>
        </w:tc>
        <w:tc>
          <w:tcPr>
            <w:tcW w:w="125" w:type="dxa"/>
            <w:vMerge w:val="continue"/>
            <w:tcBorders>
              <w:top w:val="nil"/>
              <w:bottom w:val="nil"/>
              <w:right w:val="single" w:color="000000" w:sz="6" w:space="0"/>
            </w:tcBorders>
            <w:vAlign w:val="top"/>
          </w:tcPr>
          <w:p w14:paraId="0F2DB9D0">
            <w:pPr>
              <w:rPr>
                <w:rFonts w:ascii="Arial"/>
                <w:sz w:val="21"/>
              </w:rPr>
            </w:pPr>
          </w:p>
        </w:tc>
      </w:tr>
      <w:tr w14:paraId="690CF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2" w:hRule="atLeast"/>
        </w:trPr>
        <w:tc>
          <w:tcPr>
            <w:tcW w:w="1161" w:type="dxa"/>
            <w:vMerge w:val="continue"/>
            <w:tcBorders>
              <w:top w:val="nil"/>
              <w:left w:val="single" w:color="000000" w:sz="6" w:space="0"/>
              <w:bottom w:val="nil"/>
            </w:tcBorders>
            <w:vAlign w:val="top"/>
          </w:tcPr>
          <w:p w14:paraId="19DB3E38">
            <w:pPr>
              <w:rPr>
                <w:rFonts w:ascii="Arial"/>
                <w:sz w:val="21"/>
              </w:rPr>
            </w:pPr>
          </w:p>
        </w:tc>
        <w:tc>
          <w:tcPr>
            <w:tcW w:w="116" w:type="dxa"/>
            <w:tcBorders>
              <w:top w:val="nil"/>
              <w:bottom w:val="nil"/>
            </w:tcBorders>
            <w:vAlign w:val="top"/>
          </w:tcPr>
          <w:p w14:paraId="69A9B236">
            <w:pPr>
              <w:rPr>
                <w:rFonts w:ascii="Arial"/>
                <w:sz w:val="21"/>
              </w:rPr>
            </w:pPr>
          </w:p>
        </w:tc>
        <w:tc>
          <w:tcPr>
            <w:tcW w:w="4514" w:type="dxa"/>
            <w:vAlign w:val="top"/>
          </w:tcPr>
          <w:p w14:paraId="4E277EA8">
            <w:pPr>
              <w:spacing w:before="239" w:line="227" w:lineRule="auto"/>
              <w:ind w:left="108"/>
              <w:rPr>
                <w:rFonts w:ascii="宋体" w:hAnsi="宋体" w:eastAsia="宋体" w:cs="宋体"/>
                <w:sz w:val="20"/>
                <w:szCs w:val="20"/>
              </w:rPr>
            </w:pPr>
            <w:r>
              <w:rPr>
                <w:rFonts w:ascii="宋体" w:hAnsi="宋体" w:eastAsia="宋体" w:cs="宋体"/>
                <w:spacing w:val="4"/>
                <w:sz w:val="20"/>
                <w:szCs w:val="20"/>
              </w:rPr>
              <w:t>禁止在金沙江干流，长江一级支流和九大高原湖</w:t>
            </w:r>
          </w:p>
          <w:p w14:paraId="7DDF74D2">
            <w:pPr>
              <w:spacing w:before="161" w:line="228" w:lineRule="auto"/>
              <w:ind w:left="114"/>
              <w:rPr>
                <w:rFonts w:ascii="宋体" w:hAnsi="宋体" w:eastAsia="宋体" w:cs="宋体"/>
                <w:sz w:val="20"/>
                <w:szCs w:val="20"/>
              </w:rPr>
            </w:pPr>
            <w:r>
              <w:rPr>
                <w:rFonts w:ascii="宋体" w:hAnsi="宋体" w:eastAsia="宋体" w:cs="宋体"/>
                <w:spacing w:val="4"/>
                <w:sz w:val="20"/>
                <w:szCs w:val="20"/>
              </w:rPr>
              <w:t>泊岸线一公里范围内新建、扩建化工园区和化工</w:t>
            </w:r>
          </w:p>
          <w:p w14:paraId="7344C6FF">
            <w:pPr>
              <w:spacing w:before="163" w:line="227" w:lineRule="auto"/>
              <w:ind w:left="111"/>
              <w:rPr>
                <w:rFonts w:ascii="宋体" w:hAnsi="宋体" w:eastAsia="宋体" w:cs="宋体"/>
                <w:sz w:val="20"/>
                <w:szCs w:val="20"/>
              </w:rPr>
            </w:pPr>
            <w:r>
              <w:rPr>
                <w:rFonts w:ascii="宋体" w:hAnsi="宋体" w:eastAsia="宋体" w:cs="宋体"/>
                <w:spacing w:val="4"/>
                <w:sz w:val="20"/>
                <w:szCs w:val="20"/>
              </w:rPr>
              <w:t>项目。禁止在金沙江干流岸线三公里范围内和长</w:t>
            </w:r>
          </w:p>
          <w:p w14:paraId="45EF0426">
            <w:pPr>
              <w:spacing w:before="162" w:line="228" w:lineRule="auto"/>
              <w:ind w:left="109"/>
              <w:rPr>
                <w:rFonts w:ascii="宋体" w:hAnsi="宋体" w:eastAsia="宋体" w:cs="宋体"/>
                <w:sz w:val="20"/>
                <w:szCs w:val="20"/>
              </w:rPr>
            </w:pPr>
            <w:r>
              <w:rPr>
                <w:rFonts w:ascii="宋体" w:hAnsi="宋体" w:eastAsia="宋体" w:cs="宋体"/>
                <w:spacing w:val="4"/>
                <w:sz w:val="20"/>
                <w:szCs w:val="20"/>
              </w:rPr>
              <w:t>江一级支流岸线一公里范围内新建、改建、扩建</w:t>
            </w:r>
          </w:p>
          <w:p w14:paraId="3905F4C7">
            <w:pPr>
              <w:spacing w:before="161" w:line="227" w:lineRule="auto"/>
              <w:ind w:left="108"/>
              <w:rPr>
                <w:rFonts w:ascii="宋体" w:hAnsi="宋体" w:eastAsia="宋体" w:cs="宋体"/>
                <w:sz w:val="20"/>
                <w:szCs w:val="20"/>
              </w:rPr>
            </w:pPr>
            <w:r>
              <w:rPr>
                <w:rFonts w:ascii="宋体" w:hAnsi="宋体" w:eastAsia="宋体" w:cs="宋体"/>
                <w:spacing w:val="4"/>
                <w:sz w:val="20"/>
                <w:szCs w:val="20"/>
              </w:rPr>
              <w:t>尾矿库、冶炼渣库和磷石膏库，以提升安全、生</w:t>
            </w:r>
          </w:p>
          <w:p w14:paraId="24132FF7">
            <w:pPr>
              <w:spacing w:before="162" w:line="228" w:lineRule="auto"/>
              <w:ind w:left="581"/>
              <w:rPr>
                <w:rFonts w:ascii="宋体" w:hAnsi="宋体" w:eastAsia="宋体" w:cs="宋体"/>
                <w:sz w:val="20"/>
                <w:szCs w:val="20"/>
              </w:rPr>
            </w:pPr>
            <w:r>
              <w:rPr>
                <w:rFonts w:ascii="宋体" w:hAnsi="宋体" w:eastAsia="宋体" w:cs="宋体"/>
                <w:spacing w:val="8"/>
                <w:sz w:val="20"/>
                <w:szCs w:val="20"/>
              </w:rPr>
              <w:t>态环境保护水平为目的的改建除外。</w:t>
            </w:r>
          </w:p>
        </w:tc>
        <w:tc>
          <w:tcPr>
            <w:tcW w:w="2339" w:type="dxa"/>
            <w:vAlign w:val="top"/>
          </w:tcPr>
          <w:p w14:paraId="2BEECB0E">
            <w:pPr>
              <w:spacing w:before="38" w:line="227" w:lineRule="auto"/>
              <w:ind w:left="128"/>
              <w:rPr>
                <w:rFonts w:ascii="宋体" w:hAnsi="宋体" w:eastAsia="宋体" w:cs="宋体"/>
                <w:sz w:val="20"/>
                <w:szCs w:val="20"/>
              </w:rPr>
            </w:pPr>
            <w:r>
              <w:rPr>
                <w:rFonts w:ascii="宋体" w:hAnsi="宋体" w:eastAsia="宋体" w:cs="宋体"/>
                <w:spacing w:val="8"/>
                <w:sz w:val="20"/>
                <w:szCs w:val="20"/>
              </w:rPr>
              <w:t>本项目周边的地表水体</w:t>
            </w:r>
          </w:p>
          <w:p w14:paraId="25823F0A">
            <w:pPr>
              <w:spacing w:before="161" w:line="228" w:lineRule="auto"/>
              <w:ind w:left="118"/>
              <w:rPr>
                <w:rFonts w:ascii="宋体" w:hAnsi="宋体" w:eastAsia="宋体" w:cs="宋体"/>
                <w:sz w:val="20"/>
                <w:szCs w:val="20"/>
              </w:rPr>
            </w:pPr>
            <w:r>
              <w:rPr>
                <w:rFonts w:ascii="宋体" w:hAnsi="宋体" w:eastAsia="宋体" w:cs="宋体"/>
                <w:spacing w:val="2"/>
                <w:sz w:val="20"/>
                <w:szCs w:val="20"/>
              </w:rPr>
              <w:t>为北侧</w:t>
            </w:r>
            <w:r>
              <w:rPr>
                <w:rFonts w:ascii="宋体" w:hAnsi="宋体" w:eastAsia="宋体" w:cs="宋体"/>
                <w:spacing w:val="-32"/>
                <w:sz w:val="20"/>
                <w:szCs w:val="20"/>
              </w:rPr>
              <w:t xml:space="preserve"> </w:t>
            </w:r>
            <w:r>
              <w:rPr>
                <w:rFonts w:ascii="Times New Roman" w:hAnsi="Times New Roman" w:eastAsia="Times New Roman" w:cs="Times New Roman"/>
                <w:spacing w:val="2"/>
                <w:sz w:val="20"/>
                <w:szCs w:val="20"/>
              </w:rPr>
              <w:t>1135m</w:t>
            </w:r>
            <w:r>
              <w:rPr>
                <w:rFonts w:ascii="Times New Roman" w:hAnsi="Times New Roman" w:eastAsia="Times New Roman" w:cs="Times New Roman"/>
                <w:spacing w:val="14"/>
                <w:w w:val="101"/>
                <w:sz w:val="20"/>
                <w:szCs w:val="20"/>
              </w:rPr>
              <w:t xml:space="preserve"> </w:t>
            </w:r>
            <w:r>
              <w:rPr>
                <w:rFonts w:ascii="宋体" w:hAnsi="宋体" w:eastAsia="宋体" w:cs="宋体"/>
                <w:spacing w:val="2"/>
                <w:sz w:val="20"/>
                <w:szCs w:val="20"/>
              </w:rPr>
              <w:t>的谓所河</w:t>
            </w:r>
          </w:p>
          <w:p w14:paraId="6CF0D9E4">
            <w:pPr>
              <w:spacing w:before="161" w:line="228" w:lineRule="auto"/>
              <w:ind w:left="132"/>
              <w:rPr>
                <w:rFonts w:ascii="宋体" w:hAnsi="宋体" w:eastAsia="宋体" w:cs="宋体"/>
                <w:sz w:val="20"/>
                <w:szCs w:val="20"/>
              </w:rPr>
            </w:pPr>
            <w:r>
              <w:rPr>
                <w:rFonts w:ascii="宋体" w:hAnsi="宋体" w:eastAsia="宋体" w:cs="宋体"/>
                <w:spacing w:val="8"/>
                <w:sz w:val="20"/>
                <w:szCs w:val="20"/>
              </w:rPr>
              <w:t>果马河，所在区域不属</w:t>
            </w:r>
          </w:p>
          <w:p w14:paraId="2588873F">
            <w:pPr>
              <w:spacing w:before="160" w:line="227" w:lineRule="auto"/>
              <w:ind w:left="131"/>
              <w:rPr>
                <w:rFonts w:ascii="宋体" w:hAnsi="宋体" w:eastAsia="宋体" w:cs="宋体"/>
                <w:sz w:val="20"/>
                <w:szCs w:val="20"/>
              </w:rPr>
            </w:pPr>
            <w:r>
              <w:rPr>
                <w:rFonts w:ascii="宋体" w:hAnsi="宋体" w:eastAsia="宋体" w:cs="宋体"/>
                <w:spacing w:val="8"/>
                <w:sz w:val="20"/>
                <w:szCs w:val="20"/>
              </w:rPr>
              <w:t>于金沙江干流、长江一</w:t>
            </w:r>
          </w:p>
          <w:p w14:paraId="0275FF85">
            <w:pPr>
              <w:spacing w:before="162" w:line="228" w:lineRule="auto"/>
              <w:ind w:left="131"/>
              <w:rPr>
                <w:rFonts w:ascii="宋体" w:hAnsi="宋体" w:eastAsia="宋体" w:cs="宋体"/>
                <w:sz w:val="20"/>
                <w:szCs w:val="20"/>
              </w:rPr>
            </w:pPr>
            <w:r>
              <w:rPr>
                <w:rFonts w:ascii="宋体" w:hAnsi="宋体" w:eastAsia="宋体" w:cs="宋体"/>
                <w:spacing w:val="8"/>
                <w:sz w:val="20"/>
                <w:szCs w:val="20"/>
              </w:rPr>
              <w:t>级支流、水生生物保护</w:t>
            </w:r>
          </w:p>
          <w:p w14:paraId="5BF933A4">
            <w:pPr>
              <w:spacing w:before="161" w:line="228" w:lineRule="auto"/>
              <w:ind w:left="143"/>
              <w:rPr>
                <w:rFonts w:ascii="宋体" w:hAnsi="宋体" w:eastAsia="宋体" w:cs="宋体"/>
                <w:sz w:val="20"/>
                <w:szCs w:val="20"/>
              </w:rPr>
            </w:pPr>
            <w:r>
              <w:rPr>
                <w:rFonts w:ascii="宋体" w:hAnsi="宋体" w:eastAsia="宋体" w:cs="宋体"/>
                <w:spacing w:val="7"/>
                <w:sz w:val="20"/>
                <w:szCs w:val="20"/>
              </w:rPr>
              <w:t>区、九大高原湖泊岸线</w:t>
            </w:r>
          </w:p>
          <w:p w14:paraId="4DC39D17">
            <w:pPr>
              <w:spacing w:before="164" w:line="228" w:lineRule="auto"/>
              <w:ind w:left="551"/>
              <w:rPr>
                <w:rFonts w:ascii="宋体" w:hAnsi="宋体" w:eastAsia="宋体" w:cs="宋体"/>
                <w:sz w:val="20"/>
                <w:szCs w:val="20"/>
              </w:rPr>
            </w:pPr>
            <w:r>
              <w:rPr>
                <w:rFonts w:ascii="宋体" w:hAnsi="宋体" w:eastAsia="宋体" w:cs="宋体"/>
                <w:spacing w:val="6"/>
                <w:sz w:val="20"/>
                <w:szCs w:val="20"/>
              </w:rPr>
              <w:t>一公里范围。</w:t>
            </w:r>
          </w:p>
        </w:tc>
        <w:tc>
          <w:tcPr>
            <w:tcW w:w="617" w:type="dxa"/>
            <w:textDirection w:val="tbRlV"/>
            <w:vAlign w:val="top"/>
          </w:tcPr>
          <w:p w14:paraId="2E39435F">
            <w:pPr>
              <w:spacing w:before="195" w:line="216" w:lineRule="auto"/>
              <w:ind w:left="1058"/>
              <w:rPr>
                <w:rFonts w:ascii="宋体" w:hAnsi="宋体" w:eastAsia="宋体" w:cs="宋体"/>
                <w:sz w:val="20"/>
                <w:szCs w:val="20"/>
              </w:rPr>
            </w:pPr>
            <w:r>
              <w:rPr>
                <w:rFonts w:ascii="宋体" w:hAnsi="宋体" w:eastAsia="宋体" w:cs="宋体"/>
                <w:spacing w:val="8"/>
                <w:sz w:val="20"/>
                <w:szCs w:val="20"/>
              </w:rPr>
              <w:t>相</w:t>
            </w:r>
            <w:r>
              <w:rPr>
                <w:rFonts w:ascii="宋体" w:hAnsi="宋体" w:eastAsia="宋体" w:cs="宋体"/>
                <w:spacing w:val="99"/>
                <w:sz w:val="20"/>
                <w:szCs w:val="20"/>
              </w:rPr>
              <w:t xml:space="preserve"> </w:t>
            </w:r>
            <w:r>
              <w:rPr>
                <w:rFonts w:ascii="宋体" w:hAnsi="宋体" w:eastAsia="宋体" w:cs="宋体"/>
                <w:spacing w:val="8"/>
                <w:sz w:val="20"/>
                <w:szCs w:val="20"/>
              </w:rPr>
              <w:t>符</w:t>
            </w:r>
          </w:p>
        </w:tc>
        <w:tc>
          <w:tcPr>
            <w:tcW w:w="125" w:type="dxa"/>
            <w:vMerge w:val="continue"/>
            <w:tcBorders>
              <w:top w:val="nil"/>
              <w:bottom w:val="nil"/>
              <w:right w:val="single" w:color="000000" w:sz="6" w:space="0"/>
            </w:tcBorders>
            <w:vAlign w:val="top"/>
          </w:tcPr>
          <w:p w14:paraId="06B52F3D">
            <w:pPr>
              <w:rPr>
                <w:rFonts w:ascii="Arial"/>
                <w:sz w:val="21"/>
              </w:rPr>
            </w:pPr>
          </w:p>
        </w:tc>
      </w:tr>
      <w:tr w14:paraId="6048F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1161" w:type="dxa"/>
            <w:vMerge w:val="continue"/>
            <w:tcBorders>
              <w:top w:val="nil"/>
              <w:left w:val="single" w:color="000000" w:sz="6" w:space="0"/>
              <w:bottom w:val="nil"/>
            </w:tcBorders>
            <w:vAlign w:val="top"/>
          </w:tcPr>
          <w:p w14:paraId="03062A33">
            <w:pPr>
              <w:rPr>
                <w:rFonts w:ascii="Arial"/>
                <w:sz w:val="21"/>
              </w:rPr>
            </w:pPr>
          </w:p>
        </w:tc>
        <w:tc>
          <w:tcPr>
            <w:tcW w:w="116" w:type="dxa"/>
            <w:tcBorders>
              <w:top w:val="nil"/>
              <w:bottom w:val="nil"/>
            </w:tcBorders>
            <w:vAlign w:val="top"/>
          </w:tcPr>
          <w:p w14:paraId="0C6011DE">
            <w:pPr>
              <w:rPr>
                <w:rFonts w:ascii="Arial"/>
                <w:sz w:val="21"/>
              </w:rPr>
            </w:pPr>
          </w:p>
        </w:tc>
        <w:tc>
          <w:tcPr>
            <w:tcW w:w="4514" w:type="dxa"/>
            <w:vAlign w:val="top"/>
          </w:tcPr>
          <w:p w14:paraId="3493B3CE">
            <w:pPr>
              <w:spacing w:before="243" w:line="228" w:lineRule="auto"/>
              <w:ind w:right="10"/>
              <w:jc w:val="right"/>
              <w:rPr>
                <w:rFonts w:ascii="宋体" w:hAnsi="宋体" w:eastAsia="宋体" w:cs="宋体"/>
                <w:sz w:val="20"/>
                <w:szCs w:val="20"/>
              </w:rPr>
            </w:pPr>
            <w:r>
              <w:rPr>
                <w:rFonts w:ascii="宋体" w:hAnsi="宋体" w:eastAsia="宋体" w:cs="宋体"/>
                <w:spacing w:val="-1"/>
                <w:sz w:val="20"/>
                <w:szCs w:val="20"/>
              </w:rPr>
              <w:t>禁止在合规园区外新建、扩建钢铁、石化、化工、</w:t>
            </w:r>
          </w:p>
          <w:p w14:paraId="62D3C554">
            <w:pPr>
              <w:spacing w:before="161" w:line="227" w:lineRule="auto"/>
              <w:ind w:left="108"/>
              <w:rPr>
                <w:rFonts w:ascii="宋体" w:hAnsi="宋体" w:eastAsia="宋体" w:cs="宋体"/>
                <w:sz w:val="20"/>
                <w:szCs w:val="20"/>
              </w:rPr>
            </w:pPr>
            <w:r>
              <w:rPr>
                <w:rFonts w:ascii="宋体" w:hAnsi="宋体" w:eastAsia="宋体" w:cs="宋体"/>
                <w:spacing w:val="4"/>
                <w:sz w:val="20"/>
                <w:szCs w:val="20"/>
              </w:rPr>
              <w:t>焦化、建材、有色、制浆造纸行业中的高污染项</w:t>
            </w:r>
          </w:p>
          <w:p w14:paraId="02993EBF">
            <w:pPr>
              <w:spacing w:before="161" w:line="231" w:lineRule="auto"/>
              <w:ind w:left="2090"/>
              <w:rPr>
                <w:rFonts w:ascii="宋体" w:hAnsi="宋体" w:eastAsia="宋体" w:cs="宋体"/>
                <w:sz w:val="20"/>
                <w:szCs w:val="20"/>
              </w:rPr>
            </w:pPr>
            <w:r>
              <w:rPr>
                <w:rFonts w:ascii="宋体" w:hAnsi="宋体" w:eastAsia="宋体" w:cs="宋体"/>
                <w:spacing w:val="-20"/>
                <w:sz w:val="20"/>
                <w:szCs w:val="20"/>
              </w:rPr>
              <w:t>目。</w:t>
            </w:r>
          </w:p>
        </w:tc>
        <w:tc>
          <w:tcPr>
            <w:tcW w:w="2339" w:type="dxa"/>
            <w:vAlign w:val="top"/>
          </w:tcPr>
          <w:p w14:paraId="72B8C3CE">
            <w:pPr>
              <w:spacing w:before="39" w:line="228" w:lineRule="auto"/>
              <w:ind w:left="237"/>
              <w:rPr>
                <w:rFonts w:ascii="宋体" w:hAnsi="宋体" w:eastAsia="宋体" w:cs="宋体"/>
                <w:sz w:val="20"/>
                <w:szCs w:val="20"/>
              </w:rPr>
            </w:pPr>
            <w:r>
              <w:rPr>
                <w:rFonts w:ascii="宋体" w:hAnsi="宋体" w:eastAsia="宋体" w:cs="宋体"/>
                <w:spacing w:val="8"/>
                <w:sz w:val="20"/>
                <w:szCs w:val="20"/>
              </w:rPr>
              <w:t>项目为塑料筐生产项</w:t>
            </w:r>
          </w:p>
          <w:p w14:paraId="14189959">
            <w:pPr>
              <w:spacing w:before="161" w:line="229" w:lineRule="auto"/>
              <w:ind w:right="7"/>
              <w:jc w:val="right"/>
              <w:rPr>
                <w:rFonts w:ascii="宋体" w:hAnsi="宋体" w:eastAsia="宋体" w:cs="宋体"/>
                <w:sz w:val="20"/>
                <w:szCs w:val="20"/>
              </w:rPr>
            </w:pPr>
            <w:r>
              <w:rPr>
                <w:rFonts w:ascii="宋体" w:hAnsi="宋体" w:eastAsia="宋体" w:cs="宋体"/>
                <w:spacing w:val="-3"/>
                <w:sz w:val="20"/>
                <w:szCs w:val="20"/>
              </w:rPr>
              <w:t>目，不属于钢铁、石化、</w:t>
            </w:r>
          </w:p>
          <w:p w14:paraId="206B9574">
            <w:pPr>
              <w:spacing w:before="159" w:line="227" w:lineRule="auto"/>
              <w:ind w:left="128"/>
              <w:rPr>
                <w:rFonts w:ascii="宋体" w:hAnsi="宋体" w:eastAsia="宋体" w:cs="宋体"/>
                <w:sz w:val="20"/>
                <w:szCs w:val="20"/>
              </w:rPr>
            </w:pPr>
            <w:r>
              <w:rPr>
                <w:rFonts w:ascii="宋体" w:hAnsi="宋体" w:eastAsia="宋体" w:cs="宋体"/>
                <w:spacing w:val="8"/>
                <w:sz w:val="20"/>
                <w:szCs w:val="20"/>
              </w:rPr>
              <w:t>化工、焦化、建材、有</w:t>
            </w:r>
          </w:p>
          <w:p w14:paraId="61923B48">
            <w:pPr>
              <w:spacing w:before="161" w:line="228" w:lineRule="auto"/>
              <w:ind w:left="341"/>
              <w:rPr>
                <w:rFonts w:ascii="宋体" w:hAnsi="宋体" w:eastAsia="宋体" w:cs="宋体"/>
                <w:sz w:val="20"/>
                <w:szCs w:val="20"/>
              </w:rPr>
            </w:pPr>
            <w:r>
              <w:rPr>
                <w:rFonts w:ascii="宋体" w:hAnsi="宋体" w:eastAsia="宋体" w:cs="宋体"/>
                <w:spacing w:val="7"/>
                <w:sz w:val="20"/>
                <w:szCs w:val="20"/>
              </w:rPr>
              <w:t>色等高污染项目。</w:t>
            </w:r>
          </w:p>
        </w:tc>
        <w:tc>
          <w:tcPr>
            <w:tcW w:w="617" w:type="dxa"/>
            <w:textDirection w:val="tbRlV"/>
            <w:vAlign w:val="top"/>
          </w:tcPr>
          <w:p w14:paraId="4D059FBB">
            <w:pPr>
              <w:spacing w:before="195" w:line="216" w:lineRule="auto"/>
              <w:ind w:left="447"/>
              <w:rPr>
                <w:rFonts w:ascii="宋体" w:hAnsi="宋体" w:eastAsia="宋体" w:cs="宋体"/>
                <w:sz w:val="20"/>
                <w:szCs w:val="20"/>
              </w:rPr>
            </w:pPr>
            <w:r>
              <w:rPr>
                <w:rFonts w:ascii="宋体" w:hAnsi="宋体" w:eastAsia="宋体" w:cs="宋体"/>
                <w:spacing w:val="8"/>
                <w:sz w:val="20"/>
                <w:szCs w:val="20"/>
              </w:rPr>
              <w:t>相</w:t>
            </w:r>
            <w:r>
              <w:rPr>
                <w:rFonts w:ascii="宋体" w:hAnsi="宋体" w:eastAsia="宋体" w:cs="宋体"/>
                <w:spacing w:val="99"/>
                <w:sz w:val="20"/>
                <w:szCs w:val="20"/>
              </w:rPr>
              <w:t xml:space="preserve"> </w:t>
            </w:r>
            <w:r>
              <w:rPr>
                <w:rFonts w:ascii="宋体" w:hAnsi="宋体" w:eastAsia="宋体" w:cs="宋体"/>
                <w:spacing w:val="8"/>
                <w:sz w:val="20"/>
                <w:szCs w:val="20"/>
              </w:rPr>
              <w:t>符</w:t>
            </w:r>
          </w:p>
        </w:tc>
        <w:tc>
          <w:tcPr>
            <w:tcW w:w="125" w:type="dxa"/>
            <w:vMerge w:val="continue"/>
            <w:tcBorders>
              <w:top w:val="nil"/>
              <w:bottom w:val="nil"/>
              <w:right w:val="single" w:color="000000" w:sz="6" w:space="0"/>
            </w:tcBorders>
            <w:vAlign w:val="top"/>
          </w:tcPr>
          <w:p w14:paraId="1411A8D5">
            <w:pPr>
              <w:rPr>
                <w:rFonts w:ascii="Arial"/>
                <w:sz w:val="21"/>
              </w:rPr>
            </w:pPr>
          </w:p>
        </w:tc>
      </w:tr>
      <w:tr w14:paraId="1755A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5" w:hRule="atLeast"/>
        </w:trPr>
        <w:tc>
          <w:tcPr>
            <w:tcW w:w="1161" w:type="dxa"/>
            <w:vMerge w:val="continue"/>
            <w:tcBorders>
              <w:top w:val="nil"/>
              <w:left w:val="single" w:color="000000" w:sz="6" w:space="0"/>
              <w:bottom w:val="nil"/>
            </w:tcBorders>
            <w:vAlign w:val="top"/>
          </w:tcPr>
          <w:p w14:paraId="492C3701">
            <w:pPr>
              <w:rPr>
                <w:rFonts w:ascii="Arial"/>
                <w:sz w:val="21"/>
              </w:rPr>
            </w:pPr>
          </w:p>
        </w:tc>
        <w:tc>
          <w:tcPr>
            <w:tcW w:w="116" w:type="dxa"/>
            <w:tcBorders>
              <w:top w:val="nil"/>
              <w:bottom w:val="nil"/>
            </w:tcBorders>
            <w:vAlign w:val="top"/>
          </w:tcPr>
          <w:p w14:paraId="2FAEB7BE">
            <w:pPr>
              <w:rPr>
                <w:rFonts w:ascii="Arial"/>
                <w:sz w:val="21"/>
              </w:rPr>
            </w:pPr>
          </w:p>
        </w:tc>
        <w:tc>
          <w:tcPr>
            <w:tcW w:w="4514" w:type="dxa"/>
            <w:vAlign w:val="top"/>
          </w:tcPr>
          <w:p w14:paraId="36B075A2">
            <w:pPr>
              <w:spacing w:before="41" w:line="228" w:lineRule="auto"/>
              <w:ind w:left="108"/>
              <w:rPr>
                <w:rFonts w:ascii="宋体" w:hAnsi="宋体" w:eastAsia="宋体" w:cs="宋体"/>
                <w:sz w:val="20"/>
                <w:szCs w:val="20"/>
              </w:rPr>
            </w:pPr>
            <w:r>
              <w:rPr>
                <w:rFonts w:ascii="宋体" w:hAnsi="宋体" w:eastAsia="宋体" w:cs="宋体"/>
                <w:spacing w:val="4"/>
                <w:sz w:val="20"/>
                <w:szCs w:val="20"/>
              </w:rPr>
              <w:t>禁止新建、扩建不符合国家石化、现代煤化工等</w:t>
            </w:r>
          </w:p>
          <w:p w14:paraId="370787AA">
            <w:pPr>
              <w:spacing w:before="161" w:line="227" w:lineRule="auto"/>
              <w:ind w:left="108"/>
              <w:rPr>
                <w:rFonts w:ascii="宋体" w:hAnsi="宋体" w:eastAsia="宋体" w:cs="宋体"/>
                <w:sz w:val="20"/>
                <w:szCs w:val="20"/>
              </w:rPr>
            </w:pPr>
            <w:r>
              <w:rPr>
                <w:rFonts w:ascii="宋体" w:hAnsi="宋体" w:eastAsia="宋体" w:cs="宋体"/>
                <w:spacing w:val="4"/>
                <w:sz w:val="20"/>
                <w:szCs w:val="20"/>
              </w:rPr>
              <w:t>产业布局规划的项目。禁止列入《云南省城镇人</w:t>
            </w:r>
          </w:p>
          <w:p w14:paraId="759D37C0">
            <w:pPr>
              <w:spacing w:before="161" w:line="228" w:lineRule="auto"/>
              <w:ind w:left="140"/>
              <w:rPr>
                <w:rFonts w:ascii="宋体" w:hAnsi="宋体" w:eastAsia="宋体" w:cs="宋体"/>
                <w:sz w:val="20"/>
                <w:szCs w:val="20"/>
              </w:rPr>
            </w:pPr>
            <w:r>
              <w:rPr>
                <w:rFonts w:ascii="宋体" w:hAnsi="宋体" w:eastAsia="宋体" w:cs="宋体"/>
                <w:spacing w:val="3"/>
                <w:sz w:val="20"/>
                <w:szCs w:val="20"/>
              </w:rPr>
              <w:t>口密集区危险化学品生产企业搬迁改造名单》的</w:t>
            </w:r>
          </w:p>
          <w:p w14:paraId="425C4B84">
            <w:pPr>
              <w:spacing w:before="161" w:line="228" w:lineRule="auto"/>
              <w:ind w:left="108"/>
              <w:rPr>
                <w:rFonts w:ascii="宋体" w:hAnsi="宋体" w:eastAsia="宋体" w:cs="宋体"/>
                <w:sz w:val="20"/>
                <w:szCs w:val="20"/>
              </w:rPr>
            </w:pPr>
            <w:r>
              <w:rPr>
                <w:rFonts w:ascii="宋体" w:hAnsi="宋体" w:eastAsia="宋体" w:cs="宋体"/>
                <w:spacing w:val="4"/>
                <w:sz w:val="20"/>
                <w:szCs w:val="20"/>
              </w:rPr>
              <w:t>搬迁改造企业在原址新建、扩建危险化学品生产</w:t>
            </w:r>
          </w:p>
          <w:p w14:paraId="399B77F7">
            <w:pPr>
              <w:spacing w:before="164" w:line="228" w:lineRule="auto"/>
              <w:ind w:left="1947"/>
              <w:rPr>
                <w:rFonts w:ascii="宋体" w:hAnsi="宋体" w:eastAsia="宋体" w:cs="宋体"/>
                <w:sz w:val="20"/>
                <w:szCs w:val="20"/>
              </w:rPr>
            </w:pPr>
            <w:r>
              <w:rPr>
                <w:rFonts w:ascii="宋体" w:hAnsi="宋体" w:eastAsia="宋体" w:cs="宋体"/>
                <w:spacing w:val="2"/>
                <w:sz w:val="20"/>
                <w:szCs w:val="20"/>
              </w:rPr>
              <w:t>项目。</w:t>
            </w:r>
          </w:p>
        </w:tc>
        <w:tc>
          <w:tcPr>
            <w:tcW w:w="2339" w:type="dxa"/>
            <w:vAlign w:val="top"/>
          </w:tcPr>
          <w:p w14:paraId="0EF34C3C">
            <w:pPr>
              <w:spacing w:before="40" w:line="377" w:lineRule="auto"/>
              <w:ind w:left="128" w:right="116"/>
              <w:jc w:val="both"/>
              <w:rPr>
                <w:rFonts w:ascii="宋体" w:hAnsi="宋体" w:eastAsia="宋体" w:cs="宋体"/>
                <w:sz w:val="20"/>
                <w:szCs w:val="20"/>
              </w:rPr>
            </w:pPr>
            <w:r>
              <w:rPr>
                <w:rFonts w:ascii="宋体" w:hAnsi="宋体" w:eastAsia="宋体" w:cs="宋体"/>
                <w:spacing w:val="8"/>
                <w:sz w:val="20"/>
                <w:szCs w:val="20"/>
              </w:rPr>
              <w:t>本项目不属于不符合国家石化、现代煤化工等产业布局规划的项目；</w:t>
            </w:r>
          </w:p>
          <w:p w14:paraId="26EEE6E0">
            <w:pPr>
              <w:spacing w:line="355" w:lineRule="auto"/>
              <w:ind w:left="564" w:right="116" w:hanging="436"/>
              <w:jc w:val="both"/>
              <w:rPr>
                <w:rFonts w:ascii="宋体" w:hAnsi="宋体" w:eastAsia="宋体" w:cs="宋体"/>
                <w:sz w:val="20"/>
                <w:szCs w:val="20"/>
              </w:rPr>
            </w:pPr>
            <w:r>
              <w:rPr>
                <w:rFonts w:ascii="宋体" w:hAnsi="宋体" w:eastAsia="宋体" w:cs="宋体"/>
                <w:spacing w:val="8"/>
                <w:sz w:val="20"/>
                <w:szCs w:val="20"/>
              </w:rPr>
              <w:t>本项目不属于危险化学</w:t>
            </w:r>
            <w:r>
              <w:rPr>
                <w:rFonts w:ascii="宋体" w:hAnsi="宋体" w:eastAsia="宋体" w:cs="宋体"/>
                <w:spacing w:val="3"/>
                <w:sz w:val="20"/>
                <w:szCs w:val="20"/>
              </w:rPr>
              <w:t>品生产项目。</w:t>
            </w:r>
          </w:p>
        </w:tc>
        <w:tc>
          <w:tcPr>
            <w:tcW w:w="617" w:type="dxa"/>
            <w:textDirection w:val="tbRlV"/>
            <w:vAlign w:val="top"/>
          </w:tcPr>
          <w:p w14:paraId="670A5002">
            <w:pPr>
              <w:spacing w:before="195" w:line="216" w:lineRule="auto"/>
              <w:ind w:left="653"/>
              <w:rPr>
                <w:rFonts w:ascii="宋体" w:hAnsi="宋体" w:eastAsia="宋体" w:cs="宋体"/>
                <w:sz w:val="20"/>
                <w:szCs w:val="20"/>
              </w:rPr>
            </w:pPr>
            <w:r>
              <w:rPr>
                <w:rFonts w:ascii="宋体" w:hAnsi="宋体" w:eastAsia="宋体" w:cs="宋体"/>
                <w:spacing w:val="8"/>
                <w:sz w:val="20"/>
                <w:szCs w:val="20"/>
              </w:rPr>
              <w:t>相</w:t>
            </w:r>
            <w:r>
              <w:rPr>
                <w:rFonts w:ascii="宋体" w:hAnsi="宋体" w:eastAsia="宋体" w:cs="宋体"/>
                <w:spacing w:val="99"/>
                <w:sz w:val="20"/>
                <w:szCs w:val="20"/>
              </w:rPr>
              <w:t xml:space="preserve"> </w:t>
            </w:r>
            <w:r>
              <w:rPr>
                <w:rFonts w:ascii="宋体" w:hAnsi="宋体" w:eastAsia="宋体" w:cs="宋体"/>
                <w:spacing w:val="8"/>
                <w:sz w:val="20"/>
                <w:szCs w:val="20"/>
              </w:rPr>
              <w:t>符</w:t>
            </w:r>
          </w:p>
        </w:tc>
        <w:tc>
          <w:tcPr>
            <w:tcW w:w="125" w:type="dxa"/>
            <w:vMerge w:val="continue"/>
            <w:tcBorders>
              <w:top w:val="nil"/>
              <w:bottom w:val="nil"/>
              <w:right w:val="single" w:color="000000" w:sz="6" w:space="0"/>
            </w:tcBorders>
            <w:vAlign w:val="top"/>
          </w:tcPr>
          <w:p w14:paraId="030382AC">
            <w:pPr>
              <w:rPr>
                <w:rFonts w:ascii="Arial"/>
                <w:sz w:val="21"/>
              </w:rPr>
            </w:pPr>
          </w:p>
        </w:tc>
      </w:tr>
      <w:tr w14:paraId="6D369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0" w:hRule="atLeast"/>
        </w:trPr>
        <w:tc>
          <w:tcPr>
            <w:tcW w:w="1161" w:type="dxa"/>
            <w:vMerge w:val="continue"/>
            <w:tcBorders>
              <w:top w:val="nil"/>
              <w:left w:val="single" w:color="000000" w:sz="6" w:space="0"/>
              <w:bottom w:val="single" w:color="000000" w:sz="6" w:space="0"/>
            </w:tcBorders>
            <w:vAlign w:val="top"/>
          </w:tcPr>
          <w:p w14:paraId="2AE04555">
            <w:pPr>
              <w:rPr>
                <w:rFonts w:ascii="Arial"/>
                <w:sz w:val="21"/>
              </w:rPr>
            </w:pPr>
          </w:p>
        </w:tc>
        <w:tc>
          <w:tcPr>
            <w:tcW w:w="116" w:type="dxa"/>
            <w:tcBorders>
              <w:top w:val="nil"/>
              <w:bottom w:val="single" w:color="000000" w:sz="6" w:space="0"/>
            </w:tcBorders>
            <w:vAlign w:val="top"/>
          </w:tcPr>
          <w:p w14:paraId="104C509E">
            <w:pPr>
              <w:rPr>
                <w:rFonts w:ascii="Arial"/>
                <w:sz w:val="21"/>
              </w:rPr>
            </w:pPr>
          </w:p>
        </w:tc>
        <w:tc>
          <w:tcPr>
            <w:tcW w:w="4514" w:type="dxa"/>
            <w:tcBorders>
              <w:bottom w:val="single" w:color="000000" w:sz="6" w:space="0"/>
            </w:tcBorders>
            <w:vAlign w:val="top"/>
          </w:tcPr>
          <w:p w14:paraId="590D7067">
            <w:pPr>
              <w:spacing w:before="45" w:line="375" w:lineRule="auto"/>
              <w:ind w:left="108" w:right="34"/>
              <w:jc w:val="both"/>
              <w:rPr>
                <w:rFonts w:ascii="宋体" w:hAnsi="宋体" w:eastAsia="宋体" w:cs="宋体"/>
                <w:sz w:val="20"/>
                <w:szCs w:val="20"/>
              </w:rPr>
            </w:pPr>
            <w:r>
              <w:rPr>
                <w:rFonts w:ascii="宋体" w:hAnsi="宋体" w:eastAsia="宋体" w:cs="宋体"/>
                <w:spacing w:val="4"/>
                <w:sz w:val="20"/>
                <w:szCs w:val="20"/>
              </w:rPr>
              <w:t>禁止新建、扩建法律法规和相关政策明令禁止的</w:t>
            </w:r>
            <w:r>
              <w:rPr>
                <w:rFonts w:ascii="宋体" w:hAnsi="宋体" w:eastAsia="宋体" w:cs="宋体"/>
                <w:spacing w:val="7"/>
                <w:sz w:val="20"/>
                <w:szCs w:val="20"/>
              </w:rPr>
              <w:t>落后产能项目，依法依规关停退出能耗、环保、</w:t>
            </w:r>
            <w:r>
              <w:rPr>
                <w:rFonts w:ascii="宋体" w:hAnsi="宋体" w:eastAsia="宋体" w:cs="宋体"/>
                <w:spacing w:val="4"/>
                <w:sz w:val="20"/>
                <w:szCs w:val="20"/>
              </w:rPr>
              <w:t>质量、安全不达标产能和技术落后产能。禁止新建、扩建不符合国家产能置换要求的过剩产能行</w:t>
            </w:r>
          </w:p>
        </w:tc>
        <w:tc>
          <w:tcPr>
            <w:tcW w:w="2339" w:type="dxa"/>
            <w:tcBorders>
              <w:bottom w:val="single" w:color="000000" w:sz="6" w:space="0"/>
            </w:tcBorders>
            <w:vAlign w:val="top"/>
          </w:tcPr>
          <w:p w14:paraId="365DA83A">
            <w:pPr>
              <w:spacing w:before="42" w:line="378" w:lineRule="auto"/>
              <w:ind w:left="130" w:right="116" w:hanging="2"/>
              <w:rPr>
                <w:rFonts w:ascii="宋体" w:hAnsi="宋体" w:eastAsia="宋体" w:cs="宋体"/>
                <w:sz w:val="20"/>
                <w:szCs w:val="20"/>
              </w:rPr>
            </w:pPr>
            <w:r>
              <w:rPr>
                <w:rFonts w:ascii="宋体" w:hAnsi="宋体" w:eastAsia="宋体" w:cs="宋体"/>
                <w:spacing w:val="8"/>
                <w:sz w:val="20"/>
                <w:szCs w:val="20"/>
              </w:rPr>
              <w:t>本项目不属于落后产能项目、过剩产能行业的</w:t>
            </w:r>
          </w:p>
          <w:p w14:paraId="79AEA22D">
            <w:pPr>
              <w:spacing w:line="227" w:lineRule="auto"/>
              <w:ind w:left="131"/>
              <w:rPr>
                <w:rFonts w:ascii="宋体" w:hAnsi="宋体" w:eastAsia="宋体" w:cs="宋体"/>
                <w:sz w:val="20"/>
                <w:szCs w:val="20"/>
              </w:rPr>
            </w:pPr>
            <w:r>
              <w:rPr>
                <w:rFonts w:ascii="宋体" w:hAnsi="宋体" w:eastAsia="宋体" w:cs="宋体"/>
                <w:spacing w:val="8"/>
                <w:sz w:val="20"/>
                <w:szCs w:val="20"/>
              </w:rPr>
              <w:t>项目、高能耗、高排放</w:t>
            </w:r>
          </w:p>
          <w:p w14:paraId="2020DFC2">
            <w:pPr>
              <w:spacing w:before="161" w:line="227" w:lineRule="auto"/>
              <w:ind w:left="131"/>
              <w:rPr>
                <w:rFonts w:ascii="宋体" w:hAnsi="宋体" w:eastAsia="宋体" w:cs="宋体"/>
                <w:sz w:val="20"/>
                <w:szCs w:val="20"/>
              </w:rPr>
            </w:pPr>
            <w:r>
              <w:rPr>
                <w:rFonts w:ascii="宋体" w:hAnsi="宋体" w:eastAsia="宋体" w:cs="宋体"/>
                <w:spacing w:val="8"/>
                <w:sz w:val="20"/>
                <w:szCs w:val="20"/>
              </w:rPr>
              <w:t>项目。本项目不涉及建</w:t>
            </w:r>
          </w:p>
        </w:tc>
        <w:tc>
          <w:tcPr>
            <w:tcW w:w="617" w:type="dxa"/>
            <w:tcBorders>
              <w:bottom w:val="single" w:color="000000" w:sz="6" w:space="0"/>
            </w:tcBorders>
            <w:textDirection w:val="tbRlV"/>
            <w:vAlign w:val="top"/>
          </w:tcPr>
          <w:p w14:paraId="4FBF07B0">
            <w:pPr>
              <w:spacing w:before="195" w:line="216" w:lineRule="auto"/>
              <w:ind w:left="451"/>
              <w:rPr>
                <w:rFonts w:ascii="宋体" w:hAnsi="宋体" w:eastAsia="宋体" w:cs="宋体"/>
                <w:sz w:val="20"/>
                <w:szCs w:val="20"/>
              </w:rPr>
            </w:pPr>
            <w:r>
              <w:rPr>
                <w:rFonts w:ascii="宋体" w:hAnsi="宋体" w:eastAsia="宋体" w:cs="宋体"/>
                <w:spacing w:val="8"/>
                <w:sz w:val="20"/>
                <w:szCs w:val="20"/>
              </w:rPr>
              <w:t>相</w:t>
            </w:r>
            <w:r>
              <w:rPr>
                <w:rFonts w:ascii="宋体" w:hAnsi="宋体" w:eastAsia="宋体" w:cs="宋体"/>
                <w:spacing w:val="99"/>
                <w:sz w:val="20"/>
                <w:szCs w:val="20"/>
              </w:rPr>
              <w:t xml:space="preserve"> </w:t>
            </w:r>
            <w:r>
              <w:rPr>
                <w:rFonts w:ascii="宋体" w:hAnsi="宋体" w:eastAsia="宋体" w:cs="宋体"/>
                <w:spacing w:val="8"/>
                <w:sz w:val="20"/>
                <w:szCs w:val="20"/>
              </w:rPr>
              <w:t>符</w:t>
            </w:r>
          </w:p>
        </w:tc>
        <w:tc>
          <w:tcPr>
            <w:tcW w:w="125" w:type="dxa"/>
            <w:vMerge w:val="continue"/>
            <w:tcBorders>
              <w:top w:val="nil"/>
              <w:bottom w:val="single" w:color="000000" w:sz="6" w:space="0"/>
              <w:right w:val="single" w:color="000000" w:sz="6" w:space="0"/>
            </w:tcBorders>
            <w:vAlign w:val="top"/>
          </w:tcPr>
          <w:p w14:paraId="40A11E15">
            <w:pPr>
              <w:rPr>
                <w:rFonts w:ascii="Arial"/>
                <w:sz w:val="21"/>
              </w:rPr>
            </w:pPr>
          </w:p>
        </w:tc>
      </w:tr>
    </w:tbl>
    <w:p w14:paraId="67998863">
      <w:pPr>
        <w:pStyle w:val="2"/>
      </w:pPr>
    </w:p>
    <w:p w14:paraId="5CF929A5">
      <w:pPr>
        <w:sectPr>
          <w:footerReference r:id="rId37" w:type="default"/>
          <w:pgSz w:w="11906" w:h="16839"/>
          <w:pgMar w:top="400" w:right="1509" w:bottom="1329" w:left="1509" w:header="0" w:footer="1113" w:gutter="0"/>
          <w:cols w:space="720" w:num="1"/>
        </w:sectPr>
      </w:pPr>
    </w:p>
    <w:p w14:paraId="440CDAF2">
      <w:pPr>
        <w:spacing w:before="19"/>
      </w:pPr>
    </w:p>
    <w:p w14:paraId="7F49A177">
      <w:pPr>
        <w:spacing w:before="19"/>
      </w:pPr>
    </w:p>
    <w:p w14:paraId="720F450E">
      <w:pPr>
        <w:spacing w:before="19"/>
      </w:pPr>
    </w:p>
    <w:p w14:paraId="0A26B798">
      <w:pPr>
        <w:spacing w:before="18"/>
      </w:pPr>
    </w:p>
    <w:p w14:paraId="43E41391">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690"/>
        <w:gridCol w:w="852"/>
        <w:gridCol w:w="2773"/>
        <w:gridCol w:w="199"/>
        <w:gridCol w:w="2231"/>
        <w:gridCol w:w="108"/>
        <w:gridCol w:w="622"/>
        <w:gridCol w:w="123"/>
      </w:tblGrid>
      <w:tr w14:paraId="44959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161" w:type="dxa"/>
            <w:vMerge w:val="restart"/>
            <w:tcBorders>
              <w:top w:val="single" w:color="000000" w:sz="6" w:space="0"/>
              <w:left w:val="single" w:color="000000" w:sz="6" w:space="0"/>
              <w:bottom w:val="nil"/>
            </w:tcBorders>
            <w:vAlign w:val="top"/>
          </w:tcPr>
          <w:p w14:paraId="1A53ECD1">
            <w:pPr>
              <w:rPr>
                <w:rFonts w:ascii="Arial"/>
                <w:sz w:val="21"/>
              </w:rPr>
            </w:pPr>
          </w:p>
        </w:tc>
        <w:tc>
          <w:tcPr>
            <w:tcW w:w="113" w:type="dxa"/>
            <w:tcBorders>
              <w:top w:val="single" w:color="000000" w:sz="6" w:space="0"/>
              <w:bottom w:val="nil"/>
            </w:tcBorders>
            <w:vAlign w:val="top"/>
          </w:tcPr>
          <w:p w14:paraId="624BF3D1">
            <w:pPr>
              <w:rPr>
                <w:rFonts w:ascii="Arial"/>
                <w:sz w:val="21"/>
              </w:rPr>
            </w:pPr>
          </w:p>
        </w:tc>
        <w:tc>
          <w:tcPr>
            <w:tcW w:w="4514" w:type="dxa"/>
            <w:gridSpan w:val="4"/>
            <w:tcBorders>
              <w:top w:val="single" w:color="000000" w:sz="6" w:space="0"/>
            </w:tcBorders>
            <w:vAlign w:val="top"/>
          </w:tcPr>
          <w:p w14:paraId="08E175B8">
            <w:pPr>
              <w:spacing w:before="37" w:line="228" w:lineRule="auto"/>
              <w:ind w:right="5"/>
              <w:jc w:val="right"/>
              <w:rPr>
                <w:rFonts w:ascii="宋体" w:hAnsi="宋体" w:eastAsia="宋体" w:cs="宋体"/>
                <w:sz w:val="20"/>
                <w:szCs w:val="20"/>
              </w:rPr>
            </w:pPr>
            <w:r>
              <w:rPr>
                <w:rFonts w:ascii="宋体" w:hAnsi="宋体" w:eastAsia="宋体" w:cs="宋体"/>
                <w:spacing w:val="-1"/>
                <w:sz w:val="20"/>
                <w:szCs w:val="20"/>
              </w:rPr>
              <w:t>业的项目。禁止新建、扩建不符合要求的高耗能、</w:t>
            </w:r>
          </w:p>
          <w:p w14:paraId="0894B507">
            <w:pPr>
              <w:spacing w:before="160" w:line="228" w:lineRule="auto"/>
              <w:ind w:left="117"/>
              <w:rPr>
                <w:rFonts w:ascii="Times New Roman" w:hAnsi="Times New Roman" w:eastAsia="Times New Roman" w:cs="Times New Roman"/>
                <w:sz w:val="20"/>
                <w:szCs w:val="20"/>
              </w:rPr>
            </w:pPr>
            <w:r>
              <w:rPr>
                <w:rFonts w:ascii="宋体" w:hAnsi="宋体" w:eastAsia="宋体" w:cs="宋体"/>
                <w:spacing w:val="6"/>
                <w:sz w:val="20"/>
                <w:szCs w:val="20"/>
              </w:rPr>
              <w:t>高排放项目，推动退出重点高耗能行业</w:t>
            </w:r>
            <w:r>
              <w:rPr>
                <w:rFonts w:ascii="Times New Roman" w:hAnsi="Times New Roman" w:eastAsia="Times New Roman" w:cs="Times New Roman"/>
                <w:spacing w:val="6"/>
                <w:sz w:val="20"/>
                <w:szCs w:val="20"/>
              </w:rPr>
              <w:t>“</w:t>
            </w:r>
            <w:r>
              <w:rPr>
                <w:rFonts w:ascii="Times New Roman" w:hAnsi="Times New Roman" w:eastAsia="Times New Roman" w:cs="Times New Roman"/>
                <w:spacing w:val="-26"/>
                <w:sz w:val="20"/>
                <w:szCs w:val="20"/>
              </w:rPr>
              <w:t xml:space="preserve"> </w:t>
            </w:r>
            <w:r>
              <w:rPr>
                <w:rFonts w:ascii="宋体" w:hAnsi="宋体" w:eastAsia="宋体" w:cs="宋体"/>
                <w:spacing w:val="6"/>
                <w:sz w:val="20"/>
                <w:szCs w:val="20"/>
              </w:rPr>
              <w:t>限制类</w:t>
            </w:r>
            <w:r>
              <w:rPr>
                <w:rFonts w:ascii="Times New Roman" w:hAnsi="Times New Roman" w:eastAsia="Times New Roman" w:cs="Times New Roman"/>
                <w:spacing w:val="6"/>
                <w:sz w:val="20"/>
                <w:szCs w:val="20"/>
              </w:rPr>
              <w:t>”</w:t>
            </w:r>
          </w:p>
          <w:p w14:paraId="046A374A">
            <w:pPr>
              <w:spacing w:before="161" w:line="228" w:lineRule="auto"/>
              <w:ind w:left="111"/>
              <w:rPr>
                <w:rFonts w:ascii="宋体" w:hAnsi="宋体" w:eastAsia="宋体" w:cs="宋体"/>
                <w:sz w:val="20"/>
                <w:szCs w:val="20"/>
              </w:rPr>
            </w:pPr>
            <w:r>
              <w:rPr>
                <w:rFonts w:ascii="宋体" w:hAnsi="宋体" w:eastAsia="宋体" w:cs="宋体"/>
                <w:spacing w:val="4"/>
                <w:sz w:val="20"/>
                <w:szCs w:val="20"/>
              </w:rPr>
              <w:t>产能。禁止建设高毒高残留以及对环境影响大的</w:t>
            </w:r>
          </w:p>
          <w:p w14:paraId="191FC377">
            <w:pPr>
              <w:spacing w:before="160" w:line="228" w:lineRule="auto"/>
              <w:ind w:left="111"/>
              <w:rPr>
                <w:rFonts w:ascii="宋体" w:hAnsi="宋体" w:eastAsia="宋体" w:cs="宋体"/>
                <w:sz w:val="20"/>
                <w:szCs w:val="20"/>
              </w:rPr>
            </w:pPr>
            <w:r>
              <w:rPr>
                <w:rFonts w:ascii="宋体" w:hAnsi="宋体" w:eastAsia="宋体" w:cs="宋体"/>
                <w:spacing w:val="4"/>
                <w:sz w:val="20"/>
                <w:szCs w:val="20"/>
              </w:rPr>
              <w:t>农药原药生产装置，严控尿素、磷铵、电石、焦</w:t>
            </w:r>
          </w:p>
          <w:p w14:paraId="33DCC83C">
            <w:pPr>
              <w:spacing w:before="161" w:line="227" w:lineRule="auto"/>
              <w:ind w:left="114"/>
              <w:rPr>
                <w:rFonts w:ascii="宋体" w:hAnsi="宋体" w:eastAsia="宋体" w:cs="宋体"/>
                <w:sz w:val="20"/>
                <w:szCs w:val="20"/>
              </w:rPr>
            </w:pPr>
            <w:r>
              <w:rPr>
                <w:rFonts w:ascii="宋体" w:hAnsi="宋体" w:eastAsia="宋体" w:cs="宋体"/>
                <w:spacing w:val="4"/>
                <w:sz w:val="20"/>
                <w:szCs w:val="20"/>
              </w:rPr>
              <w:t>炭、黄磷、烧碱、纯碱、聚氯乙烯等行业新增产</w:t>
            </w:r>
          </w:p>
          <w:p w14:paraId="5DA831CE">
            <w:pPr>
              <w:spacing w:before="162" w:line="229" w:lineRule="auto"/>
              <w:ind w:left="2061"/>
              <w:rPr>
                <w:rFonts w:ascii="宋体" w:hAnsi="宋体" w:eastAsia="宋体" w:cs="宋体"/>
                <w:sz w:val="20"/>
                <w:szCs w:val="20"/>
              </w:rPr>
            </w:pPr>
            <w:r>
              <w:rPr>
                <w:rFonts w:ascii="宋体" w:hAnsi="宋体" w:eastAsia="宋体" w:cs="宋体"/>
                <w:spacing w:val="-4"/>
                <w:sz w:val="20"/>
                <w:szCs w:val="20"/>
              </w:rPr>
              <w:t>能。</w:t>
            </w:r>
          </w:p>
        </w:tc>
        <w:tc>
          <w:tcPr>
            <w:tcW w:w="2339" w:type="dxa"/>
            <w:gridSpan w:val="2"/>
            <w:tcBorders>
              <w:top w:val="single" w:color="000000" w:sz="6" w:space="0"/>
            </w:tcBorders>
            <w:vAlign w:val="top"/>
          </w:tcPr>
          <w:p w14:paraId="05273CC0">
            <w:pPr>
              <w:spacing w:before="37" w:line="228" w:lineRule="auto"/>
              <w:ind w:left="134"/>
              <w:rPr>
                <w:rFonts w:ascii="宋体" w:hAnsi="宋体" w:eastAsia="宋体" w:cs="宋体"/>
                <w:sz w:val="20"/>
                <w:szCs w:val="20"/>
              </w:rPr>
            </w:pPr>
            <w:r>
              <w:rPr>
                <w:rFonts w:ascii="宋体" w:hAnsi="宋体" w:eastAsia="宋体" w:cs="宋体"/>
                <w:spacing w:val="8"/>
                <w:sz w:val="20"/>
                <w:szCs w:val="20"/>
              </w:rPr>
              <w:t>设高毒高残留以及对环</w:t>
            </w:r>
          </w:p>
          <w:p w14:paraId="63644D2E">
            <w:pPr>
              <w:spacing w:before="161" w:line="228" w:lineRule="auto"/>
              <w:ind w:left="131"/>
              <w:rPr>
                <w:rFonts w:ascii="宋体" w:hAnsi="宋体" w:eastAsia="宋体" w:cs="宋体"/>
                <w:sz w:val="20"/>
                <w:szCs w:val="20"/>
              </w:rPr>
            </w:pPr>
            <w:r>
              <w:rPr>
                <w:rFonts w:ascii="宋体" w:hAnsi="宋体" w:eastAsia="宋体" w:cs="宋体"/>
                <w:spacing w:val="8"/>
                <w:sz w:val="20"/>
                <w:szCs w:val="20"/>
              </w:rPr>
              <w:t>境影响大的农药原药生</w:t>
            </w:r>
          </w:p>
          <w:p w14:paraId="79C1C83E">
            <w:pPr>
              <w:spacing w:before="160" w:line="228" w:lineRule="auto"/>
              <w:ind w:left="131"/>
              <w:rPr>
                <w:rFonts w:ascii="宋体" w:hAnsi="宋体" w:eastAsia="宋体" w:cs="宋体"/>
                <w:sz w:val="20"/>
                <w:szCs w:val="20"/>
              </w:rPr>
            </w:pPr>
            <w:r>
              <w:rPr>
                <w:rFonts w:ascii="宋体" w:hAnsi="宋体" w:eastAsia="宋体" w:cs="宋体"/>
                <w:spacing w:val="8"/>
                <w:sz w:val="20"/>
                <w:szCs w:val="20"/>
              </w:rPr>
              <w:t>产装置，不属于尿素、</w:t>
            </w:r>
          </w:p>
          <w:p w14:paraId="3AC78DCE">
            <w:pPr>
              <w:spacing w:before="160" w:line="228" w:lineRule="auto"/>
              <w:ind w:left="131"/>
              <w:rPr>
                <w:rFonts w:ascii="宋体" w:hAnsi="宋体" w:eastAsia="宋体" w:cs="宋体"/>
                <w:sz w:val="20"/>
                <w:szCs w:val="20"/>
              </w:rPr>
            </w:pPr>
            <w:r>
              <w:rPr>
                <w:rFonts w:ascii="宋体" w:hAnsi="宋体" w:eastAsia="宋体" w:cs="宋体"/>
                <w:spacing w:val="8"/>
                <w:sz w:val="20"/>
                <w:szCs w:val="20"/>
              </w:rPr>
              <w:t>磷铵、电石、焦炭、黄</w:t>
            </w:r>
          </w:p>
          <w:p w14:paraId="60BCAA8F">
            <w:pPr>
              <w:spacing w:before="161" w:line="227" w:lineRule="auto"/>
              <w:ind w:left="131"/>
              <w:rPr>
                <w:rFonts w:ascii="宋体" w:hAnsi="宋体" w:eastAsia="宋体" w:cs="宋体"/>
                <w:sz w:val="20"/>
                <w:szCs w:val="20"/>
              </w:rPr>
            </w:pPr>
            <w:r>
              <w:rPr>
                <w:rFonts w:ascii="宋体" w:hAnsi="宋体" w:eastAsia="宋体" w:cs="宋体"/>
                <w:spacing w:val="8"/>
                <w:sz w:val="20"/>
                <w:szCs w:val="20"/>
              </w:rPr>
              <w:t>磷、烧碱、纯碱、聚氯</w:t>
            </w:r>
          </w:p>
          <w:p w14:paraId="6B93F425">
            <w:pPr>
              <w:spacing w:before="162" w:line="228" w:lineRule="auto"/>
              <w:ind w:left="571"/>
              <w:rPr>
                <w:rFonts w:ascii="宋体" w:hAnsi="宋体" w:eastAsia="宋体" w:cs="宋体"/>
                <w:sz w:val="20"/>
                <w:szCs w:val="20"/>
              </w:rPr>
            </w:pPr>
            <w:r>
              <w:rPr>
                <w:rFonts w:ascii="宋体" w:hAnsi="宋体" w:eastAsia="宋体" w:cs="宋体"/>
                <w:spacing w:val="3"/>
                <w:sz w:val="20"/>
                <w:szCs w:val="20"/>
              </w:rPr>
              <w:t>乙烯等行业。</w:t>
            </w:r>
          </w:p>
        </w:tc>
        <w:tc>
          <w:tcPr>
            <w:tcW w:w="622" w:type="dxa"/>
            <w:tcBorders>
              <w:top w:val="single" w:color="000000" w:sz="6" w:space="0"/>
            </w:tcBorders>
            <w:vAlign w:val="top"/>
          </w:tcPr>
          <w:p w14:paraId="76D171A9">
            <w:pPr>
              <w:rPr>
                <w:rFonts w:ascii="Arial"/>
                <w:sz w:val="21"/>
              </w:rPr>
            </w:pPr>
          </w:p>
        </w:tc>
        <w:tc>
          <w:tcPr>
            <w:tcW w:w="123" w:type="dxa"/>
            <w:tcBorders>
              <w:top w:val="single" w:color="000000" w:sz="6" w:space="0"/>
              <w:bottom w:val="nil"/>
              <w:right w:val="single" w:color="000000" w:sz="6" w:space="0"/>
            </w:tcBorders>
            <w:vAlign w:val="top"/>
          </w:tcPr>
          <w:p w14:paraId="2CA3E88F">
            <w:pPr>
              <w:rPr>
                <w:rFonts w:ascii="Arial"/>
                <w:sz w:val="21"/>
              </w:rPr>
            </w:pPr>
          </w:p>
        </w:tc>
      </w:tr>
      <w:tr w14:paraId="2F0BB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2" w:hRule="atLeast"/>
        </w:trPr>
        <w:tc>
          <w:tcPr>
            <w:tcW w:w="1161" w:type="dxa"/>
            <w:vMerge w:val="continue"/>
            <w:tcBorders>
              <w:top w:val="nil"/>
              <w:left w:val="single" w:color="000000" w:sz="6" w:space="0"/>
              <w:bottom w:val="nil"/>
            </w:tcBorders>
            <w:vAlign w:val="top"/>
          </w:tcPr>
          <w:p w14:paraId="661501C3">
            <w:pPr>
              <w:rPr>
                <w:rFonts w:ascii="Arial"/>
                <w:sz w:val="21"/>
              </w:rPr>
            </w:pPr>
          </w:p>
        </w:tc>
        <w:tc>
          <w:tcPr>
            <w:tcW w:w="7711" w:type="dxa"/>
            <w:gridSpan w:val="9"/>
            <w:tcBorders>
              <w:right w:val="single" w:color="000000" w:sz="6" w:space="0"/>
            </w:tcBorders>
            <w:vAlign w:val="top"/>
          </w:tcPr>
          <w:p w14:paraId="42C7BD6E">
            <w:pPr>
              <w:spacing w:before="39" w:line="359" w:lineRule="auto"/>
              <w:ind w:left="111" w:right="102" w:firstLine="479"/>
              <w:rPr>
                <w:rFonts w:ascii="宋体" w:hAnsi="宋体" w:eastAsia="宋体" w:cs="宋体"/>
                <w:sz w:val="24"/>
                <w:szCs w:val="24"/>
              </w:rPr>
            </w:pPr>
            <w:r>
              <w:rPr>
                <w:rFonts w:ascii="宋体" w:hAnsi="宋体" w:eastAsia="宋体" w:cs="宋体"/>
                <w:spacing w:val="-7"/>
                <w:sz w:val="24"/>
                <w:szCs w:val="24"/>
              </w:rPr>
              <w:t>综上，本项目与《云南省长江经济带发展负面清单指南实施细则（试</w:t>
            </w:r>
            <w:r>
              <w:rPr>
                <w:rFonts w:ascii="宋体" w:hAnsi="宋体" w:eastAsia="宋体" w:cs="宋体"/>
                <w:spacing w:val="-2"/>
                <w:sz w:val="24"/>
                <w:szCs w:val="24"/>
              </w:rPr>
              <w:t>行）》规定的内容相符合。</w:t>
            </w:r>
          </w:p>
          <w:p w14:paraId="4AB14288">
            <w:pPr>
              <w:spacing w:line="185" w:lineRule="auto"/>
              <w:ind w:left="586"/>
              <w:rPr>
                <w:rFonts w:ascii="宋体" w:hAnsi="宋体" w:eastAsia="宋体" w:cs="宋体"/>
                <w:sz w:val="24"/>
                <w:szCs w:val="24"/>
              </w:rPr>
            </w:pPr>
            <w:r>
              <w:rPr>
                <w:rFonts w:ascii="Times New Roman" w:hAnsi="Times New Roman" w:eastAsia="Times New Roman" w:cs="Times New Roman"/>
                <w:b/>
                <w:bCs/>
                <w:spacing w:val="-3"/>
                <w:sz w:val="24"/>
                <w:szCs w:val="24"/>
              </w:rPr>
              <w:t>9</w:t>
            </w:r>
            <w:r>
              <w:rPr>
                <w:rFonts w:ascii="Times New Roman" w:hAnsi="Times New Roman" w:eastAsia="Times New Roman" w:cs="Times New Roman"/>
                <w:b/>
                <w:bCs/>
                <w:spacing w:val="-31"/>
                <w:sz w:val="24"/>
                <w:szCs w:val="24"/>
              </w:rPr>
              <w:t xml:space="preserve"> </w:t>
            </w:r>
            <w:r>
              <w:rPr>
                <w:rFonts w:ascii="宋体" w:hAnsi="宋体" w:eastAsia="宋体" w:cs="宋体"/>
                <w:b/>
                <w:bCs/>
                <w:spacing w:val="-3"/>
                <w:sz w:val="24"/>
                <w:szCs w:val="24"/>
              </w:rPr>
              <w:t>、与《挥发性有机</w:t>
            </w:r>
            <w:r>
              <w:rPr>
                <w:rFonts w:ascii="微软雅黑" w:hAnsi="微软雅黑" w:eastAsia="微软雅黑" w:cs="微软雅黑"/>
                <w:b/>
                <w:bCs/>
                <w:spacing w:val="-3"/>
                <w:sz w:val="24"/>
                <w:szCs w:val="24"/>
              </w:rPr>
              <w:t>物</w:t>
            </w:r>
            <w:r>
              <w:rPr>
                <w:rFonts w:ascii="宋体" w:hAnsi="宋体" w:eastAsia="宋体" w:cs="宋体"/>
                <w:b/>
                <w:bCs/>
                <w:spacing w:val="-3"/>
                <w:sz w:val="24"/>
                <w:szCs w:val="24"/>
              </w:rPr>
              <w:t>污染防治技术政策》符合性分析</w:t>
            </w:r>
          </w:p>
          <w:p w14:paraId="392316C8">
            <w:pPr>
              <w:spacing w:before="146" w:line="186" w:lineRule="auto"/>
              <w:jc w:val="right"/>
              <w:rPr>
                <w:rFonts w:ascii="宋体" w:hAnsi="宋体" w:eastAsia="宋体" w:cs="宋体"/>
                <w:sz w:val="24"/>
                <w:szCs w:val="24"/>
              </w:rPr>
            </w:pPr>
            <w:r>
              <w:rPr>
                <w:rFonts w:ascii="宋体" w:hAnsi="宋体" w:eastAsia="宋体" w:cs="宋体"/>
                <w:spacing w:val="-3"/>
                <w:sz w:val="24"/>
                <w:szCs w:val="24"/>
              </w:rPr>
              <w:t>本项目与《挥发性有机</w:t>
            </w:r>
            <w:r>
              <w:rPr>
                <w:rFonts w:ascii="微软雅黑" w:hAnsi="微软雅黑" w:eastAsia="微软雅黑" w:cs="微软雅黑"/>
                <w:spacing w:val="-3"/>
                <w:sz w:val="24"/>
                <w:szCs w:val="24"/>
              </w:rPr>
              <w:t>物</w:t>
            </w:r>
            <w:r>
              <w:rPr>
                <w:rFonts w:ascii="宋体" w:hAnsi="宋体" w:eastAsia="宋体" w:cs="宋体"/>
                <w:spacing w:val="-3"/>
                <w:sz w:val="24"/>
                <w:szCs w:val="24"/>
              </w:rPr>
              <w:t>污染防治技术政策》符合性分析见表</w:t>
            </w:r>
            <w:r>
              <w:rPr>
                <w:rFonts w:ascii="Times New Roman" w:hAnsi="Times New Roman" w:eastAsia="Times New Roman" w:cs="Times New Roman"/>
                <w:spacing w:val="-3"/>
                <w:sz w:val="24"/>
                <w:szCs w:val="24"/>
              </w:rPr>
              <w:t>1-</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4"/>
                <w:sz w:val="24"/>
                <w:szCs w:val="24"/>
              </w:rPr>
              <w:t>11</w:t>
            </w:r>
            <w:r>
              <w:rPr>
                <w:rFonts w:ascii="宋体" w:hAnsi="宋体" w:eastAsia="宋体" w:cs="宋体"/>
                <w:spacing w:val="-4"/>
                <w:sz w:val="24"/>
                <w:szCs w:val="24"/>
              </w:rPr>
              <w:t>。</w:t>
            </w:r>
          </w:p>
          <w:p w14:paraId="55EA8975">
            <w:pPr>
              <w:spacing w:before="144" w:line="161" w:lineRule="auto"/>
              <w:ind w:left="876"/>
              <w:rPr>
                <w:rFonts w:ascii="宋体" w:hAnsi="宋体" w:eastAsia="宋体" w:cs="宋体"/>
                <w:sz w:val="20"/>
                <w:szCs w:val="20"/>
              </w:rPr>
            </w:pPr>
            <w:r>
              <w:rPr>
                <w:rFonts w:ascii="宋体" w:hAnsi="宋体" w:eastAsia="宋体" w:cs="宋体"/>
                <w:b/>
                <w:bCs/>
                <w:spacing w:val="7"/>
                <w:sz w:val="20"/>
                <w:szCs w:val="20"/>
              </w:rPr>
              <w:t>表</w:t>
            </w:r>
            <w:r>
              <w:rPr>
                <w:rFonts w:ascii="Times New Roman" w:hAnsi="Times New Roman" w:eastAsia="Times New Roman" w:cs="Times New Roman"/>
                <w:b/>
                <w:bCs/>
                <w:spacing w:val="7"/>
                <w:sz w:val="20"/>
                <w:szCs w:val="20"/>
              </w:rPr>
              <w:t xml:space="preserve">1-11    </w:t>
            </w:r>
            <w:r>
              <w:rPr>
                <w:rFonts w:ascii="宋体" w:hAnsi="宋体" w:eastAsia="宋体" w:cs="宋体"/>
                <w:b/>
                <w:bCs/>
                <w:spacing w:val="7"/>
                <w:sz w:val="20"/>
                <w:szCs w:val="20"/>
              </w:rPr>
              <w:t>本项目与《挥发性有机</w:t>
            </w:r>
            <w:r>
              <w:rPr>
                <w:rFonts w:ascii="微软雅黑" w:hAnsi="微软雅黑" w:eastAsia="微软雅黑" w:cs="微软雅黑"/>
                <w:b/>
                <w:bCs/>
                <w:spacing w:val="7"/>
                <w:sz w:val="20"/>
                <w:szCs w:val="20"/>
              </w:rPr>
              <w:t>物</w:t>
            </w:r>
            <w:r>
              <w:rPr>
                <w:rFonts w:ascii="宋体" w:hAnsi="宋体" w:eastAsia="宋体" w:cs="宋体"/>
                <w:b/>
                <w:bCs/>
                <w:spacing w:val="7"/>
                <w:sz w:val="20"/>
                <w:szCs w:val="20"/>
              </w:rPr>
              <w:t>污染防治技术政策》符合</w:t>
            </w:r>
            <w:r>
              <w:rPr>
                <w:rFonts w:ascii="宋体" w:hAnsi="宋体" w:eastAsia="宋体" w:cs="宋体"/>
                <w:b/>
                <w:bCs/>
                <w:spacing w:val="6"/>
                <w:sz w:val="20"/>
                <w:szCs w:val="20"/>
              </w:rPr>
              <w:t>性分析</w:t>
            </w:r>
          </w:p>
        </w:tc>
      </w:tr>
      <w:tr w14:paraId="55D5B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161" w:type="dxa"/>
            <w:vMerge w:val="continue"/>
            <w:tcBorders>
              <w:top w:val="nil"/>
              <w:left w:val="single" w:color="000000" w:sz="6" w:space="0"/>
              <w:bottom w:val="nil"/>
            </w:tcBorders>
            <w:vAlign w:val="top"/>
          </w:tcPr>
          <w:p w14:paraId="6AD5D63D">
            <w:pPr>
              <w:rPr>
                <w:rFonts w:ascii="Arial"/>
                <w:sz w:val="21"/>
              </w:rPr>
            </w:pPr>
          </w:p>
        </w:tc>
        <w:tc>
          <w:tcPr>
            <w:tcW w:w="113" w:type="dxa"/>
            <w:tcBorders>
              <w:top w:val="nil"/>
              <w:bottom w:val="nil"/>
            </w:tcBorders>
            <w:vAlign w:val="top"/>
          </w:tcPr>
          <w:p w14:paraId="5037850C">
            <w:pPr>
              <w:rPr>
                <w:rFonts w:ascii="Arial"/>
                <w:sz w:val="21"/>
              </w:rPr>
            </w:pPr>
          </w:p>
        </w:tc>
        <w:tc>
          <w:tcPr>
            <w:tcW w:w="690" w:type="dxa"/>
            <w:vAlign w:val="top"/>
          </w:tcPr>
          <w:p w14:paraId="1C4CBCDB">
            <w:pPr>
              <w:spacing w:before="239" w:line="229" w:lineRule="auto"/>
              <w:ind w:left="132"/>
              <w:rPr>
                <w:rFonts w:ascii="宋体" w:hAnsi="宋体" w:eastAsia="宋体" w:cs="宋体"/>
                <w:sz w:val="20"/>
                <w:szCs w:val="20"/>
              </w:rPr>
            </w:pPr>
            <w:r>
              <w:rPr>
                <w:rFonts w:ascii="宋体" w:hAnsi="宋体" w:eastAsia="宋体" w:cs="宋体"/>
                <w:b/>
                <w:bCs/>
                <w:spacing w:val="4"/>
                <w:sz w:val="20"/>
                <w:szCs w:val="20"/>
              </w:rPr>
              <w:t>序号</w:t>
            </w:r>
          </w:p>
        </w:tc>
        <w:tc>
          <w:tcPr>
            <w:tcW w:w="3625" w:type="dxa"/>
            <w:gridSpan w:val="2"/>
            <w:vAlign w:val="top"/>
          </w:tcPr>
          <w:p w14:paraId="3D55025C">
            <w:pPr>
              <w:spacing w:before="239" w:line="192" w:lineRule="auto"/>
              <w:ind w:left="134"/>
              <w:rPr>
                <w:rFonts w:ascii="宋体" w:hAnsi="宋体" w:eastAsia="宋体" w:cs="宋体"/>
                <w:sz w:val="20"/>
                <w:szCs w:val="20"/>
              </w:rPr>
            </w:pPr>
            <w:r>
              <w:rPr>
                <w:rFonts w:ascii="宋体" w:hAnsi="宋体" w:eastAsia="宋体" w:cs="宋体"/>
                <w:b/>
                <w:bCs/>
                <w:spacing w:val="7"/>
                <w:sz w:val="20"/>
                <w:szCs w:val="20"/>
              </w:rPr>
              <w:t>《挥发性有机</w:t>
            </w:r>
            <w:r>
              <w:rPr>
                <w:rFonts w:ascii="微软雅黑" w:hAnsi="微软雅黑" w:eastAsia="微软雅黑" w:cs="微软雅黑"/>
                <w:b/>
                <w:bCs/>
                <w:spacing w:val="7"/>
                <w:sz w:val="20"/>
                <w:szCs w:val="20"/>
              </w:rPr>
              <w:t>物</w:t>
            </w:r>
            <w:r>
              <w:rPr>
                <w:rFonts w:ascii="宋体" w:hAnsi="宋体" w:eastAsia="宋体" w:cs="宋体"/>
                <w:b/>
                <w:bCs/>
                <w:spacing w:val="7"/>
                <w:sz w:val="20"/>
                <w:szCs w:val="20"/>
              </w:rPr>
              <w:t>污染防治技术政策》</w:t>
            </w:r>
          </w:p>
        </w:tc>
        <w:tc>
          <w:tcPr>
            <w:tcW w:w="2430" w:type="dxa"/>
            <w:gridSpan w:val="2"/>
            <w:vAlign w:val="top"/>
          </w:tcPr>
          <w:p w14:paraId="2714414E">
            <w:pPr>
              <w:spacing w:before="239" w:line="227" w:lineRule="auto"/>
              <w:ind w:left="698"/>
              <w:rPr>
                <w:rFonts w:ascii="宋体" w:hAnsi="宋体" w:eastAsia="宋体" w:cs="宋体"/>
                <w:sz w:val="20"/>
                <w:szCs w:val="20"/>
              </w:rPr>
            </w:pPr>
            <w:r>
              <w:rPr>
                <w:rFonts w:ascii="宋体" w:hAnsi="宋体" w:eastAsia="宋体" w:cs="宋体"/>
                <w:b/>
                <w:bCs/>
                <w:spacing w:val="6"/>
                <w:sz w:val="20"/>
                <w:szCs w:val="20"/>
              </w:rPr>
              <w:t>本项目情况</w:t>
            </w:r>
          </w:p>
        </w:tc>
        <w:tc>
          <w:tcPr>
            <w:tcW w:w="730" w:type="dxa"/>
            <w:gridSpan w:val="2"/>
            <w:vAlign w:val="top"/>
          </w:tcPr>
          <w:p w14:paraId="140527B4">
            <w:pPr>
              <w:spacing w:before="35" w:line="358" w:lineRule="auto"/>
              <w:ind w:left="273" w:right="147" w:hanging="106"/>
              <w:rPr>
                <w:rFonts w:ascii="宋体" w:hAnsi="宋体" w:eastAsia="宋体" w:cs="宋体"/>
                <w:sz w:val="20"/>
                <w:szCs w:val="20"/>
              </w:rPr>
            </w:pPr>
            <w:r>
              <w:rPr>
                <w:rFonts w:ascii="宋体" w:hAnsi="宋体" w:eastAsia="宋体" w:cs="宋体"/>
                <w:b/>
                <w:bCs/>
                <w:spacing w:val="3"/>
                <w:sz w:val="20"/>
                <w:szCs w:val="20"/>
              </w:rPr>
              <w:t>符合</w:t>
            </w:r>
            <w:r>
              <w:rPr>
                <w:rFonts w:ascii="宋体" w:hAnsi="宋体" w:eastAsia="宋体" w:cs="宋体"/>
                <w:b/>
                <w:bCs/>
                <w:spacing w:val="-3"/>
                <w:sz w:val="20"/>
                <w:szCs w:val="20"/>
              </w:rPr>
              <w:t>性</w:t>
            </w:r>
          </w:p>
        </w:tc>
        <w:tc>
          <w:tcPr>
            <w:tcW w:w="123" w:type="dxa"/>
            <w:tcBorders>
              <w:top w:val="nil"/>
              <w:bottom w:val="nil"/>
              <w:right w:val="single" w:color="000000" w:sz="6" w:space="0"/>
            </w:tcBorders>
            <w:vAlign w:val="top"/>
          </w:tcPr>
          <w:p w14:paraId="1F786D73">
            <w:pPr>
              <w:rPr>
                <w:rFonts w:ascii="Arial"/>
                <w:sz w:val="21"/>
              </w:rPr>
            </w:pPr>
          </w:p>
        </w:tc>
      </w:tr>
      <w:tr w14:paraId="418F7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1161" w:type="dxa"/>
            <w:vMerge w:val="continue"/>
            <w:tcBorders>
              <w:top w:val="nil"/>
              <w:left w:val="single" w:color="000000" w:sz="6" w:space="0"/>
              <w:bottom w:val="nil"/>
            </w:tcBorders>
            <w:vAlign w:val="top"/>
          </w:tcPr>
          <w:p w14:paraId="4C28CC22">
            <w:pPr>
              <w:rPr>
                <w:rFonts w:ascii="Arial"/>
                <w:sz w:val="21"/>
              </w:rPr>
            </w:pPr>
          </w:p>
        </w:tc>
        <w:tc>
          <w:tcPr>
            <w:tcW w:w="113" w:type="dxa"/>
            <w:tcBorders>
              <w:top w:val="nil"/>
              <w:bottom w:val="nil"/>
            </w:tcBorders>
            <w:vAlign w:val="top"/>
          </w:tcPr>
          <w:p w14:paraId="22EE40C4">
            <w:pPr>
              <w:rPr>
                <w:rFonts w:ascii="Arial"/>
                <w:sz w:val="21"/>
              </w:rPr>
            </w:pPr>
          </w:p>
        </w:tc>
        <w:tc>
          <w:tcPr>
            <w:tcW w:w="690" w:type="dxa"/>
            <w:vAlign w:val="top"/>
          </w:tcPr>
          <w:p w14:paraId="70CD05BD">
            <w:pPr>
              <w:spacing w:line="428" w:lineRule="auto"/>
              <w:rPr>
                <w:rFonts w:ascii="Arial"/>
                <w:sz w:val="21"/>
              </w:rPr>
            </w:pPr>
          </w:p>
          <w:p w14:paraId="53C80D9D">
            <w:pPr>
              <w:spacing w:before="57" w:line="195" w:lineRule="auto"/>
              <w:ind w:left="30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852" w:type="dxa"/>
            <w:vMerge w:val="restart"/>
            <w:tcBorders>
              <w:bottom w:val="nil"/>
            </w:tcBorders>
            <w:vAlign w:val="top"/>
          </w:tcPr>
          <w:p w14:paraId="6035B751">
            <w:pPr>
              <w:spacing w:line="248" w:lineRule="auto"/>
              <w:rPr>
                <w:rFonts w:ascii="Arial"/>
                <w:sz w:val="21"/>
              </w:rPr>
            </w:pPr>
          </w:p>
          <w:p w14:paraId="0F09E433">
            <w:pPr>
              <w:spacing w:line="248" w:lineRule="auto"/>
              <w:rPr>
                <w:rFonts w:ascii="Arial"/>
                <w:sz w:val="21"/>
              </w:rPr>
            </w:pPr>
          </w:p>
          <w:p w14:paraId="401C2DCE">
            <w:pPr>
              <w:spacing w:line="248" w:lineRule="auto"/>
              <w:rPr>
                <w:rFonts w:ascii="Arial"/>
                <w:sz w:val="21"/>
              </w:rPr>
            </w:pPr>
          </w:p>
          <w:p w14:paraId="7EEE13B5">
            <w:pPr>
              <w:spacing w:line="248" w:lineRule="auto"/>
              <w:rPr>
                <w:rFonts w:ascii="Arial"/>
                <w:sz w:val="21"/>
              </w:rPr>
            </w:pPr>
          </w:p>
          <w:p w14:paraId="164A5942">
            <w:pPr>
              <w:spacing w:line="248" w:lineRule="auto"/>
              <w:rPr>
                <w:rFonts w:ascii="Arial"/>
                <w:sz w:val="21"/>
              </w:rPr>
            </w:pPr>
          </w:p>
          <w:p w14:paraId="66137546">
            <w:pPr>
              <w:spacing w:line="248" w:lineRule="auto"/>
              <w:rPr>
                <w:rFonts w:ascii="Arial"/>
                <w:sz w:val="21"/>
              </w:rPr>
            </w:pPr>
          </w:p>
          <w:p w14:paraId="143A4084">
            <w:pPr>
              <w:spacing w:line="248" w:lineRule="auto"/>
              <w:rPr>
                <w:rFonts w:ascii="Arial"/>
                <w:sz w:val="21"/>
              </w:rPr>
            </w:pPr>
          </w:p>
          <w:p w14:paraId="6EFEEDD1">
            <w:pPr>
              <w:spacing w:line="248" w:lineRule="auto"/>
              <w:rPr>
                <w:rFonts w:ascii="Arial"/>
                <w:sz w:val="21"/>
              </w:rPr>
            </w:pPr>
          </w:p>
          <w:p w14:paraId="7406397C">
            <w:pPr>
              <w:spacing w:line="248" w:lineRule="auto"/>
              <w:rPr>
                <w:rFonts w:ascii="Arial"/>
                <w:sz w:val="21"/>
              </w:rPr>
            </w:pPr>
          </w:p>
          <w:p w14:paraId="02FCA9EE">
            <w:pPr>
              <w:spacing w:line="249" w:lineRule="auto"/>
              <w:rPr>
                <w:rFonts w:ascii="Arial"/>
                <w:sz w:val="21"/>
              </w:rPr>
            </w:pPr>
          </w:p>
          <w:p w14:paraId="540DB7BB">
            <w:pPr>
              <w:spacing w:line="249" w:lineRule="auto"/>
              <w:rPr>
                <w:rFonts w:ascii="Arial"/>
                <w:sz w:val="21"/>
              </w:rPr>
            </w:pPr>
          </w:p>
          <w:p w14:paraId="520824ED">
            <w:pPr>
              <w:spacing w:line="249" w:lineRule="auto"/>
              <w:rPr>
                <w:rFonts w:ascii="Arial"/>
                <w:sz w:val="21"/>
              </w:rPr>
            </w:pPr>
          </w:p>
          <w:p w14:paraId="595CD320">
            <w:pPr>
              <w:spacing w:line="249" w:lineRule="auto"/>
              <w:rPr>
                <w:rFonts w:ascii="Arial"/>
                <w:sz w:val="21"/>
              </w:rPr>
            </w:pPr>
          </w:p>
          <w:p w14:paraId="458B9CB8">
            <w:pPr>
              <w:spacing w:before="65" w:line="228" w:lineRule="auto"/>
              <w:ind w:left="111"/>
              <w:rPr>
                <w:rFonts w:ascii="宋体" w:hAnsi="宋体" w:eastAsia="宋体" w:cs="宋体"/>
                <w:sz w:val="20"/>
                <w:szCs w:val="20"/>
              </w:rPr>
            </w:pPr>
            <w:r>
              <w:rPr>
                <w:rFonts w:ascii="宋体" w:hAnsi="宋体" w:eastAsia="宋体" w:cs="宋体"/>
                <w:spacing w:val="7"/>
                <w:sz w:val="20"/>
                <w:szCs w:val="20"/>
              </w:rPr>
              <w:t>源头和</w:t>
            </w:r>
          </w:p>
          <w:p w14:paraId="2C15571A">
            <w:pPr>
              <w:spacing w:before="161" w:line="228" w:lineRule="auto"/>
              <w:ind w:left="113"/>
              <w:rPr>
                <w:rFonts w:ascii="宋体" w:hAnsi="宋体" w:eastAsia="宋体" w:cs="宋体"/>
                <w:sz w:val="20"/>
                <w:szCs w:val="20"/>
              </w:rPr>
            </w:pPr>
            <w:r>
              <w:rPr>
                <w:rFonts w:ascii="宋体" w:hAnsi="宋体" w:eastAsia="宋体" w:cs="宋体"/>
                <w:spacing w:val="6"/>
                <w:sz w:val="20"/>
                <w:szCs w:val="20"/>
              </w:rPr>
              <w:t>过程控</w:t>
            </w:r>
          </w:p>
          <w:p w14:paraId="3E28393E">
            <w:pPr>
              <w:spacing w:before="163" w:line="228" w:lineRule="auto"/>
              <w:ind w:left="322"/>
              <w:rPr>
                <w:rFonts w:ascii="宋体" w:hAnsi="宋体" w:eastAsia="宋体" w:cs="宋体"/>
                <w:sz w:val="20"/>
                <w:szCs w:val="20"/>
              </w:rPr>
            </w:pPr>
            <w:r>
              <w:rPr>
                <w:rFonts w:ascii="宋体" w:hAnsi="宋体" w:eastAsia="宋体" w:cs="宋体"/>
                <w:sz w:val="20"/>
                <w:szCs w:val="20"/>
              </w:rPr>
              <w:t>制</w:t>
            </w:r>
          </w:p>
        </w:tc>
        <w:tc>
          <w:tcPr>
            <w:tcW w:w="2773" w:type="dxa"/>
            <w:vAlign w:val="top"/>
          </w:tcPr>
          <w:p w14:paraId="1F6613CD">
            <w:pPr>
              <w:spacing w:before="37" w:line="364" w:lineRule="auto"/>
              <w:ind w:left="109" w:right="104" w:firstLine="2"/>
              <w:rPr>
                <w:rFonts w:ascii="宋体" w:hAnsi="宋体" w:eastAsia="宋体" w:cs="宋体"/>
                <w:sz w:val="20"/>
                <w:szCs w:val="20"/>
              </w:rPr>
            </w:pPr>
            <w:r>
              <w:rPr>
                <w:rFonts w:ascii="宋体" w:hAnsi="宋体" w:eastAsia="宋体" w:cs="宋体"/>
                <w:spacing w:val="12"/>
                <w:sz w:val="20"/>
                <w:szCs w:val="20"/>
              </w:rPr>
              <w:t>鼓励使用通过环境标志产品认证的环保型涂料、油墨、</w:t>
            </w:r>
            <w:r>
              <w:rPr>
                <w:rFonts w:ascii="宋体" w:hAnsi="宋体" w:eastAsia="宋体" w:cs="宋体"/>
                <w:spacing w:val="7"/>
                <w:sz w:val="20"/>
                <w:szCs w:val="20"/>
              </w:rPr>
              <w:t>胶粘剂和清洗剂。</w:t>
            </w:r>
          </w:p>
        </w:tc>
        <w:tc>
          <w:tcPr>
            <w:tcW w:w="2430" w:type="dxa"/>
            <w:gridSpan w:val="2"/>
            <w:vAlign w:val="top"/>
          </w:tcPr>
          <w:p w14:paraId="64975ACE">
            <w:pPr>
              <w:spacing w:before="36" w:line="378" w:lineRule="auto"/>
              <w:ind w:left="121" w:right="218" w:hanging="4"/>
              <w:rPr>
                <w:rFonts w:ascii="宋体" w:hAnsi="宋体" w:eastAsia="宋体" w:cs="宋体"/>
                <w:sz w:val="20"/>
                <w:szCs w:val="20"/>
              </w:rPr>
            </w:pPr>
            <w:r>
              <w:rPr>
                <w:rFonts w:ascii="宋体" w:hAnsi="宋体" w:eastAsia="宋体" w:cs="宋体"/>
                <w:spacing w:val="8"/>
                <w:sz w:val="20"/>
                <w:szCs w:val="20"/>
              </w:rPr>
              <w:t>本改扩建项目不使用油墨、胶粘剂和清洗剂</w:t>
            </w:r>
          </w:p>
        </w:tc>
        <w:tc>
          <w:tcPr>
            <w:tcW w:w="730" w:type="dxa"/>
            <w:gridSpan w:val="2"/>
            <w:vAlign w:val="top"/>
          </w:tcPr>
          <w:p w14:paraId="207E16E2">
            <w:pPr>
              <w:spacing w:line="377" w:lineRule="auto"/>
              <w:rPr>
                <w:rFonts w:ascii="Arial"/>
                <w:sz w:val="21"/>
              </w:rPr>
            </w:pPr>
          </w:p>
          <w:p w14:paraId="17BDAB8D">
            <w:pPr>
              <w:spacing w:before="65" w:line="228" w:lineRule="auto"/>
              <w:ind w:left="169"/>
              <w:rPr>
                <w:rFonts w:ascii="宋体" w:hAnsi="宋体" w:eastAsia="宋体" w:cs="宋体"/>
                <w:sz w:val="20"/>
                <w:szCs w:val="20"/>
              </w:rPr>
            </w:pPr>
            <w:r>
              <w:rPr>
                <w:rFonts w:ascii="宋体" w:hAnsi="宋体" w:eastAsia="宋体" w:cs="宋体"/>
                <w:spacing w:val="3"/>
                <w:sz w:val="20"/>
                <w:szCs w:val="20"/>
              </w:rPr>
              <w:t>符合</w:t>
            </w:r>
          </w:p>
        </w:tc>
        <w:tc>
          <w:tcPr>
            <w:tcW w:w="123" w:type="dxa"/>
            <w:tcBorders>
              <w:top w:val="nil"/>
              <w:bottom w:val="nil"/>
              <w:right w:val="single" w:color="000000" w:sz="6" w:space="0"/>
            </w:tcBorders>
            <w:vAlign w:val="top"/>
          </w:tcPr>
          <w:p w14:paraId="5204032C">
            <w:pPr>
              <w:rPr>
                <w:rFonts w:ascii="Arial"/>
                <w:sz w:val="21"/>
              </w:rPr>
            </w:pPr>
          </w:p>
        </w:tc>
      </w:tr>
      <w:tr w14:paraId="01109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7" w:hRule="atLeast"/>
        </w:trPr>
        <w:tc>
          <w:tcPr>
            <w:tcW w:w="1161" w:type="dxa"/>
            <w:vMerge w:val="continue"/>
            <w:tcBorders>
              <w:top w:val="nil"/>
              <w:left w:val="single" w:color="000000" w:sz="6" w:space="0"/>
              <w:bottom w:val="nil"/>
            </w:tcBorders>
            <w:vAlign w:val="top"/>
          </w:tcPr>
          <w:p w14:paraId="4316E186">
            <w:pPr>
              <w:rPr>
                <w:rFonts w:ascii="Arial"/>
                <w:sz w:val="21"/>
              </w:rPr>
            </w:pPr>
          </w:p>
        </w:tc>
        <w:tc>
          <w:tcPr>
            <w:tcW w:w="113" w:type="dxa"/>
            <w:tcBorders>
              <w:top w:val="nil"/>
              <w:bottom w:val="nil"/>
            </w:tcBorders>
            <w:vAlign w:val="top"/>
          </w:tcPr>
          <w:p w14:paraId="709F1FD3">
            <w:pPr>
              <w:rPr>
                <w:rFonts w:ascii="Arial"/>
                <w:sz w:val="21"/>
              </w:rPr>
            </w:pPr>
          </w:p>
        </w:tc>
        <w:tc>
          <w:tcPr>
            <w:tcW w:w="690" w:type="dxa"/>
            <w:vAlign w:val="top"/>
          </w:tcPr>
          <w:p w14:paraId="2132FF57">
            <w:pPr>
              <w:spacing w:line="274" w:lineRule="auto"/>
              <w:rPr>
                <w:rFonts w:ascii="Arial"/>
                <w:sz w:val="21"/>
              </w:rPr>
            </w:pPr>
          </w:p>
          <w:p w14:paraId="134810FF">
            <w:pPr>
              <w:spacing w:line="274" w:lineRule="auto"/>
              <w:rPr>
                <w:rFonts w:ascii="Arial"/>
                <w:sz w:val="21"/>
              </w:rPr>
            </w:pPr>
          </w:p>
          <w:p w14:paraId="1C3B0962">
            <w:pPr>
              <w:spacing w:line="275" w:lineRule="auto"/>
              <w:rPr>
                <w:rFonts w:ascii="Arial"/>
                <w:sz w:val="21"/>
              </w:rPr>
            </w:pPr>
          </w:p>
          <w:p w14:paraId="15B23179">
            <w:pPr>
              <w:spacing w:line="275" w:lineRule="auto"/>
              <w:rPr>
                <w:rFonts w:ascii="Arial"/>
                <w:sz w:val="21"/>
              </w:rPr>
            </w:pPr>
          </w:p>
          <w:p w14:paraId="05EB0172">
            <w:pPr>
              <w:spacing w:line="275" w:lineRule="auto"/>
              <w:rPr>
                <w:rFonts w:ascii="Arial"/>
                <w:sz w:val="21"/>
              </w:rPr>
            </w:pPr>
          </w:p>
          <w:p w14:paraId="5ECBB7BF">
            <w:pPr>
              <w:spacing w:line="275" w:lineRule="auto"/>
              <w:rPr>
                <w:rFonts w:ascii="Arial"/>
                <w:sz w:val="21"/>
              </w:rPr>
            </w:pPr>
          </w:p>
          <w:p w14:paraId="56E9D2E5">
            <w:pPr>
              <w:spacing w:before="57" w:line="195" w:lineRule="auto"/>
              <w:ind w:left="28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852" w:type="dxa"/>
            <w:vMerge w:val="continue"/>
            <w:tcBorders>
              <w:top w:val="nil"/>
              <w:bottom w:val="nil"/>
            </w:tcBorders>
            <w:vAlign w:val="top"/>
          </w:tcPr>
          <w:p w14:paraId="5954DE5E">
            <w:pPr>
              <w:rPr>
                <w:rFonts w:ascii="Arial"/>
                <w:sz w:val="21"/>
              </w:rPr>
            </w:pPr>
          </w:p>
        </w:tc>
        <w:tc>
          <w:tcPr>
            <w:tcW w:w="2773" w:type="dxa"/>
            <w:vAlign w:val="top"/>
          </w:tcPr>
          <w:p w14:paraId="58777A5F">
            <w:pPr>
              <w:spacing w:before="42" w:line="359" w:lineRule="auto"/>
              <w:ind w:left="109" w:right="17"/>
              <w:rPr>
                <w:rFonts w:ascii="宋体" w:hAnsi="宋体" w:eastAsia="宋体" w:cs="宋体"/>
                <w:sz w:val="20"/>
                <w:szCs w:val="20"/>
              </w:rPr>
            </w:pPr>
            <w:r>
              <w:rPr>
                <w:rFonts w:ascii="宋体" w:hAnsi="宋体" w:eastAsia="宋体" w:cs="宋体"/>
                <w:spacing w:val="12"/>
                <w:sz w:val="20"/>
                <w:szCs w:val="20"/>
              </w:rPr>
              <w:t>根据涂装工艺的不同，鼓励</w:t>
            </w:r>
            <w:r>
              <w:rPr>
                <w:rFonts w:ascii="宋体" w:hAnsi="宋体" w:eastAsia="宋体" w:cs="宋体"/>
                <w:spacing w:val="3"/>
                <w:sz w:val="20"/>
                <w:szCs w:val="20"/>
              </w:rPr>
              <w:t>使用水性涂料、高固份涂料、</w:t>
            </w:r>
            <w:r>
              <w:rPr>
                <w:rFonts w:ascii="宋体" w:hAnsi="宋体" w:eastAsia="宋体" w:cs="宋体"/>
                <w:spacing w:val="-4"/>
                <w:sz w:val="20"/>
                <w:szCs w:val="20"/>
              </w:rPr>
              <w:t>粉末涂料、紫外光固化（</w:t>
            </w:r>
            <w:r>
              <w:rPr>
                <w:rFonts w:ascii="Times New Roman" w:hAnsi="Times New Roman" w:eastAsia="Times New Roman" w:cs="Times New Roman"/>
                <w:spacing w:val="-4"/>
                <w:sz w:val="20"/>
                <w:szCs w:val="20"/>
              </w:rPr>
              <w:t>UV</w:t>
            </w:r>
            <w:r>
              <w:rPr>
                <w:rFonts w:ascii="宋体" w:hAnsi="宋体" w:eastAsia="宋体" w:cs="宋体"/>
                <w:spacing w:val="-4"/>
                <w:sz w:val="20"/>
                <w:szCs w:val="20"/>
              </w:rPr>
              <w:t>）</w:t>
            </w:r>
            <w:r>
              <w:rPr>
                <w:rFonts w:ascii="宋体" w:hAnsi="宋体" w:eastAsia="宋体" w:cs="宋体"/>
                <w:spacing w:val="12"/>
                <w:sz w:val="20"/>
                <w:szCs w:val="20"/>
              </w:rPr>
              <w:t>涂料等环保型涂料；推广采</w:t>
            </w:r>
            <w:r>
              <w:rPr>
                <w:rFonts w:ascii="宋体" w:hAnsi="宋体" w:eastAsia="宋体" w:cs="宋体"/>
                <w:spacing w:val="13"/>
                <w:sz w:val="20"/>
                <w:szCs w:val="20"/>
              </w:rPr>
              <w:t>用静电喷涂、淋涂、辊涂、</w:t>
            </w:r>
            <w:r>
              <w:rPr>
                <w:rFonts w:ascii="宋体" w:hAnsi="宋体" w:eastAsia="宋体" w:cs="宋体"/>
                <w:spacing w:val="32"/>
                <w:sz w:val="20"/>
                <w:szCs w:val="20"/>
              </w:rPr>
              <w:t>浸涂等效率较高的涂装工</w:t>
            </w:r>
            <w:r>
              <w:rPr>
                <w:rFonts w:ascii="宋体" w:hAnsi="宋体" w:eastAsia="宋体" w:cs="宋体"/>
                <w:spacing w:val="23"/>
                <w:sz w:val="20"/>
                <w:szCs w:val="20"/>
              </w:rPr>
              <w:t>艺</w:t>
            </w:r>
            <w:r>
              <w:rPr>
                <w:rFonts w:ascii="宋体" w:hAnsi="宋体" w:eastAsia="宋体" w:cs="宋体"/>
                <w:spacing w:val="-55"/>
                <w:sz w:val="20"/>
                <w:szCs w:val="20"/>
              </w:rPr>
              <w:t xml:space="preserve"> </w:t>
            </w:r>
            <w:r>
              <w:rPr>
                <w:rFonts w:ascii="宋体" w:hAnsi="宋体" w:eastAsia="宋体" w:cs="宋体"/>
                <w:spacing w:val="23"/>
                <w:sz w:val="20"/>
                <w:szCs w:val="20"/>
              </w:rPr>
              <w:t>；应尽</w:t>
            </w:r>
            <w:r>
              <w:rPr>
                <w:rFonts w:ascii="微软雅黑" w:hAnsi="微软雅黑" w:eastAsia="微软雅黑" w:cs="微软雅黑"/>
                <w:spacing w:val="23"/>
                <w:sz w:val="20"/>
                <w:szCs w:val="20"/>
              </w:rPr>
              <w:t>量</w:t>
            </w:r>
            <w:r>
              <w:rPr>
                <w:rFonts w:ascii="宋体" w:hAnsi="宋体" w:eastAsia="宋体" w:cs="宋体"/>
                <w:spacing w:val="23"/>
                <w:sz w:val="20"/>
                <w:szCs w:val="20"/>
              </w:rPr>
              <w:t>避免无</w:t>
            </w:r>
            <w:r>
              <w:rPr>
                <w:rFonts w:ascii="Times New Roman" w:hAnsi="Times New Roman" w:eastAsia="Times New Roman" w:cs="Times New Roman"/>
                <w:sz w:val="20"/>
                <w:szCs w:val="20"/>
              </w:rPr>
              <w:t>VOCs</w:t>
            </w:r>
            <w:r>
              <w:rPr>
                <w:rFonts w:ascii="宋体" w:hAnsi="宋体" w:eastAsia="宋体" w:cs="宋体"/>
                <w:spacing w:val="23"/>
                <w:sz w:val="20"/>
                <w:szCs w:val="20"/>
              </w:rPr>
              <w:t>净</w:t>
            </w:r>
            <w:r>
              <w:rPr>
                <w:rFonts w:ascii="宋体" w:hAnsi="宋体" w:eastAsia="宋体" w:cs="宋体"/>
                <w:spacing w:val="12"/>
                <w:sz w:val="20"/>
                <w:szCs w:val="20"/>
              </w:rPr>
              <w:t>化、回收措施的露天喷涂作</w:t>
            </w:r>
            <w:r>
              <w:rPr>
                <w:rFonts w:ascii="宋体" w:hAnsi="宋体" w:eastAsia="宋体" w:cs="宋体"/>
                <w:sz w:val="20"/>
                <w:szCs w:val="20"/>
              </w:rPr>
              <w:t>业。</w:t>
            </w:r>
          </w:p>
        </w:tc>
        <w:tc>
          <w:tcPr>
            <w:tcW w:w="2430" w:type="dxa"/>
            <w:gridSpan w:val="2"/>
            <w:vAlign w:val="top"/>
          </w:tcPr>
          <w:p w14:paraId="5DEB99F3">
            <w:pPr>
              <w:spacing w:before="38" w:line="227" w:lineRule="auto"/>
              <w:ind w:right="18"/>
              <w:jc w:val="right"/>
              <w:rPr>
                <w:rFonts w:ascii="宋体" w:hAnsi="宋体" w:eastAsia="宋体" w:cs="宋体"/>
                <w:sz w:val="20"/>
                <w:szCs w:val="20"/>
              </w:rPr>
            </w:pPr>
            <w:r>
              <w:rPr>
                <w:rFonts w:ascii="宋体" w:hAnsi="宋体" w:eastAsia="宋体" w:cs="宋体"/>
                <w:spacing w:val="8"/>
                <w:sz w:val="20"/>
                <w:szCs w:val="20"/>
              </w:rPr>
              <w:t>本项目不涉及涂装工艺。</w:t>
            </w:r>
          </w:p>
        </w:tc>
        <w:tc>
          <w:tcPr>
            <w:tcW w:w="730" w:type="dxa"/>
            <w:gridSpan w:val="2"/>
            <w:vAlign w:val="top"/>
          </w:tcPr>
          <w:p w14:paraId="43F5FB0C">
            <w:pPr>
              <w:spacing w:line="265" w:lineRule="auto"/>
              <w:rPr>
                <w:rFonts w:ascii="Arial"/>
                <w:sz w:val="21"/>
              </w:rPr>
            </w:pPr>
          </w:p>
          <w:p w14:paraId="7E529969">
            <w:pPr>
              <w:spacing w:line="266" w:lineRule="auto"/>
              <w:rPr>
                <w:rFonts w:ascii="Arial"/>
                <w:sz w:val="21"/>
              </w:rPr>
            </w:pPr>
          </w:p>
          <w:p w14:paraId="5AA07C40">
            <w:pPr>
              <w:spacing w:line="266" w:lineRule="auto"/>
              <w:rPr>
                <w:rFonts w:ascii="Arial"/>
                <w:sz w:val="21"/>
              </w:rPr>
            </w:pPr>
          </w:p>
          <w:p w14:paraId="0879068D">
            <w:pPr>
              <w:spacing w:line="266" w:lineRule="auto"/>
              <w:rPr>
                <w:rFonts w:ascii="Arial"/>
                <w:sz w:val="21"/>
              </w:rPr>
            </w:pPr>
          </w:p>
          <w:p w14:paraId="2053C15B">
            <w:pPr>
              <w:spacing w:line="266" w:lineRule="auto"/>
              <w:rPr>
                <w:rFonts w:ascii="Arial"/>
                <w:sz w:val="21"/>
              </w:rPr>
            </w:pPr>
          </w:p>
          <w:p w14:paraId="3E97DDEE">
            <w:pPr>
              <w:spacing w:line="266" w:lineRule="auto"/>
              <w:rPr>
                <w:rFonts w:ascii="Arial"/>
                <w:sz w:val="21"/>
              </w:rPr>
            </w:pPr>
          </w:p>
          <w:p w14:paraId="2872E1C1">
            <w:pPr>
              <w:spacing w:before="65" w:line="228" w:lineRule="auto"/>
              <w:ind w:left="169"/>
              <w:rPr>
                <w:rFonts w:ascii="宋体" w:hAnsi="宋体" w:eastAsia="宋体" w:cs="宋体"/>
                <w:sz w:val="20"/>
                <w:szCs w:val="20"/>
              </w:rPr>
            </w:pPr>
            <w:r>
              <w:rPr>
                <w:rFonts w:ascii="宋体" w:hAnsi="宋体" w:eastAsia="宋体" w:cs="宋体"/>
                <w:spacing w:val="3"/>
                <w:sz w:val="20"/>
                <w:szCs w:val="20"/>
              </w:rPr>
              <w:t>符合</w:t>
            </w:r>
          </w:p>
        </w:tc>
        <w:tc>
          <w:tcPr>
            <w:tcW w:w="123" w:type="dxa"/>
            <w:tcBorders>
              <w:top w:val="nil"/>
              <w:bottom w:val="nil"/>
              <w:right w:val="single" w:color="000000" w:sz="6" w:space="0"/>
            </w:tcBorders>
            <w:vAlign w:val="top"/>
          </w:tcPr>
          <w:p w14:paraId="193A51FE">
            <w:pPr>
              <w:rPr>
                <w:rFonts w:ascii="Arial"/>
                <w:sz w:val="21"/>
              </w:rPr>
            </w:pPr>
          </w:p>
        </w:tc>
      </w:tr>
      <w:tr w14:paraId="500FF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4" w:hRule="atLeast"/>
        </w:trPr>
        <w:tc>
          <w:tcPr>
            <w:tcW w:w="1161" w:type="dxa"/>
            <w:vMerge w:val="continue"/>
            <w:tcBorders>
              <w:top w:val="nil"/>
              <w:left w:val="single" w:color="000000" w:sz="6" w:space="0"/>
              <w:bottom w:val="single" w:color="000000" w:sz="6" w:space="0"/>
            </w:tcBorders>
            <w:vAlign w:val="top"/>
          </w:tcPr>
          <w:p w14:paraId="25080B7A">
            <w:pPr>
              <w:rPr>
                <w:rFonts w:ascii="Arial"/>
                <w:sz w:val="21"/>
              </w:rPr>
            </w:pPr>
          </w:p>
        </w:tc>
        <w:tc>
          <w:tcPr>
            <w:tcW w:w="113" w:type="dxa"/>
            <w:tcBorders>
              <w:top w:val="nil"/>
              <w:bottom w:val="single" w:color="000000" w:sz="6" w:space="0"/>
            </w:tcBorders>
            <w:vAlign w:val="top"/>
          </w:tcPr>
          <w:p w14:paraId="2DAB414B">
            <w:pPr>
              <w:rPr>
                <w:rFonts w:ascii="Arial"/>
                <w:sz w:val="21"/>
              </w:rPr>
            </w:pPr>
          </w:p>
        </w:tc>
        <w:tc>
          <w:tcPr>
            <w:tcW w:w="690" w:type="dxa"/>
            <w:tcBorders>
              <w:bottom w:val="single" w:color="000000" w:sz="6" w:space="0"/>
            </w:tcBorders>
            <w:vAlign w:val="top"/>
          </w:tcPr>
          <w:p w14:paraId="02C4BD8E">
            <w:pPr>
              <w:spacing w:line="250" w:lineRule="auto"/>
              <w:rPr>
                <w:rFonts w:ascii="Arial"/>
                <w:sz w:val="21"/>
              </w:rPr>
            </w:pPr>
          </w:p>
          <w:p w14:paraId="4A42681B">
            <w:pPr>
              <w:spacing w:line="250" w:lineRule="auto"/>
              <w:rPr>
                <w:rFonts w:ascii="Arial"/>
                <w:sz w:val="21"/>
              </w:rPr>
            </w:pPr>
          </w:p>
          <w:p w14:paraId="20736837">
            <w:pPr>
              <w:spacing w:line="250" w:lineRule="auto"/>
              <w:rPr>
                <w:rFonts w:ascii="Arial"/>
                <w:sz w:val="21"/>
              </w:rPr>
            </w:pPr>
          </w:p>
          <w:p w14:paraId="06C18B0A">
            <w:pPr>
              <w:spacing w:line="250" w:lineRule="auto"/>
              <w:rPr>
                <w:rFonts w:ascii="Arial"/>
                <w:sz w:val="21"/>
              </w:rPr>
            </w:pPr>
          </w:p>
          <w:p w14:paraId="134A0DCB">
            <w:pPr>
              <w:spacing w:line="250" w:lineRule="auto"/>
              <w:rPr>
                <w:rFonts w:ascii="Arial"/>
                <w:sz w:val="21"/>
              </w:rPr>
            </w:pPr>
          </w:p>
          <w:p w14:paraId="1435E059">
            <w:pPr>
              <w:spacing w:before="57" w:line="192" w:lineRule="auto"/>
              <w:ind w:left="293"/>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852" w:type="dxa"/>
            <w:vMerge w:val="continue"/>
            <w:tcBorders>
              <w:top w:val="nil"/>
              <w:bottom w:val="single" w:color="000000" w:sz="6" w:space="0"/>
            </w:tcBorders>
            <w:vAlign w:val="top"/>
          </w:tcPr>
          <w:p w14:paraId="7E3B8110">
            <w:pPr>
              <w:rPr>
                <w:rFonts w:ascii="Arial"/>
                <w:sz w:val="21"/>
              </w:rPr>
            </w:pPr>
          </w:p>
        </w:tc>
        <w:tc>
          <w:tcPr>
            <w:tcW w:w="2773" w:type="dxa"/>
            <w:tcBorders>
              <w:bottom w:val="single" w:color="000000" w:sz="6" w:space="0"/>
            </w:tcBorders>
            <w:vAlign w:val="top"/>
          </w:tcPr>
          <w:p w14:paraId="1A98FD93">
            <w:pPr>
              <w:spacing w:before="40" w:line="317" w:lineRule="auto"/>
              <w:ind w:left="110" w:right="104" w:firstLine="1"/>
              <w:jc w:val="both"/>
              <w:rPr>
                <w:rFonts w:ascii="宋体" w:hAnsi="宋体" w:eastAsia="宋体" w:cs="宋体"/>
                <w:sz w:val="20"/>
                <w:szCs w:val="20"/>
              </w:rPr>
            </w:pPr>
            <w:r>
              <w:rPr>
                <w:rFonts w:ascii="宋体" w:hAnsi="宋体" w:eastAsia="宋体" w:cs="宋体"/>
                <w:spacing w:val="6"/>
                <w:sz w:val="20"/>
                <w:szCs w:val="20"/>
              </w:rPr>
              <w:t>淘汰以三氟三氯乙</w:t>
            </w:r>
            <w:r>
              <w:rPr>
                <w:rFonts w:ascii="微软雅黑" w:hAnsi="微软雅黑" w:eastAsia="微软雅黑" w:cs="微软雅黑"/>
                <w:spacing w:val="6"/>
                <w:sz w:val="20"/>
                <w:szCs w:val="20"/>
              </w:rPr>
              <w:t>烷</w:t>
            </w:r>
            <w:r>
              <w:rPr>
                <w:rFonts w:ascii="微软雅黑" w:hAnsi="微软雅黑" w:eastAsia="微软雅黑" w:cs="微软雅黑"/>
                <w:spacing w:val="-30"/>
                <w:sz w:val="20"/>
                <w:szCs w:val="20"/>
              </w:rPr>
              <w:t xml:space="preserve"> </w:t>
            </w:r>
            <w:r>
              <w:rPr>
                <w:rFonts w:ascii="宋体" w:hAnsi="宋体" w:eastAsia="宋体" w:cs="宋体"/>
                <w:spacing w:val="6"/>
                <w:sz w:val="20"/>
                <w:szCs w:val="20"/>
              </w:rPr>
              <w:t>、</w:t>
            </w:r>
            <w:r>
              <w:rPr>
                <w:rFonts w:ascii="宋体" w:hAnsi="宋体" w:eastAsia="宋体" w:cs="宋体"/>
                <w:spacing w:val="-52"/>
                <w:sz w:val="20"/>
                <w:szCs w:val="20"/>
              </w:rPr>
              <w:t xml:space="preserve"> </w:t>
            </w:r>
            <w:r>
              <w:rPr>
                <w:rFonts w:ascii="微软雅黑" w:hAnsi="微软雅黑" w:eastAsia="微软雅黑" w:cs="微软雅黑"/>
                <w:spacing w:val="6"/>
                <w:sz w:val="20"/>
                <w:szCs w:val="20"/>
              </w:rPr>
              <w:t>甲</w:t>
            </w:r>
            <w:r>
              <w:rPr>
                <w:rFonts w:ascii="宋体" w:hAnsi="宋体" w:eastAsia="宋体" w:cs="宋体"/>
                <w:spacing w:val="6"/>
                <w:sz w:val="20"/>
                <w:szCs w:val="20"/>
              </w:rPr>
              <w:t>基</w:t>
            </w:r>
            <w:r>
              <w:rPr>
                <w:rFonts w:ascii="宋体" w:hAnsi="宋体" w:eastAsia="宋体" w:cs="宋体"/>
                <w:spacing w:val="12"/>
                <w:sz w:val="20"/>
                <w:szCs w:val="20"/>
              </w:rPr>
              <w:t>氯仿和四氯化碳为清洗剂或溶剂的生产工艺。清洗过程</w:t>
            </w:r>
            <w:r>
              <w:rPr>
                <w:rFonts w:ascii="宋体" w:hAnsi="宋体" w:eastAsia="宋体" w:cs="宋体"/>
                <w:spacing w:val="32"/>
                <w:sz w:val="20"/>
                <w:szCs w:val="20"/>
              </w:rPr>
              <w:t>中产生的</w:t>
            </w:r>
            <w:r>
              <w:rPr>
                <w:rFonts w:ascii="微软雅黑" w:hAnsi="微软雅黑" w:eastAsia="微软雅黑" w:cs="微软雅黑"/>
                <w:spacing w:val="32"/>
                <w:sz w:val="20"/>
                <w:szCs w:val="20"/>
              </w:rPr>
              <w:t>废</w:t>
            </w:r>
            <w:r>
              <w:rPr>
                <w:rFonts w:ascii="宋体" w:hAnsi="宋体" w:eastAsia="宋体" w:cs="宋体"/>
                <w:spacing w:val="32"/>
                <w:sz w:val="20"/>
                <w:szCs w:val="20"/>
              </w:rPr>
              <w:t>溶剂宜密闭收</w:t>
            </w:r>
            <w:r>
              <w:rPr>
                <w:rFonts w:ascii="宋体" w:hAnsi="宋体" w:eastAsia="宋体" w:cs="宋体"/>
                <w:spacing w:val="12"/>
                <w:sz w:val="20"/>
                <w:szCs w:val="20"/>
              </w:rPr>
              <w:t>集，有回收价值的</w:t>
            </w:r>
            <w:r>
              <w:rPr>
                <w:rFonts w:ascii="微软雅黑" w:hAnsi="微软雅黑" w:eastAsia="微软雅黑" w:cs="微软雅黑"/>
                <w:spacing w:val="12"/>
                <w:sz w:val="20"/>
                <w:szCs w:val="20"/>
              </w:rPr>
              <w:t>废</w:t>
            </w:r>
            <w:r>
              <w:rPr>
                <w:rFonts w:ascii="宋体" w:hAnsi="宋体" w:eastAsia="宋体" w:cs="宋体"/>
                <w:spacing w:val="12"/>
                <w:sz w:val="20"/>
                <w:szCs w:val="20"/>
              </w:rPr>
              <w:t>溶剂经处理后回用，其他</w:t>
            </w:r>
            <w:r>
              <w:rPr>
                <w:rFonts w:ascii="微软雅黑" w:hAnsi="微软雅黑" w:eastAsia="微软雅黑" w:cs="微软雅黑"/>
                <w:spacing w:val="12"/>
                <w:sz w:val="20"/>
                <w:szCs w:val="20"/>
              </w:rPr>
              <w:t>废</w:t>
            </w:r>
            <w:r>
              <w:rPr>
                <w:rFonts w:ascii="宋体" w:hAnsi="宋体" w:eastAsia="宋体" w:cs="宋体"/>
                <w:spacing w:val="12"/>
                <w:sz w:val="20"/>
                <w:szCs w:val="20"/>
              </w:rPr>
              <w:t>溶剂应</w:t>
            </w:r>
            <w:r>
              <w:rPr>
                <w:rFonts w:ascii="宋体" w:hAnsi="宋体" w:eastAsia="宋体" w:cs="宋体"/>
                <w:spacing w:val="5"/>
                <w:sz w:val="20"/>
                <w:szCs w:val="20"/>
              </w:rPr>
              <w:t>妥善处置。</w:t>
            </w:r>
          </w:p>
        </w:tc>
        <w:tc>
          <w:tcPr>
            <w:tcW w:w="2430" w:type="dxa"/>
            <w:gridSpan w:val="2"/>
            <w:tcBorders>
              <w:bottom w:val="single" w:color="000000" w:sz="6" w:space="0"/>
            </w:tcBorders>
            <w:vAlign w:val="top"/>
          </w:tcPr>
          <w:p w14:paraId="65064CCC">
            <w:pPr>
              <w:spacing w:before="43" w:line="350" w:lineRule="auto"/>
              <w:ind w:left="117" w:right="101"/>
              <w:rPr>
                <w:rFonts w:ascii="宋体" w:hAnsi="宋体" w:eastAsia="宋体" w:cs="宋体"/>
                <w:sz w:val="20"/>
                <w:szCs w:val="20"/>
              </w:rPr>
            </w:pPr>
            <w:r>
              <w:rPr>
                <w:rFonts w:ascii="宋体" w:hAnsi="宋体" w:eastAsia="宋体" w:cs="宋体"/>
                <w:spacing w:val="8"/>
                <w:sz w:val="20"/>
                <w:szCs w:val="20"/>
              </w:rPr>
              <w:t>本项目不涉及以三氟三</w:t>
            </w:r>
            <w:r>
              <w:rPr>
                <w:rFonts w:ascii="宋体" w:hAnsi="宋体" w:eastAsia="宋体" w:cs="宋体"/>
                <w:sz w:val="20"/>
                <w:szCs w:val="20"/>
              </w:rPr>
              <w:t>氯乙</w:t>
            </w:r>
            <w:r>
              <w:rPr>
                <w:rFonts w:ascii="微软雅黑" w:hAnsi="微软雅黑" w:eastAsia="微软雅黑" w:cs="微软雅黑"/>
                <w:sz w:val="20"/>
                <w:szCs w:val="20"/>
              </w:rPr>
              <w:t>烷</w:t>
            </w:r>
            <w:r>
              <w:rPr>
                <w:rFonts w:ascii="宋体" w:hAnsi="宋体" w:eastAsia="宋体" w:cs="宋体"/>
                <w:sz w:val="20"/>
                <w:szCs w:val="20"/>
              </w:rPr>
              <w:t>、</w:t>
            </w:r>
            <w:r>
              <w:rPr>
                <w:rFonts w:ascii="微软雅黑" w:hAnsi="微软雅黑" w:eastAsia="微软雅黑" w:cs="微软雅黑"/>
                <w:sz w:val="20"/>
                <w:szCs w:val="20"/>
              </w:rPr>
              <w:t>甲</w:t>
            </w:r>
            <w:r>
              <w:rPr>
                <w:rFonts w:ascii="宋体" w:hAnsi="宋体" w:eastAsia="宋体" w:cs="宋体"/>
                <w:sz w:val="20"/>
                <w:szCs w:val="20"/>
              </w:rPr>
              <w:t>基氯仿和四氯</w:t>
            </w:r>
            <w:r>
              <w:rPr>
                <w:rFonts w:ascii="宋体" w:hAnsi="宋体" w:eastAsia="宋体" w:cs="宋体"/>
                <w:spacing w:val="8"/>
                <w:sz w:val="20"/>
                <w:szCs w:val="20"/>
              </w:rPr>
              <w:t>化碳为清洗剂或溶剂的</w:t>
            </w:r>
            <w:r>
              <w:rPr>
                <w:rFonts w:ascii="宋体" w:hAnsi="宋体" w:eastAsia="宋体" w:cs="宋体"/>
                <w:spacing w:val="5"/>
                <w:sz w:val="20"/>
                <w:szCs w:val="20"/>
              </w:rPr>
              <w:t>生产工艺。</w:t>
            </w:r>
          </w:p>
        </w:tc>
        <w:tc>
          <w:tcPr>
            <w:tcW w:w="730" w:type="dxa"/>
            <w:gridSpan w:val="2"/>
            <w:tcBorders>
              <w:bottom w:val="single" w:color="000000" w:sz="6" w:space="0"/>
            </w:tcBorders>
            <w:vAlign w:val="top"/>
          </w:tcPr>
          <w:p w14:paraId="0B6946B1">
            <w:pPr>
              <w:spacing w:line="299" w:lineRule="auto"/>
              <w:rPr>
                <w:rFonts w:ascii="Arial"/>
                <w:sz w:val="21"/>
              </w:rPr>
            </w:pPr>
          </w:p>
          <w:p w14:paraId="5111B627">
            <w:pPr>
              <w:spacing w:line="299" w:lineRule="auto"/>
              <w:rPr>
                <w:rFonts w:ascii="Arial"/>
                <w:sz w:val="21"/>
              </w:rPr>
            </w:pPr>
          </w:p>
          <w:p w14:paraId="34634410">
            <w:pPr>
              <w:spacing w:line="299" w:lineRule="auto"/>
              <w:rPr>
                <w:rFonts w:ascii="Arial"/>
                <w:sz w:val="21"/>
              </w:rPr>
            </w:pPr>
          </w:p>
          <w:p w14:paraId="4E3B756B">
            <w:pPr>
              <w:spacing w:line="299" w:lineRule="auto"/>
              <w:rPr>
                <w:rFonts w:ascii="Arial"/>
                <w:sz w:val="21"/>
              </w:rPr>
            </w:pPr>
          </w:p>
          <w:p w14:paraId="633FBCBF">
            <w:pPr>
              <w:spacing w:before="65" w:line="228" w:lineRule="auto"/>
              <w:ind w:left="169"/>
              <w:rPr>
                <w:rFonts w:ascii="宋体" w:hAnsi="宋体" w:eastAsia="宋体" w:cs="宋体"/>
                <w:sz w:val="20"/>
                <w:szCs w:val="20"/>
              </w:rPr>
            </w:pPr>
            <w:r>
              <w:rPr>
                <w:rFonts w:ascii="宋体" w:hAnsi="宋体" w:eastAsia="宋体" w:cs="宋体"/>
                <w:spacing w:val="3"/>
                <w:sz w:val="20"/>
                <w:szCs w:val="20"/>
              </w:rPr>
              <w:t>符合</w:t>
            </w:r>
          </w:p>
        </w:tc>
        <w:tc>
          <w:tcPr>
            <w:tcW w:w="123" w:type="dxa"/>
            <w:tcBorders>
              <w:top w:val="nil"/>
              <w:bottom w:val="single" w:color="000000" w:sz="6" w:space="0"/>
              <w:right w:val="single" w:color="000000" w:sz="6" w:space="0"/>
            </w:tcBorders>
            <w:vAlign w:val="top"/>
          </w:tcPr>
          <w:p w14:paraId="66AB830C">
            <w:pPr>
              <w:rPr>
                <w:rFonts w:ascii="Arial"/>
                <w:sz w:val="21"/>
              </w:rPr>
            </w:pPr>
          </w:p>
        </w:tc>
      </w:tr>
    </w:tbl>
    <w:p w14:paraId="39492A2F">
      <w:pPr>
        <w:pStyle w:val="2"/>
      </w:pPr>
    </w:p>
    <w:p w14:paraId="2B328868">
      <w:pPr>
        <w:sectPr>
          <w:footerReference r:id="rId38" w:type="default"/>
          <w:pgSz w:w="11906" w:h="16839"/>
          <w:pgMar w:top="400" w:right="1509" w:bottom="1329" w:left="1509" w:header="0" w:footer="1113" w:gutter="0"/>
          <w:cols w:space="720" w:num="1"/>
        </w:sectPr>
      </w:pPr>
    </w:p>
    <w:p w14:paraId="5CF77940">
      <w:pPr>
        <w:spacing w:before="19"/>
      </w:pPr>
      <w:r>
        <w:pict>
          <v:shape id="_x0000_s1042" o:spid="_x0000_s1042" style="position:absolute;left:0pt;margin-left:139pt;margin-top:742.1pt;height:0.5pt;width:374.95pt;mso-position-horizontal-relative:page;mso-position-vertical-relative:page;z-index:-251651072;mso-width-relative:page;mso-height-relative:page;" filled="f" stroked="t" coordsize="7499,10" o:allowincell="f" path="m0,4l7498,4e">
            <v:fill on="f" focussize="0,0"/>
            <v:stroke weight="0.48pt" color="#000000" miterlimit="2" joinstyle="bevel"/>
            <v:imagedata o:title=""/>
            <o:lock v:ext="edit"/>
          </v:shape>
        </w:pict>
      </w:r>
    </w:p>
    <w:p w14:paraId="5BD0A766">
      <w:pPr>
        <w:spacing w:before="19"/>
      </w:pPr>
    </w:p>
    <w:p w14:paraId="6CC2E147">
      <w:pPr>
        <w:spacing w:before="19"/>
      </w:pPr>
    </w:p>
    <w:p w14:paraId="5D623473">
      <w:pPr>
        <w:spacing w:before="18"/>
      </w:pPr>
    </w:p>
    <w:p w14:paraId="17832D02">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690"/>
        <w:gridCol w:w="852"/>
        <w:gridCol w:w="2773"/>
        <w:gridCol w:w="2430"/>
        <w:gridCol w:w="731"/>
        <w:gridCol w:w="122"/>
      </w:tblGrid>
      <w:tr w14:paraId="60D1B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161" w:type="dxa"/>
            <w:vMerge w:val="restart"/>
            <w:tcBorders>
              <w:top w:val="single" w:color="000000" w:sz="6" w:space="0"/>
              <w:left w:val="single" w:color="000000" w:sz="6" w:space="0"/>
              <w:bottom w:val="nil"/>
            </w:tcBorders>
            <w:vAlign w:val="top"/>
          </w:tcPr>
          <w:p w14:paraId="3399AED0">
            <w:pPr>
              <w:rPr>
                <w:rFonts w:ascii="Arial"/>
                <w:sz w:val="21"/>
              </w:rPr>
            </w:pPr>
          </w:p>
        </w:tc>
        <w:tc>
          <w:tcPr>
            <w:tcW w:w="113" w:type="dxa"/>
            <w:tcBorders>
              <w:top w:val="single" w:color="000000" w:sz="6" w:space="0"/>
              <w:bottom w:val="nil"/>
            </w:tcBorders>
            <w:vAlign w:val="top"/>
          </w:tcPr>
          <w:p w14:paraId="28394EEF">
            <w:pPr>
              <w:rPr>
                <w:rFonts w:ascii="Arial"/>
                <w:sz w:val="21"/>
              </w:rPr>
            </w:pPr>
          </w:p>
        </w:tc>
        <w:tc>
          <w:tcPr>
            <w:tcW w:w="690" w:type="dxa"/>
            <w:vAlign w:val="top"/>
          </w:tcPr>
          <w:p w14:paraId="084244F6">
            <w:pPr>
              <w:spacing w:line="259" w:lineRule="auto"/>
              <w:rPr>
                <w:rFonts w:ascii="Arial"/>
                <w:sz w:val="21"/>
              </w:rPr>
            </w:pPr>
          </w:p>
          <w:p w14:paraId="2702695C">
            <w:pPr>
              <w:spacing w:line="259" w:lineRule="auto"/>
              <w:rPr>
                <w:rFonts w:ascii="Arial"/>
                <w:sz w:val="21"/>
              </w:rPr>
            </w:pPr>
          </w:p>
          <w:p w14:paraId="06AD1588">
            <w:pPr>
              <w:spacing w:line="259" w:lineRule="auto"/>
              <w:rPr>
                <w:rFonts w:ascii="Arial"/>
                <w:sz w:val="21"/>
              </w:rPr>
            </w:pPr>
          </w:p>
          <w:p w14:paraId="20E1ABB6">
            <w:pPr>
              <w:spacing w:line="259" w:lineRule="auto"/>
              <w:rPr>
                <w:rFonts w:ascii="Arial"/>
                <w:sz w:val="21"/>
              </w:rPr>
            </w:pPr>
          </w:p>
          <w:p w14:paraId="19747634">
            <w:pPr>
              <w:spacing w:before="58" w:line="195" w:lineRule="auto"/>
              <w:ind w:left="292"/>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852" w:type="dxa"/>
            <w:vAlign w:val="top"/>
          </w:tcPr>
          <w:p w14:paraId="3674461E">
            <w:pPr>
              <w:rPr>
                <w:rFonts w:ascii="Arial"/>
                <w:sz w:val="21"/>
              </w:rPr>
            </w:pPr>
          </w:p>
        </w:tc>
        <w:tc>
          <w:tcPr>
            <w:tcW w:w="2773" w:type="dxa"/>
            <w:vAlign w:val="top"/>
          </w:tcPr>
          <w:p w14:paraId="3EEEA38C">
            <w:pPr>
              <w:spacing w:before="35" w:line="320" w:lineRule="auto"/>
              <w:ind w:left="108" w:right="93" w:firstLine="1"/>
              <w:jc w:val="both"/>
              <w:rPr>
                <w:rFonts w:ascii="宋体" w:hAnsi="宋体" w:eastAsia="宋体" w:cs="宋体"/>
                <w:sz w:val="20"/>
                <w:szCs w:val="20"/>
              </w:rPr>
            </w:pPr>
            <w:r>
              <w:rPr>
                <w:rFonts w:ascii="宋体" w:hAnsi="宋体" w:eastAsia="宋体" w:cs="宋体"/>
                <w:spacing w:val="6"/>
                <w:sz w:val="20"/>
                <w:szCs w:val="20"/>
              </w:rPr>
              <w:t>含</w:t>
            </w:r>
            <w:r>
              <w:rPr>
                <w:rFonts w:ascii="Times New Roman" w:hAnsi="Times New Roman" w:eastAsia="Times New Roman" w:cs="Times New Roman"/>
                <w:sz w:val="20"/>
                <w:szCs w:val="20"/>
              </w:rPr>
              <w:t>VOCs</w:t>
            </w:r>
            <w:r>
              <w:rPr>
                <w:rFonts w:ascii="宋体" w:hAnsi="宋体" w:eastAsia="宋体" w:cs="宋体"/>
                <w:spacing w:val="6"/>
                <w:sz w:val="20"/>
                <w:szCs w:val="20"/>
              </w:rPr>
              <w:t>产品的使用过程中，</w:t>
            </w:r>
            <w:r>
              <w:rPr>
                <w:rFonts w:ascii="宋体" w:hAnsi="宋体" w:eastAsia="宋体" w:cs="宋体"/>
                <w:spacing w:val="13"/>
                <w:sz w:val="20"/>
                <w:szCs w:val="20"/>
              </w:rPr>
              <w:t>应采取</w:t>
            </w:r>
            <w:r>
              <w:rPr>
                <w:rFonts w:ascii="微软雅黑" w:hAnsi="微软雅黑" w:eastAsia="微软雅黑" w:cs="微软雅黑"/>
                <w:spacing w:val="13"/>
                <w:sz w:val="20"/>
                <w:szCs w:val="20"/>
              </w:rPr>
              <w:t>废气</w:t>
            </w:r>
            <w:r>
              <w:rPr>
                <w:rFonts w:ascii="宋体" w:hAnsi="宋体" w:eastAsia="宋体" w:cs="宋体"/>
                <w:spacing w:val="13"/>
                <w:sz w:val="20"/>
                <w:szCs w:val="20"/>
              </w:rPr>
              <w:t>收集措施，提高</w:t>
            </w:r>
            <w:r>
              <w:rPr>
                <w:rFonts w:ascii="微软雅黑" w:hAnsi="微软雅黑" w:eastAsia="微软雅黑" w:cs="微软雅黑"/>
                <w:spacing w:val="12"/>
                <w:sz w:val="20"/>
                <w:szCs w:val="20"/>
              </w:rPr>
              <w:t>废气</w:t>
            </w:r>
            <w:r>
              <w:rPr>
                <w:rFonts w:ascii="宋体" w:hAnsi="宋体" w:eastAsia="宋体" w:cs="宋体"/>
                <w:spacing w:val="12"/>
                <w:sz w:val="20"/>
                <w:szCs w:val="20"/>
              </w:rPr>
              <w:t>收集效率，减少</w:t>
            </w:r>
            <w:r>
              <w:rPr>
                <w:rFonts w:ascii="微软雅黑" w:hAnsi="微软雅黑" w:eastAsia="微软雅黑" w:cs="微软雅黑"/>
                <w:spacing w:val="12"/>
                <w:sz w:val="20"/>
                <w:szCs w:val="20"/>
              </w:rPr>
              <w:t>废气</w:t>
            </w:r>
            <w:r>
              <w:rPr>
                <w:rFonts w:ascii="宋体" w:hAnsi="宋体" w:eastAsia="宋体" w:cs="宋体"/>
                <w:spacing w:val="12"/>
                <w:sz w:val="20"/>
                <w:szCs w:val="20"/>
              </w:rPr>
              <w:t>的无组织排放与逸散，并对收</w:t>
            </w:r>
            <w:r>
              <w:rPr>
                <w:rFonts w:ascii="宋体" w:hAnsi="宋体" w:eastAsia="宋体" w:cs="宋体"/>
                <w:spacing w:val="13"/>
                <w:sz w:val="20"/>
                <w:szCs w:val="20"/>
              </w:rPr>
              <w:t>集后的</w:t>
            </w:r>
            <w:r>
              <w:rPr>
                <w:rFonts w:ascii="微软雅黑" w:hAnsi="微软雅黑" w:eastAsia="微软雅黑" w:cs="微软雅黑"/>
                <w:spacing w:val="13"/>
                <w:sz w:val="20"/>
                <w:szCs w:val="20"/>
              </w:rPr>
              <w:t>废气</w:t>
            </w:r>
            <w:r>
              <w:rPr>
                <w:rFonts w:ascii="宋体" w:hAnsi="宋体" w:eastAsia="宋体" w:cs="宋体"/>
                <w:spacing w:val="13"/>
                <w:sz w:val="20"/>
                <w:szCs w:val="20"/>
              </w:rPr>
              <w:t>进行回收或处理</w:t>
            </w:r>
            <w:r>
              <w:rPr>
                <w:rFonts w:ascii="宋体" w:hAnsi="宋体" w:eastAsia="宋体" w:cs="宋体"/>
                <w:spacing w:val="7"/>
                <w:sz w:val="20"/>
                <w:szCs w:val="20"/>
              </w:rPr>
              <w:t>后达标排放。</w:t>
            </w:r>
          </w:p>
        </w:tc>
        <w:tc>
          <w:tcPr>
            <w:tcW w:w="2430" w:type="dxa"/>
            <w:vMerge w:val="restart"/>
            <w:tcBorders>
              <w:bottom w:val="nil"/>
            </w:tcBorders>
            <w:vAlign w:val="top"/>
          </w:tcPr>
          <w:p w14:paraId="4BB0EE22">
            <w:pPr>
              <w:spacing w:before="39" w:line="310" w:lineRule="auto"/>
              <w:ind w:left="116" w:right="101"/>
              <w:rPr>
                <w:rFonts w:ascii="宋体" w:hAnsi="宋体" w:eastAsia="宋体" w:cs="宋体"/>
                <w:sz w:val="20"/>
                <w:szCs w:val="20"/>
              </w:rPr>
            </w:pPr>
            <w:r>
              <w:rPr>
                <w:rFonts w:ascii="宋体" w:hAnsi="宋体" w:eastAsia="宋体" w:cs="宋体"/>
                <w:spacing w:val="11"/>
                <w:sz w:val="20"/>
                <w:szCs w:val="20"/>
              </w:rPr>
              <w:t>本项目产生的</w:t>
            </w:r>
            <w:r>
              <w:rPr>
                <w:rFonts w:ascii="微软雅黑" w:hAnsi="微软雅黑" w:eastAsia="微软雅黑" w:cs="微软雅黑"/>
                <w:spacing w:val="11"/>
                <w:sz w:val="20"/>
                <w:szCs w:val="20"/>
              </w:rPr>
              <w:t>废气</w:t>
            </w:r>
            <w:r>
              <w:rPr>
                <w:rFonts w:ascii="宋体" w:hAnsi="宋体" w:eastAsia="宋体" w:cs="宋体"/>
                <w:spacing w:val="11"/>
                <w:sz w:val="20"/>
                <w:szCs w:val="20"/>
              </w:rPr>
              <w:t>在注</w:t>
            </w:r>
            <w:r>
              <w:rPr>
                <w:rFonts w:ascii="宋体" w:hAnsi="宋体" w:eastAsia="宋体" w:cs="宋体"/>
                <w:sz w:val="20"/>
                <w:szCs w:val="20"/>
              </w:rPr>
              <w:t>塑区上空设置集</w:t>
            </w:r>
            <w:r>
              <w:rPr>
                <w:rFonts w:ascii="微软雅黑" w:hAnsi="微软雅黑" w:eastAsia="微软雅黑" w:cs="微软雅黑"/>
                <w:sz w:val="20"/>
                <w:szCs w:val="20"/>
              </w:rPr>
              <w:t>气</w:t>
            </w:r>
            <w:r>
              <w:rPr>
                <w:rFonts w:ascii="宋体" w:hAnsi="宋体" w:eastAsia="宋体" w:cs="宋体"/>
                <w:sz w:val="20"/>
                <w:szCs w:val="20"/>
              </w:rPr>
              <w:t>罩，收</w:t>
            </w:r>
            <w:r>
              <w:rPr>
                <w:rFonts w:ascii="宋体" w:hAnsi="宋体" w:eastAsia="宋体" w:cs="宋体"/>
                <w:spacing w:val="8"/>
                <w:sz w:val="20"/>
                <w:szCs w:val="20"/>
              </w:rPr>
              <w:t>集后废气经集气罩</w:t>
            </w:r>
            <w:r>
              <w:rPr>
                <w:rFonts w:ascii="Times New Roman" w:hAnsi="Times New Roman" w:eastAsia="Times New Roman" w:cs="Times New Roman"/>
                <w:spacing w:val="8"/>
                <w:sz w:val="20"/>
                <w:szCs w:val="20"/>
              </w:rPr>
              <w:t>+</w:t>
            </w:r>
            <w:r>
              <w:rPr>
                <w:rFonts w:ascii="宋体" w:hAnsi="宋体" w:eastAsia="宋体" w:cs="宋体"/>
                <w:spacing w:val="8"/>
                <w:sz w:val="20"/>
                <w:szCs w:val="20"/>
              </w:rPr>
              <w:t>三</w:t>
            </w:r>
          </w:p>
          <w:p w14:paraId="53195628">
            <w:pPr>
              <w:spacing w:before="2" w:line="377" w:lineRule="auto"/>
              <w:ind w:left="117" w:right="101" w:firstLine="2"/>
              <w:rPr>
                <w:rFonts w:ascii="宋体" w:hAnsi="宋体" w:eastAsia="宋体" w:cs="宋体"/>
                <w:sz w:val="20"/>
                <w:szCs w:val="20"/>
              </w:rPr>
            </w:pPr>
            <w:r>
              <w:rPr>
                <w:rFonts w:ascii="宋体" w:hAnsi="宋体" w:eastAsia="宋体" w:cs="宋体"/>
                <w:spacing w:val="7"/>
                <w:sz w:val="20"/>
                <w:szCs w:val="20"/>
              </w:rPr>
              <w:t>级活性炭吸附</w:t>
            </w:r>
            <w:r>
              <w:rPr>
                <w:rFonts w:ascii="Times New Roman" w:hAnsi="Times New Roman" w:eastAsia="Times New Roman" w:cs="Times New Roman"/>
                <w:spacing w:val="7"/>
                <w:sz w:val="20"/>
                <w:szCs w:val="20"/>
              </w:rPr>
              <w:t>+15m</w:t>
            </w:r>
            <w:r>
              <w:rPr>
                <w:rFonts w:ascii="宋体" w:hAnsi="宋体" w:eastAsia="宋体" w:cs="宋体"/>
                <w:spacing w:val="7"/>
                <w:sz w:val="20"/>
                <w:szCs w:val="20"/>
              </w:rPr>
              <w:t>排气</w:t>
            </w:r>
            <w:r>
              <w:rPr>
                <w:rFonts w:ascii="宋体" w:hAnsi="宋体" w:eastAsia="宋体" w:cs="宋体"/>
                <w:spacing w:val="1"/>
                <w:sz w:val="20"/>
                <w:szCs w:val="20"/>
              </w:rPr>
              <w:t>筒（</w:t>
            </w:r>
            <w:r>
              <w:rPr>
                <w:rFonts w:ascii="Times New Roman" w:hAnsi="Times New Roman" w:eastAsia="Times New Roman" w:cs="Times New Roman"/>
                <w:sz w:val="20"/>
                <w:szCs w:val="20"/>
              </w:rPr>
              <w:t>DA</w:t>
            </w:r>
            <w:r>
              <w:rPr>
                <w:rFonts w:ascii="Times New Roman" w:hAnsi="Times New Roman" w:eastAsia="Times New Roman" w:cs="Times New Roman"/>
                <w:spacing w:val="1"/>
                <w:sz w:val="20"/>
                <w:szCs w:val="20"/>
              </w:rPr>
              <w:t>005</w:t>
            </w:r>
            <w:r>
              <w:rPr>
                <w:rFonts w:ascii="宋体" w:hAnsi="宋体" w:eastAsia="宋体" w:cs="宋体"/>
                <w:spacing w:val="1"/>
                <w:sz w:val="20"/>
                <w:szCs w:val="20"/>
              </w:rPr>
              <w:t>）处理后可达</w:t>
            </w:r>
            <w:r>
              <w:rPr>
                <w:rFonts w:ascii="宋体" w:hAnsi="宋体" w:eastAsia="宋体" w:cs="宋体"/>
                <w:spacing w:val="4"/>
                <w:sz w:val="20"/>
                <w:szCs w:val="20"/>
              </w:rPr>
              <w:t>标排放。</w:t>
            </w:r>
          </w:p>
        </w:tc>
        <w:tc>
          <w:tcPr>
            <w:tcW w:w="731" w:type="dxa"/>
            <w:vAlign w:val="top"/>
          </w:tcPr>
          <w:p w14:paraId="64187C36">
            <w:pPr>
              <w:spacing w:line="246" w:lineRule="auto"/>
              <w:rPr>
                <w:rFonts w:ascii="Arial"/>
                <w:sz w:val="21"/>
              </w:rPr>
            </w:pPr>
          </w:p>
          <w:p w14:paraId="2E50FABC">
            <w:pPr>
              <w:spacing w:line="246" w:lineRule="auto"/>
              <w:rPr>
                <w:rFonts w:ascii="Arial"/>
                <w:sz w:val="21"/>
              </w:rPr>
            </w:pPr>
          </w:p>
          <w:p w14:paraId="08FEA317">
            <w:pPr>
              <w:spacing w:line="246" w:lineRule="auto"/>
              <w:rPr>
                <w:rFonts w:ascii="Arial"/>
                <w:sz w:val="21"/>
              </w:rPr>
            </w:pPr>
          </w:p>
          <w:p w14:paraId="18DA6C8A">
            <w:pPr>
              <w:spacing w:line="247" w:lineRule="auto"/>
              <w:rPr>
                <w:rFonts w:ascii="Arial"/>
                <w:sz w:val="21"/>
              </w:rPr>
            </w:pPr>
          </w:p>
          <w:p w14:paraId="50581689">
            <w:pPr>
              <w:spacing w:before="66" w:line="228" w:lineRule="auto"/>
              <w:ind w:left="169"/>
              <w:rPr>
                <w:rFonts w:ascii="宋体" w:hAnsi="宋体" w:eastAsia="宋体" w:cs="宋体"/>
                <w:sz w:val="20"/>
                <w:szCs w:val="20"/>
              </w:rPr>
            </w:pPr>
            <w:r>
              <w:rPr>
                <w:rFonts w:ascii="宋体" w:hAnsi="宋体" w:eastAsia="宋体" w:cs="宋体"/>
                <w:spacing w:val="3"/>
                <w:sz w:val="20"/>
                <w:szCs w:val="20"/>
              </w:rPr>
              <w:t>符合</w:t>
            </w:r>
          </w:p>
        </w:tc>
        <w:tc>
          <w:tcPr>
            <w:tcW w:w="122" w:type="dxa"/>
            <w:vMerge w:val="restart"/>
            <w:tcBorders>
              <w:top w:val="single" w:color="000000" w:sz="6" w:space="0"/>
              <w:bottom w:val="nil"/>
              <w:right w:val="single" w:color="000000" w:sz="6" w:space="0"/>
            </w:tcBorders>
            <w:vAlign w:val="top"/>
          </w:tcPr>
          <w:p w14:paraId="5170D57E">
            <w:pPr>
              <w:rPr>
                <w:rFonts w:ascii="Arial"/>
                <w:sz w:val="21"/>
              </w:rPr>
            </w:pPr>
          </w:p>
        </w:tc>
      </w:tr>
      <w:tr w14:paraId="5BEB1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1161" w:type="dxa"/>
            <w:vMerge w:val="continue"/>
            <w:tcBorders>
              <w:top w:val="nil"/>
              <w:left w:val="single" w:color="000000" w:sz="6" w:space="0"/>
              <w:bottom w:val="nil"/>
            </w:tcBorders>
            <w:vAlign w:val="top"/>
          </w:tcPr>
          <w:p w14:paraId="3ED8C735">
            <w:pPr>
              <w:rPr>
                <w:rFonts w:ascii="Arial"/>
                <w:sz w:val="21"/>
              </w:rPr>
            </w:pPr>
          </w:p>
        </w:tc>
        <w:tc>
          <w:tcPr>
            <w:tcW w:w="113" w:type="dxa"/>
            <w:tcBorders>
              <w:top w:val="nil"/>
              <w:bottom w:val="nil"/>
            </w:tcBorders>
            <w:vAlign w:val="top"/>
          </w:tcPr>
          <w:p w14:paraId="31295089">
            <w:pPr>
              <w:rPr>
                <w:rFonts w:ascii="Arial"/>
                <w:sz w:val="21"/>
              </w:rPr>
            </w:pPr>
          </w:p>
        </w:tc>
        <w:tc>
          <w:tcPr>
            <w:tcW w:w="690" w:type="dxa"/>
            <w:vAlign w:val="top"/>
          </w:tcPr>
          <w:p w14:paraId="52AC5612">
            <w:pPr>
              <w:spacing w:line="428" w:lineRule="auto"/>
              <w:rPr>
                <w:rFonts w:ascii="Arial"/>
                <w:sz w:val="21"/>
              </w:rPr>
            </w:pPr>
          </w:p>
          <w:p w14:paraId="4CFC1E5E">
            <w:pPr>
              <w:spacing w:before="57" w:line="192" w:lineRule="auto"/>
              <w:ind w:left="29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852" w:type="dxa"/>
            <w:vMerge w:val="restart"/>
            <w:tcBorders>
              <w:bottom w:val="nil"/>
            </w:tcBorders>
            <w:vAlign w:val="top"/>
          </w:tcPr>
          <w:p w14:paraId="71EE4003">
            <w:pPr>
              <w:spacing w:line="245" w:lineRule="auto"/>
              <w:rPr>
                <w:rFonts w:ascii="Arial"/>
                <w:sz w:val="21"/>
              </w:rPr>
            </w:pPr>
          </w:p>
          <w:p w14:paraId="4F285814">
            <w:pPr>
              <w:spacing w:line="245" w:lineRule="auto"/>
              <w:rPr>
                <w:rFonts w:ascii="Arial"/>
                <w:sz w:val="21"/>
              </w:rPr>
            </w:pPr>
          </w:p>
          <w:p w14:paraId="229517F3">
            <w:pPr>
              <w:spacing w:line="245" w:lineRule="auto"/>
              <w:rPr>
                <w:rFonts w:ascii="Arial"/>
                <w:sz w:val="21"/>
              </w:rPr>
            </w:pPr>
          </w:p>
          <w:p w14:paraId="374815C1">
            <w:pPr>
              <w:spacing w:line="245" w:lineRule="auto"/>
              <w:rPr>
                <w:rFonts w:ascii="Arial"/>
                <w:sz w:val="21"/>
              </w:rPr>
            </w:pPr>
          </w:p>
          <w:p w14:paraId="5B945D0B">
            <w:pPr>
              <w:spacing w:line="245" w:lineRule="auto"/>
              <w:rPr>
                <w:rFonts w:ascii="Arial"/>
                <w:sz w:val="21"/>
              </w:rPr>
            </w:pPr>
          </w:p>
          <w:p w14:paraId="4C70672F">
            <w:pPr>
              <w:spacing w:line="245" w:lineRule="auto"/>
              <w:rPr>
                <w:rFonts w:ascii="Arial"/>
                <w:sz w:val="21"/>
              </w:rPr>
            </w:pPr>
          </w:p>
          <w:p w14:paraId="4BF60EBF">
            <w:pPr>
              <w:spacing w:line="245" w:lineRule="auto"/>
              <w:rPr>
                <w:rFonts w:ascii="Arial"/>
                <w:sz w:val="21"/>
              </w:rPr>
            </w:pPr>
          </w:p>
          <w:p w14:paraId="4CB81946">
            <w:pPr>
              <w:spacing w:line="245" w:lineRule="auto"/>
              <w:rPr>
                <w:rFonts w:ascii="Arial"/>
                <w:sz w:val="21"/>
              </w:rPr>
            </w:pPr>
          </w:p>
          <w:p w14:paraId="6F25AB0D">
            <w:pPr>
              <w:spacing w:line="245" w:lineRule="auto"/>
              <w:rPr>
                <w:rFonts w:ascii="Arial"/>
                <w:sz w:val="21"/>
              </w:rPr>
            </w:pPr>
          </w:p>
          <w:p w14:paraId="6DC03048">
            <w:pPr>
              <w:spacing w:line="245" w:lineRule="auto"/>
              <w:rPr>
                <w:rFonts w:ascii="Arial"/>
                <w:sz w:val="21"/>
              </w:rPr>
            </w:pPr>
          </w:p>
          <w:p w14:paraId="756414FE">
            <w:pPr>
              <w:spacing w:line="245" w:lineRule="auto"/>
              <w:rPr>
                <w:rFonts w:ascii="Arial"/>
                <w:sz w:val="21"/>
              </w:rPr>
            </w:pPr>
          </w:p>
          <w:p w14:paraId="3C71EC2F">
            <w:pPr>
              <w:spacing w:line="245" w:lineRule="auto"/>
              <w:rPr>
                <w:rFonts w:ascii="Arial"/>
                <w:sz w:val="21"/>
              </w:rPr>
            </w:pPr>
          </w:p>
          <w:p w14:paraId="52FA44AC">
            <w:pPr>
              <w:spacing w:line="245" w:lineRule="auto"/>
              <w:rPr>
                <w:rFonts w:ascii="Arial"/>
                <w:sz w:val="21"/>
              </w:rPr>
            </w:pPr>
          </w:p>
          <w:p w14:paraId="15D2EB48">
            <w:pPr>
              <w:spacing w:line="245" w:lineRule="auto"/>
              <w:rPr>
                <w:rFonts w:ascii="Arial"/>
                <w:sz w:val="21"/>
              </w:rPr>
            </w:pPr>
          </w:p>
          <w:p w14:paraId="41A864F7">
            <w:pPr>
              <w:spacing w:line="245" w:lineRule="auto"/>
              <w:rPr>
                <w:rFonts w:ascii="Arial"/>
                <w:sz w:val="21"/>
              </w:rPr>
            </w:pPr>
          </w:p>
          <w:p w14:paraId="7EADC479">
            <w:pPr>
              <w:spacing w:line="245" w:lineRule="auto"/>
              <w:rPr>
                <w:rFonts w:ascii="Arial"/>
                <w:sz w:val="21"/>
              </w:rPr>
            </w:pPr>
          </w:p>
          <w:p w14:paraId="70842755">
            <w:pPr>
              <w:spacing w:line="245" w:lineRule="auto"/>
              <w:rPr>
                <w:rFonts w:ascii="Arial"/>
                <w:sz w:val="21"/>
              </w:rPr>
            </w:pPr>
          </w:p>
          <w:p w14:paraId="7E278DC3">
            <w:pPr>
              <w:spacing w:line="246" w:lineRule="auto"/>
              <w:rPr>
                <w:rFonts w:ascii="Arial"/>
                <w:sz w:val="21"/>
              </w:rPr>
            </w:pPr>
          </w:p>
          <w:p w14:paraId="512A0A72">
            <w:pPr>
              <w:spacing w:line="246" w:lineRule="auto"/>
              <w:rPr>
                <w:rFonts w:ascii="Arial"/>
                <w:sz w:val="21"/>
              </w:rPr>
            </w:pPr>
          </w:p>
          <w:p w14:paraId="00EEF538">
            <w:pPr>
              <w:spacing w:before="65" w:line="379" w:lineRule="auto"/>
              <w:ind w:left="112" w:right="113"/>
              <w:jc w:val="both"/>
              <w:rPr>
                <w:rFonts w:ascii="宋体" w:hAnsi="宋体" w:eastAsia="宋体" w:cs="宋体"/>
                <w:sz w:val="20"/>
                <w:szCs w:val="20"/>
              </w:rPr>
            </w:pPr>
            <w:r>
              <w:rPr>
                <w:rFonts w:ascii="宋体" w:hAnsi="宋体" w:eastAsia="宋体" w:cs="宋体"/>
                <w:spacing w:val="6"/>
                <w:sz w:val="20"/>
                <w:szCs w:val="20"/>
              </w:rPr>
              <w:t>末端治理和综合利用</w:t>
            </w:r>
          </w:p>
        </w:tc>
        <w:tc>
          <w:tcPr>
            <w:tcW w:w="2773" w:type="dxa"/>
            <w:vAlign w:val="top"/>
          </w:tcPr>
          <w:p w14:paraId="75F93195">
            <w:pPr>
              <w:spacing w:before="36" w:line="364" w:lineRule="auto"/>
              <w:ind w:left="104" w:right="104" w:firstLine="5"/>
              <w:jc w:val="both"/>
              <w:rPr>
                <w:rFonts w:ascii="宋体" w:hAnsi="宋体" w:eastAsia="宋体" w:cs="宋体"/>
                <w:sz w:val="20"/>
                <w:szCs w:val="20"/>
              </w:rPr>
            </w:pPr>
            <w:r>
              <w:rPr>
                <w:rFonts w:ascii="宋体" w:hAnsi="宋体" w:eastAsia="宋体" w:cs="宋体"/>
                <w:spacing w:val="-2"/>
                <w:sz w:val="20"/>
                <w:szCs w:val="20"/>
              </w:rPr>
              <w:t>在</w:t>
            </w:r>
            <w:r>
              <w:rPr>
                <w:rFonts w:ascii="宋体" w:hAnsi="宋体" w:eastAsia="宋体" w:cs="宋体"/>
                <w:spacing w:val="-33"/>
                <w:sz w:val="20"/>
                <w:szCs w:val="20"/>
              </w:rPr>
              <w:t xml:space="preserve"> </w:t>
            </w:r>
            <w:r>
              <w:rPr>
                <w:rFonts w:ascii="宋体" w:hAnsi="宋体" w:eastAsia="宋体" w:cs="宋体"/>
                <w:spacing w:val="-2"/>
                <w:sz w:val="20"/>
                <w:szCs w:val="20"/>
              </w:rPr>
              <w:t>工</w:t>
            </w:r>
            <w:r>
              <w:rPr>
                <w:rFonts w:ascii="宋体" w:hAnsi="宋体" w:eastAsia="宋体" w:cs="宋体"/>
                <w:spacing w:val="-40"/>
                <w:sz w:val="20"/>
                <w:szCs w:val="20"/>
              </w:rPr>
              <w:t xml:space="preserve"> </w:t>
            </w:r>
            <w:r>
              <w:rPr>
                <w:rFonts w:ascii="宋体" w:hAnsi="宋体" w:eastAsia="宋体" w:cs="宋体"/>
                <w:spacing w:val="-2"/>
                <w:sz w:val="20"/>
                <w:szCs w:val="20"/>
              </w:rPr>
              <w:t>业</w:t>
            </w:r>
            <w:r>
              <w:rPr>
                <w:rFonts w:ascii="宋体" w:hAnsi="宋体" w:eastAsia="宋体" w:cs="宋体"/>
                <w:spacing w:val="-37"/>
                <w:sz w:val="20"/>
                <w:szCs w:val="20"/>
              </w:rPr>
              <w:t xml:space="preserve"> </w:t>
            </w:r>
            <w:r>
              <w:rPr>
                <w:rFonts w:ascii="宋体" w:hAnsi="宋体" w:eastAsia="宋体" w:cs="宋体"/>
                <w:spacing w:val="-2"/>
                <w:sz w:val="20"/>
                <w:szCs w:val="20"/>
              </w:rPr>
              <w:t>生</w:t>
            </w:r>
            <w:r>
              <w:rPr>
                <w:rFonts w:ascii="宋体" w:hAnsi="宋体" w:eastAsia="宋体" w:cs="宋体"/>
                <w:spacing w:val="-40"/>
                <w:sz w:val="20"/>
                <w:szCs w:val="20"/>
              </w:rPr>
              <w:t xml:space="preserve"> </w:t>
            </w:r>
            <w:r>
              <w:rPr>
                <w:rFonts w:ascii="宋体" w:hAnsi="宋体" w:eastAsia="宋体" w:cs="宋体"/>
                <w:spacing w:val="-2"/>
                <w:sz w:val="20"/>
                <w:szCs w:val="20"/>
              </w:rPr>
              <w:t>产</w:t>
            </w:r>
            <w:r>
              <w:rPr>
                <w:rFonts w:ascii="宋体" w:hAnsi="宋体" w:eastAsia="宋体" w:cs="宋体"/>
                <w:spacing w:val="-41"/>
                <w:sz w:val="20"/>
                <w:szCs w:val="20"/>
              </w:rPr>
              <w:t xml:space="preserve"> </w:t>
            </w:r>
            <w:r>
              <w:rPr>
                <w:rFonts w:ascii="宋体" w:hAnsi="宋体" w:eastAsia="宋体" w:cs="宋体"/>
                <w:spacing w:val="-2"/>
                <w:sz w:val="20"/>
                <w:szCs w:val="20"/>
              </w:rPr>
              <w:t>过</w:t>
            </w:r>
            <w:r>
              <w:rPr>
                <w:rFonts w:ascii="宋体" w:hAnsi="宋体" w:eastAsia="宋体" w:cs="宋体"/>
                <w:spacing w:val="-40"/>
                <w:sz w:val="20"/>
                <w:szCs w:val="20"/>
              </w:rPr>
              <w:t xml:space="preserve"> </w:t>
            </w:r>
            <w:r>
              <w:rPr>
                <w:rFonts w:ascii="宋体" w:hAnsi="宋体" w:eastAsia="宋体" w:cs="宋体"/>
                <w:spacing w:val="-2"/>
                <w:sz w:val="20"/>
                <w:szCs w:val="20"/>
              </w:rPr>
              <w:t>程</w:t>
            </w:r>
            <w:r>
              <w:rPr>
                <w:rFonts w:ascii="宋体" w:hAnsi="宋体" w:eastAsia="宋体" w:cs="宋体"/>
                <w:spacing w:val="-19"/>
                <w:sz w:val="20"/>
                <w:szCs w:val="20"/>
              </w:rPr>
              <w:t xml:space="preserve"> </w:t>
            </w:r>
            <w:r>
              <w:rPr>
                <w:rFonts w:ascii="宋体" w:hAnsi="宋体" w:eastAsia="宋体" w:cs="宋体"/>
                <w:spacing w:val="-2"/>
                <w:sz w:val="20"/>
                <w:szCs w:val="20"/>
              </w:rPr>
              <w:t>中</w:t>
            </w:r>
            <w:r>
              <w:rPr>
                <w:rFonts w:ascii="宋体" w:hAnsi="宋体" w:eastAsia="宋体" w:cs="宋体"/>
                <w:spacing w:val="-38"/>
                <w:sz w:val="20"/>
                <w:szCs w:val="20"/>
              </w:rPr>
              <w:t xml:space="preserve"> </w:t>
            </w:r>
            <w:r>
              <w:rPr>
                <w:rFonts w:ascii="宋体" w:hAnsi="宋体" w:eastAsia="宋体" w:cs="宋体"/>
                <w:spacing w:val="-2"/>
                <w:sz w:val="20"/>
                <w:szCs w:val="20"/>
              </w:rPr>
              <w:t>鼓</w:t>
            </w:r>
            <w:r>
              <w:rPr>
                <w:rFonts w:ascii="宋体" w:hAnsi="宋体" w:eastAsia="宋体" w:cs="宋体"/>
                <w:spacing w:val="-40"/>
                <w:sz w:val="20"/>
                <w:szCs w:val="20"/>
              </w:rPr>
              <w:t xml:space="preserve"> </w:t>
            </w:r>
            <w:r>
              <w:rPr>
                <w:rFonts w:ascii="宋体" w:hAnsi="宋体" w:eastAsia="宋体" w:cs="宋体"/>
                <w:spacing w:val="-2"/>
                <w:sz w:val="20"/>
                <w:szCs w:val="20"/>
              </w:rPr>
              <w:t>励</w:t>
            </w:r>
            <w:r>
              <w:rPr>
                <w:rFonts w:ascii="Times New Roman" w:hAnsi="Times New Roman" w:eastAsia="Times New Roman" w:cs="Times New Roman"/>
                <w:sz w:val="20"/>
                <w:szCs w:val="20"/>
              </w:rPr>
              <w:t>VOCs</w:t>
            </w:r>
            <w:r>
              <w:rPr>
                <w:rFonts w:ascii="宋体" w:hAnsi="宋体" w:eastAsia="宋体" w:cs="宋体"/>
                <w:spacing w:val="5"/>
                <w:sz w:val="20"/>
                <w:szCs w:val="20"/>
              </w:rPr>
              <w:t>的回收利用，并优先鼓</w:t>
            </w:r>
            <w:r>
              <w:rPr>
                <w:rFonts w:ascii="宋体" w:hAnsi="宋体" w:eastAsia="宋体" w:cs="宋体"/>
                <w:spacing w:val="8"/>
                <w:sz w:val="20"/>
                <w:szCs w:val="20"/>
              </w:rPr>
              <w:t>励在生产系统内回用。</w:t>
            </w:r>
          </w:p>
        </w:tc>
        <w:tc>
          <w:tcPr>
            <w:tcW w:w="2430" w:type="dxa"/>
            <w:vMerge w:val="continue"/>
            <w:tcBorders>
              <w:top w:val="nil"/>
              <w:bottom w:val="nil"/>
            </w:tcBorders>
            <w:vAlign w:val="top"/>
          </w:tcPr>
          <w:p w14:paraId="3EDE48B3">
            <w:pPr>
              <w:rPr>
                <w:rFonts w:ascii="Arial"/>
                <w:sz w:val="21"/>
              </w:rPr>
            </w:pPr>
          </w:p>
        </w:tc>
        <w:tc>
          <w:tcPr>
            <w:tcW w:w="731" w:type="dxa"/>
            <w:vAlign w:val="top"/>
          </w:tcPr>
          <w:p w14:paraId="2AC4CF44">
            <w:pPr>
              <w:spacing w:line="374" w:lineRule="auto"/>
              <w:rPr>
                <w:rFonts w:ascii="Arial"/>
                <w:sz w:val="21"/>
              </w:rPr>
            </w:pPr>
          </w:p>
          <w:p w14:paraId="2D64FC86">
            <w:pPr>
              <w:spacing w:before="65" w:line="228" w:lineRule="auto"/>
              <w:ind w:left="169"/>
              <w:rPr>
                <w:rFonts w:ascii="宋体" w:hAnsi="宋体" w:eastAsia="宋体" w:cs="宋体"/>
                <w:sz w:val="20"/>
                <w:szCs w:val="20"/>
              </w:rPr>
            </w:pPr>
            <w:r>
              <w:rPr>
                <w:rFonts w:ascii="宋体" w:hAnsi="宋体" w:eastAsia="宋体" w:cs="宋体"/>
                <w:spacing w:val="3"/>
                <w:sz w:val="20"/>
                <w:szCs w:val="20"/>
              </w:rPr>
              <w:t>符合</w:t>
            </w:r>
          </w:p>
        </w:tc>
        <w:tc>
          <w:tcPr>
            <w:tcW w:w="122" w:type="dxa"/>
            <w:vMerge w:val="continue"/>
            <w:tcBorders>
              <w:top w:val="nil"/>
              <w:bottom w:val="nil"/>
              <w:right w:val="single" w:color="000000" w:sz="6" w:space="0"/>
            </w:tcBorders>
            <w:vAlign w:val="top"/>
          </w:tcPr>
          <w:p w14:paraId="436F1A7B">
            <w:pPr>
              <w:rPr>
                <w:rFonts w:ascii="Arial"/>
                <w:sz w:val="21"/>
              </w:rPr>
            </w:pPr>
          </w:p>
        </w:tc>
      </w:tr>
      <w:tr w14:paraId="7CBD8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5" w:hRule="atLeast"/>
        </w:trPr>
        <w:tc>
          <w:tcPr>
            <w:tcW w:w="1161" w:type="dxa"/>
            <w:vMerge w:val="continue"/>
            <w:tcBorders>
              <w:top w:val="nil"/>
              <w:left w:val="single" w:color="000000" w:sz="6" w:space="0"/>
              <w:bottom w:val="nil"/>
            </w:tcBorders>
            <w:vAlign w:val="top"/>
          </w:tcPr>
          <w:p w14:paraId="77E64E48">
            <w:pPr>
              <w:rPr>
                <w:rFonts w:ascii="Arial"/>
                <w:sz w:val="21"/>
              </w:rPr>
            </w:pPr>
          </w:p>
        </w:tc>
        <w:tc>
          <w:tcPr>
            <w:tcW w:w="113" w:type="dxa"/>
            <w:tcBorders>
              <w:top w:val="nil"/>
              <w:bottom w:val="nil"/>
            </w:tcBorders>
            <w:vAlign w:val="top"/>
          </w:tcPr>
          <w:p w14:paraId="2DCBBF7B">
            <w:pPr>
              <w:rPr>
                <w:rFonts w:ascii="Arial"/>
                <w:sz w:val="21"/>
              </w:rPr>
            </w:pPr>
          </w:p>
        </w:tc>
        <w:tc>
          <w:tcPr>
            <w:tcW w:w="690" w:type="dxa"/>
            <w:vAlign w:val="top"/>
          </w:tcPr>
          <w:p w14:paraId="176C17D2">
            <w:pPr>
              <w:spacing w:line="277" w:lineRule="auto"/>
              <w:rPr>
                <w:rFonts w:ascii="Arial"/>
                <w:sz w:val="21"/>
              </w:rPr>
            </w:pPr>
          </w:p>
          <w:p w14:paraId="4F5BD087">
            <w:pPr>
              <w:spacing w:line="277" w:lineRule="auto"/>
              <w:rPr>
                <w:rFonts w:ascii="Arial"/>
                <w:sz w:val="21"/>
              </w:rPr>
            </w:pPr>
          </w:p>
          <w:p w14:paraId="39F3207E">
            <w:pPr>
              <w:spacing w:line="278" w:lineRule="auto"/>
              <w:rPr>
                <w:rFonts w:ascii="Arial"/>
                <w:sz w:val="21"/>
              </w:rPr>
            </w:pPr>
          </w:p>
          <w:p w14:paraId="65E71B91">
            <w:pPr>
              <w:spacing w:before="58" w:line="195" w:lineRule="auto"/>
              <w:ind w:left="296"/>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852" w:type="dxa"/>
            <w:vMerge w:val="continue"/>
            <w:tcBorders>
              <w:top w:val="nil"/>
              <w:bottom w:val="nil"/>
            </w:tcBorders>
            <w:vAlign w:val="top"/>
          </w:tcPr>
          <w:p w14:paraId="6BC7707C">
            <w:pPr>
              <w:rPr>
                <w:rFonts w:ascii="Arial"/>
                <w:sz w:val="21"/>
              </w:rPr>
            </w:pPr>
          </w:p>
        </w:tc>
        <w:tc>
          <w:tcPr>
            <w:tcW w:w="2773" w:type="dxa"/>
            <w:vAlign w:val="top"/>
          </w:tcPr>
          <w:p w14:paraId="2D01126A">
            <w:pPr>
              <w:spacing w:before="35" w:line="347" w:lineRule="auto"/>
              <w:ind w:left="110" w:right="93" w:hanging="1"/>
              <w:jc w:val="both"/>
              <w:rPr>
                <w:rFonts w:ascii="宋体" w:hAnsi="宋体" w:eastAsia="宋体" w:cs="宋体"/>
                <w:sz w:val="20"/>
                <w:szCs w:val="20"/>
              </w:rPr>
            </w:pPr>
            <w:r>
              <w:rPr>
                <w:rFonts w:ascii="宋体" w:hAnsi="宋体" w:eastAsia="宋体" w:cs="宋体"/>
                <w:spacing w:val="6"/>
                <w:sz w:val="20"/>
                <w:szCs w:val="20"/>
              </w:rPr>
              <w:t>对于含高浓度</w:t>
            </w:r>
            <w:r>
              <w:rPr>
                <w:rFonts w:ascii="Times New Roman" w:hAnsi="Times New Roman" w:eastAsia="Times New Roman" w:cs="Times New Roman"/>
                <w:sz w:val="20"/>
                <w:szCs w:val="20"/>
              </w:rPr>
              <w:t>VOCs</w:t>
            </w:r>
            <w:r>
              <w:rPr>
                <w:rFonts w:ascii="宋体" w:hAnsi="宋体" w:eastAsia="宋体" w:cs="宋体"/>
                <w:spacing w:val="6"/>
                <w:sz w:val="20"/>
                <w:szCs w:val="20"/>
              </w:rPr>
              <w:t>的</w:t>
            </w:r>
            <w:r>
              <w:rPr>
                <w:rFonts w:ascii="微软雅黑" w:hAnsi="微软雅黑" w:eastAsia="微软雅黑" w:cs="微软雅黑"/>
                <w:spacing w:val="6"/>
                <w:sz w:val="20"/>
                <w:szCs w:val="20"/>
              </w:rPr>
              <w:t>废气</w:t>
            </w:r>
            <w:r>
              <w:rPr>
                <w:rFonts w:ascii="宋体" w:hAnsi="宋体" w:eastAsia="宋体" w:cs="宋体"/>
                <w:spacing w:val="6"/>
                <w:sz w:val="20"/>
                <w:szCs w:val="20"/>
              </w:rPr>
              <w:t>，</w:t>
            </w:r>
            <w:r>
              <w:rPr>
                <w:rFonts w:ascii="宋体" w:hAnsi="宋体" w:eastAsia="宋体" w:cs="宋体"/>
                <w:spacing w:val="12"/>
                <w:sz w:val="20"/>
                <w:szCs w:val="20"/>
              </w:rPr>
              <w:t>宜优先采用冷凝回收、吸附回收技术进行回收利用，并辅助以其他治理技术实现达</w:t>
            </w:r>
            <w:r>
              <w:rPr>
                <w:rFonts w:ascii="宋体" w:hAnsi="宋体" w:eastAsia="宋体" w:cs="宋体"/>
                <w:spacing w:val="4"/>
                <w:sz w:val="20"/>
                <w:szCs w:val="20"/>
              </w:rPr>
              <w:t>标排放。</w:t>
            </w:r>
          </w:p>
        </w:tc>
        <w:tc>
          <w:tcPr>
            <w:tcW w:w="2430" w:type="dxa"/>
            <w:vMerge w:val="continue"/>
            <w:tcBorders>
              <w:top w:val="nil"/>
              <w:bottom w:val="nil"/>
            </w:tcBorders>
            <w:vAlign w:val="top"/>
          </w:tcPr>
          <w:p w14:paraId="4F645238">
            <w:pPr>
              <w:rPr>
                <w:rFonts w:ascii="Arial"/>
                <w:sz w:val="21"/>
              </w:rPr>
            </w:pPr>
          </w:p>
        </w:tc>
        <w:tc>
          <w:tcPr>
            <w:tcW w:w="731" w:type="dxa"/>
            <w:vAlign w:val="top"/>
          </w:tcPr>
          <w:p w14:paraId="70494FF2">
            <w:pPr>
              <w:spacing w:line="260" w:lineRule="auto"/>
              <w:rPr>
                <w:rFonts w:ascii="Arial"/>
                <w:sz w:val="21"/>
              </w:rPr>
            </w:pPr>
          </w:p>
          <w:p w14:paraId="5E799310">
            <w:pPr>
              <w:spacing w:line="261" w:lineRule="auto"/>
              <w:rPr>
                <w:rFonts w:ascii="Arial"/>
                <w:sz w:val="21"/>
              </w:rPr>
            </w:pPr>
          </w:p>
          <w:p w14:paraId="30543823">
            <w:pPr>
              <w:spacing w:line="261" w:lineRule="auto"/>
              <w:rPr>
                <w:rFonts w:ascii="Arial"/>
                <w:sz w:val="21"/>
              </w:rPr>
            </w:pPr>
          </w:p>
          <w:p w14:paraId="0565DB94">
            <w:pPr>
              <w:spacing w:before="65" w:line="228" w:lineRule="auto"/>
              <w:ind w:left="169"/>
              <w:rPr>
                <w:rFonts w:ascii="宋体" w:hAnsi="宋体" w:eastAsia="宋体" w:cs="宋体"/>
                <w:sz w:val="20"/>
                <w:szCs w:val="20"/>
              </w:rPr>
            </w:pPr>
            <w:r>
              <w:rPr>
                <w:rFonts w:ascii="宋体" w:hAnsi="宋体" w:eastAsia="宋体" w:cs="宋体"/>
                <w:spacing w:val="3"/>
                <w:sz w:val="20"/>
                <w:szCs w:val="20"/>
              </w:rPr>
              <w:t>符合</w:t>
            </w:r>
          </w:p>
        </w:tc>
        <w:tc>
          <w:tcPr>
            <w:tcW w:w="122" w:type="dxa"/>
            <w:vMerge w:val="continue"/>
            <w:tcBorders>
              <w:top w:val="nil"/>
              <w:bottom w:val="nil"/>
              <w:right w:val="single" w:color="000000" w:sz="6" w:space="0"/>
            </w:tcBorders>
            <w:vAlign w:val="top"/>
          </w:tcPr>
          <w:p w14:paraId="4FD7CAAC">
            <w:pPr>
              <w:rPr>
                <w:rFonts w:ascii="Arial"/>
                <w:sz w:val="21"/>
              </w:rPr>
            </w:pPr>
          </w:p>
        </w:tc>
      </w:tr>
      <w:tr w14:paraId="0F597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2" w:hRule="atLeast"/>
        </w:trPr>
        <w:tc>
          <w:tcPr>
            <w:tcW w:w="1161" w:type="dxa"/>
            <w:vMerge w:val="continue"/>
            <w:tcBorders>
              <w:top w:val="nil"/>
              <w:left w:val="single" w:color="000000" w:sz="6" w:space="0"/>
              <w:bottom w:val="nil"/>
            </w:tcBorders>
            <w:vAlign w:val="top"/>
          </w:tcPr>
          <w:p w14:paraId="457D58A3">
            <w:pPr>
              <w:rPr>
                <w:rFonts w:ascii="Arial"/>
                <w:sz w:val="21"/>
              </w:rPr>
            </w:pPr>
          </w:p>
        </w:tc>
        <w:tc>
          <w:tcPr>
            <w:tcW w:w="113" w:type="dxa"/>
            <w:tcBorders>
              <w:top w:val="nil"/>
              <w:bottom w:val="nil"/>
            </w:tcBorders>
            <w:vAlign w:val="top"/>
          </w:tcPr>
          <w:p w14:paraId="38FDA98D">
            <w:pPr>
              <w:rPr>
                <w:rFonts w:ascii="Arial"/>
                <w:sz w:val="21"/>
              </w:rPr>
            </w:pPr>
          </w:p>
        </w:tc>
        <w:tc>
          <w:tcPr>
            <w:tcW w:w="690" w:type="dxa"/>
            <w:vAlign w:val="top"/>
          </w:tcPr>
          <w:p w14:paraId="44585B53">
            <w:pPr>
              <w:spacing w:line="248" w:lineRule="auto"/>
              <w:rPr>
                <w:rFonts w:ascii="Arial"/>
                <w:sz w:val="21"/>
              </w:rPr>
            </w:pPr>
          </w:p>
          <w:p w14:paraId="57E8F1DC">
            <w:pPr>
              <w:spacing w:line="248" w:lineRule="auto"/>
              <w:rPr>
                <w:rFonts w:ascii="Arial"/>
                <w:sz w:val="21"/>
              </w:rPr>
            </w:pPr>
          </w:p>
          <w:p w14:paraId="49EBC7C5">
            <w:pPr>
              <w:spacing w:line="248" w:lineRule="auto"/>
              <w:rPr>
                <w:rFonts w:ascii="Arial"/>
                <w:sz w:val="21"/>
              </w:rPr>
            </w:pPr>
          </w:p>
          <w:p w14:paraId="0B56839E">
            <w:pPr>
              <w:spacing w:line="249" w:lineRule="auto"/>
              <w:rPr>
                <w:rFonts w:ascii="Arial"/>
                <w:sz w:val="21"/>
              </w:rPr>
            </w:pPr>
          </w:p>
          <w:p w14:paraId="7862C591">
            <w:pPr>
              <w:spacing w:line="249" w:lineRule="auto"/>
              <w:rPr>
                <w:rFonts w:ascii="Arial"/>
                <w:sz w:val="21"/>
              </w:rPr>
            </w:pPr>
          </w:p>
          <w:p w14:paraId="67EA112A">
            <w:pPr>
              <w:spacing w:before="58" w:line="195" w:lineRule="auto"/>
              <w:ind w:left="291"/>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852" w:type="dxa"/>
            <w:vMerge w:val="continue"/>
            <w:tcBorders>
              <w:top w:val="nil"/>
              <w:bottom w:val="nil"/>
            </w:tcBorders>
            <w:vAlign w:val="top"/>
          </w:tcPr>
          <w:p w14:paraId="576EE53C">
            <w:pPr>
              <w:rPr>
                <w:rFonts w:ascii="Arial"/>
                <w:sz w:val="21"/>
              </w:rPr>
            </w:pPr>
          </w:p>
        </w:tc>
        <w:tc>
          <w:tcPr>
            <w:tcW w:w="2773" w:type="dxa"/>
            <w:vAlign w:val="top"/>
          </w:tcPr>
          <w:p w14:paraId="4BA2AEEB">
            <w:pPr>
              <w:spacing w:before="38" w:line="340" w:lineRule="auto"/>
              <w:ind w:left="109" w:right="104"/>
              <w:jc w:val="both"/>
              <w:rPr>
                <w:rFonts w:ascii="宋体" w:hAnsi="宋体" w:eastAsia="宋体" w:cs="宋体"/>
                <w:sz w:val="20"/>
                <w:szCs w:val="20"/>
              </w:rPr>
            </w:pPr>
            <w:r>
              <w:rPr>
                <w:rFonts w:ascii="宋体" w:hAnsi="宋体" w:eastAsia="宋体" w:cs="宋体"/>
                <w:spacing w:val="28"/>
                <w:sz w:val="20"/>
                <w:szCs w:val="20"/>
              </w:rPr>
              <w:t>对于含中等浓度</w:t>
            </w:r>
            <w:r>
              <w:rPr>
                <w:rFonts w:ascii="Times New Roman" w:hAnsi="Times New Roman" w:eastAsia="Times New Roman" w:cs="Times New Roman"/>
                <w:sz w:val="20"/>
                <w:szCs w:val="20"/>
              </w:rPr>
              <w:t>VOCs</w:t>
            </w:r>
            <w:r>
              <w:rPr>
                <w:rFonts w:ascii="宋体" w:hAnsi="宋体" w:eastAsia="宋体" w:cs="宋体"/>
                <w:spacing w:val="28"/>
                <w:sz w:val="20"/>
                <w:szCs w:val="20"/>
              </w:rPr>
              <w:t>的</w:t>
            </w:r>
            <w:r>
              <w:rPr>
                <w:rFonts w:ascii="微软雅黑" w:hAnsi="微软雅黑" w:eastAsia="微软雅黑" w:cs="微软雅黑"/>
                <w:spacing w:val="28"/>
                <w:sz w:val="20"/>
                <w:szCs w:val="20"/>
              </w:rPr>
              <w:t>废</w:t>
            </w:r>
            <w:r>
              <w:rPr>
                <w:rFonts w:ascii="微软雅黑" w:hAnsi="微软雅黑" w:eastAsia="微软雅黑" w:cs="微软雅黑"/>
                <w:spacing w:val="10"/>
                <w:sz w:val="20"/>
                <w:szCs w:val="20"/>
              </w:rPr>
              <w:t>气</w:t>
            </w:r>
            <w:r>
              <w:rPr>
                <w:rFonts w:ascii="微软雅黑" w:hAnsi="微软雅黑" w:eastAsia="微软雅黑" w:cs="微软雅黑"/>
                <w:spacing w:val="-27"/>
                <w:sz w:val="20"/>
                <w:szCs w:val="20"/>
              </w:rPr>
              <w:t xml:space="preserve"> </w:t>
            </w:r>
            <w:r>
              <w:rPr>
                <w:rFonts w:ascii="宋体" w:hAnsi="宋体" w:eastAsia="宋体" w:cs="宋体"/>
                <w:spacing w:val="10"/>
                <w:sz w:val="20"/>
                <w:szCs w:val="20"/>
              </w:rPr>
              <w:t>，可采用吸附技术回收有</w:t>
            </w:r>
            <w:r>
              <w:rPr>
                <w:rFonts w:ascii="宋体" w:hAnsi="宋体" w:eastAsia="宋体" w:cs="宋体"/>
                <w:spacing w:val="12"/>
                <w:sz w:val="20"/>
                <w:szCs w:val="20"/>
              </w:rPr>
              <w:t>机溶剂，或采用催化燃烧和热力焚烧技术净化后达标排放。当采用催化燃烧和热力焚烧技术进行净化时，应进</w:t>
            </w:r>
            <w:r>
              <w:rPr>
                <w:rFonts w:ascii="宋体" w:hAnsi="宋体" w:eastAsia="宋体" w:cs="宋体"/>
                <w:spacing w:val="7"/>
                <w:sz w:val="20"/>
                <w:szCs w:val="20"/>
              </w:rPr>
              <w:t>行余热回收利用。</w:t>
            </w:r>
          </w:p>
        </w:tc>
        <w:tc>
          <w:tcPr>
            <w:tcW w:w="2430" w:type="dxa"/>
            <w:vMerge w:val="continue"/>
            <w:tcBorders>
              <w:top w:val="nil"/>
              <w:bottom w:val="nil"/>
            </w:tcBorders>
            <w:vAlign w:val="top"/>
          </w:tcPr>
          <w:p w14:paraId="33714F34">
            <w:pPr>
              <w:rPr>
                <w:rFonts w:ascii="Arial"/>
                <w:sz w:val="21"/>
              </w:rPr>
            </w:pPr>
          </w:p>
        </w:tc>
        <w:tc>
          <w:tcPr>
            <w:tcW w:w="731" w:type="dxa"/>
            <w:vAlign w:val="top"/>
          </w:tcPr>
          <w:p w14:paraId="5F7577DB">
            <w:pPr>
              <w:spacing w:line="297" w:lineRule="auto"/>
              <w:rPr>
                <w:rFonts w:ascii="Arial"/>
                <w:sz w:val="21"/>
              </w:rPr>
            </w:pPr>
          </w:p>
          <w:p w14:paraId="46A161B2">
            <w:pPr>
              <w:spacing w:line="297" w:lineRule="auto"/>
              <w:rPr>
                <w:rFonts w:ascii="Arial"/>
                <w:sz w:val="21"/>
              </w:rPr>
            </w:pPr>
          </w:p>
          <w:p w14:paraId="1AA0FB1F">
            <w:pPr>
              <w:spacing w:line="297" w:lineRule="auto"/>
              <w:rPr>
                <w:rFonts w:ascii="Arial"/>
                <w:sz w:val="21"/>
              </w:rPr>
            </w:pPr>
          </w:p>
          <w:p w14:paraId="2653F94A">
            <w:pPr>
              <w:spacing w:line="298" w:lineRule="auto"/>
              <w:rPr>
                <w:rFonts w:ascii="Arial"/>
                <w:sz w:val="21"/>
              </w:rPr>
            </w:pPr>
          </w:p>
          <w:p w14:paraId="20D8ECFE">
            <w:pPr>
              <w:spacing w:before="65" w:line="228" w:lineRule="auto"/>
              <w:ind w:left="169"/>
              <w:rPr>
                <w:rFonts w:ascii="宋体" w:hAnsi="宋体" w:eastAsia="宋体" w:cs="宋体"/>
                <w:sz w:val="20"/>
                <w:szCs w:val="20"/>
              </w:rPr>
            </w:pPr>
            <w:r>
              <w:rPr>
                <w:rFonts w:ascii="宋体" w:hAnsi="宋体" w:eastAsia="宋体" w:cs="宋体"/>
                <w:spacing w:val="3"/>
                <w:sz w:val="20"/>
                <w:szCs w:val="20"/>
              </w:rPr>
              <w:t>符合</w:t>
            </w:r>
          </w:p>
        </w:tc>
        <w:tc>
          <w:tcPr>
            <w:tcW w:w="122" w:type="dxa"/>
            <w:vMerge w:val="continue"/>
            <w:tcBorders>
              <w:top w:val="nil"/>
              <w:bottom w:val="nil"/>
              <w:right w:val="single" w:color="000000" w:sz="6" w:space="0"/>
            </w:tcBorders>
            <w:vAlign w:val="top"/>
          </w:tcPr>
          <w:p w14:paraId="3ACEA2D4">
            <w:pPr>
              <w:rPr>
                <w:rFonts w:ascii="Arial"/>
                <w:sz w:val="21"/>
              </w:rPr>
            </w:pPr>
          </w:p>
        </w:tc>
      </w:tr>
      <w:tr w14:paraId="7620E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9" w:hRule="atLeast"/>
        </w:trPr>
        <w:tc>
          <w:tcPr>
            <w:tcW w:w="1161" w:type="dxa"/>
            <w:vMerge w:val="continue"/>
            <w:tcBorders>
              <w:top w:val="nil"/>
              <w:left w:val="single" w:color="000000" w:sz="6" w:space="0"/>
              <w:bottom w:val="nil"/>
            </w:tcBorders>
            <w:vAlign w:val="top"/>
          </w:tcPr>
          <w:p w14:paraId="5E42F528">
            <w:pPr>
              <w:rPr>
                <w:rFonts w:ascii="Arial"/>
                <w:sz w:val="21"/>
              </w:rPr>
            </w:pPr>
          </w:p>
        </w:tc>
        <w:tc>
          <w:tcPr>
            <w:tcW w:w="113" w:type="dxa"/>
            <w:tcBorders>
              <w:top w:val="nil"/>
              <w:bottom w:val="nil"/>
            </w:tcBorders>
            <w:vAlign w:val="top"/>
          </w:tcPr>
          <w:p w14:paraId="020A4581">
            <w:pPr>
              <w:rPr>
                <w:rFonts w:ascii="Arial"/>
                <w:sz w:val="21"/>
              </w:rPr>
            </w:pPr>
          </w:p>
        </w:tc>
        <w:tc>
          <w:tcPr>
            <w:tcW w:w="690" w:type="dxa"/>
            <w:vAlign w:val="top"/>
          </w:tcPr>
          <w:p w14:paraId="23CBF28A">
            <w:pPr>
              <w:spacing w:line="241" w:lineRule="auto"/>
              <w:rPr>
                <w:rFonts w:ascii="Arial"/>
                <w:sz w:val="21"/>
              </w:rPr>
            </w:pPr>
          </w:p>
          <w:p w14:paraId="3E965922">
            <w:pPr>
              <w:spacing w:line="241" w:lineRule="auto"/>
              <w:rPr>
                <w:rFonts w:ascii="Arial"/>
                <w:sz w:val="21"/>
              </w:rPr>
            </w:pPr>
          </w:p>
          <w:p w14:paraId="55377EF4">
            <w:pPr>
              <w:spacing w:line="241" w:lineRule="auto"/>
              <w:rPr>
                <w:rFonts w:ascii="Arial"/>
                <w:sz w:val="21"/>
              </w:rPr>
            </w:pPr>
          </w:p>
          <w:p w14:paraId="1D085640">
            <w:pPr>
              <w:spacing w:line="241" w:lineRule="auto"/>
              <w:rPr>
                <w:rFonts w:ascii="Arial"/>
                <w:sz w:val="21"/>
              </w:rPr>
            </w:pPr>
          </w:p>
          <w:p w14:paraId="21D6893C">
            <w:pPr>
              <w:spacing w:line="241" w:lineRule="auto"/>
              <w:rPr>
                <w:rFonts w:ascii="Arial"/>
                <w:sz w:val="21"/>
              </w:rPr>
            </w:pPr>
          </w:p>
          <w:p w14:paraId="69523658">
            <w:pPr>
              <w:spacing w:line="241" w:lineRule="auto"/>
              <w:rPr>
                <w:rFonts w:ascii="Arial"/>
                <w:sz w:val="21"/>
              </w:rPr>
            </w:pPr>
          </w:p>
          <w:p w14:paraId="7A3AC49B">
            <w:pPr>
              <w:spacing w:before="58" w:line="195" w:lineRule="auto"/>
              <w:ind w:left="25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852" w:type="dxa"/>
            <w:vMerge w:val="continue"/>
            <w:tcBorders>
              <w:top w:val="nil"/>
              <w:bottom w:val="nil"/>
            </w:tcBorders>
            <w:vAlign w:val="top"/>
          </w:tcPr>
          <w:p w14:paraId="56E5BE53">
            <w:pPr>
              <w:rPr>
                <w:rFonts w:ascii="Arial"/>
                <w:sz w:val="21"/>
              </w:rPr>
            </w:pPr>
          </w:p>
        </w:tc>
        <w:tc>
          <w:tcPr>
            <w:tcW w:w="2773" w:type="dxa"/>
            <w:vAlign w:val="top"/>
          </w:tcPr>
          <w:p w14:paraId="48F6E44D">
            <w:pPr>
              <w:spacing w:before="39" w:line="344" w:lineRule="auto"/>
              <w:ind w:left="110" w:right="50" w:hanging="1"/>
              <w:rPr>
                <w:rFonts w:ascii="宋体" w:hAnsi="宋体" w:eastAsia="宋体" w:cs="宋体"/>
                <w:sz w:val="20"/>
                <w:szCs w:val="20"/>
              </w:rPr>
            </w:pPr>
            <w:r>
              <w:rPr>
                <w:rFonts w:ascii="宋体" w:hAnsi="宋体" w:eastAsia="宋体" w:cs="宋体"/>
                <w:spacing w:val="8"/>
                <w:sz w:val="20"/>
                <w:szCs w:val="20"/>
              </w:rPr>
              <w:t>对于含低浓度</w:t>
            </w:r>
            <w:r>
              <w:rPr>
                <w:rFonts w:ascii="Times New Roman" w:hAnsi="Times New Roman" w:eastAsia="Times New Roman" w:cs="Times New Roman"/>
                <w:sz w:val="20"/>
                <w:szCs w:val="20"/>
              </w:rPr>
              <w:t>VOCs</w:t>
            </w:r>
            <w:r>
              <w:rPr>
                <w:rFonts w:ascii="宋体" w:hAnsi="宋体" w:eastAsia="宋体" w:cs="宋体"/>
                <w:spacing w:val="8"/>
                <w:sz w:val="20"/>
                <w:szCs w:val="20"/>
              </w:rPr>
              <w:t>的</w:t>
            </w:r>
            <w:r>
              <w:rPr>
                <w:rFonts w:ascii="微软雅黑" w:hAnsi="微软雅黑" w:eastAsia="微软雅黑" w:cs="微软雅黑"/>
                <w:spacing w:val="8"/>
                <w:sz w:val="20"/>
                <w:szCs w:val="20"/>
              </w:rPr>
              <w:t>废气</w:t>
            </w:r>
            <w:r>
              <w:rPr>
                <w:rFonts w:ascii="微软雅黑" w:hAnsi="微软雅黑" w:eastAsia="微软雅黑" w:cs="微软雅黑"/>
                <w:spacing w:val="-32"/>
                <w:sz w:val="20"/>
                <w:szCs w:val="20"/>
              </w:rPr>
              <w:t xml:space="preserve"> </w:t>
            </w:r>
            <w:r>
              <w:rPr>
                <w:rFonts w:ascii="宋体" w:hAnsi="宋体" w:eastAsia="宋体" w:cs="宋体"/>
                <w:spacing w:val="8"/>
                <w:sz w:val="20"/>
                <w:szCs w:val="20"/>
              </w:rPr>
              <w:t>，</w:t>
            </w:r>
            <w:r>
              <w:rPr>
                <w:rFonts w:ascii="宋体" w:hAnsi="宋体" w:eastAsia="宋体" w:cs="宋体"/>
                <w:spacing w:val="12"/>
                <w:sz w:val="20"/>
                <w:szCs w:val="20"/>
              </w:rPr>
              <w:t>有回收价值时可采用吸附技术、吸收技术对有机溶剂回</w:t>
            </w:r>
            <w:r>
              <w:rPr>
                <w:rFonts w:ascii="宋体" w:hAnsi="宋体" w:eastAsia="宋体" w:cs="宋体"/>
                <w:sz w:val="20"/>
                <w:szCs w:val="20"/>
              </w:rPr>
              <w:t>收后达标排放；不易回收时，</w:t>
            </w:r>
            <w:r>
              <w:rPr>
                <w:rFonts w:ascii="宋体" w:hAnsi="宋体" w:eastAsia="宋体" w:cs="宋体"/>
                <w:spacing w:val="13"/>
                <w:sz w:val="20"/>
                <w:szCs w:val="20"/>
              </w:rPr>
              <w:t>可采用吸附浓缩燃烧技术、</w:t>
            </w:r>
            <w:r>
              <w:rPr>
                <w:rFonts w:ascii="宋体" w:hAnsi="宋体" w:eastAsia="宋体" w:cs="宋体"/>
                <w:spacing w:val="12"/>
                <w:sz w:val="20"/>
                <w:szCs w:val="20"/>
              </w:rPr>
              <w:t>生</w:t>
            </w:r>
            <w:r>
              <w:rPr>
                <w:rFonts w:ascii="微软雅黑" w:hAnsi="微软雅黑" w:eastAsia="微软雅黑" w:cs="微软雅黑"/>
                <w:spacing w:val="12"/>
                <w:sz w:val="20"/>
                <w:szCs w:val="20"/>
              </w:rPr>
              <w:t>物</w:t>
            </w:r>
            <w:r>
              <w:rPr>
                <w:rFonts w:ascii="宋体" w:hAnsi="宋体" w:eastAsia="宋体" w:cs="宋体"/>
                <w:spacing w:val="12"/>
                <w:sz w:val="20"/>
                <w:szCs w:val="20"/>
              </w:rPr>
              <w:t>技术、吸收技术、等离子技术或紫外光高级氧化技</w:t>
            </w:r>
            <w:r>
              <w:rPr>
                <w:rFonts w:ascii="宋体" w:hAnsi="宋体" w:eastAsia="宋体" w:cs="宋体"/>
                <w:spacing w:val="7"/>
                <w:sz w:val="20"/>
                <w:szCs w:val="20"/>
              </w:rPr>
              <w:t>术等净化后达标排放。</w:t>
            </w:r>
          </w:p>
        </w:tc>
        <w:tc>
          <w:tcPr>
            <w:tcW w:w="2430" w:type="dxa"/>
            <w:vMerge w:val="continue"/>
            <w:tcBorders>
              <w:top w:val="nil"/>
            </w:tcBorders>
            <w:vAlign w:val="top"/>
          </w:tcPr>
          <w:p w14:paraId="50B281E7">
            <w:pPr>
              <w:rPr>
                <w:rFonts w:ascii="Arial"/>
                <w:sz w:val="21"/>
              </w:rPr>
            </w:pPr>
          </w:p>
        </w:tc>
        <w:tc>
          <w:tcPr>
            <w:tcW w:w="731" w:type="dxa"/>
            <w:vAlign w:val="top"/>
          </w:tcPr>
          <w:p w14:paraId="26FD78CD">
            <w:pPr>
              <w:spacing w:line="279" w:lineRule="auto"/>
              <w:rPr>
                <w:rFonts w:ascii="Arial"/>
                <w:sz w:val="21"/>
              </w:rPr>
            </w:pPr>
          </w:p>
          <w:p w14:paraId="53141429">
            <w:pPr>
              <w:spacing w:line="279" w:lineRule="auto"/>
              <w:rPr>
                <w:rFonts w:ascii="Arial"/>
                <w:sz w:val="21"/>
              </w:rPr>
            </w:pPr>
          </w:p>
          <w:p w14:paraId="7BAD4C0D">
            <w:pPr>
              <w:spacing w:line="279" w:lineRule="auto"/>
              <w:rPr>
                <w:rFonts w:ascii="Arial"/>
                <w:sz w:val="21"/>
              </w:rPr>
            </w:pPr>
          </w:p>
          <w:p w14:paraId="69F42536">
            <w:pPr>
              <w:spacing w:line="279" w:lineRule="auto"/>
              <w:rPr>
                <w:rFonts w:ascii="Arial"/>
                <w:sz w:val="21"/>
              </w:rPr>
            </w:pPr>
          </w:p>
          <w:p w14:paraId="1E1656F4">
            <w:pPr>
              <w:spacing w:line="279" w:lineRule="auto"/>
              <w:rPr>
                <w:rFonts w:ascii="Arial"/>
                <w:sz w:val="21"/>
              </w:rPr>
            </w:pPr>
          </w:p>
          <w:p w14:paraId="4B4589A0">
            <w:pPr>
              <w:spacing w:before="65" w:line="228" w:lineRule="auto"/>
              <w:ind w:left="169"/>
              <w:rPr>
                <w:rFonts w:ascii="宋体" w:hAnsi="宋体" w:eastAsia="宋体" w:cs="宋体"/>
                <w:sz w:val="20"/>
                <w:szCs w:val="20"/>
              </w:rPr>
            </w:pPr>
            <w:r>
              <w:rPr>
                <w:rFonts w:ascii="宋体" w:hAnsi="宋体" w:eastAsia="宋体" w:cs="宋体"/>
                <w:spacing w:val="3"/>
                <w:sz w:val="20"/>
                <w:szCs w:val="20"/>
              </w:rPr>
              <w:t>符合</w:t>
            </w:r>
          </w:p>
        </w:tc>
        <w:tc>
          <w:tcPr>
            <w:tcW w:w="122" w:type="dxa"/>
            <w:vMerge w:val="continue"/>
            <w:tcBorders>
              <w:top w:val="nil"/>
              <w:bottom w:val="nil"/>
              <w:right w:val="single" w:color="000000" w:sz="6" w:space="0"/>
            </w:tcBorders>
            <w:vAlign w:val="top"/>
          </w:tcPr>
          <w:p w14:paraId="4C7F0B1F">
            <w:pPr>
              <w:rPr>
                <w:rFonts w:ascii="Arial"/>
                <w:sz w:val="21"/>
              </w:rPr>
            </w:pPr>
          </w:p>
        </w:tc>
      </w:tr>
      <w:tr w14:paraId="257A8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 w:hRule="atLeast"/>
        </w:trPr>
        <w:tc>
          <w:tcPr>
            <w:tcW w:w="1161" w:type="dxa"/>
            <w:vMerge w:val="continue"/>
            <w:tcBorders>
              <w:top w:val="nil"/>
              <w:left w:val="single" w:color="000000" w:sz="6" w:space="0"/>
              <w:bottom w:val="single" w:color="000000" w:sz="6" w:space="0"/>
            </w:tcBorders>
            <w:vAlign w:val="top"/>
          </w:tcPr>
          <w:p w14:paraId="5FA92714">
            <w:pPr>
              <w:rPr>
                <w:rFonts w:ascii="Arial"/>
                <w:sz w:val="21"/>
              </w:rPr>
            </w:pPr>
          </w:p>
        </w:tc>
        <w:tc>
          <w:tcPr>
            <w:tcW w:w="113" w:type="dxa"/>
            <w:tcBorders>
              <w:top w:val="nil"/>
              <w:bottom w:val="single" w:color="000000" w:sz="6" w:space="0"/>
            </w:tcBorders>
            <w:vAlign w:val="top"/>
          </w:tcPr>
          <w:p w14:paraId="3AE6E07D">
            <w:pPr>
              <w:rPr>
                <w:rFonts w:ascii="Arial"/>
                <w:sz w:val="21"/>
              </w:rPr>
            </w:pPr>
          </w:p>
        </w:tc>
        <w:tc>
          <w:tcPr>
            <w:tcW w:w="690" w:type="dxa"/>
            <w:tcBorders>
              <w:bottom w:val="single" w:color="000000" w:sz="6" w:space="0"/>
            </w:tcBorders>
            <w:vAlign w:val="top"/>
          </w:tcPr>
          <w:p w14:paraId="74A71D02">
            <w:pPr>
              <w:spacing w:line="437" w:lineRule="auto"/>
              <w:rPr>
                <w:rFonts w:ascii="Arial"/>
                <w:sz w:val="21"/>
              </w:rPr>
            </w:pPr>
          </w:p>
          <w:p w14:paraId="4B11BDB7">
            <w:pPr>
              <w:spacing w:before="57" w:line="195" w:lineRule="auto"/>
              <w:ind w:left="259"/>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852" w:type="dxa"/>
            <w:vMerge w:val="continue"/>
            <w:tcBorders>
              <w:top w:val="nil"/>
              <w:bottom w:val="single" w:color="000000" w:sz="6" w:space="0"/>
            </w:tcBorders>
            <w:vAlign w:val="top"/>
          </w:tcPr>
          <w:p w14:paraId="63C36E92">
            <w:pPr>
              <w:rPr>
                <w:rFonts w:ascii="Arial"/>
                <w:sz w:val="21"/>
              </w:rPr>
            </w:pPr>
          </w:p>
        </w:tc>
        <w:tc>
          <w:tcPr>
            <w:tcW w:w="2773" w:type="dxa"/>
            <w:tcBorders>
              <w:bottom w:val="single" w:color="000000" w:sz="6" w:space="0"/>
            </w:tcBorders>
            <w:vAlign w:val="top"/>
          </w:tcPr>
          <w:p w14:paraId="5D5650B8">
            <w:pPr>
              <w:spacing w:before="43" w:line="336" w:lineRule="auto"/>
              <w:ind w:left="108" w:right="104" w:firstLine="1"/>
              <w:jc w:val="both"/>
              <w:rPr>
                <w:rFonts w:ascii="宋体" w:hAnsi="宋体" w:eastAsia="宋体" w:cs="宋体"/>
                <w:sz w:val="20"/>
                <w:szCs w:val="20"/>
              </w:rPr>
            </w:pPr>
            <w:r>
              <w:rPr>
                <w:rFonts w:ascii="宋体" w:hAnsi="宋体" w:eastAsia="宋体" w:cs="宋体"/>
                <w:spacing w:val="28"/>
                <w:sz w:val="20"/>
                <w:szCs w:val="20"/>
              </w:rPr>
              <w:t>含有有机卤素成分</w:t>
            </w:r>
            <w:r>
              <w:rPr>
                <w:rFonts w:ascii="Times New Roman" w:hAnsi="Times New Roman" w:eastAsia="Times New Roman" w:cs="Times New Roman"/>
                <w:sz w:val="20"/>
                <w:szCs w:val="20"/>
              </w:rPr>
              <w:t>VOCs</w:t>
            </w:r>
            <w:r>
              <w:rPr>
                <w:rFonts w:ascii="宋体" w:hAnsi="宋体" w:eastAsia="宋体" w:cs="宋体"/>
                <w:spacing w:val="28"/>
                <w:sz w:val="20"/>
                <w:szCs w:val="20"/>
              </w:rPr>
              <w:t>的</w:t>
            </w:r>
            <w:r>
              <w:rPr>
                <w:rFonts w:ascii="微软雅黑" w:hAnsi="微软雅黑" w:eastAsia="微软雅黑" w:cs="微软雅黑"/>
                <w:spacing w:val="10"/>
                <w:sz w:val="20"/>
                <w:szCs w:val="20"/>
              </w:rPr>
              <w:t>废气</w:t>
            </w:r>
            <w:r>
              <w:rPr>
                <w:rFonts w:ascii="微软雅黑" w:hAnsi="微软雅黑" w:eastAsia="微软雅黑" w:cs="微软雅黑"/>
                <w:spacing w:val="-29"/>
                <w:sz w:val="20"/>
                <w:szCs w:val="20"/>
              </w:rPr>
              <w:t xml:space="preserve"> </w:t>
            </w:r>
            <w:r>
              <w:rPr>
                <w:rFonts w:ascii="宋体" w:hAnsi="宋体" w:eastAsia="宋体" w:cs="宋体"/>
                <w:spacing w:val="10"/>
                <w:sz w:val="20"/>
                <w:szCs w:val="20"/>
              </w:rPr>
              <w:t>，宜采用</w:t>
            </w:r>
            <w:r>
              <w:rPr>
                <w:rFonts w:ascii="微软雅黑" w:hAnsi="微软雅黑" w:eastAsia="微软雅黑" w:cs="微软雅黑"/>
                <w:spacing w:val="10"/>
                <w:sz w:val="20"/>
                <w:szCs w:val="20"/>
              </w:rPr>
              <w:t>非</w:t>
            </w:r>
            <w:r>
              <w:rPr>
                <w:rFonts w:ascii="宋体" w:hAnsi="宋体" w:eastAsia="宋体" w:cs="宋体"/>
                <w:spacing w:val="10"/>
                <w:sz w:val="20"/>
                <w:szCs w:val="20"/>
              </w:rPr>
              <w:t>焚烧技术处</w:t>
            </w:r>
            <w:r>
              <w:rPr>
                <w:rFonts w:ascii="宋体" w:hAnsi="宋体" w:eastAsia="宋体" w:cs="宋体"/>
                <w:spacing w:val="1"/>
                <w:sz w:val="20"/>
                <w:szCs w:val="20"/>
              </w:rPr>
              <w:t>理。</w:t>
            </w:r>
          </w:p>
        </w:tc>
        <w:tc>
          <w:tcPr>
            <w:tcW w:w="2430" w:type="dxa"/>
            <w:tcBorders>
              <w:bottom w:val="single" w:color="000000" w:sz="6" w:space="0"/>
            </w:tcBorders>
            <w:vAlign w:val="top"/>
          </w:tcPr>
          <w:p w14:paraId="4D0E9C35">
            <w:pPr>
              <w:spacing w:before="43" w:line="227" w:lineRule="auto"/>
              <w:ind w:left="117"/>
              <w:rPr>
                <w:rFonts w:ascii="宋体" w:hAnsi="宋体" w:eastAsia="宋体" w:cs="宋体"/>
                <w:sz w:val="20"/>
                <w:szCs w:val="20"/>
              </w:rPr>
            </w:pPr>
            <w:r>
              <w:rPr>
                <w:rFonts w:ascii="宋体" w:hAnsi="宋体" w:eastAsia="宋体" w:cs="宋体"/>
                <w:spacing w:val="6"/>
                <w:sz w:val="20"/>
                <w:szCs w:val="20"/>
              </w:rPr>
              <w:t>本项目不涉及。</w:t>
            </w:r>
          </w:p>
        </w:tc>
        <w:tc>
          <w:tcPr>
            <w:tcW w:w="731" w:type="dxa"/>
            <w:tcBorders>
              <w:bottom w:val="single" w:color="000000" w:sz="6" w:space="0"/>
            </w:tcBorders>
            <w:vAlign w:val="top"/>
          </w:tcPr>
          <w:p w14:paraId="3120E589">
            <w:pPr>
              <w:spacing w:line="384" w:lineRule="auto"/>
              <w:rPr>
                <w:rFonts w:ascii="Arial"/>
                <w:sz w:val="21"/>
              </w:rPr>
            </w:pPr>
          </w:p>
          <w:p w14:paraId="64350222">
            <w:pPr>
              <w:spacing w:before="65" w:line="228" w:lineRule="auto"/>
              <w:ind w:left="169"/>
              <w:rPr>
                <w:rFonts w:ascii="宋体" w:hAnsi="宋体" w:eastAsia="宋体" w:cs="宋体"/>
                <w:sz w:val="20"/>
                <w:szCs w:val="20"/>
              </w:rPr>
            </w:pPr>
            <w:r>
              <w:rPr>
                <w:rFonts w:ascii="宋体" w:hAnsi="宋体" w:eastAsia="宋体" w:cs="宋体"/>
                <w:spacing w:val="3"/>
                <w:sz w:val="20"/>
                <w:szCs w:val="20"/>
              </w:rPr>
              <w:t>符合</w:t>
            </w:r>
          </w:p>
        </w:tc>
        <w:tc>
          <w:tcPr>
            <w:tcW w:w="122" w:type="dxa"/>
            <w:vMerge w:val="continue"/>
            <w:tcBorders>
              <w:top w:val="nil"/>
              <w:bottom w:val="single" w:color="000000" w:sz="6" w:space="0"/>
              <w:right w:val="single" w:color="000000" w:sz="6" w:space="0"/>
            </w:tcBorders>
            <w:vAlign w:val="top"/>
          </w:tcPr>
          <w:p w14:paraId="5FDF67F3">
            <w:pPr>
              <w:rPr>
                <w:rFonts w:ascii="Arial"/>
                <w:sz w:val="21"/>
              </w:rPr>
            </w:pPr>
          </w:p>
        </w:tc>
      </w:tr>
    </w:tbl>
    <w:p w14:paraId="2AE8626E">
      <w:pPr>
        <w:pStyle w:val="2"/>
      </w:pPr>
    </w:p>
    <w:p w14:paraId="1D3FFCE4">
      <w:pPr>
        <w:sectPr>
          <w:footerReference r:id="rId39" w:type="default"/>
          <w:pgSz w:w="11906" w:h="16839"/>
          <w:pgMar w:top="400" w:right="1509" w:bottom="1329" w:left="1509" w:header="0" w:footer="1113" w:gutter="0"/>
          <w:cols w:space="720" w:num="1"/>
        </w:sectPr>
      </w:pPr>
    </w:p>
    <w:p w14:paraId="5E86AF85">
      <w:pPr>
        <w:spacing w:before="19"/>
      </w:pPr>
    </w:p>
    <w:p w14:paraId="2E183248">
      <w:pPr>
        <w:spacing w:before="19"/>
      </w:pPr>
    </w:p>
    <w:p w14:paraId="39B233D7">
      <w:pPr>
        <w:spacing w:before="19"/>
      </w:pPr>
    </w:p>
    <w:p w14:paraId="01EB3FDC">
      <w:pPr>
        <w:spacing w:before="18"/>
      </w:pPr>
    </w:p>
    <w:p w14:paraId="01FF4D95">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690"/>
        <w:gridCol w:w="529"/>
        <w:gridCol w:w="323"/>
        <w:gridCol w:w="2516"/>
        <w:gridCol w:w="257"/>
        <w:gridCol w:w="2254"/>
        <w:gridCol w:w="176"/>
        <w:gridCol w:w="731"/>
        <w:gridCol w:w="122"/>
      </w:tblGrid>
      <w:tr w14:paraId="33525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4" w:hRule="atLeast"/>
        </w:trPr>
        <w:tc>
          <w:tcPr>
            <w:tcW w:w="1161" w:type="dxa"/>
            <w:vMerge w:val="restart"/>
            <w:tcBorders>
              <w:top w:val="single" w:color="000000" w:sz="6" w:space="0"/>
              <w:left w:val="single" w:color="000000" w:sz="6" w:space="0"/>
              <w:bottom w:val="nil"/>
            </w:tcBorders>
            <w:vAlign w:val="top"/>
          </w:tcPr>
          <w:p w14:paraId="5E7462DC">
            <w:pPr>
              <w:rPr>
                <w:rFonts w:ascii="Arial"/>
                <w:sz w:val="21"/>
              </w:rPr>
            </w:pPr>
          </w:p>
        </w:tc>
        <w:tc>
          <w:tcPr>
            <w:tcW w:w="113" w:type="dxa"/>
            <w:tcBorders>
              <w:top w:val="single" w:color="000000" w:sz="6" w:space="0"/>
              <w:bottom w:val="nil"/>
            </w:tcBorders>
            <w:vAlign w:val="top"/>
          </w:tcPr>
          <w:p w14:paraId="39835897">
            <w:pPr>
              <w:rPr>
                <w:rFonts w:ascii="Arial"/>
                <w:sz w:val="21"/>
              </w:rPr>
            </w:pPr>
          </w:p>
        </w:tc>
        <w:tc>
          <w:tcPr>
            <w:tcW w:w="690" w:type="dxa"/>
            <w:tcBorders>
              <w:top w:val="single" w:color="000000" w:sz="6" w:space="0"/>
            </w:tcBorders>
            <w:vAlign w:val="top"/>
          </w:tcPr>
          <w:p w14:paraId="2788D1E4">
            <w:pPr>
              <w:rPr>
                <w:rFonts w:ascii="Arial"/>
                <w:sz w:val="21"/>
              </w:rPr>
            </w:pPr>
          </w:p>
          <w:p w14:paraId="6BAD6713">
            <w:pPr>
              <w:rPr>
                <w:rFonts w:ascii="Arial"/>
                <w:sz w:val="21"/>
              </w:rPr>
            </w:pPr>
          </w:p>
          <w:p w14:paraId="3E797CBE">
            <w:pPr>
              <w:rPr>
                <w:rFonts w:ascii="Arial"/>
                <w:sz w:val="21"/>
              </w:rPr>
            </w:pPr>
          </w:p>
          <w:p w14:paraId="1DA57B97">
            <w:pPr>
              <w:rPr>
                <w:rFonts w:ascii="Arial"/>
                <w:sz w:val="21"/>
              </w:rPr>
            </w:pPr>
          </w:p>
          <w:p w14:paraId="1BACB5E6">
            <w:pPr>
              <w:spacing w:line="241" w:lineRule="auto"/>
              <w:rPr>
                <w:rFonts w:ascii="Arial"/>
                <w:sz w:val="21"/>
              </w:rPr>
            </w:pPr>
          </w:p>
          <w:p w14:paraId="4B2AB2D1">
            <w:pPr>
              <w:spacing w:line="241" w:lineRule="auto"/>
              <w:rPr>
                <w:rFonts w:ascii="Arial"/>
                <w:sz w:val="21"/>
              </w:rPr>
            </w:pPr>
          </w:p>
          <w:p w14:paraId="2B3AE725">
            <w:pPr>
              <w:spacing w:before="57" w:line="195" w:lineRule="auto"/>
              <w:ind w:left="25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852" w:type="dxa"/>
            <w:gridSpan w:val="2"/>
            <w:vMerge w:val="restart"/>
            <w:tcBorders>
              <w:top w:val="single" w:color="000000" w:sz="6" w:space="0"/>
              <w:bottom w:val="nil"/>
            </w:tcBorders>
            <w:vAlign w:val="top"/>
          </w:tcPr>
          <w:p w14:paraId="01B327C8">
            <w:pPr>
              <w:rPr>
                <w:rFonts w:ascii="Arial"/>
                <w:sz w:val="21"/>
              </w:rPr>
            </w:pPr>
          </w:p>
        </w:tc>
        <w:tc>
          <w:tcPr>
            <w:tcW w:w="2773" w:type="dxa"/>
            <w:gridSpan w:val="2"/>
            <w:tcBorders>
              <w:top w:val="single" w:color="000000" w:sz="6" w:space="0"/>
            </w:tcBorders>
            <w:vAlign w:val="top"/>
          </w:tcPr>
          <w:p w14:paraId="5A000C46">
            <w:pPr>
              <w:spacing w:before="36" w:line="325" w:lineRule="auto"/>
              <w:ind w:left="111" w:right="104"/>
              <w:rPr>
                <w:rFonts w:ascii="宋体" w:hAnsi="宋体" w:eastAsia="宋体" w:cs="宋体"/>
                <w:sz w:val="20"/>
                <w:szCs w:val="20"/>
              </w:rPr>
            </w:pPr>
            <w:r>
              <w:rPr>
                <w:rFonts w:ascii="宋体" w:hAnsi="宋体" w:eastAsia="宋体" w:cs="宋体"/>
                <w:spacing w:val="12"/>
                <w:sz w:val="20"/>
                <w:szCs w:val="20"/>
              </w:rPr>
              <w:t>恶臭</w:t>
            </w:r>
            <w:r>
              <w:rPr>
                <w:rFonts w:ascii="微软雅黑" w:hAnsi="微软雅黑" w:eastAsia="微软雅黑" w:cs="微软雅黑"/>
                <w:spacing w:val="12"/>
                <w:sz w:val="20"/>
                <w:szCs w:val="20"/>
              </w:rPr>
              <w:t>气</w:t>
            </w:r>
            <w:r>
              <w:rPr>
                <w:rFonts w:ascii="宋体" w:hAnsi="宋体" w:eastAsia="宋体" w:cs="宋体"/>
                <w:spacing w:val="12"/>
                <w:sz w:val="20"/>
                <w:szCs w:val="20"/>
              </w:rPr>
              <w:t>体污染源可采用生</w:t>
            </w:r>
            <w:r>
              <w:rPr>
                <w:rFonts w:ascii="微软雅黑" w:hAnsi="微软雅黑" w:eastAsia="微软雅黑" w:cs="微软雅黑"/>
                <w:spacing w:val="12"/>
                <w:sz w:val="20"/>
                <w:szCs w:val="20"/>
              </w:rPr>
              <w:t>物</w:t>
            </w:r>
            <w:r>
              <w:rPr>
                <w:rFonts w:ascii="宋体" w:hAnsi="宋体" w:eastAsia="宋体" w:cs="宋体"/>
                <w:spacing w:val="12"/>
                <w:sz w:val="20"/>
                <w:szCs w:val="20"/>
              </w:rPr>
              <w:t>技术、等离子体技术、吸附</w:t>
            </w:r>
          </w:p>
          <w:p w14:paraId="0FB66E2F">
            <w:pPr>
              <w:spacing w:line="352" w:lineRule="auto"/>
              <w:ind w:left="108" w:right="104" w:firstLine="2"/>
              <w:jc w:val="both"/>
              <w:rPr>
                <w:rFonts w:ascii="宋体" w:hAnsi="宋体" w:eastAsia="宋体" w:cs="宋体"/>
                <w:sz w:val="20"/>
                <w:szCs w:val="20"/>
              </w:rPr>
            </w:pPr>
            <w:r>
              <w:rPr>
                <w:rFonts w:ascii="宋体" w:hAnsi="宋体" w:eastAsia="宋体" w:cs="宋体"/>
                <w:spacing w:val="12"/>
                <w:sz w:val="20"/>
                <w:szCs w:val="20"/>
              </w:rPr>
              <w:t>技术、吸收技术、紫外光高级氧化技术或组合技术等进行净化。净化后的恶臭</w:t>
            </w:r>
            <w:r>
              <w:rPr>
                <w:rFonts w:ascii="微软雅黑" w:hAnsi="微软雅黑" w:eastAsia="微软雅黑" w:cs="微软雅黑"/>
                <w:spacing w:val="12"/>
                <w:sz w:val="20"/>
                <w:szCs w:val="20"/>
              </w:rPr>
              <w:t>气</w:t>
            </w:r>
            <w:r>
              <w:rPr>
                <w:rFonts w:ascii="宋体" w:hAnsi="宋体" w:eastAsia="宋体" w:cs="宋体"/>
                <w:spacing w:val="12"/>
                <w:sz w:val="20"/>
                <w:szCs w:val="20"/>
              </w:rPr>
              <w:t>体除满足达标排放的要求外，还应采取高空排放等措施，</w:t>
            </w:r>
            <w:r>
              <w:rPr>
                <w:rFonts w:ascii="宋体" w:hAnsi="宋体" w:eastAsia="宋体" w:cs="宋体"/>
                <w:spacing w:val="7"/>
                <w:sz w:val="20"/>
                <w:szCs w:val="20"/>
              </w:rPr>
              <w:t>避免产生扰民问题。</w:t>
            </w:r>
          </w:p>
        </w:tc>
        <w:tc>
          <w:tcPr>
            <w:tcW w:w="2430" w:type="dxa"/>
            <w:gridSpan w:val="2"/>
            <w:tcBorders>
              <w:top w:val="single" w:color="000000" w:sz="6" w:space="0"/>
            </w:tcBorders>
            <w:vAlign w:val="top"/>
          </w:tcPr>
          <w:p w14:paraId="39BBCB10">
            <w:pPr>
              <w:spacing w:before="37" w:line="227" w:lineRule="auto"/>
              <w:ind w:left="117"/>
              <w:rPr>
                <w:rFonts w:ascii="宋体" w:hAnsi="宋体" w:eastAsia="宋体" w:cs="宋体"/>
                <w:sz w:val="20"/>
                <w:szCs w:val="20"/>
              </w:rPr>
            </w:pPr>
            <w:r>
              <w:rPr>
                <w:rFonts w:ascii="宋体" w:hAnsi="宋体" w:eastAsia="宋体" w:cs="宋体"/>
                <w:spacing w:val="6"/>
                <w:sz w:val="20"/>
                <w:szCs w:val="20"/>
              </w:rPr>
              <w:t>本项目不涉及。</w:t>
            </w:r>
          </w:p>
        </w:tc>
        <w:tc>
          <w:tcPr>
            <w:tcW w:w="731" w:type="dxa"/>
            <w:tcBorders>
              <w:top w:val="single" w:color="000000" w:sz="6" w:space="0"/>
            </w:tcBorders>
            <w:vAlign w:val="top"/>
          </w:tcPr>
          <w:p w14:paraId="01B313E0">
            <w:pPr>
              <w:spacing w:line="278" w:lineRule="auto"/>
              <w:rPr>
                <w:rFonts w:ascii="Arial"/>
                <w:sz w:val="21"/>
              </w:rPr>
            </w:pPr>
          </w:p>
          <w:p w14:paraId="28A25E1D">
            <w:pPr>
              <w:spacing w:line="278" w:lineRule="auto"/>
              <w:rPr>
                <w:rFonts w:ascii="Arial"/>
                <w:sz w:val="21"/>
              </w:rPr>
            </w:pPr>
          </w:p>
          <w:p w14:paraId="389F32DA">
            <w:pPr>
              <w:spacing w:line="278" w:lineRule="auto"/>
              <w:rPr>
                <w:rFonts w:ascii="Arial"/>
                <w:sz w:val="21"/>
              </w:rPr>
            </w:pPr>
          </w:p>
          <w:p w14:paraId="0530D89C">
            <w:pPr>
              <w:spacing w:line="278" w:lineRule="auto"/>
              <w:rPr>
                <w:rFonts w:ascii="Arial"/>
                <w:sz w:val="21"/>
              </w:rPr>
            </w:pPr>
          </w:p>
          <w:p w14:paraId="2960D2B3">
            <w:pPr>
              <w:spacing w:line="279" w:lineRule="auto"/>
              <w:rPr>
                <w:rFonts w:ascii="Arial"/>
                <w:sz w:val="21"/>
              </w:rPr>
            </w:pPr>
          </w:p>
          <w:p w14:paraId="4F5CE8A3">
            <w:pPr>
              <w:spacing w:before="65" w:line="228" w:lineRule="auto"/>
              <w:ind w:left="169"/>
              <w:rPr>
                <w:rFonts w:ascii="宋体" w:hAnsi="宋体" w:eastAsia="宋体" w:cs="宋体"/>
                <w:sz w:val="20"/>
                <w:szCs w:val="20"/>
              </w:rPr>
            </w:pPr>
            <w:r>
              <w:rPr>
                <w:rFonts w:ascii="宋体" w:hAnsi="宋体" w:eastAsia="宋体" w:cs="宋体"/>
                <w:spacing w:val="3"/>
                <w:sz w:val="20"/>
                <w:szCs w:val="20"/>
              </w:rPr>
              <w:t>符合</w:t>
            </w:r>
          </w:p>
        </w:tc>
        <w:tc>
          <w:tcPr>
            <w:tcW w:w="122" w:type="dxa"/>
            <w:tcBorders>
              <w:top w:val="single" w:color="000000" w:sz="6" w:space="0"/>
              <w:bottom w:val="nil"/>
              <w:right w:val="single" w:color="000000" w:sz="6" w:space="0"/>
            </w:tcBorders>
            <w:vAlign w:val="top"/>
          </w:tcPr>
          <w:p w14:paraId="63A4C015">
            <w:pPr>
              <w:rPr>
                <w:rFonts w:ascii="Arial"/>
                <w:sz w:val="21"/>
              </w:rPr>
            </w:pPr>
          </w:p>
        </w:tc>
      </w:tr>
      <w:tr w14:paraId="5152B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9" w:hRule="atLeast"/>
        </w:trPr>
        <w:tc>
          <w:tcPr>
            <w:tcW w:w="1161" w:type="dxa"/>
            <w:vMerge w:val="continue"/>
            <w:tcBorders>
              <w:top w:val="nil"/>
              <w:left w:val="single" w:color="000000" w:sz="6" w:space="0"/>
              <w:bottom w:val="nil"/>
            </w:tcBorders>
            <w:vAlign w:val="top"/>
          </w:tcPr>
          <w:p w14:paraId="1341CFBA">
            <w:pPr>
              <w:rPr>
                <w:rFonts w:ascii="Arial"/>
                <w:sz w:val="21"/>
              </w:rPr>
            </w:pPr>
          </w:p>
        </w:tc>
        <w:tc>
          <w:tcPr>
            <w:tcW w:w="113" w:type="dxa"/>
            <w:tcBorders>
              <w:top w:val="nil"/>
              <w:bottom w:val="nil"/>
            </w:tcBorders>
            <w:vAlign w:val="top"/>
          </w:tcPr>
          <w:p w14:paraId="68509BF7">
            <w:pPr>
              <w:rPr>
                <w:rFonts w:ascii="Arial"/>
                <w:sz w:val="21"/>
              </w:rPr>
            </w:pPr>
          </w:p>
        </w:tc>
        <w:tc>
          <w:tcPr>
            <w:tcW w:w="690" w:type="dxa"/>
            <w:vAlign w:val="top"/>
          </w:tcPr>
          <w:p w14:paraId="04DE88EC">
            <w:pPr>
              <w:rPr>
                <w:rFonts w:ascii="Arial"/>
                <w:sz w:val="21"/>
              </w:rPr>
            </w:pPr>
          </w:p>
          <w:p w14:paraId="52102467">
            <w:pPr>
              <w:rPr>
                <w:rFonts w:ascii="Arial"/>
                <w:sz w:val="21"/>
              </w:rPr>
            </w:pPr>
          </w:p>
          <w:p w14:paraId="20F2B9FE">
            <w:pPr>
              <w:rPr>
                <w:rFonts w:ascii="Arial"/>
                <w:sz w:val="21"/>
              </w:rPr>
            </w:pPr>
          </w:p>
          <w:p w14:paraId="17285932">
            <w:pPr>
              <w:rPr>
                <w:rFonts w:ascii="Arial"/>
                <w:sz w:val="21"/>
              </w:rPr>
            </w:pPr>
          </w:p>
          <w:p w14:paraId="2848C744">
            <w:pPr>
              <w:rPr>
                <w:rFonts w:ascii="Arial"/>
                <w:sz w:val="21"/>
              </w:rPr>
            </w:pPr>
          </w:p>
          <w:p w14:paraId="5CB54965">
            <w:pPr>
              <w:spacing w:line="241" w:lineRule="auto"/>
              <w:rPr>
                <w:rFonts w:ascii="Arial"/>
                <w:sz w:val="21"/>
              </w:rPr>
            </w:pPr>
          </w:p>
          <w:p w14:paraId="5A6557AB">
            <w:pPr>
              <w:spacing w:before="58" w:line="195" w:lineRule="auto"/>
              <w:ind w:left="25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tc>
        <w:tc>
          <w:tcPr>
            <w:tcW w:w="852" w:type="dxa"/>
            <w:gridSpan w:val="2"/>
            <w:vMerge w:val="continue"/>
            <w:tcBorders>
              <w:top w:val="nil"/>
              <w:bottom w:val="nil"/>
            </w:tcBorders>
            <w:vAlign w:val="top"/>
          </w:tcPr>
          <w:p w14:paraId="34D8FEDF">
            <w:pPr>
              <w:rPr>
                <w:rFonts w:ascii="Arial"/>
                <w:sz w:val="21"/>
              </w:rPr>
            </w:pPr>
          </w:p>
        </w:tc>
        <w:tc>
          <w:tcPr>
            <w:tcW w:w="2773" w:type="dxa"/>
            <w:gridSpan w:val="2"/>
            <w:vAlign w:val="top"/>
          </w:tcPr>
          <w:p w14:paraId="47631C26">
            <w:pPr>
              <w:spacing w:before="32" w:line="321" w:lineRule="auto"/>
              <w:ind w:left="110" w:right="50"/>
              <w:jc w:val="both"/>
              <w:rPr>
                <w:rFonts w:ascii="宋体" w:hAnsi="宋体" w:eastAsia="宋体" w:cs="宋体"/>
                <w:sz w:val="20"/>
                <w:szCs w:val="20"/>
              </w:rPr>
            </w:pPr>
            <w:r>
              <w:rPr>
                <w:rFonts w:ascii="宋体" w:hAnsi="宋体" w:eastAsia="宋体" w:cs="宋体"/>
                <w:spacing w:val="27"/>
                <w:sz w:val="20"/>
                <w:szCs w:val="20"/>
              </w:rPr>
              <w:t>严格控制</w:t>
            </w:r>
            <w:r>
              <w:rPr>
                <w:rFonts w:ascii="Times New Roman" w:hAnsi="Times New Roman" w:eastAsia="Times New Roman" w:cs="Times New Roman"/>
                <w:sz w:val="20"/>
                <w:szCs w:val="20"/>
              </w:rPr>
              <w:t>VOCs</w:t>
            </w:r>
            <w:r>
              <w:rPr>
                <w:rFonts w:ascii="宋体" w:hAnsi="宋体" w:eastAsia="宋体" w:cs="宋体"/>
                <w:spacing w:val="27"/>
                <w:sz w:val="20"/>
                <w:szCs w:val="20"/>
              </w:rPr>
              <w:t>处理过程中</w:t>
            </w:r>
            <w:r>
              <w:rPr>
                <w:rFonts w:ascii="宋体" w:hAnsi="宋体" w:eastAsia="宋体" w:cs="宋体"/>
                <w:spacing w:val="12"/>
                <w:sz w:val="20"/>
                <w:szCs w:val="20"/>
              </w:rPr>
              <w:t>产生的</w:t>
            </w:r>
            <w:r>
              <w:rPr>
                <w:rFonts w:ascii="微软雅黑" w:hAnsi="微软雅黑" w:eastAsia="微软雅黑" w:cs="微软雅黑"/>
                <w:spacing w:val="12"/>
                <w:sz w:val="20"/>
                <w:szCs w:val="20"/>
              </w:rPr>
              <w:t>二</w:t>
            </w:r>
            <w:r>
              <w:rPr>
                <w:rFonts w:ascii="宋体" w:hAnsi="宋体" w:eastAsia="宋体" w:cs="宋体"/>
                <w:spacing w:val="12"/>
                <w:sz w:val="20"/>
                <w:szCs w:val="20"/>
              </w:rPr>
              <w:t>次污染，对于催化燃烧和热力焚烧过程中产生</w:t>
            </w:r>
            <w:r>
              <w:rPr>
                <w:rFonts w:ascii="宋体" w:hAnsi="宋体" w:eastAsia="宋体" w:cs="宋体"/>
                <w:sz w:val="20"/>
                <w:szCs w:val="20"/>
              </w:rPr>
              <w:t>的含硫、氮、氯等无机</w:t>
            </w:r>
            <w:r>
              <w:rPr>
                <w:rFonts w:ascii="微软雅黑" w:hAnsi="微软雅黑" w:eastAsia="微软雅黑" w:cs="微软雅黑"/>
                <w:sz w:val="20"/>
                <w:szCs w:val="20"/>
              </w:rPr>
              <w:t>废气</w:t>
            </w:r>
            <w:r>
              <w:rPr>
                <w:rFonts w:ascii="宋体" w:hAnsi="宋体" w:eastAsia="宋体" w:cs="宋体"/>
                <w:sz w:val="20"/>
                <w:szCs w:val="20"/>
              </w:rPr>
              <w:t>，</w:t>
            </w:r>
            <w:r>
              <w:rPr>
                <w:rFonts w:ascii="宋体" w:hAnsi="宋体" w:eastAsia="宋体" w:cs="宋体"/>
                <w:spacing w:val="12"/>
                <w:sz w:val="20"/>
                <w:szCs w:val="20"/>
              </w:rPr>
              <w:t>以及吸附、吸收、冷凝、生</w:t>
            </w:r>
            <w:r>
              <w:rPr>
                <w:rFonts w:ascii="微软雅黑" w:hAnsi="微软雅黑" w:eastAsia="微软雅黑" w:cs="微软雅黑"/>
                <w:spacing w:val="12"/>
                <w:sz w:val="20"/>
                <w:szCs w:val="20"/>
              </w:rPr>
              <w:t>物</w:t>
            </w:r>
            <w:r>
              <w:rPr>
                <w:rFonts w:ascii="宋体" w:hAnsi="宋体" w:eastAsia="宋体" w:cs="宋体"/>
                <w:spacing w:val="12"/>
                <w:sz w:val="20"/>
                <w:szCs w:val="20"/>
              </w:rPr>
              <w:t>等治理过程中所产生的含有机</w:t>
            </w:r>
            <w:r>
              <w:rPr>
                <w:rFonts w:ascii="微软雅黑" w:hAnsi="微软雅黑" w:eastAsia="微软雅黑" w:cs="微软雅黑"/>
                <w:spacing w:val="12"/>
                <w:sz w:val="20"/>
                <w:szCs w:val="20"/>
              </w:rPr>
              <w:t>物废</w:t>
            </w:r>
            <w:r>
              <w:rPr>
                <w:rFonts w:ascii="宋体" w:hAnsi="宋体" w:eastAsia="宋体" w:cs="宋体"/>
                <w:spacing w:val="12"/>
                <w:sz w:val="20"/>
                <w:szCs w:val="20"/>
              </w:rPr>
              <w:t>水，应处理后达标</w:t>
            </w:r>
            <w:r>
              <w:rPr>
                <w:rFonts w:ascii="宋体" w:hAnsi="宋体" w:eastAsia="宋体" w:cs="宋体"/>
                <w:spacing w:val="3"/>
                <w:sz w:val="20"/>
                <w:szCs w:val="20"/>
              </w:rPr>
              <w:t>排放。</w:t>
            </w:r>
          </w:p>
        </w:tc>
        <w:tc>
          <w:tcPr>
            <w:tcW w:w="2430" w:type="dxa"/>
            <w:gridSpan w:val="2"/>
            <w:vAlign w:val="top"/>
          </w:tcPr>
          <w:p w14:paraId="37129D57">
            <w:pPr>
              <w:spacing w:before="34" w:line="311" w:lineRule="auto"/>
              <w:ind w:left="116" w:right="101"/>
              <w:rPr>
                <w:rFonts w:ascii="宋体" w:hAnsi="宋体" w:eastAsia="宋体" w:cs="宋体"/>
                <w:sz w:val="20"/>
                <w:szCs w:val="20"/>
              </w:rPr>
            </w:pPr>
            <w:r>
              <w:rPr>
                <w:rFonts w:ascii="宋体" w:hAnsi="宋体" w:eastAsia="宋体" w:cs="宋体"/>
                <w:spacing w:val="11"/>
                <w:sz w:val="20"/>
                <w:szCs w:val="20"/>
              </w:rPr>
              <w:t>本项目产生的</w:t>
            </w:r>
            <w:r>
              <w:rPr>
                <w:rFonts w:ascii="微软雅黑" w:hAnsi="微软雅黑" w:eastAsia="微软雅黑" w:cs="微软雅黑"/>
                <w:spacing w:val="11"/>
                <w:sz w:val="20"/>
                <w:szCs w:val="20"/>
              </w:rPr>
              <w:t>废气</w:t>
            </w:r>
            <w:r>
              <w:rPr>
                <w:rFonts w:ascii="宋体" w:hAnsi="宋体" w:eastAsia="宋体" w:cs="宋体"/>
                <w:spacing w:val="11"/>
                <w:sz w:val="20"/>
                <w:szCs w:val="20"/>
              </w:rPr>
              <w:t>在注</w:t>
            </w:r>
            <w:r>
              <w:rPr>
                <w:rFonts w:ascii="宋体" w:hAnsi="宋体" w:eastAsia="宋体" w:cs="宋体"/>
                <w:sz w:val="20"/>
                <w:szCs w:val="20"/>
              </w:rPr>
              <w:t>塑区上空设置集</w:t>
            </w:r>
            <w:r>
              <w:rPr>
                <w:rFonts w:ascii="微软雅黑" w:hAnsi="微软雅黑" w:eastAsia="微软雅黑" w:cs="微软雅黑"/>
                <w:sz w:val="20"/>
                <w:szCs w:val="20"/>
              </w:rPr>
              <w:t>气</w:t>
            </w:r>
            <w:r>
              <w:rPr>
                <w:rFonts w:ascii="宋体" w:hAnsi="宋体" w:eastAsia="宋体" w:cs="宋体"/>
                <w:sz w:val="20"/>
                <w:szCs w:val="20"/>
              </w:rPr>
              <w:t>罩，收</w:t>
            </w:r>
            <w:r>
              <w:rPr>
                <w:rFonts w:ascii="宋体" w:hAnsi="宋体" w:eastAsia="宋体" w:cs="宋体"/>
                <w:spacing w:val="8"/>
                <w:sz w:val="20"/>
                <w:szCs w:val="20"/>
              </w:rPr>
              <w:t>集后废气经集气罩</w:t>
            </w:r>
            <w:r>
              <w:rPr>
                <w:rFonts w:ascii="Times New Roman" w:hAnsi="Times New Roman" w:eastAsia="Times New Roman" w:cs="Times New Roman"/>
                <w:spacing w:val="8"/>
                <w:sz w:val="20"/>
                <w:szCs w:val="20"/>
              </w:rPr>
              <w:t>+</w:t>
            </w:r>
            <w:r>
              <w:rPr>
                <w:rFonts w:ascii="宋体" w:hAnsi="宋体" w:eastAsia="宋体" w:cs="宋体"/>
                <w:spacing w:val="8"/>
                <w:sz w:val="20"/>
                <w:szCs w:val="20"/>
              </w:rPr>
              <w:t>三</w:t>
            </w:r>
          </w:p>
          <w:p w14:paraId="762CB64E">
            <w:pPr>
              <w:spacing w:before="1" w:line="377" w:lineRule="auto"/>
              <w:ind w:left="117" w:right="101" w:firstLine="2"/>
              <w:rPr>
                <w:rFonts w:ascii="宋体" w:hAnsi="宋体" w:eastAsia="宋体" w:cs="宋体"/>
                <w:sz w:val="20"/>
                <w:szCs w:val="20"/>
              </w:rPr>
            </w:pPr>
            <w:r>
              <w:rPr>
                <w:rFonts w:ascii="宋体" w:hAnsi="宋体" w:eastAsia="宋体" w:cs="宋体"/>
                <w:spacing w:val="7"/>
                <w:sz w:val="20"/>
                <w:szCs w:val="20"/>
              </w:rPr>
              <w:t>级活性炭吸附</w:t>
            </w:r>
            <w:r>
              <w:rPr>
                <w:rFonts w:ascii="Times New Roman" w:hAnsi="Times New Roman" w:eastAsia="Times New Roman" w:cs="Times New Roman"/>
                <w:spacing w:val="7"/>
                <w:sz w:val="20"/>
                <w:szCs w:val="20"/>
              </w:rPr>
              <w:t>+15m</w:t>
            </w:r>
            <w:r>
              <w:rPr>
                <w:rFonts w:ascii="宋体" w:hAnsi="宋体" w:eastAsia="宋体" w:cs="宋体"/>
                <w:spacing w:val="7"/>
                <w:sz w:val="20"/>
                <w:szCs w:val="20"/>
              </w:rPr>
              <w:t>排气</w:t>
            </w:r>
            <w:r>
              <w:rPr>
                <w:rFonts w:ascii="宋体" w:hAnsi="宋体" w:eastAsia="宋体" w:cs="宋体"/>
                <w:spacing w:val="1"/>
                <w:sz w:val="20"/>
                <w:szCs w:val="20"/>
              </w:rPr>
              <w:t>筒（</w:t>
            </w:r>
            <w:r>
              <w:rPr>
                <w:rFonts w:ascii="Times New Roman" w:hAnsi="Times New Roman" w:eastAsia="Times New Roman" w:cs="Times New Roman"/>
                <w:sz w:val="20"/>
                <w:szCs w:val="20"/>
              </w:rPr>
              <w:t>DA</w:t>
            </w:r>
            <w:r>
              <w:rPr>
                <w:rFonts w:ascii="Times New Roman" w:hAnsi="Times New Roman" w:eastAsia="Times New Roman" w:cs="Times New Roman"/>
                <w:spacing w:val="1"/>
                <w:sz w:val="20"/>
                <w:szCs w:val="20"/>
              </w:rPr>
              <w:t>005</w:t>
            </w:r>
            <w:r>
              <w:rPr>
                <w:rFonts w:ascii="宋体" w:hAnsi="宋体" w:eastAsia="宋体" w:cs="宋体"/>
                <w:spacing w:val="1"/>
                <w:sz w:val="20"/>
                <w:szCs w:val="20"/>
              </w:rPr>
              <w:t>）处理后可达</w:t>
            </w:r>
            <w:r>
              <w:rPr>
                <w:rFonts w:ascii="宋体" w:hAnsi="宋体" w:eastAsia="宋体" w:cs="宋体"/>
                <w:spacing w:val="4"/>
                <w:sz w:val="20"/>
                <w:szCs w:val="20"/>
              </w:rPr>
              <w:t>标排放。</w:t>
            </w:r>
          </w:p>
          <w:p w14:paraId="7DE0E198">
            <w:pPr>
              <w:spacing w:before="2" w:line="269" w:lineRule="auto"/>
              <w:ind w:left="115" w:right="218" w:hanging="1"/>
              <w:rPr>
                <w:rFonts w:ascii="宋体" w:hAnsi="宋体" w:eastAsia="宋体" w:cs="宋体"/>
                <w:sz w:val="20"/>
                <w:szCs w:val="20"/>
              </w:rPr>
            </w:pPr>
            <w:r>
              <w:rPr>
                <w:rFonts w:ascii="微软雅黑" w:hAnsi="微软雅黑" w:eastAsia="微软雅黑" w:cs="微软雅黑"/>
                <w:spacing w:val="9"/>
                <w:sz w:val="20"/>
                <w:szCs w:val="20"/>
              </w:rPr>
              <w:t>废气</w:t>
            </w:r>
            <w:r>
              <w:rPr>
                <w:rFonts w:ascii="宋体" w:hAnsi="宋体" w:eastAsia="宋体" w:cs="宋体"/>
                <w:spacing w:val="9"/>
                <w:sz w:val="20"/>
                <w:szCs w:val="20"/>
              </w:rPr>
              <w:t>处理过程中不涉及</w:t>
            </w:r>
            <w:r>
              <w:rPr>
                <w:rFonts w:ascii="宋体" w:hAnsi="宋体" w:eastAsia="宋体" w:cs="宋体"/>
                <w:spacing w:val="7"/>
                <w:sz w:val="20"/>
                <w:szCs w:val="20"/>
              </w:rPr>
              <w:t>含有机</w:t>
            </w:r>
            <w:r>
              <w:rPr>
                <w:rFonts w:ascii="微软雅黑" w:hAnsi="微软雅黑" w:eastAsia="微软雅黑" w:cs="微软雅黑"/>
                <w:spacing w:val="7"/>
                <w:sz w:val="20"/>
                <w:szCs w:val="20"/>
              </w:rPr>
              <w:t>物废</w:t>
            </w:r>
            <w:r>
              <w:rPr>
                <w:rFonts w:ascii="宋体" w:hAnsi="宋体" w:eastAsia="宋体" w:cs="宋体"/>
                <w:spacing w:val="7"/>
                <w:sz w:val="20"/>
                <w:szCs w:val="20"/>
              </w:rPr>
              <w:t>水。</w:t>
            </w:r>
          </w:p>
        </w:tc>
        <w:tc>
          <w:tcPr>
            <w:tcW w:w="731" w:type="dxa"/>
            <w:vAlign w:val="top"/>
          </w:tcPr>
          <w:p w14:paraId="633413C6">
            <w:pPr>
              <w:spacing w:line="278" w:lineRule="auto"/>
              <w:rPr>
                <w:rFonts w:ascii="Arial"/>
                <w:sz w:val="21"/>
              </w:rPr>
            </w:pPr>
          </w:p>
          <w:p w14:paraId="230A63D1">
            <w:pPr>
              <w:spacing w:line="278" w:lineRule="auto"/>
              <w:rPr>
                <w:rFonts w:ascii="Arial"/>
                <w:sz w:val="21"/>
              </w:rPr>
            </w:pPr>
          </w:p>
          <w:p w14:paraId="02E4F7D2">
            <w:pPr>
              <w:spacing w:line="278" w:lineRule="auto"/>
              <w:rPr>
                <w:rFonts w:ascii="Arial"/>
                <w:sz w:val="21"/>
              </w:rPr>
            </w:pPr>
          </w:p>
          <w:p w14:paraId="0DEF727D">
            <w:pPr>
              <w:spacing w:line="278" w:lineRule="auto"/>
              <w:rPr>
                <w:rFonts w:ascii="Arial"/>
                <w:sz w:val="21"/>
              </w:rPr>
            </w:pPr>
          </w:p>
          <w:p w14:paraId="6510E93E">
            <w:pPr>
              <w:spacing w:line="278" w:lineRule="auto"/>
              <w:rPr>
                <w:rFonts w:ascii="Arial"/>
                <w:sz w:val="21"/>
              </w:rPr>
            </w:pPr>
          </w:p>
          <w:p w14:paraId="6EF08163">
            <w:pPr>
              <w:spacing w:before="65" w:line="228" w:lineRule="auto"/>
              <w:ind w:left="169"/>
              <w:rPr>
                <w:rFonts w:ascii="宋体" w:hAnsi="宋体" w:eastAsia="宋体" w:cs="宋体"/>
                <w:sz w:val="20"/>
                <w:szCs w:val="20"/>
              </w:rPr>
            </w:pPr>
            <w:r>
              <w:rPr>
                <w:rFonts w:ascii="宋体" w:hAnsi="宋体" w:eastAsia="宋体" w:cs="宋体"/>
                <w:spacing w:val="3"/>
                <w:sz w:val="20"/>
                <w:szCs w:val="20"/>
              </w:rPr>
              <w:t>符合</w:t>
            </w:r>
          </w:p>
        </w:tc>
        <w:tc>
          <w:tcPr>
            <w:tcW w:w="122" w:type="dxa"/>
            <w:tcBorders>
              <w:top w:val="nil"/>
              <w:bottom w:val="nil"/>
              <w:right w:val="single" w:color="000000" w:sz="6" w:space="0"/>
            </w:tcBorders>
            <w:vAlign w:val="top"/>
          </w:tcPr>
          <w:p w14:paraId="2AA284A8">
            <w:pPr>
              <w:rPr>
                <w:rFonts w:ascii="Arial"/>
                <w:sz w:val="21"/>
              </w:rPr>
            </w:pPr>
          </w:p>
        </w:tc>
      </w:tr>
      <w:tr w14:paraId="06780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6" w:hRule="atLeast"/>
        </w:trPr>
        <w:tc>
          <w:tcPr>
            <w:tcW w:w="1161" w:type="dxa"/>
            <w:vMerge w:val="continue"/>
            <w:tcBorders>
              <w:top w:val="nil"/>
              <w:left w:val="single" w:color="000000" w:sz="6" w:space="0"/>
              <w:bottom w:val="nil"/>
            </w:tcBorders>
            <w:vAlign w:val="top"/>
          </w:tcPr>
          <w:p w14:paraId="0EC68689">
            <w:pPr>
              <w:rPr>
                <w:rFonts w:ascii="Arial"/>
                <w:sz w:val="21"/>
              </w:rPr>
            </w:pPr>
          </w:p>
        </w:tc>
        <w:tc>
          <w:tcPr>
            <w:tcW w:w="113" w:type="dxa"/>
            <w:tcBorders>
              <w:top w:val="nil"/>
              <w:bottom w:val="nil"/>
            </w:tcBorders>
            <w:vAlign w:val="top"/>
          </w:tcPr>
          <w:p w14:paraId="3466041A">
            <w:pPr>
              <w:rPr>
                <w:rFonts w:ascii="Arial"/>
                <w:sz w:val="21"/>
              </w:rPr>
            </w:pPr>
          </w:p>
        </w:tc>
        <w:tc>
          <w:tcPr>
            <w:tcW w:w="690" w:type="dxa"/>
            <w:vAlign w:val="top"/>
          </w:tcPr>
          <w:p w14:paraId="23145136">
            <w:pPr>
              <w:spacing w:line="279" w:lineRule="auto"/>
              <w:rPr>
                <w:rFonts w:ascii="Arial"/>
                <w:sz w:val="21"/>
              </w:rPr>
            </w:pPr>
          </w:p>
          <w:p w14:paraId="79A249D0">
            <w:pPr>
              <w:spacing w:line="279" w:lineRule="auto"/>
              <w:rPr>
                <w:rFonts w:ascii="Arial"/>
                <w:sz w:val="21"/>
              </w:rPr>
            </w:pPr>
          </w:p>
          <w:p w14:paraId="2F6D0D94">
            <w:pPr>
              <w:spacing w:line="279" w:lineRule="auto"/>
              <w:rPr>
                <w:rFonts w:ascii="Arial"/>
                <w:sz w:val="21"/>
              </w:rPr>
            </w:pPr>
          </w:p>
          <w:p w14:paraId="7E372FC6">
            <w:pPr>
              <w:spacing w:before="58" w:line="195" w:lineRule="auto"/>
              <w:ind w:left="25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14</w:t>
            </w:r>
          </w:p>
        </w:tc>
        <w:tc>
          <w:tcPr>
            <w:tcW w:w="852" w:type="dxa"/>
            <w:gridSpan w:val="2"/>
            <w:vMerge w:val="continue"/>
            <w:tcBorders>
              <w:top w:val="nil"/>
            </w:tcBorders>
            <w:vAlign w:val="top"/>
          </w:tcPr>
          <w:p w14:paraId="4681547D">
            <w:pPr>
              <w:rPr>
                <w:rFonts w:ascii="Arial"/>
                <w:sz w:val="21"/>
              </w:rPr>
            </w:pPr>
          </w:p>
        </w:tc>
        <w:tc>
          <w:tcPr>
            <w:tcW w:w="2773" w:type="dxa"/>
            <w:gridSpan w:val="2"/>
            <w:vAlign w:val="top"/>
          </w:tcPr>
          <w:p w14:paraId="12B698E5">
            <w:pPr>
              <w:spacing w:before="39" w:line="350" w:lineRule="auto"/>
              <w:ind w:left="109" w:right="104"/>
              <w:rPr>
                <w:rFonts w:ascii="宋体" w:hAnsi="宋体" w:eastAsia="宋体" w:cs="宋体"/>
                <w:sz w:val="20"/>
                <w:szCs w:val="20"/>
              </w:rPr>
            </w:pPr>
            <w:r>
              <w:rPr>
                <w:rFonts w:ascii="宋体" w:hAnsi="宋体" w:eastAsia="宋体" w:cs="宋体"/>
                <w:spacing w:val="12"/>
                <w:sz w:val="20"/>
                <w:szCs w:val="20"/>
              </w:rPr>
              <w:t>对于不能再生的过滤材料、</w:t>
            </w:r>
            <w:r>
              <w:rPr>
                <w:rFonts w:ascii="宋体" w:hAnsi="宋体" w:eastAsia="宋体" w:cs="宋体"/>
                <w:spacing w:val="32"/>
                <w:sz w:val="20"/>
                <w:szCs w:val="20"/>
              </w:rPr>
              <w:t>吸附剂及催化剂等净化材</w:t>
            </w:r>
            <w:r>
              <w:rPr>
                <w:rFonts w:ascii="宋体" w:hAnsi="宋体" w:eastAsia="宋体" w:cs="宋体"/>
                <w:spacing w:val="12"/>
                <w:sz w:val="20"/>
                <w:szCs w:val="20"/>
              </w:rPr>
              <w:t>料，应按照国家固体</w:t>
            </w:r>
            <w:r>
              <w:rPr>
                <w:rFonts w:ascii="微软雅黑" w:hAnsi="微软雅黑" w:eastAsia="微软雅黑" w:cs="微软雅黑"/>
                <w:spacing w:val="12"/>
                <w:sz w:val="20"/>
                <w:szCs w:val="20"/>
              </w:rPr>
              <w:t>废物</w:t>
            </w:r>
            <w:r>
              <w:rPr>
                <w:rFonts w:ascii="宋体" w:hAnsi="宋体" w:eastAsia="宋体" w:cs="宋体"/>
                <w:spacing w:val="12"/>
                <w:sz w:val="20"/>
                <w:szCs w:val="20"/>
              </w:rPr>
              <w:t>管</w:t>
            </w:r>
            <w:r>
              <w:rPr>
                <w:rFonts w:ascii="宋体" w:hAnsi="宋体" w:eastAsia="宋体" w:cs="宋体"/>
                <w:spacing w:val="8"/>
                <w:sz w:val="20"/>
                <w:szCs w:val="20"/>
              </w:rPr>
              <w:t>理的相关规定处理处置。</w:t>
            </w:r>
          </w:p>
        </w:tc>
        <w:tc>
          <w:tcPr>
            <w:tcW w:w="2430" w:type="dxa"/>
            <w:gridSpan w:val="2"/>
            <w:vAlign w:val="top"/>
          </w:tcPr>
          <w:p w14:paraId="1B4B467F">
            <w:pPr>
              <w:spacing w:before="36" w:line="294" w:lineRule="auto"/>
              <w:ind w:left="116" w:right="42"/>
              <w:rPr>
                <w:rFonts w:ascii="宋体" w:hAnsi="宋体" w:eastAsia="宋体" w:cs="宋体"/>
                <w:sz w:val="20"/>
                <w:szCs w:val="20"/>
              </w:rPr>
            </w:pPr>
            <w:r>
              <w:rPr>
                <w:rFonts w:ascii="宋体" w:hAnsi="宋体" w:eastAsia="宋体" w:cs="宋体"/>
                <w:spacing w:val="8"/>
                <w:sz w:val="20"/>
                <w:szCs w:val="20"/>
              </w:rPr>
              <w:t>本项目</w:t>
            </w:r>
            <w:r>
              <w:rPr>
                <w:rFonts w:ascii="微软雅黑" w:hAnsi="微软雅黑" w:eastAsia="微软雅黑" w:cs="微软雅黑"/>
                <w:spacing w:val="8"/>
                <w:sz w:val="20"/>
                <w:szCs w:val="20"/>
              </w:rPr>
              <w:t>废</w:t>
            </w:r>
            <w:r>
              <w:rPr>
                <w:rFonts w:ascii="宋体" w:hAnsi="宋体" w:eastAsia="宋体" w:cs="宋体"/>
                <w:spacing w:val="8"/>
                <w:sz w:val="20"/>
                <w:szCs w:val="20"/>
              </w:rPr>
              <w:t>包装材料收集</w:t>
            </w:r>
            <w:r>
              <w:rPr>
                <w:rFonts w:ascii="宋体" w:hAnsi="宋体" w:eastAsia="宋体" w:cs="宋体"/>
                <w:sz w:val="20"/>
                <w:szCs w:val="20"/>
              </w:rPr>
              <w:t>后委托环卫清运，</w:t>
            </w:r>
            <w:r>
              <w:rPr>
                <w:rFonts w:ascii="微软雅黑" w:hAnsi="微软雅黑" w:eastAsia="微软雅黑" w:cs="微软雅黑"/>
                <w:sz w:val="20"/>
                <w:szCs w:val="20"/>
              </w:rPr>
              <w:t>废</w:t>
            </w:r>
            <w:r>
              <w:rPr>
                <w:rFonts w:ascii="宋体" w:hAnsi="宋体" w:eastAsia="宋体" w:cs="宋体"/>
                <w:sz w:val="20"/>
                <w:szCs w:val="20"/>
              </w:rPr>
              <w:t>边角</w:t>
            </w:r>
            <w:r>
              <w:rPr>
                <w:rFonts w:ascii="宋体" w:hAnsi="宋体" w:eastAsia="宋体" w:cs="宋体"/>
                <w:spacing w:val="8"/>
                <w:sz w:val="20"/>
                <w:szCs w:val="20"/>
              </w:rPr>
              <w:t>料收集后外售，</w:t>
            </w:r>
            <w:r>
              <w:rPr>
                <w:rFonts w:ascii="微软雅黑" w:hAnsi="微软雅黑" w:eastAsia="微软雅黑" w:cs="微软雅黑"/>
                <w:spacing w:val="8"/>
                <w:sz w:val="20"/>
                <w:szCs w:val="20"/>
              </w:rPr>
              <w:t>废</w:t>
            </w:r>
            <w:r>
              <w:rPr>
                <w:rFonts w:ascii="宋体" w:hAnsi="宋体" w:eastAsia="宋体" w:cs="宋体"/>
                <w:spacing w:val="8"/>
                <w:sz w:val="20"/>
                <w:szCs w:val="20"/>
              </w:rPr>
              <w:t>润滑</w:t>
            </w:r>
            <w:r>
              <w:rPr>
                <w:rFonts w:ascii="宋体" w:hAnsi="宋体" w:eastAsia="宋体" w:cs="宋体"/>
                <w:sz w:val="20"/>
                <w:szCs w:val="20"/>
              </w:rPr>
              <w:t>油、</w:t>
            </w:r>
            <w:r>
              <w:rPr>
                <w:rFonts w:ascii="微软雅黑" w:hAnsi="微软雅黑" w:eastAsia="微软雅黑" w:cs="微软雅黑"/>
                <w:sz w:val="20"/>
                <w:szCs w:val="20"/>
              </w:rPr>
              <w:t>废</w:t>
            </w:r>
            <w:r>
              <w:rPr>
                <w:rFonts w:ascii="宋体" w:hAnsi="宋体" w:eastAsia="宋体" w:cs="宋体"/>
                <w:sz w:val="20"/>
                <w:szCs w:val="20"/>
              </w:rPr>
              <w:t>活性炭、收集后委</w:t>
            </w:r>
            <w:r>
              <w:rPr>
                <w:rFonts w:ascii="宋体" w:hAnsi="宋体" w:eastAsia="宋体" w:cs="宋体"/>
                <w:spacing w:val="6"/>
                <w:sz w:val="20"/>
                <w:szCs w:val="20"/>
              </w:rPr>
              <w:t>托有资质单位进行处置。</w:t>
            </w:r>
          </w:p>
        </w:tc>
        <w:tc>
          <w:tcPr>
            <w:tcW w:w="731" w:type="dxa"/>
            <w:vAlign w:val="top"/>
          </w:tcPr>
          <w:p w14:paraId="1EC0CA2C">
            <w:pPr>
              <w:spacing w:line="261" w:lineRule="auto"/>
              <w:rPr>
                <w:rFonts w:ascii="Arial"/>
                <w:sz w:val="21"/>
              </w:rPr>
            </w:pPr>
          </w:p>
          <w:p w14:paraId="5407817B">
            <w:pPr>
              <w:spacing w:line="261" w:lineRule="auto"/>
              <w:rPr>
                <w:rFonts w:ascii="Arial"/>
                <w:sz w:val="21"/>
              </w:rPr>
            </w:pPr>
          </w:p>
          <w:p w14:paraId="240446A8">
            <w:pPr>
              <w:spacing w:line="262" w:lineRule="auto"/>
              <w:rPr>
                <w:rFonts w:ascii="Arial"/>
                <w:sz w:val="21"/>
              </w:rPr>
            </w:pPr>
          </w:p>
          <w:p w14:paraId="4EE1E8F6">
            <w:pPr>
              <w:spacing w:before="65" w:line="228" w:lineRule="auto"/>
              <w:ind w:left="169"/>
              <w:rPr>
                <w:rFonts w:ascii="宋体" w:hAnsi="宋体" w:eastAsia="宋体" w:cs="宋体"/>
                <w:sz w:val="20"/>
                <w:szCs w:val="20"/>
              </w:rPr>
            </w:pPr>
            <w:r>
              <w:rPr>
                <w:rFonts w:ascii="宋体" w:hAnsi="宋体" w:eastAsia="宋体" w:cs="宋体"/>
                <w:spacing w:val="3"/>
                <w:sz w:val="20"/>
                <w:szCs w:val="20"/>
              </w:rPr>
              <w:t>符合</w:t>
            </w:r>
          </w:p>
        </w:tc>
        <w:tc>
          <w:tcPr>
            <w:tcW w:w="122" w:type="dxa"/>
            <w:tcBorders>
              <w:top w:val="nil"/>
              <w:bottom w:val="nil"/>
              <w:right w:val="single" w:color="000000" w:sz="6" w:space="0"/>
            </w:tcBorders>
            <w:vAlign w:val="top"/>
          </w:tcPr>
          <w:p w14:paraId="40D07290">
            <w:pPr>
              <w:rPr>
                <w:rFonts w:ascii="Arial"/>
                <w:sz w:val="21"/>
              </w:rPr>
            </w:pPr>
          </w:p>
        </w:tc>
      </w:tr>
      <w:tr w14:paraId="4D405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9" w:hRule="atLeast"/>
        </w:trPr>
        <w:tc>
          <w:tcPr>
            <w:tcW w:w="1161" w:type="dxa"/>
            <w:vMerge w:val="continue"/>
            <w:tcBorders>
              <w:top w:val="nil"/>
              <w:left w:val="single" w:color="000000" w:sz="6" w:space="0"/>
              <w:bottom w:val="nil"/>
            </w:tcBorders>
            <w:vAlign w:val="top"/>
          </w:tcPr>
          <w:p w14:paraId="03ADE4B5">
            <w:pPr>
              <w:rPr>
                <w:rFonts w:ascii="Arial"/>
                <w:sz w:val="21"/>
              </w:rPr>
            </w:pPr>
          </w:p>
        </w:tc>
        <w:tc>
          <w:tcPr>
            <w:tcW w:w="7711" w:type="dxa"/>
            <w:gridSpan w:val="10"/>
            <w:tcBorders>
              <w:right w:val="single" w:color="000000" w:sz="6" w:space="0"/>
            </w:tcBorders>
            <w:vAlign w:val="top"/>
          </w:tcPr>
          <w:p w14:paraId="67DE2A33">
            <w:pPr>
              <w:spacing w:before="44" w:line="186" w:lineRule="auto"/>
              <w:ind w:left="591"/>
              <w:rPr>
                <w:rFonts w:ascii="宋体" w:hAnsi="宋体" w:eastAsia="宋体" w:cs="宋体"/>
                <w:sz w:val="24"/>
                <w:szCs w:val="24"/>
              </w:rPr>
            </w:pPr>
            <w:r>
              <w:rPr>
                <w:rFonts w:ascii="宋体" w:hAnsi="宋体" w:eastAsia="宋体" w:cs="宋体"/>
                <w:spacing w:val="-1"/>
                <w:sz w:val="24"/>
                <w:szCs w:val="24"/>
              </w:rPr>
              <w:t>综上所述，本项目与《挥发性有机</w:t>
            </w:r>
            <w:r>
              <w:rPr>
                <w:rFonts w:ascii="微软雅黑" w:hAnsi="微软雅黑" w:eastAsia="微软雅黑" w:cs="微软雅黑"/>
                <w:spacing w:val="-1"/>
                <w:sz w:val="24"/>
                <w:szCs w:val="24"/>
              </w:rPr>
              <w:t>物</w:t>
            </w:r>
            <w:r>
              <w:rPr>
                <w:rFonts w:ascii="宋体" w:hAnsi="宋体" w:eastAsia="宋体" w:cs="宋体"/>
                <w:spacing w:val="-1"/>
                <w:sz w:val="24"/>
                <w:szCs w:val="24"/>
              </w:rPr>
              <w:t>污染防治技术政策》相符。</w:t>
            </w:r>
          </w:p>
          <w:p w14:paraId="06BA0BED">
            <w:pPr>
              <w:spacing w:before="147" w:line="310" w:lineRule="auto"/>
              <w:ind w:left="109" w:right="104" w:firstLine="485"/>
              <w:rPr>
                <w:rFonts w:ascii="宋体" w:hAnsi="宋体" w:eastAsia="宋体" w:cs="宋体"/>
                <w:sz w:val="24"/>
                <w:szCs w:val="24"/>
              </w:rPr>
            </w:pPr>
            <w:r>
              <w:rPr>
                <w:rFonts w:ascii="Times New Roman" w:hAnsi="Times New Roman" w:eastAsia="Times New Roman" w:cs="Times New Roman"/>
                <w:b/>
                <w:bCs/>
                <w:spacing w:val="-3"/>
                <w:sz w:val="24"/>
                <w:szCs w:val="24"/>
              </w:rPr>
              <w:t>10</w:t>
            </w:r>
            <w:r>
              <w:rPr>
                <w:rFonts w:ascii="Times New Roman" w:hAnsi="Times New Roman" w:eastAsia="Times New Roman" w:cs="Times New Roman"/>
                <w:b/>
                <w:bCs/>
                <w:spacing w:val="-31"/>
                <w:sz w:val="24"/>
                <w:szCs w:val="24"/>
              </w:rPr>
              <w:t xml:space="preserve"> </w:t>
            </w:r>
            <w:r>
              <w:rPr>
                <w:rFonts w:ascii="宋体" w:hAnsi="宋体" w:eastAsia="宋体" w:cs="宋体"/>
                <w:b/>
                <w:bCs/>
                <w:spacing w:val="-3"/>
                <w:sz w:val="24"/>
                <w:szCs w:val="24"/>
              </w:rPr>
              <w:t>、与《挥发性有机</w:t>
            </w:r>
            <w:r>
              <w:rPr>
                <w:rFonts w:ascii="微软雅黑" w:hAnsi="微软雅黑" w:eastAsia="微软雅黑" w:cs="微软雅黑"/>
                <w:b/>
                <w:bCs/>
                <w:spacing w:val="-3"/>
                <w:sz w:val="24"/>
                <w:szCs w:val="24"/>
              </w:rPr>
              <w:t>物</w:t>
            </w:r>
            <w:r>
              <w:rPr>
                <w:rFonts w:ascii="宋体" w:hAnsi="宋体" w:eastAsia="宋体" w:cs="宋体"/>
                <w:b/>
                <w:bCs/>
                <w:spacing w:val="-3"/>
                <w:sz w:val="24"/>
                <w:szCs w:val="24"/>
              </w:rPr>
              <w:t>无组织排放控制标准》（</w:t>
            </w:r>
            <w:r>
              <w:rPr>
                <w:rFonts w:ascii="Times New Roman" w:hAnsi="Times New Roman" w:eastAsia="Times New Roman" w:cs="Times New Roman"/>
                <w:b/>
                <w:bCs/>
                <w:spacing w:val="-3"/>
                <w:sz w:val="24"/>
                <w:szCs w:val="24"/>
              </w:rPr>
              <w:t>GB37822-2019</w:t>
            </w:r>
            <w:r>
              <w:rPr>
                <w:rFonts w:ascii="宋体" w:hAnsi="宋体" w:eastAsia="宋体" w:cs="宋体"/>
                <w:b/>
                <w:bCs/>
                <w:spacing w:val="-3"/>
                <w:sz w:val="24"/>
                <w:szCs w:val="24"/>
              </w:rPr>
              <w:t>）符</w:t>
            </w:r>
            <w:r>
              <w:rPr>
                <w:rFonts w:ascii="宋体" w:hAnsi="宋体" w:eastAsia="宋体" w:cs="宋体"/>
                <w:b/>
                <w:bCs/>
                <w:spacing w:val="-5"/>
                <w:sz w:val="24"/>
                <w:szCs w:val="24"/>
              </w:rPr>
              <w:t>合性分析</w:t>
            </w:r>
          </w:p>
          <w:p w14:paraId="44F89A1E">
            <w:pPr>
              <w:spacing w:line="308" w:lineRule="auto"/>
              <w:ind w:left="108" w:right="123" w:firstLine="480"/>
              <w:rPr>
                <w:rFonts w:ascii="宋体" w:hAnsi="宋体" w:eastAsia="宋体" w:cs="宋体"/>
                <w:sz w:val="24"/>
                <w:szCs w:val="24"/>
              </w:rPr>
            </w:pPr>
            <w:r>
              <w:rPr>
                <w:rFonts w:ascii="宋体" w:hAnsi="宋体" w:eastAsia="宋体" w:cs="宋体"/>
                <w:spacing w:val="-1"/>
                <w:sz w:val="24"/>
                <w:szCs w:val="24"/>
              </w:rPr>
              <w:t>本项目与《挥发性有机</w:t>
            </w:r>
            <w:r>
              <w:rPr>
                <w:rFonts w:ascii="微软雅黑" w:hAnsi="微软雅黑" w:eastAsia="微软雅黑" w:cs="微软雅黑"/>
                <w:spacing w:val="-1"/>
                <w:sz w:val="24"/>
                <w:szCs w:val="24"/>
              </w:rPr>
              <w:t>物</w:t>
            </w:r>
            <w:r>
              <w:rPr>
                <w:rFonts w:ascii="宋体" w:hAnsi="宋体" w:eastAsia="宋体" w:cs="宋体"/>
                <w:spacing w:val="-1"/>
                <w:sz w:val="24"/>
                <w:szCs w:val="24"/>
              </w:rPr>
              <w:t>无组织排放控制标准》（</w:t>
            </w:r>
            <w:r>
              <w:rPr>
                <w:rFonts w:ascii="Times New Roman" w:hAnsi="Times New Roman" w:eastAsia="Times New Roman" w:cs="Times New Roman"/>
                <w:spacing w:val="-1"/>
                <w:sz w:val="24"/>
                <w:szCs w:val="24"/>
              </w:rPr>
              <w:t>GB37822-2019</w:t>
            </w:r>
            <w:r>
              <w:rPr>
                <w:rFonts w:ascii="宋体" w:hAnsi="宋体" w:eastAsia="宋体" w:cs="宋体"/>
                <w:spacing w:val="-1"/>
                <w:sz w:val="24"/>
                <w:szCs w:val="24"/>
              </w:rPr>
              <w:t>）</w:t>
            </w:r>
            <w:r>
              <w:rPr>
                <w:rFonts w:ascii="宋体" w:hAnsi="宋体" w:eastAsia="宋体" w:cs="宋体"/>
                <w:spacing w:val="-4"/>
                <w:sz w:val="24"/>
                <w:szCs w:val="24"/>
              </w:rPr>
              <w:t>相符性分析见表</w:t>
            </w:r>
            <w:r>
              <w:rPr>
                <w:rFonts w:ascii="Times New Roman" w:hAnsi="Times New Roman" w:eastAsia="Times New Roman" w:cs="Times New Roman"/>
                <w:spacing w:val="-4"/>
                <w:sz w:val="24"/>
                <w:szCs w:val="24"/>
              </w:rPr>
              <w:t>1-</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pacing w:val="-4"/>
                <w:sz w:val="24"/>
                <w:szCs w:val="24"/>
              </w:rPr>
              <w:t>12</w:t>
            </w:r>
            <w:r>
              <w:rPr>
                <w:rFonts w:ascii="宋体" w:hAnsi="宋体" w:eastAsia="宋体" w:cs="宋体"/>
                <w:spacing w:val="-4"/>
                <w:sz w:val="24"/>
                <w:szCs w:val="24"/>
              </w:rPr>
              <w:t>。</w:t>
            </w:r>
          </w:p>
          <w:p w14:paraId="50B5A86C">
            <w:pPr>
              <w:spacing w:line="223" w:lineRule="exact"/>
              <w:ind w:left="763"/>
              <w:rPr>
                <w:rFonts w:ascii="宋体" w:hAnsi="宋体" w:eastAsia="宋体" w:cs="宋体"/>
                <w:sz w:val="20"/>
                <w:szCs w:val="20"/>
              </w:rPr>
            </w:pPr>
            <w:r>
              <w:rPr>
                <w:rFonts w:ascii="宋体" w:hAnsi="宋体" w:eastAsia="宋体" w:cs="宋体"/>
                <w:b/>
                <w:bCs/>
                <w:spacing w:val="7"/>
                <w:sz w:val="20"/>
                <w:szCs w:val="20"/>
              </w:rPr>
              <w:t>表</w:t>
            </w:r>
            <w:r>
              <w:rPr>
                <w:rFonts w:ascii="Times New Roman" w:hAnsi="Times New Roman" w:eastAsia="Times New Roman" w:cs="Times New Roman"/>
                <w:b/>
                <w:bCs/>
                <w:spacing w:val="7"/>
                <w:sz w:val="20"/>
                <w:szCs w:val="20"/>
              </w:rPr>
              <w:t xml:space="preserve">1-12    </w:t>
            </w:r>
            <w:r>
              <w:rPr>
                <w:rFonts w:ascii="宋体" w:hAnsi="宋体" w:eastAsia="宋体" w:cs="宋体"/>
                <w:b/>
                <w:bCs/>
                <w:spacing w:val="7"/>
                <w:sz w:val="20"/>
                <w:szCs w:val="20"/>
              </w:rPr>
              <w:t>本项目与《挥发性有机</w:t>
            </w:r>
            <w:r>
              <w:rPr>
                <w:rFonts w:ascii="微软雅黑" w:hAnsi="微软雅黑" w:eastAsia="微软雅黑" w:cs="微软雅黑"/>
                <w:b/>
                <w:bCs/>
                <w:spacing w:val="7"/>
                <w:sz w:val="20"/>
                <w:szCs w:val="20"/>
              </w:rPr>
              <w:t>物</w:t>
            </w:r>
            <w:r>
              <w:rPr>
                <w:rFonts w:ascii="宋体" w:hAnsi="宋体" w:eastAsia="宋体" w:cs="宋体"/>
                <w:b/>
                <w:bCs/>
                <w:spacing w:val="7"/>
                <w:sz w:val="20"/>
                <w:szCs w:val="20"/>
              </w:rPr>
              <w:t>无组织排放控制标准》符合性分析</w:t>
            </w:r>
          </w:p>
        </w:tc>
      </w:tr>
      <w:tr w14:paraId="626334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1161" w:type="dxa"/>
            <w:vMerge w:val="continue"/>
            <w:tcBorders>
              <w:top w:val="nil"/>
              <w:left w:val="single" w:color="000000" w:sz="6" w:space="0"/>
              <w:bottom w:val="nil"/>
            </w:tcBorders>
            <w:vAlign w:val="top"/>
          </w:tcPr>
          <w:p w14:paraId="34F82BA7">
            <w:pPr>
              <w:rPr>
                <w:rFonts w:ascii="Arial"/>
                <w:sz w:val="21"/>
              </w:rPr>
            </w:pPr>
          </w:p>
        </w:tc>
        <w:tc>
          <w:tcPr>
            <w:tcW w:w="113" w:type="dxa"/>
            <w:tcBorders>
              <w:top w:val="nil"/>
              <w:bottom w:val="nil"/>
            </w:tcBorders>
            <w:vAlign w:val="top"/>
          </w:tcPr>
          <w:p w14:paraId="6B8DDC7B">
            <w:pPr>
              <w:rPr>
                <w:rFonts w:ascii="Arial"/>
                <w:sz w:val="21"/>
              </w:rPr>
            </w:pPr>
          </w:p>
        </w:tc>
        <w:tc>
          <w:tcPr>
            <w:tcW w:w="4058" w:type="dxa"/>
            <w:gridSpan w:val="4"/>
            <w:vAlign w:val="top"/>
          </w:tcPr>
          <w:p w14:paraId="633CEA9E">
            <w:pPr>
              <w:spacing w:before="63" w:line="195" w:lineRule="auto"/>
              <w:ind w:left="1583"/>
              <w:rPr>
                <w:rFonts w:ascii="Times New Roman" w:hAnsi="Times New Roman" w:eastAsia="Times New Roman" w:cs="Times New Roman"/>
                <w:sz w:val="20"/>
                <w:szCs w:val="20"/>
              </w:rPr>
            </w:pPr>
            <w:r>
              <w:rPr>
                <w:rFonts w:ascii="Times New Roman" w:hAnsi="Times New Roman" w:eastAsia="Times New Roman" w:cs="Times New Roman"/>
                <w:b/>
                <w:bCs/>
                <w:sz w:val="20"/>
                <w:szCs w:val="20"/>
              </w:rPr>
              <w:t>GB</w:t>
            </w:r>
            <w:r>
              <w:rPr>
                <w:rFonts w:ascii="Times New Roman" w:hAnsi="Times New Roman" w:eastAsia="Times New Roman" w:cs="Times New Roman"/>
                <w:b/>
                <w:bCs/>
                <w:spacing w:val="5"/>
                <w:sz w:val="20"/>
                <w:szCs w:val="20"/>
              </w:rPr>
              <w:t>37822-2019</w:t>
            </w:r>
          </w:p>
        </w:tc>
        <w:tc>
          <w:tcPr>
            <w:tcW w:w="2511" w:type="dxa"/>
            <w:gridSpan w:val="2"/>
            <w:vMerge w:val="restart"/>
            <w:tcBorders>
              <w:bottom w:val="nil"/>
            </w:tcBorders>
            <w:vAlign w:val="top"/>
          </w:tcPr>
          <w:p w14:paraId="66B65E8D">
            <w:pPr>
              <w:spacing w:before="228" w:line="227" w:lineRule="auto"/>
              <w:ind w:left="947"/>
              <w:rPr>
                <w:rFonts w:ascii="宋体" w:hAnsi="宋体" w:eastAsia="宋体" w:cs="宋体"/>
                <w:sz w:val="20"/>
                <w:szCs w:val="20"/>
              </w:rPr>
            </w:pPr>
            <w:r>
              <w:rPr>
                <w:rFonts w:ascii="宋体" w:hAnsi="宋体" w:eastAsia="宋体" w:cs="宋体"/>
                <w:b/>
                <w:bCs/>
                <w:spacing w:val="6"/>
                <w:sz w:val="20"/>
                <w:szCs w:val="20"/>
              </w:rPr>
              <w:t>本项目情况</w:t>
            </w:r>
          </w:p>
        </w:tc>
        <w:tc>
          <w:tcPr>
            <w:tcW w:w="907" w:type="dxa"/>
            <w:gridSpan w:val="2"/>
            <w:vMerge w:val="restart"/>
            <w:tcBorders>
              <w:bottom w:val="nil"/>
            </w:tcBorders>
            <w:vAlign w:val="top"/>
          </w:tcPr>
          <w:p w14:paraId="15E16729">
            <w:pPr>
              <w:spacing w:before="228" w:line="228" w:lineRule="auto"/>
              <w:ind w:left="151"/>
              <w:rPr>
                <w:rFonts w:ascii="宋体" w:hAnsi="宋体" w:eastAsia="宋体" w:cs="宋体"/>
                <w:sz w:val="20"/>
                <w:szCs w:val="20"/>
              </w:rPr>
            </w:pPr>
            <w:r>
              <w:rPr>
                <w:rFonts w:ascii="宋体" w:hAnsi="宋体" w:eastAsia="宋体" w:cs="宋体"/>
                <w:b/>
                <w:bCs/>
                <w:spacing w:val="5"/>
                <w:sz w:val="20"/>
                <w:szCs w:val="20"/>
              </w:rPr>
              <w:t>符合性</w:t>
            </w:r>
          </w:p>
        </w:tc>
        <w:tc>
          <w:tcPr>
            <w:tcW w:w="122" w:type="dxa"/>
            <w:tcBorders>
              <w:top w:val="nil"/>
              <w:bottom w:val="nil"/>
              <w:right w:val="single" w:color="000000" w:sz="6" w:space="0"/>
            </w:tcBorders>
            <w:vAlign w:val="top"/>
          </w:tcPr>
          <w:p w14:paraId="2F1949F4">
            <w:pPr>
              <w:rPr>
                <w:rFonts w:ascii="Arial"/>
                <w:sz w:val="21"/>
              </w:rPr>
            </w:pPr>
          </w:p>
        </w:tc>
      </w:tr>
      <w:tr w14:paraId="42C8A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161" w:type="dxa"/>
            <w:vMerge w:val="continue"/>
            <w:tcBorders>
              <w:top w:val="nil"/>
              <w:left w:val="single" w:color="000000" w:sz="6" w:space="0"/>
              <w:bottom w:val="nil"/>
            </w:tcBorders>
            <w:vAlign w:val="top"/>
          </w:tcPr>
          <w:p w14:paraId="58274F41">
            <w:pPr>
              <w:rPr>
                <w:rFonts w:ascii="Arial"/>
                <w:sz w:val="21"/>
              </w:rPr>
            </w:pPr>
          </w:p>
        </w:tc>
        <w:tc>
          <w:tcPr>
            <w:tcW w:w="113" w:type="dxa"/>
            <w:tcBorders>
              <w:top w:val="nil"/>
              <w:bottom w:val="nil"/>
            </w:tcBorders>
            <w:vAlign w:val="top"/>
          </w:tcPr>
          <w:p w14:paraId="0D68C6B5">
            <w:pPr>
              <w:rPr>
                <w:rFonts w:ascii="Arial"/>
                <w:sz w:val="21"/>
              </w:rPr>
            </w:pPr>
          </w:p>
        </w:tc>
        <w:tc>
          <w:tcPr>
            <w:tcW w:w="1219" w:type="dxa"/>
            <w:gridSpan w:val="2"/>
            <w:vAlign w:val="top"/>
          </w:tcPr>
          <w:p w14:paraId="4C70B0F1">
            <w:pPr>
              <w:spacing w:before="50" w:line="228" w:lineRule="auto"/>
              <w:ind w:left="399"/>
              <w:rPr>
                <w:rFonts w:ascii="宋体" w:hAnsi="宋体" w:eastAsia="宋体" w:cs="宋体"/>
                <w:sz w:val="20"/>
                <w:szCs w:val="20"/>
              </w:rPr>
            </w:pPr>
            <w:r>
              <w:rPr>
                <w:rFonts w:ascii="宋体" w:hAnsi="宋体" w:eastAsia="宋体" w:cs="宋体"/>
                <w:b/>
                <w:bCs/>
                <w:spacing w:val="3"/>
                <w:sz w:val="20"/>
                <w:szCs w:val="20"/>
              </w:rPr>
              <w:t>类别</w:t>
            </w:r>
          </w:p>
        </w:tc>
        <w:tc>
          <w:tcPr>
            <w:tcW w:w="2839" w:type="dxa"/>
            <w:gridSpan w:val="2"/>
            <w:vAlign w:val="top"/>
          </w:tcPr>
          <w:p w14:paraId="001FAEB8">
            <w:pPr>
              <w:spacing w:before="51" w:line="228" w:lineRule="auto"/>
              <w:ind w:left="1211"/>
              <w:rPr>
                <w:rFonts w:ascii="宋体" w:hAnsi="宋体" w:eastAsia="宋体" w:cs="宋体"/>
                <w:sz w:val="20"/>
                <w:szCs w:val="20"/>
              </w:rPr>
            </w:pPr>
            <w:r>
              <w:rPr>
                <w:rFonts w:ascii="宋体" w:hAnsi="宋体" w:eastAsia="宋体" w:cs="宋体"/>
                <w:b/>
                <w:bCs/>
                <w:spacing w:val="6"/>
                <w:sz w:val="20"/>
                <w:szCs w:val="20"/>
              </w:rPr>
              <w:t>标准要求</w:t>
            </w:r>
          </w:p>
        </w:tc>
        <w:tc>
          <w:tcPr>
            <w:tcW w:w="2511" w:type="dxa"/>
            <w:gridSpan w:val="2"/>
            <w:vMerge w:val="continue"/>
            <w:tcBorders>
              <w:top w:val="nil"/>
            </w:tcBorders>
            <w:vAlign w:val="top"/>
          </w:tcPr>
          <w:p w14:paraId="794D8EB9">
            <w:pPr>
              <w:rPr>
                <w:rFonts w:ascii="Arial"/>
                <w:sz w:val="21"/>
              </w:rPr>
            </w:pPr>
          </w:p>
        </w:tc>
        <w:tc>
          <w:tcPr>
            <w:tcW w:w="907" w:type="dxa"/>
            <w:gridSpan w:val="2"/>
            <w:vMerge w:val="continue"/>
            <w:tcBorders>
              <w:top w:val="nil"/>
            </w:tcBorders>
            <w:vAlign w:val="top"/>
          </w:tcPr>
          <w:p w14:paraId="290F82B2">
            <w:pPr>
              <w:rPr>
                <w:rFonts w:ascii="Arial"/>
                <w:sz w:val="21"/>
              </w:rPr>
            </w:pPr>
          </w:p>
        </w:tc>
        <w:tc>
          <w:tcPr>
            <w:tcW w:w="122" w:type="dxa"/>
            <w:tcBorders>
              <w:top w:val="nil"/>
              <w:bottom w:val="nil"/>
              <w:right w:val="single" w:color="000000" w:sz="6" w:space="0"/>
            </w:tcBorders>
            <w:vAlign w:val="top"/>
          </w:tcPr>
          <w:p w14:paraId="6ED4FB3E">
            <w:pPr>
              <w:rPr>
                <w:rFonts w:ascii="Arial"/>
                <w:sz w:val="21"/>
              </w:rPr>
            </w:pPr>
          </w:p>
        </w:tc>
      </w:tr>
      <w:tr w14:paraId="34543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 w:hRule="atLeast"/>
        </w:trPr>
        <w:tc>
          <w:tcPr>
            <w:tcW w:w="1161" w:type="dxa"/>
            <w:vMerge w:val="continue"/>
            <w:tcBorders>
              <w:top w:val="nil"/>
              <w:left w:val="single" w:color="000000" w:sz="6" w:space="0"/>
              <w:bottom w:val="single" w:color="000000" w:sz="6" w:space="0"/>
            </w:tcBorders>
            <w:vAlign w:val="top"/>
          </w:tcPr>
          <w:p w14:paraId="160FE21F">
            <w:pPr>
              <w:rPr>
                <w:rFonts w:ascii="Arial"/>
                <w:sz w:val="21"/>
              </w:rPr>
            </w:pPr>
          </w:p>
        </w:tc>
        <w:tc>
          <w:tcPr>
            <w:tcW w:w="113" w:type="dxa"/>
            <w:tcBorders>
              <w:top w:val="nil"/>
              <w:bottom w:val="single" w:color="000000" w:sz="6" w:space="0"/>
            </w:tcBorders>
            <w:vAlign w:val="top"/>
          </w:tcPr>
          <w:p w14:paraId="32F2DE65">
            <w:pPr>
              <w:rPr>
                <w:rFonts w:ascii="Arial"/>
                <w:sz w:val="21"/>
              </w:rPr>
            </w:pPr>
          </w:p>
        </w:tc>
        <w:tc>
          <w:tcPr>
            <w:tcW w:w="1219" w:type="dxa"/>
            <w:gridSpan w:val="2"/>
            <w:tcBorders>
              <w:bottom w:val="single" w:color="000000" w:sz="6" w:space="0"/>
            </w:tcBorders>
            <w:vAlign w:val="top"/>
          </w:tcPr>
          <w:p w14:paraId="706DFBE3">
            <w:pPr>
              <w:spacing w:before="43" w:line="326" w:lineRule="auto"/>
              <w:ind w:left="189" w:right="140" w:hanging="58"/>
              <w:rPr>
                <w:rFonts w:ascii="宋体" w:hAnsi="宋体" w:eastAsia="宋体" w:cs="宋体"/>
                <w:sz w:val="20"/>
                <w:szCs w:val="20"/>
              </w:rPr>
            </w:pPr>
            <w:r>
              <w:rPr>
                <w:rFonts w:ascii="Times New Roman" w:hAnsi="Times New Roman" w:eastAsia="Times New Roman" w:cs="Times New Roman"/>
                <w:sz w:val="20"/>
                <w:szCs w:val="20"/>
              </w:rPr>
              <w:t>VOCs</w:t>
            </w:r>
            <w:r>
              <w:rPr>
                <w:rFonts w:ascii="微软雅黑" w:hAnsi="微软雅黑" w:eastAsia="微软雅黑" w:cs="微软雅黑"/>
                <w:spacing w:val="20"/>
                <w:sz w:val="20"/>
                <w:szCs w:val="20"/>
              </w:rPr>
              <w:t>物</w:t>
            </w:r>
            <w:r>
              <w:rPr>
                <w:rFonts w:ascii="宋体" w:hAnsi="宋体" w:eastAsia="宋体" w:cs="宋体"/>
                <w:spacing w:val="20"/>
                <w:sz w:val="20"/>
                <w:szCs w:val="20"/>
              </w:rPr>
              <w:t>料</w:t>
            </w:r>
            <w:r>
              <w:rPr>
                <w:rFonts w:ascii="宋体" w:hAnsi="宋体" w:eastAsia="宋体" w:cs="宋体"/>
                <w:spacing w:val="7"/>
                <w:sz w:val="20"/>
                <w:szCs w:val="20"/>
              </w:rPr>
              <w:t>储存无组</w:t>
            </w:r>
          </w:p>
          <w:p w14:paraId="77145859">
            <w:pPr>
              <w:spacing w:line="228" w:lineRule="auto"/>
              <w:ind w:left="194"/>
              <w:rPr>
                <w:rFonts w:ascii="宋体" w:hAnsi="宋体" w:eastAsia="宋体" w:cs="宋体"/>
                <w:sz w:val="20"/>
                <w:szCs w:val="20"/>
              </w:rPr>
            </w:pPr>
            <w:r>
              <w:rPr>
                <w:rFonts w:ascii="宋体" w:hAnsi="宋体" w:eastAsia="宋体" w:cs="宋体"/>
                <w:spacing w:val="6"/>
                <w:sz w:val="20"/>
                <w:szCs w:val="20"/>
              </w:rPr>
              <w:t>织排放控</w:t>
            </w:r>
          </w:p>
        </w:tc>
        <w:tc>
          <w:tcPr>
            <w:tcW w:w="2839" w:type="dxa"/>
            <w:gridSpan w:val="2"/>
            <w:tcBorders>
              <w:bottom w:val="single" w:color="000000" w:sz="6" w:space="0"/>
            </w:tcBorders>
            <w:vAlign w:val="top"/>
          </w:tcPr>
          <w:p w14:paraId="693D1CFD">
            <w:pPr>
              <w:spacing w:before="45" w:line="306" w:lineRule="auto"/>
              <w:ind w:left="108" w:right="36" w:firstLine="414"/>
              <w:jc w:val="both"/>
              <w:rPr>
                <w:rFonts w:ascii="宋体" w:hAnsi="宋体" w:eastAsia="宋体" w:cs="宋体"/>
                <w:sz w:val="20"/>
                <w:szCs w:val="20"/>
              </w:rPr>
            </w:pPr>
            <w:r>
              <w:rPr>
                <w:rFonts w:ascii="Times New Roman" w:hAnsi="Times New Roman" w:eastAsia="Times New Roman" w:cs="Times New Roman"/>
                <w:sz w:val="20"/>
                <w:szCs w:val="20"/>
              </w:rPr>
              <w:t>VOCs</w:t>
            </w:r>
            <w:r>
              <w:rPr>
                <w:rFonts w:ascii="微软雅黑" w:hAnsi="微软雅黑" w:eastAsia="微软雅黑" w:cs="微软雅黑"/>
                <w:spacing w:val="12"/>
                <w:sz w:val="20"/>
                <w:szCs w:val="20"/>
              </w:rPr>
              <w:t>物</w:t>
            </w:r>
            <w:r>
              <w:rPr>
                <w:rFonts w:ascii="宋体" w:hAnsi="宋体" w:eastAsia="宋体" w:cs="宋体"/>
                <w:spacing w:val="12"/>
                <w:sz w:val="20"/>
                <w:szCs w:val="20"/>
              </w:rPr>
              <w:t>料应储存于密闭</w:t>
            </w:r>
            <w:r>
              <w:rPr>
                <w:rFonts w:ascii="宋体" w:hAnsi="宋体" w:eastAsia="宋体" w:cs="宋体"/>
                <w:spacing w:val="-8"/>
                <w:sz w:val="20"/>
                <w:szCs w:val="20"/>
              </w:rPr>
              <w:t>的容器、包装袋、储罐、储库、</w:t>
            </w:r>
            <w:r>
              <w:rPr>
                <w:rFonts w:ascii="宋体" w:hAnsi="宋体" w:eastAsia="宋体" w:cs="宋体"/>
                <w:spacing w:val="11"/>
                <w:sz w:val="20"/>
                <w:szCs w:val="20"/>
              </w:rPr>
              <w:t>仓库中。盛装</w:t>
            </w:r>
            <w:r>
              <w:rPr>
                <w:rFonts w:ascii="Times New Roman" w:hAnsi="Times New Roman" w:eastAsia="Times New Roman" w:cs="Times New Roman"/>
                <w:sz w:val="20"/>
                <w:szCs w:val="20"/>
              </w:rPr>
              <w:t>VOCs</w:t>
            </w:r>
            <w:r>
              <w:rPr>
                <w:rFonts w:ascii="微软雅黑" w:hAnsi="微软雅黑" w:eastAsia="微软雅黑" w:cs="微软雅黑"/>
                <w:spacing w:val="11"/>
                <w:sz w:val="20"/>
                <w:szCs w:val="20"/>
              </w:rPr>
              <w:t>物</w:t>
            </w:r>
            <w:r>
              <w:rPr>
                <w:rFonts w:ascii="宋体" w:hAnsi="宋体" w:eastAsia="宋体" w:cs="宋体"/>
                <w:spacing w:val="11"/>
                <w:sz w:val="20"/>
                <w:szCs w:val="20"/>
              </w:rPr>
              <w:t>料的容</w:t>
            </w:r>
          </w:p>
        </w:tc>
        <w:tc>
          <w:tcPr>
            <w:tcW w:w="2511" w:type="dxa"/>
            <w:gridSpan w:val="2"/>
            <w:tcBorders>
              <w:bottom w:val="single" w:color="000000" w:sz="6" w:space="0"/>
            </w:tcBorders>
            <w:vAlign w:val="top"/>
          </w:tcPr>
          <w:p w14:paraId="40334726">
            <w:pPr>
              <w:spacing w:before="44" w:line="227" w:lineRule="auto"/>
              <w:ind w:left="535"/>
              <w:rPr>
                <w:rFonts w:ascii="宋体" w:hAnsi="宋体" w:eastAsia="宋体" w:cs="宋体"/>
                <w:sz w:val="20"/>
                <w:szCs w:val="20"/>
              </w:rPr>
            </w:pPr>
            <w:r>
              <w:rPr>
                <w:rFonts w:ascii="宋体" w:hAnsi="宋体" w:eastAsia="宋体" w:cs="宋体"/>
                <w:spacing w:val="8"/>
                <w:sz w:val="20"/>
                <w:szCs w:val="20"/>
              </w:rPr>
              <w:t>本项目为改扩建项</w:t>
            </w:r>
          </w:p>
          <w:p w14:paraId="4B61C4EE">
            <w:pPr>
              <w:spacing w:before="163" w:line="279" w:lineRule="auto"/>
              <w:ind w:left="115" w:right="100" w:firstLine="39"/>
              <w:rPr>
                <w:rFonts w:ascii="宋体" w:hAnsi="宋体" w:eastAsia="宋体" w:cs="宋体"/>
                <w:sz w:val="20"/>
                <w:szCs w:val="20"/>
              </w:rPr>
            </w:pPr>
            <w:r>
              <w:rPr>
                <w:rFonts w:ascii="宋体" w:hAnsi="宋体" w:eastAsia="宋体" w:cs="宋体"/>
                <w:spacing w:val="4"/>
                <w:sz w:val="20"/>
                <w:szCs w:val="20"/>
              </w:rPr>
              <w:t>目，消注塑产生的</w:t>
            </w:r>
            <w:r>
              <w:rPr>
                <w:rFonts w:ascii="微软雅黑" w:hAnsi="微软雅黑" w:eastAsia="微软雅黑" w:cs="微软雅黑"/>
                <w:spacing w:val="4"/>
                <w:sz w:val="20"/>
                <w:szCs w:val="20"/>
              </w:rPr>
              <w:t>废气</w:t>
            </w:r>
            <w:r>
              <w:rPr>
                <w:rFonts w:ascii="宋体" w:hAnsi="宋体" w:eastAsia="宋体" w:cs="宋体"/>
                <w:spacing w:val="4"/>
                <w:sz w:val="20"/>
                <w:szCs w:val="20"/>
              </w:rPr>
              <w:t>在</w:t>
            </w:r>
            <w:r>
              <w:rPr>
                <w:rFonts w:ascii="宋体" w:hAnsi="宋体" w:eastAsia="宋体" w:cs="宋体"/>
                <w:spacing w:val="9"/>
                <w:sz w:val="20"/>
                <w:szCs w:val="20"/>
              </w:rPr>
              <w:t>浇注区上空设置集</w:t>
            </w:r>
            <w:r>
              <w:rPr>
                <w:rFonts w:ascii="微软雅黑" w:hAnsi="微软雅黑" w:eastAsia="微软雅黑" w:cs="微软雅黑"/>
                <w:spacing w:val="9"/>
                <w:sz w:val="20"/>
                <w:szCs w:val="20"/>
              </w:rPr>
              <w:t>气</w:t>
            </w:r>
            <w:r>
              <w:rPr>
                <w:rFonts w:ascii="宋体" w:hAnsi="宋体" w:eastAsia="宋体" w:cs="宋体"/>
                <w:spacing w:val="9"/>
                <w:sz w:val="20"/>
                <w:szCs w:val="20"/>
              </w:rPr>
              <w:t>罩</w:t>
            </w:r>
          </w:p>
        </w:tc>
        <w:tc>
          <w:tcPr>
            <w:tcW w:w="907" w:type="dxa"/>
            <w:gridSpan w:val="2"/>
            <w:tcBorders>
              <w:bottom w:val="single" w:color="000000" w:sz="6" w:space="0"/>
            </w:tcBorders>
            <w:vAlign w:val="top"/>
          </w:tcPr>
          <w:p w14:paraId="079BD4CB">
            <w:pPr>
              <w:spacing w:line="385" w:lineRule="auto"/>
              <w:rPr>
                <w:rFonts w:ascii="Arial"/>
                <w:sz w:val="21"/>
              </w:rPr>
            </w:pPr>
          </w:p>
          <w:p w14:paraId="05DB9B0A">
            <w:pPr>
              <w:spacing w:before="65" w:line="228" w:lineRule="auto"/>
              <w:ind w:left="257"/>
              <w:rPr>
                <w:rFonts w:ascii="宋体" w:hAnsi="宋体" w:eastAsia="宋体" w:cs="宋体"/>
                <w:sz w:val="20"/>
                <w:szCs w:val="20"/>
              </w:rPr>
            </w:pPr>
            <w:r>
              <w:rPr>
                <w:rFonts w:ascii="宋体" w:hAnsi="宋体" w:eastAsia="宋体" w:cs="宋体"/>
                <w:spacing w:val="3"/>
                <w:sz w:val="20"/>
                <w:szCs w:val="20"/>
              </w:rPr>
              <w:t>符合</w:t>
            </w:r>
          </w:p>
        </w:tc>
        <w:tc>
          <w:tcPr>
            <w:tcW w:w="122" w:type="dxa"/>
            <w:tcBorders>
              <w:top w:val="nil"/>
              <w:bottom w:val="single" w:color="000000" w:sz="6" w:space="0"/>
              <w:right w:val="single" w:color="000000" w:sz="6" w:space="0"/>
            </w:tcBorders>
            <w:vAlign w:val="top"/>
          </w:tcPr>
          <w:p w14:paraId="358370F3">
            <w:pPr>
              <w:rPr>
                <w:rFonts w:ascii="Arial"/>
                <w:sz w:val="21"/>
              </w:rPr>
            </w:pPr>
          </w:p>
        </w:tc>
      </w:tr>
    </w:tbl>
    <w:p w14:paraId="7928E1C1">
      <w:pPr>
        <w:pStyle w:val="2"/>
      </w:pPr>
    </w:p>
    <w:p w14:paraId="489C7A14">
      <w:pPr>
        <w:sectPr>
          <w:footerReference r:id="rId40" w:type="default"/>
          <w:pgSz w:w="11906" w:h="16839"/>
          <w:pgMar w:top="400" w:right="1509" w:bottom="1329" w:left="1509" w:header="0" w:footer="1113" w:gutter="0"/>
          <w:cols w:space="720" w:num="1"/>
        </w:sectPr>
      </w:pPr>
    </w:p>
    <w:p w14:paraId="18EC68EA">
      <w:pPr>
        <w:spacing w:before="19"/>
      </w:pPr>
      <w:r>
        <w:pict>
          <v:shape id="_x0000_s1043" o:spid="_x0000_s1043" style="position:absolute;left:0pt;margin-left:139pt;margin-top:742.35pt;height:0.5pt;width:203.75pt;mso-position-horizontal-relative:page;mso-position-vertical-relative:page;z-index:-251649024;mso-width-relative:page;mso-height-relative:page;" filled="f" stroked="t" coordsize="4075,10" o:allowincell="f" path="m0,4l4074,4e">
            <v:fill on="f" focussize="0,0"/>
            <v:stroke weight="0.48pt" color="#000000" miterlimit="2" joinstyle="bevel"/>
            <v:imagedata o:title=""/>
            <o:lock v:ext="edit"/>
          </v:shape>
        </w:pict>
      </w:r>
    </w:p>
    <w:p w14:paraId="710B0E67">
      <w:pPr>
        <w:spacing w:before="19"/>
      </w:pPr>
    </w:p>
    <w:p w14:paraId="0B281DB2">
      <w:pPr>
        <w:spacing w:before="19"/>
      </w:pPr>
    </w:p>
    <w:p w14:paraId="42A903A2">
      <w:pPr>
        <w:spacing w:before="18"/>
      </w:pPr>
    </w:p>
    <w:p w14:paraId="2A5ECE8F">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1219"/>
        <w:gridCol w:w="2839"/>
        <w:gridCol w:w="2512"/>
        <w:gridCol w:w="906"/>
        <w:gridCol w:w="122"/>
      </w:tblGrid>
      <w:tr w14:paraId="763DB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6" w:hRule="atLeast"/>
        </w:trPr>
        <w:tc>
          <w:tcPr>
            <w:tcW w:w="1161" w:type="dxa"/>
            <w:vMerge w:val="restart"/>
            <w:tcBorders>
              <w:top w:val="single" w:color="000000" w:sz="6" w:space="0"/>
              <w:left w:val="single" w:color="000000" w:sz="6" w:space="0"/>
              <w:bottom w:val="nil"/>
            </w:tcBorders>
            <w:vAlign w:val="top"/>
          </w:tcPr>
          <w:p w14:paraId="6256421A">
            <w:pPr>
              <w:rPr>
                <w:rFonts w:ascii="Arial"/>
                <w:sz w:val="21"/>
              </w:rPr>
            </w:pPr>
          </w:p>
        </w:tc>
        <w:tc>
          <w:tcPr>
            <w:tcW w:w="113" w:type="dxa"/>
            <w:tcBorders>
              <w:top w:val="single" w:color="000000" w:sz="6" w:space="0"/>
              <w:bottom w:val="nil"/>
            </w:tcBorders>
            <w:vAlign w:val="top"/>
          </w:tcPr>
          <w:p w14:paraId="67D60628">
            <w:pPr>
              <w:rPr>
                <w:rFonts w:ascii="Arial"/>
                <w:sz w:val="21"/>
              </w:rPr>
            </w:pPr>
          </w:p>
        </w:tc>
        <w:tc>
          <w:tcPr>
            <w:tcW w:w="1219" w:type="dxa"/>
            <w:vAlign w:val="top"/>
          </w:tcPr>
          <w:p w14:paraId="40E48EF5">
            <w:pPr>
              <w:spacing w:before="37" w:line="228" w:lineRule="auto"/>
              <w:ind w:left="294"/>
              <w:rPr>
                <w:rFonts w:ascii="宋体" w:hAnsi="宋体" w:eastAsia="宋体" w:cs="宋体"/>
                <w:sz w:val="20"/>
                <w:szCs w:val="20"/>
              </w:rPr>
            </w:pPr>
            <w:r>
              <w:rPr>
                <w:rFonts w:ascii="宋体" w:hAnsi="宋体" w:eastAsia="宋体" w:cs="宋体"/>
                <w:spacing w:val="6"/>
                <w:sz w:val="20"/>
                <w:szCs w:val="20"/>
              </w:rPr>
              <w:t>制要求</w:t>
            </w:r>
          </w:p>
        </w:tc>
        <w:tc>
          <w:tcPr>
            <w:tcW w:w="2839" w:type="dxa"/>
            <w:vAlign w:val="top"/>
          </w:tcPr>
          <w:p w14:paraId="4D249B6E">
            <w:pPr>
              <w:spacing w:before="40" w:line="322" w:lineRule="auto"/>
              <w:ind w:left="103" w:right="22" w:firstLine="6"/>
              <w:rPr>
                <w:rFonts w:ascii="宋体" w:hAnsi="宋体" w:eastAsia="宋体" w:cs="宋体"/>
                <w:sz w:val="20"/>
                <w:szCs w:val="20"/>
              </w:rPr>
            </w:pPr>
            <w:r>
              <w:rPr>
                <w:rFonts w:ascii="宋体" w:hAnsi="宋体" w:eastAsia="宋体" w:cs="宋体"/>
                <w:spacing w:val="1"/>
                <w:sz w:val="20"/>
                <w:szCs w:val="20"/>
              </w:rPr>
              <w:t>器或包装袋应存放于室内，或存放于设置雨棚、遮阳、和防</w:t>
            </w:r>
            <w:r>
              <w:rPr>
                <w:rFonts w:ascii="宋体" w:hAnsi="宋体" w:eastAsia="宋体" w:cs="宋体"/>
                <w:spacing w:val="28"/>
                <w:sz w:val="20"/>
                <w:szCs w:val="20"/>
              </w:rPr>
              <w:t>渗设施的专用场地</w:t>
            </w:r>
            <w:r>
              <w:rPr>
                <w:rFonts w:ascii="宋体" w:hAnsi="宋体" w:eastAsia="宋体" w:cs="宋体"/>
                <w:spacing w:val="-35"/>
                <w:sz w:val="20"/>
                <w:szCs w:val="20"/>
              </w:rPr>
              <w:t xml:space="preserve"> </w:t>
            </w:r>
            <w:r>
              <w:rPr>
                <w:rFonts w:ascii="宋体" w:hAnsi="宋体" w:eastAsia="宋体" w:cs="宋体"/>
                <w:spacing w:val="28"/>
                <w:sz w:val="20"/>
                <w:szCs w:val="20"/>
              </w:rPr>
              <w:t>。</w:t>
            </w:r>
            <w:r>
              <w:rPr>
                <w:rFonts w:ascii="宋体" w:hAnsi="宋体" w:eastAsia="宋体" w:cs="宋体"/>
                <w:spacing w:val="-51"/>
                <w:sz w:val="20"/>
                <w:szCs w:val="20"/>
              </w:rPr>
              <w:t xml:space="preserve"> </w:t>
            </w:r>
            <w:r>
              <w:rPr>
                <w:rFonts w:ascii="宋体" w:hAnsi="宋体" w:eastAsia="宋体" w:cs="宋体"/>
                <w:spacing w:val="28"/>
                <w:sz w:val="20"/>
                <w:szCs w:val="20"/>
              </w:rPr>
              <w:t>盛装</w:t>
            </w:r>
            <w:r>
              <w:rPr>
                <w:rFonts w:ascii="Times New Roman" w:hAnsi="Times New Roman" w:eastAsia="Times New Roman" w:cs="Times New Roman"/>
                <w:sz w:val="20"/>
                <w:szCs w:val="20"/>
              </w:rPr>
              <w:t>VOCs</w:t>
            </w:r>
            <w:r>
              <w:rPr>
                <w:rFonts w:ascii="微软雅黑" w:hAnsi="微软雅黑" w:eastAsia="微软雅黑" w:cs="微软雅黑"/>
                <w:spacing w:val="12"/>
                <w:sz w:val="20"/>
                <w:szCs w:val="20"/>
              </w:rPr>
              <w:t>物</w:t>
            </w:r>
            <w:r>
              <w:rPr>
                <w:rFonts w:ascii="宋体" w:hAnsi="宋体" w:eastAsia="宋体" w:cs="宋体"/>
                <w:spacing w:val="12"/>
                <w:sz w:val="20"/>
                <w:szCs w:val="20"/>
              </w:rPr>
              <w:t>料的的容器或包装袋</w:t>
            </w:r>
            <w:r>
              <w:rPr>
                <w:rFonts w:ascii="宋体" w:hAnsi="宋体" w:eastAsia="宋体" w:cs="宋体"/>
                <w:spacing w:val="8"/>
                <w:sz w:val="20"/>
                <w:szCs w:val="20"/>
              </w:rPr>
              <w:t>在</w:t>
            </w:r>
            <w:r>
              <w:rPr>
                <w:rFonts w:ascii="微软雅黑" w:hAnsi="微软雅黑" w:eastAsia="微软雅黑" w:cs="微软雅黑"/>
                <w:spacing w:val="8"/>
                <w:sz w:val="20"/>
                <w:szCs w:val="20"/>
              </w:rPr>
              <w:t>非</w:t>
            </w:r>
            <w:r>
              <w:rPr>
                <w:rFonts w:ascii="宋体" w:hAnsi="宋体" w:eastAsia="宋体" w:cs="宋体"/>
                <w:spacing w:val="8"/>
                <w:sz w:val="20"/>
                <w:szCs w:val="20"/>
              </w:rPr>
              <w:t>取用状态时应加盖封口，</w:t>
            </w:r>
            <w:r>
              <w:rPr>
                <w:rFonts w:ascii="宋体" w:hAnsi="宋体" w:eastAsia="宋体" w:cs="宋体"/>
                <w:spacing w:val="12"/>
                <w:sz w:val="20"/>
                <w:szCs w:val="20"/>
              </w:rPr>
              <w:t>保持密闭。</w:t>
            </w:r>
            <w:r>
              <w:rPr>
                <w:rFonts w:ascii="Times New Roman" w:hAnsi="Times New Roman" w:eastAsia="Times New Roman" w:cs="Times New Roman"/>
                <w:sz w:val="20"/>
                <w:szCs w:val="20"/>
              </w:rPr>
              <w:t>VOCs</w:t>
            </w:r>
            <w:r>
              <w:rPr>
                <w:rFonts w:ascii="微软雅黑" w:hAnsi="微软雅黑" w:eastAsia="微软雅黑" w:cs="微软雅黑"/>
                <w:spacing w:val="12"/>
                <w:sz w:val="20"/>
                <w:szCs w:val="20"/>
              </w:rPr>
              <w:t>物</w:t>
            </w:r>
            <w:r>
              <w:rPr>
                <w:rFonts w:ascii="宋体" w:hAnsi="宋体" w:eastAsia="宋体" w:cs="宋体"/>
                <w:spacing w:val="12"/>
                <w:sz w:val="20"/>
                <w:szCs w:val="20"/>
              </w:rPr>
              <w:t>料储罐应</w:t>
            </w:r>
            <w:r>
              <w:rPr>
                <w:rFonts w:ascii="宋体" w:hAnsi="宋体" w:eastAsia="宋体" w:cs="宋体"/>
                <w:spacing w:val="13"/>
                <w:sz w:val="20"/>
                <w:szCs w:val="20"/>
              </w:rPr>
              <w:t>密封良好。</w:t>
            </w:r>
            <w:r>
              <w:rPr>
                <w:rFonts w:ascii="Times New Roman" w:hAnsi="Times New Roman" w:eastAsia="Times New Roman" w:cs="Times New Roman"/>
                <w:sz w:val="20"/>
                <w:szCs w:val="20"/>
              </w:rPr>
              <w:t>VOCs</w:t>
            </w:r>
            <w:r>
              <w:rPr>
                <w:rFonts w:ascii="微软雅黑" w:hAnsi="微软雅黑" w:eastAsia="微软雅黑" w:cs="微软雅黑"/>
                <w:spacing w:val="13"/>
                <w:sz w:val="20"/>
                <w:szCs w:val="20"/>
              </w:rPr>
              <w:t>物</w:t>
            </w:r>
            <w:r>
              <w:rPr>
                <w:rFonts w:ascii="宋体" w:hAnsi="宋体" w:eastAsia="宋体" w:cs="宋体"/>
                <w:spacing w:val="13"/>
                <w:sz w:val="20"/>
                <w:szCs w:val="20"/>
              </w:rPr>
              <w:t>料储库、</w:t>
            </w:r>
            <w:r>
              <w:rPr>
                <w:rFonts w:ascii="宋体" w:hAnsi="宋体" w:eastAsia="宋体" w:cs="宋体"/>
                <w:spacing w:val="18"/>
                <w:sz w:val="20"/>
                <w:szCs w:val="20"/>
              </w:rPr>
              <w:t>仓库应为封闭式建筑，除人</w:t>
            </w:r>
            <w:r>
              <w:rPr>
                <w:rFonts w:ascii="宋体" w:hAnsi="宋体" w:eastAsia="宋体" w:cs="宋体"/>
                <w:spacing w:val="1"/>
                <w:sz w:val="20"/>
                <w:szCs w:val="20"/>
              </w:rPr>
              <w:t>员、车辆、设备、</w:t>
            </w:r>
            <w:r>
              <w:rPr>
                <w:rFonts w:ascii="微软雅黑" w:hAnsi="微软雅黑" w:eastAsia="微软雅黑" w:cs="微软雅黑"/>
                <w:spacing w:val="1"/>
                <w:sz w:val="20"/>
                <w:szCs w:val="20"/>
              </w:rPr>
              <w:t>物</w:t>
            </w:r>
            <w:r>
              <w:rPr>
                <w:rFonts w:ascii="宋体" w:hAnsi="宋体" w:eastAsia="宋体" w:cs="宋体"/>
                <w:spacing w:val="1"/>
                <w:sz w:val="20"/>
                <w:szCs w:val="20"/>
              </w:rPr>
              <w:t>料进出时以及依法设立的排</w:t>
            </w:r>
            <w:r>
              <w:rPr>
                <w:rFonts w:ascii="微软雅黑" w:hAnsi="微软雅黑" w:eastAsia="微软雅黑" w:cs="微软雅黑"/>
                <w:spacing w:val="1"/>
                <w:sz w:val="20"/>
                <w:szCs w:val="20"/>
              </w:rPr>
              <w:t>气</w:t>
            </w:r>
            <w:r>
              <w:rPr>
                <w:rFonts w:ascii="宋体" w:hAnsi="宋体" w:eastAsia="宋体" w:cs="宋体"/>
                <w:spacing w:val="1"/>
                <w:sz w:val="20"/>
                <w:szCs w:val="20"/>
              </w:rPr>
              <w:t>筒、通风</w:t>
            </w:r>
            <w:r>
              <w:rPr>
                <w:rFonts w:ascii="宋体" w:hAnsi="宋体" w:eastAsia="宋体" w:cs="宋体"/>
                <w:spacing w:val="8"/>
                <w:sz w:val="20"/>
                <w:szCs w:val="20"/>
              </w:rPr>
              <w:t>口外，门窗及其他开口（孔）部位应随时保持关闭状态。</w:t>
            </w:r>
          </w:p>
        </w:tc>
        <w:tc>
          <w:tcPr>
            <w:tcW w:w="2512" w:type="dxa"/>
            <w:vAlign w:val="top"/>
          </w:tcPr>
          <w:p w14:paraId="03654D2C">
            <w:pPr>
              <w:spacing w:before="38" w:line="285" w:lineRule="auto"/>
              <w:ind w:left="115" w:right="197" w:firstLine="9"/>
              <w:rPr>
                <w:rFonts w:ascii="宋体" w:hAnsi="宋体" w:eastAsia="宋体" w:cs="宋体"/>
                <w:sz w:val="20"/>
                <w:szCs w:val="20"/>
              </w:rPr>
            </w:pPr>
            <w:r>
              <w:rPr>
                <w:rFonts w:ascii="宋体" w:hAnsi="宋体" w:eastAsia="宋体" w:cs="宋体"/>
                <w:spacing w:val="7"/>
                <w:sz w:val="20"/>
                <w:szCs w:val="20"/>
              </w:rPr>
              <w:t>（共</w:t>
            </w:r>
            <w:r>
              <w:rPr>
                <w:rFonts w:ascii="Times New Roman" w:hAnsi="Times New Roman" w:eastAsia="Times New Roman" w:cs="Times New Roman"/>
                <w:spacing w:val="7"/>
                <w:sz w:val="20"/>
                <w:szCs w:val="20"/>
              </w:rPr>
              <w:t>4</w:t>
            </w:r>
            <w:r>
              <w:rPr>
                <w:rFonts w:ascii="宋体" w:hAnsi="宋体" w:eastAsia="宋体" w:cs="宋体"/>
                <w:spacing w:val="7"/>
                <w:sz w:val="20"/>
                <w:szCs w:val="20"/>
              </w:rPr>
              <w:t>个、集</w:t>
            </w:r>
            <w:r>
              <w:rPr>
                <w:rFonts w:ascii="微软雅黑" w:hAnsi="微软雅黑" w:eastAsia="微软雅黑" w:cs="微软雅黑"/>
                <w:spacing w:val="7"/>
                <w:sz w:val="20"/>
                <w:szCs w:val="20"/>
              </w:rPr>
              <w:t>气</w:t>
            </w:r>
            <w:r>
              <w:rPr>
                <w:rFonts w:ascii="宋体" w:hAnsi="宋体" w:eastAsia="宋体" w:cs="宋体"/>
                <w:spacing w:val="7"/>
                <w:sz w:val="20"/>
                <w:szCs w:val="20"/>
              </w:rPr>
              <w:t>罩要罩住</w:t>
            </w:r>
            <w:r>
              <w:rPr>
                <w:rFonts w:ascii="宋体" w:hAnsi="宋体" w:eastAsia="宋体" w:cs="宋体"/>
                <w:spacing w:val="9"/>
                <w:sz w:val="20"/>
                <w:szCs w:val="20"/>
              </w:rPr>
              <w:t>整个浇注区有机</w:t>
            </w:r>
            <w:r>
              <w:rPr>
                <w:rFonts w:ascii="微软雅黑" w:hAnsi="微软雅黑" w:eastAsia="微软雅黑" w:cs="微软雅黑"/>
                <w:spacing w:val="9"/>
                <w:sz w:val="20"/>
                <w:szCs w:val="20"/>
              </w:rPr>
              <w:t>废气</w:t>
            </w:r>
            <w:r>
              <w:rPr>
                <w:rFonts w:ascii="宋体" w:hAnsi="宋体" w:eastAsia="宋体" w:cs="宋体"/>
                <w:spacing w:val="9"/>
                <w:sz w:val="20"/>
                <w:szCs w:val="20"/>
              </w:rPr>
              <w:t>产</w:t>
            </w:r>
          </w:p>
          <w:p w14:paraId="48DFBF79">
            <w:pPr>
              <w:spacing w:before="2" w:line="349" w:lineRule="auto"/>
              <w:ind w:left="109" w:right="14" w:firstLine="6"/>
              <w:rPr>
                <w:rFonts w:ascii="宋体" w:hAnsi="宋体" w:eastAsia="宋体" w:cs="宋体"/>
                <w:sz w:val="20"/>
                <w:szCs w:val="20"/>
              </w:rPr>
            </w:pPr>
            <w:r>
              <w:rPr>
                <w:rFonts w:ascii="宋体" w:hAnsi="宋体" w:eastAsia="宋体" w:cs="宋体"/>
                <w:spacing w:val="8"/>
                <w:sz w:val="20"/>
                <w:szCs w:val="20"/>
              </w:rPr>
              <w:t>生点，集</w:t>
            </w:r>
            <w:r>
              <w:rPr>
                <w:rFonts w:ascii="微软雅黑" w:hAnsi="微软雅黑" w:eastAsia="微软雅黑" w:cs="微软雅黑"/>
                <w:spacing w:val="8"/>
                <w:sz w:val="20"/>
                <w:szCs w:val="20"/>
              </w:rPr>
              <w:t>气</w:t>
            </w:r>
            <w:r>
              <w:rPr>
                <w:rFonts w:ascii="宋体" w:hAnsi="宋体" w:eastAsia="宋体" w:cs="宋体"/>
                <w:spacing w:val="8"/>
                <w:sz w:val="20"/>
                <w:szCs w:val="20"/>
              </w:rPr>
              <w:t>效率</w:t>
            </w:r>
            <w:r>
              <w:rPr>
                <w:rFonts w:ascii="Times New Roman" w:hAnsi="Times New Roman" w:eastAsia="Times New Roman" w:cs="Times New Roman"/>
                <w:spacing w:val="8"/>
                <w:sz w:val="20"/>
                <w:szCs w:val="20"/>
              </w:rPr>
              <w:t>80%</w:t>
            </w:r>
            <w:r>
              <w:rPr>
                <w:rFonts w:ascii="宋体" w:hAnsi="宋体" w:eastAsia="宋体" w:cs="宋体"/>
                <w:spacing w:val="8"/>
                <w:sz w:val="20"/>
                <w:szCs w:val="20"/>
              </w:rPr>
              <w:t>）收</w:t>
            </w:r>
            <w:r>
              <w:rPr>
                <w:rFonts w:ascii="宋体" w:hAnsi="宋体" w:eastAsia="宋体" w:cs="宋体"/>
                <w:spacing w:val="1"/>
                <w:sz w:val="20"/>
                <w:szCs w:val="20"/>
              </w:rPr>
              <w:t>集三级活性炭吸附（</w:t>
            </w:r>
            <w:r>
              <w:rPr>
                <w:rFonts w:ascii="Times New Roman" w:hAnsi="Times New Roman" w:eastAsia="Times New Roman" w:cs="Times New Roman"/>
                <w:spacing w:val="1"/>
                <w:sz w:val="20"/>
                <w:szCs w:val="20"/>
              </w:rPr>
              <w:t>65%</w:t>
            </w:r>
            <w:r>
              <w:rPr>
                <w:rFonts w:ascii="宋体" w:hAnsi="宋体" w:eastAsia="宋体" w:cs="宋体"/>
                <w:spacing w:val="1"/>
                <w:sz w:val="20"/>
                <w:szCs w:val="20"/>
              </w:rPr>
              <w:t>）</w:t>
            </w:r>
            <w:r>
              <w:rPr>
                <w:rFonts w:ascii="宋体" w:hAnsi="宋体" w:eastAsia="宋体" w:cs="宋体"/>
                <w:spacing w:val="2"/>
                <w:sz w:val="20"/>
                <w:szCs w:val="20"/>
              </w:rPr>
              <w:t xml:space="preserve"> </w:t>
            </w:r>
            <w:r>
              <w:rPr>
                <w:rFonts w:ascii="Times New Roman" w:hAnsi="Times New Roman" w:eastAsia="Times New Roman" w:cs="Times New Roman"/>
                <w:spacing w:val="2"/>
                <w:sz w:val="20"/>
                <w:szCs w:val="20"/>
              </w:rPr>
              <w:t>+15m</w:t>
            </w:r>
            <w:r>
              <w:rPr>
                <w:rFonts w:ascii="宋体" w:hAnsi="宋体" w:eastAsia="宋体" w:cs="宋体"/>
                <w:spacing w:val="2"/>
                <w:sz w:val="20"/>
                <w:szCs w:val="20"/>
              </w:rPr>
              <w:t>排气筒（</w:t>
            </w:r>
            <w:r>
              <w:rPr>
                <w:rFonts w:ascii="Times New Roman" w:hAnsi="Times New Roman" w:eastAsia="Times New Roman" w:cs="Times New Roman"/>
                <w:sz w:val="20"/>
                <w:szCs w:val="20"/>
              </w:rPr>
              <w:t>DA</w:t>
            </w:r>
            <w:r>
              <w:rPr>
                <w:rFonts w:ascii="Times New Roman" w:hAnsi="Times New Roman" w:eastAsia="Times New Roman" w:cs="Times New Roman"/>
                <w:spacing w:val="2"/>
                <w:sz w:val="20"/>
                <w:szCs w:val="20"/>
              </w:rPr>
              <w:t>005</w:t>
            </w:r>
            <w:r>
              <w:rPr>
                <w:rFonts w:ascii="宋体" w:hAnsi="宋体" w:eastAsia="宋体" w:cs="宋体"/>
                <w:spacing w:val="2"/>
                <w:sz w:val="20"/>
                <w:szCs w:val="20"/>
              </w:rPr>
              <w:t>）处</w:t>
            </w:r>
            <w:r>
              <w:rPr>
                <w:rFonts w:ascii="宋体" w:hAnsi="宋体" w:eastAsia="宋体" w:cs="宋体"/>
                <w:spacing w:val="8"/>
                <w:sz w:val="20"/>
                <w:szCs w:val="20"/>
              </w:rPr>
              <w:t>理后可达标排放。</w:t>
            </w:r>
          </w:p>
        </w:tc>
        <w:tc>
          <w:tcPr>
            <w:tcW w:w="906" w:type="dxa"/>
            <w:vAlign w:val="top"/>
          </w:tcPr>
          <w:p w14:paraId="62156479">
            <w:pPr>
              <w:rPr>
                <w:rFonts w:ascii="Arial"/>
                <w:sz w:val="21"/>
              </w:rPr>
            </w:pPr>
          </w:p>
        </w:tc>
        <w:tc>
          <w:tcPr>
            <w:tcW w:w="122" w:type="dxa"/>
            <w:vMerge w:val="restart"/>
            <w:tcBorders>
              <w:top w:val="single" w:color="000000" w:sz="6" w:space="0"/>
              <w:bottom w:val="nil"/>
              <w:right w:val="single" w:color="000000" w:sz="6" w:space="0"/>
            </w:tcBorders>
            <w:vAlign w:val="top"/>
          </w:tcPr>
          <w:p w14:paraId="2D1B2597">
            <w:pPr>
              <w:rPr>
                <w:rFonts w:ascii="Arial"/>
                <w:sz w:val="21"/>
              </w:rPr>
            </w:pPr>
          </w:p>
        </w:tc>
      </w:tr>
      <w:tr w14:paraId="6FCE0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8" w:hRule="atLeast"/>
        </w:trPr>
        <w:tc>
          <w:tcPr>
            <w:tcW w:w="1161" w:type="dxa"/>
            <w:vMerge w:val="continue"/>
            <w:tcBorders>
              <w:top w:val="nil"/>
              <w:left w:val="single" w:color="000000" w:sz="6" w:space="0"/>
              <w:bottom w:val="nil"/>
            </w:tcBorders>
            <w:vAlign w:val="top"/>
          </w:tcPr>
          <w:p w14:paraId="18EE9E75">
            <w:pPr>
              <w:rPr>
                <w:rFonts w:ascii="Arial"/>
                <w:sz w:val="21"/>
              </w:rPr>
            </w:pPr>
          </w:p>
        </w:tc>
        <w:tc>
          <w:tcPr>
            <w:tcW w:w="113" w:type="dxa"/>
            <w:tcBorders>
              <w:top w:val="nil"/>
              <w:bottom w:val="nil"/>
            </w:tcBorders>
            <w:vAlign w:val="top"/>
          </w:tcPr>
          <w:p w14:paraId="2B8134C9">
            <w:pPr>
              <w:rPr>
                <w:rFonts w:ascii="Arial"/>
                <w:sz w:val="21"/>
              </w:rPr>
            </w:pPr>
          </w:p>
        </w:tc>
        <w:tc>
          <w:tcPr>
            <w:tcW w:w="1219" w:type="dxa"/>
            <w:vAlign w:val="top"/>
          </w:tcPr>
          <w:p w14:paraId="12FF8D1C">
            <w:pPr>
              <w:spacing w:line="297" w:lineRule="auto"/>
              <w:rPr>
                <w:rFonts w:ascii="Arial"/>
                <w:sz w:val="21"/>
              </w:rPr>
            </w:pPr>
          </w:p>
          <w:p w14:paraId="460E0AB0">
            <w:pPr>
              <w:spacing w:line="297" w:lineRule="auto"/>
              <w:rPr>
                <w:rFonts w:ascii="Arial"/>
                <w:sz w:val="21"/>
              </w:rPr>
            </w:pPr>
          </w:p>
          <w:p w14:paraId="440DB4D3">
            <w:pPr>
              <w:spacing w:line="298" w:lineRule="auto"/>
              <w:rPr>
                <w:rFonts w:ascii="Arial"/>
                <w:sz w:val="21"/>
              </w:rPr>
            </w:pPr>
          </w:p>
          <w:p w14:paraId="0C6BCF55">
            <w:pPr>
              <w:spacing w:line="298" w:lineRule="auto"/>
              <w:rPr>
                <w:rFonts w:ascii="Arial"/>
                <w:sz w:val="21"/>
              </w:rPr>
            </w:pPr>
          </w:p>
          <w:p w14:paraId="00817859">
            <w:pPr>
              <w:spacing w:before="65" w:line="228" w:lineRule="auto"/>
              <w:ind w:left="137"/>
              <w:rPr>
                <w:rFonts w:ascii="宋体" w:hAnsi="宋体" w:eastAsia="宋体" w:cs="宋体"/>
                <w:sz w:val="20"/>
                <w:szCs w:val="20"/>
              </w:rPr>
            </w:pPr>
            <w:r>
              <w:rPr>
                <w:rFonts w:ascii="宋体" w:hAnsi="宋体" w:eastAsia="宋体" w:cs="宋体"/>
                <w:spacing w:val="17"/>
                <w:sz w:val="20"/>
                <w:szCs w:val="20"/>
              </w:rPr>
              <w:t>含</w:t>
            </w:r>
            <w:r>
              <w:rPr>
                <w:rFonts w:ascii="Times New Roman" w:hAnsi="Times New Roman" w:eastAsia="Times New Roman" w:cs="Times New Roman"/>
                <w:sz w:val="20"/>
                <w:szCs w:val="20"/>
              </w:rPr>
              <w:t>VOCs</w:t>
            </w:r>
            <w:r>
              <w:rPr>
                <w:rFonts w:ascii="宋体" w:hAnsi="宋体" w:eastAsia="宋体" w:cs="宋体"/>
                <w:spacing w:val="17"/>
                <w:sz w:val="20"/>
                <w:szCs w:val="20"/>
              </w:rPr>
              <w:t>产</w:t>
            </w:r>
          </w:p>
          <w:p w14:paraId="58E074E2">
            <w:pPr>
              <w:spacing w:before="160" w:line="228" w:lineRule="auto"/>
              <w:ind w:left="207"/>
              <w:rPr>
                <w:rFonts w:ascii="宋体" w:hAnsi="宋体" w:eastAsia="宋体" w:cs="宋体"/>
                <w:sz w:val="20"/>
                <w:szCs w:val="20"/>
              </w:rPr>
            </w:pPr>
            <w:r>
              <w:rPr>
                <w:rFonts w:ascii="宋体" w:hAnsi="宋体" w:eastAsia="宋体" w:cs="宋体"/>
                <w:spacing w:val="3"/>
                <w:sz w:val="20"/>
                <w:szCs w:val="20"/>
              </w:rPr>
              <w:t>品的使用</w:t>
            </w:r>
          </w:p>
          <w:p w14:paraId="7E3464DA">
            <w:pPr>
              <w:spacing w:before="161" w:line="228" w:lineRule="auto"/>
              <w:ind w:left="400"/>
              <w:rPr>
                <w:rFonts w:ascii="宋体" w:hAnsi="宋体" w:eastAsia="宋体" w:cs="宋体"/>
                <w:sz w:val="20"/>
                <w:szCs w:val="20"/>
              </w:rPr>
            </w:pPr>
            <w:r>
              <w:rPr>
                <w:rFonts w:ascii="宋体" w:hAnsi="宋体" w:eastAsia="宋体" w:cs="宋体"/>
                <w:spacing w:val="4"/>
                <w:sz w:val="20"/>
                <w:szCs w:val="20"/>
              </w:rPr>
              <w:t>过程</w:t>
            </w:r>
          </w:p>
        </w:tc>
        <w:tc>
          <w:tcPr>
            <w:tcW w:w="2839" w:type="dxa"/>
            <w:vAlign w:val="top"/>
          </w:tcPr>
          <w:p w14:paraId="238D5A43">
            <w:pPr>
              <w:spacing w:before="36" w:line="307" w:lineRule="auto"/>
              <w:ind w:left="103" w:right="104" w:firstLine="420"/>
              <w:jc w:val="both"/>
              <w:rPr>
                <w:rFonts w:ascii="宋体" w:hAnsi="宋体" w:eastAsia="宋体" w:cs="宋体"/>
                <w:sz w:val="20"/>
                <w:szCs w:val="20"/>
              </w:rPr>
            </w:pPr>
            <w:r>
              <w:rPr>
                <w:rFonts w:ascii="Times New Roman" w:hAnsi="Times New Roman" w:eastAsia="Times New Roman" w:cs="Times New Roman"/>
                <w:sz w:val="20"/>
                <w:szCs w:val="20"/>
              </w:rPr>
              <w:t>VOCs</w:t>
            </w:r>
            <w:r>
              <w:rPr>
                <w:rFonts w:ascii="宋体" w:hAnsi="宋体" w:eastAsia="宋体" w:cs="宋体"/>
                <w:spacing w:val="12"/>
                <w:sz w:val="20"/>
                <w:szCs w:val="20"/>
              </w:rPr>
              <w:t>质</w:t>
            </w:r>
            <w:r>
              <w:rPr>
                <w:rFonts w:ascii="微软雅黑" w:hAnsi="微软雅黑" w:eastAsia="微软雅黑" w:cs="微软雅黑"/>
                <w:spacing w:val="12"/>
                <w:sz w:val="20"/>
                <w:szCs w:val="20"/>
              </w:rPr>
              <w:t>量</w:t>
            </w:r>
            <w:r>
              <w:rPr>
                <w:rFonts w:ascii="宋体" w:hAnsi="宋体" w:eastAsia="宋体" w:cs="宋体"/>
                <w:spacing w:val="12"/>
                <w:sz w:val="20"/>
                <w:szCs w:val="20"/>
              </w:rPr>
              <w:t>占比大于等于</w:t>
            </w:r>
            <w:r>
              <w:rPr>
                <w:rFonts w:ascii="Times New Roman" w:hAnsi="Times New Roman" w:eastAsia="Times New Roman" w:cs="Times New Roman"/>
                <w:spacing w:val="14"/>
                <w:sz w:val="20"/>
                <w:szCs w:val="20"/>
              </w:rPr>
              <w:t>10%</w:t>
            </w:r>
            <w:r>
              <w:rPr>
                <w:rFonts w:ascii="宋体" w:hAnsi="宋体" w:eastAsia="宋体" w:cs="宋体"/>
                <w:spacing w:val="14"/>
                <w:sz w:val="20"/>
                <w:szCs w:val="20"/>
              </w:rPr>
              <w:t>的含</w:t>
            </w:r>
            <w:r>
              <w:rPr>
                <w:rFonts w:ascii="Times New Roman" w:hAnsi="Times New Roman" w:eastAsia="Times New Roman" w:cs="Times New Roman"/>
                <w:sz w:val="20"/>
                <w:szCs w:val="20"/>
              </w:rPr>
              <w:t>VOCs</w:t>
            </w:r>
            <w:r>
              <w:rPr>
                <w:rFonts w:ascii="宋体" w:hAnsi="宋体" w:eastAsia="宋体" w:cs="宋体"/>
                <w:spacing w:val="14"/>
                <w:sz w:val="20"/>
                <w:szCs w:val="20"/>
              </w:rPr>
              <w:t>产品，其使用</w:t>
            </w:r>
            <w:r>
              <w:rPr>
                <w:rFonts w:ascii="宋体" w:hAnsi="宋体" w:eastAsia="宋体" w:cs="宋体"/>
                <w:spacing w:val="18"/>
                <w:sz w:val="20"/>
                <w:szCs w:val="20"/>
              </w:rPr>
              <w:t>过程应采用密闭设备或在密闭空间内操作，</w:t>
            </w:r>
            <w:r>
              <w:rPr>
                <w:rFonts w:ascii="微软雅黑" w:hAnsi="微软雅黑" w:eastAsia="微软雅黑" w:cs="微软雅黑"/>
                <w:spacing w:val="18"/>
                <w:sz w:val="20"/>
                <w:szCs w:val="20"/>
              </w:rPr>
              <w:t>废气</w:t>
            </w:r>
            <w:r>
              <w:rPr>
                <w:rFonts w:ascii="宋体" w:hAnsi="宋体" w:eastAsia="宋体" w:cs="宋体"/>
                <w:spacing w:val="18"/>
                <w:sz w:val="20"/>
                <w:szCs w:val="20"/>
              </w:rPr>
              <w:t>应排至</w:t>
            </w:r>
            <w:r>
              <w:rPr>
                <w:rFonts w:ascii="Times New Roman" w:hAnsi="Times New Roman" w:eastAsia="Times New Roman" w:cs="Times New Roman"/>
                <w:sz w:val="20"/>
                <w:szCs w:val="20"/>
              </w:rPr>
              <w:t>VOCs</w:t>
            </w:r>
            <w:r>
              <w:rPr>
                <w:rFonts w:ascii="微软雅黑" w:hAnsi="微软雅黑" w:eastAsia="微软雅黑" w:cs="微软雅黑"/>
                <w:spacing w:val="12"/>
                <w:sz w:val="20"/>
                <w:szCs w:val="20"/>
              </w:rPr>
              <w:t>废气</w:t>
            </w:r>
            <w:r>
              <w:rPr>
                <w:rFonts w:ascii="宋体" w:hAnsi="宋体" w:eastAsia="宋体" w:cs="宋体"/>
                <w:spacing w:val="12"/>
                <w:sz w:val="20"/>
                <w:szCs w:val="20"/>
              </w:rPr>
              <w:t>收集处理系统；无</w:t>
            </w:r>
            <w:r>
              <w:rPr>
                <w:rFonts w:ascii="宋体" w:hAnsi="宋体" w:eastAsia="宋体" w:cs="宋体"/>
                <w:spacing w:val="1"/>
                <w:sz w:val="20"/>
                <w:szCs w:val="20"/>
              </w:rPr>
              <w:t>法封闭的，应采取局部</w:t>
            </w:r>
            <w:r>
              <w:rPr>
                <w:rFonts w:ascii="微软雅黑" w:hAnsi="微软雅黑" w:eastAsia="微软雅黑" w:cs="微软雅黑"/>
                <w:spacing w:val="1"/>
                <w:sz w:val="20"/>
                <w:szCs w:val="20"/>
              </w:rPr>
              <w:t>气</w:t>
            </w:r>
            <w:r>
              <w:rPr>
                <w:rFonts w:ascii="宋体" w:hAnsi="宋体" w:eastAsia="宋体" w:cs="宋体"/>
                <w:spacing w:val="1"/>
                <w:sz w:val="20"/>
                <w:szCs w:val="20"/>
              </w:rPr>
              <w:t>体收</w:t>
            </w:r>
            <w:r>
              <w:rPr>
                <w:rFonts w:ascii="宋体" w:hAnsi="宋体" w:eastAsia="宋体" w:cs="宋体"/>
                <w:spacing w:val="12"/>
                <w:sz w:val="20"/>
                <w:szCs w:val="20"/>
              </w:rPr>
              <w:t>集措施，</w:t>
            </w:r>
            <w:r>
              <w:rPr>
                <w:rFonts w:ascii="微软雅黑" w:hAnsi="微软雅黑" w:eastAsia="微软雅黑" w:cs="微软雅黑"/>
                <w:spacing w:val="12"/>
                <w:sz w:val="20"/>
                <w:szCs w:val="20"/>
              </w:rPr>
              <w:t>废气</w:t>
            </w:r>
            <w:r>
              <w:rPr>
                <w:rFonts w:ascii="宋体" w:hAnsi="宋体" w:eastAsia="宋体" w:cs="宋体"/>
                <w:spacing w:val="12"/>
                <w:sz w:val="20"/>
                <w:szCs w:val="20"/>
              </w:rPr>
              <w:t>应排至</w:t>
            </w:r>
            <w:r>
              <w:rPr>
                <w:rFonts w:ascii="Times New Roman" w:hAnsi="Times New Roman" w:eastAsia="Times New Roman" w:cs="Times New Roman"/>
                <w:sz w:val="20"/>
                <w:szCs w:val="20"/>
              </w:rPr>
              <w:t>VOCs</w:t>
            </w:r>
            <w:r>
              <w:rPr>
                <w:rFonts w:ascii="微软雅黑" w:hAnsi="微软雅黑" w:eastAsia="微软雅黑" w:cs="微软雅黑"/>
                <w:spacing w:val="12"/>
                <w:sz w:val="20"/>
                <w:szCs w:val="20"/>
              </w:rPr>
              <w:t>废</w:t>
            </w:r>
            <w:r>
              <w:rPr>
                <w:rFonts w:ascii="微软雅黑" w:hAnsi="微软雅黑" w:eastAsia="微软雅黑" w:cs="微软雅黑"/>
                <w:spacing w:val="8"/>
                <w:sz w:val="20"/>
                <w:szCs w:val="20"/>
              </w:rPr>
              <w:t>气</w:t>
            </w:r>
            <w:r>
              <w:rPr>
                <w:rFonts w:ascii="宋体" w:hAnsi="宋体" w:eastAsia="宋体" w:cs="宋体"/>
                <w:spacing w:val="8"/>
                <w:sz w:val="20"/>
                <w:szCs w:val="20"/>
              </w:rPr>
              <w:t>收集处理系统。</w:t>
            </w:r>
          </w:p>
        </w:tc>
        <w:tc>
          <w:tcPr>
            <w:tcW w:w="2512" w:type="dxa"/>
            <w:tcBorders>
              <w:bottom w:val="single" w:color="4F81BD" w:sz="10" w:space="0"/>
            </w:tcBorders>
            <w:vAlign w:val="top"/>
          </w:tcPr>
          <w:p w14:paraId="279E4EA6">
            <w:pPr>
              <w:spacing w:before="36" w:line="227" w:lineRule="auto"/>
              <w:ind w:left="535"/>
              <w:rPr>
                <w:rFonts w:ascii="宋体" w:hAnsi="宋体" w:eastAsia="宋体" w:cs="宋体"/>
                <w:sz w:val="20"/>
                <w:szCs w:val="20"/>
              </w:rPr>
            </w:pPr>
            <w:r>
              <w:rPr>
                <w:rFonts w:ascii="宋体" w:hAnsi="宋体" w:eastAsia="宋体" w:cs="宋体"/>
                <w:spacing w:val="8"/>
                <w:sz w:val="20"/>
                <w:szCs w:val="20"/>
              </w:rPr>
              <w:t>本项目为改扩建项</w:t>
            </w:r>
          </w:p>
          <w:p w14:paraId="02DDC08A">
            <w:pPr>
              <w:spacing w:before="162" w:line="286" w:lineRule="auto"/>
              <w:ind w:left="115" w:right="101" w:firstLine="39"/>
              <w:rPr>
                <w:rFonts w:ascii="宋体" w:hAnsi="宋体" w:eastAsia="宋体" w:cs="宋体"/>
                <w:sz w:val="20"/>
                <w:szCs w:val="20"/>
              </w:rPr>
            </w:pPr>
            <w:r>
              <w:rPr>
                <w:rFonts w:ascii="宋体" w:hAnsi="宋体" w:eastAsia="宋体" w:cs="宋体"/>
                <w:spacing w:val="4"/>
                <w:sz w:val="20"/>
                <w:szCs w:val="20"/>
              </w:rPr>
              <w:t>目，消注塑产生的</w:t>
            </w:r>
            <w:r>
              <w:rPr>
                <w:rFonts w:ascii="微软雅黑" w:hAnsi="微软雅黑" w:eastAsia="微软雅黑" w:cs="微软雅黑"/>
                <w:spacing w:val="4"/>
                <w:sz w:val="20"/>
                <w:szCs w:val="20"/>
              </w:rPr>
              <w:t>废气</w:t>
            </w:r>
            <w:r>
              <w:rPr>
                <w:rFonts w:ascii="宋体" w:hAnsi="宋体" w:eastAsia="宋体" w:cs="宋体"/>
                <w:spacing w:val="4"/>
                <w:sz w:val="20"/>
                <w:szCs w:val="20"/>
              </w:rPr>
              <w:t>在</w:t>
            </w:r>
            <w:r>
              <w:rPr>
                <w:rFonts w:ascii="宋体" w:hAnsi="宋体" w:eastAsia="宋体" w:cs="宋体"/>
                <w:spacing w:val="9"/>
                <w:sz w:val="20"/>
                <w:szCs w:val="20"/>
              </w:rPr>
              <w:t>浇注区上空设置集</w:t>
            </w:r>
            <w:r>
              <w:rPr>
                <w:rFonts w:ascii="微软雅黑" w:hAnsi="微软雅黑" w:eastAsia="微软雅黑" w:cs="微软雅黑"/>
                <w:spacing w:val="9"/>
                <w:sz w:val="20"/>
                <w:szCs w:val="20"/>
              </w:rPr>
              <w:t>气</w:t>
            </w:r>
            <w:r>
              <w:rPr>
                <w:rFonts w:ascii="宋体" w:hAnsi="宋体" w:eastAsia="宋体" w:cs="宋体"/>
                <w:spacing w:val="9"/>
                <w:sz w:val="20"/>
                <w:szCs w:val="20"/>
              </w:rPr>
              <w:t>罩</w:t>
            </w:r>
          </w:p>
          <w:p w14:paraId="5AA75A17">
            <w:pPr>
              <w:spacing w:before="1" w:line="285" w:lineRule="auto"/>
              <w:ind w:left="115" w:right="197" w:firstLine="9"/>
              <w:rPr>
                <w:rFonts w:ascii="宋体" w:hAnsi="宋体" w:eastAsia="宋体" w:cs="宋体"/>
                <w:sz w:val="20"/>
                <w:szCs w:val="20"/>
              </w:rPr>
            </w:pPr>
            <w:r>
              <w:rPr>
                <w:rFonts w:ascii="宋体" w:hAnsi="宋体" w:eastAsia="宋体" w:cs="宋体"/>
                <w:spacing w:val="7"/>
                <w:sz w:val="20"/>
                <w:szCs w:val="20"/>
              </w:rPr>
              <w:t>（共</w:t>
            </w:r>
            <w:r>
              <w:rPr>
                <w:rFonts w:ascii="Times New Roman" w:hAnsi="Times New Roman" w:eastAsia="Times New Roman" w:cs="Times New Roman"/>
                <w:spacing w:val="7"/>
                <w:sz w:val="20"/>
                <w:szCs w:val="20"/>
              </w:rPr>
              <w:t>4</w:t>
            </w:r>
            <w:r>
              <w:rPr>
                <w:rFonts w:ascii="宋体" w:hAnsi="宋体" w:eastAsia="宋体" w:cs="宋体"/>
                <w:spacing w:val="7"/>
                <w:sz w:val="20"/>
                <w:szCs w:val="20"/>
              </w:rPr>
              <w:t>个、集</w:t>
            </w:r>
            <w:r>
              <w:rPr>
                <w:rFonts w:ascii="微软雅黑" w:hAnsi="微软雅黑" w:eastAsia="微软雅黑" w:cs="微软雅黑"/>
                <w:spacing w:val="7"/>
                <w:sz w:val="20"/>
                <w:szCs w:val="20"/>
              </w:rPr>
              <w:t>气</w:t>
            </w:r>
            <w:r>
              <w:rPr>
                <w:rFonts w:ascii="宋体" w:hAnsi="宋体" w:eastAsia="宋体" w:cs="宋体"/>
                <w:spacing w:val="7"/>
                <w:sz w:val="20"/>
                <w:szCs w:val="20"/>
              </w:rPr>
              <w:t>罩要罩住</w:t>
            </w:r>
            <w:r>
              <w:rPr>
                <w:rFonts w:ascii="宋体" w:hAnsi="宋体" w:eastAsia="宋体" w:cs="宋体"/>
                <w:spacing w:val="9"/>
                <w:sz w:val="20"/>
                <w:szCs w:val="20"/>
              </w:rPr>
              <w:t>整个浇注区有机</w:t>
            </w:r>
            <w:r>
              <w:rPr>
                <w:rFonts w:ascii="微软雅黑" w:hAnsi="微软雅黑" w:eastAsia="微软雅黑" w:cs="微软雅黑"/>
                <w:spacing w:val="9"/>
                <w:sz w:val="20"/>
                <w:szCs w:val="20"/>
              </w:rPr>
              <w:t>废气</w:t>
            </w:r>
            <w:r>
              <w:rPr>
                <w:rFonts w:ascii="宋体" w:hAnsi="宋体" w:eastAsia="宋体" w:cs="宋体"/>
                <w:spacing w:val="9"/>
                <w:sz w:val="20"/>
                <w:szCs w:val="20"/>
              </w:rPr>
              <w:t>产</w:t>
            </w:r>
          </w:p>
          <w:p w14:paraId="4DDCEEC5">
            <w:pPr>
              <w:spacing w:before="2" w:line="339" w:lineRule="auto"/>
              <w:ind w:left="109" w:right="14" w:firstLine="6"/>
              <w:rPr>
                <w:rFonts w:ascii="宋体" w:hAnsi="宋体" w:eastAsia="宋体" w:cs="宋体"/>
                <w:sz w:val="20"/>
                <w:szCs w:val="20"/>
              </w:rPr>
            </w:pPr>
            <w:r>
              <w:rPr>
                <w:rFonts w:ascii="宋体" w:hAnsi="宋体" w:eastAsia="宋体" w:cs="宋体"/>
                <w:spacing w:val="8"/>
                <w:sz w:val="20"/>
                <w:szCs w:val="20"/>
              </w:rPr>
              <w:t>生点，集</w:t>
            </w:r>
            <w:r>
              <w:rPr>
                <w:rFonts w:ascii="微软雅黑" w:hAnsi="微软雅黑" w:eastAsia="微软雅黑" w:cs="微软雅黑"/>
                <w:spacing w:val="8"/>
                <w:sz w:val="20"/>
                <w:szCs w:val="20"/>
              </w:rPr>
              <w:t>气</w:t>
            </w:r>
            <w:r>
              <w:rPr>
                <w:rFonts w:ascii="宋体" w:hAnsi="宋体" w:eastAsia="宋体" w:cs="宋体"/>
                <w:spacing w:val="8"/>
                <w:sz w:val="20"/>
                <w:szCs w:val="20"/>
              </w:rPr>
              <w:t>效率</w:t>
            </w:r>
            <w:r>
              <w:rPr>
                <w:rFonts w:ascii="Times New Roman" w:hAnsi="Times New Roman" w:eastAsia="Times New Roman" w:cs="Times New Roman"/>
                <w:spacing w:val="8"/>
                <w:sz w:val="20"/>
                <w:szCs w:val="20"/>
              </w:rPr>
              <w:t>80%</w:t>
            </w:r>
            <w:r>
              <w:rPr>
                <w:rFonts w:ascii="宋体" w:hAnsi="宋体" w:eastAsia="宋体" w:cs="宋体"/>
                <w:spacing w:val="8"/>
                <w:sz w:val="20"/>
                <w:szCs w:val="20"/>
              </w:rPr>
              <w:t>）收</w:t>
            </w:r>
            <w:r>
              <w:rPr>
                <w:rFonts w:ascii="宋体" w:hAnsi="宋体" w:eastAsia="宋体" w:cs="宋体"/>
                <w:spacing w:val="1"/>
                <w:sz w:val="20"/>
                <w:szCs w:val="20"/>
              </w:rPr>
              <w:t>集三级活性炭吸附（</w:t>
            </w:r>
            <w:r>
              <w:rPr>
                <w:rFonts w:ascii="Times New Roman" w:hAnsi="Times New Roman" w:eastAsia="Times New Roman" w:cs="Times New Roman"/>
                <w:spacing w:val="1"/>
                <w:sz w:val="20"/>
                <w:szCs w:val="20"/>
              </w:rPr>
              <w:t>65%</w:t>
            </w:r>
            <w:r>
              <w:rPr>
                <w:rFonts w:ascii="宋体" w:hAnsi="宋体" w:eastAsia="宋体" w:cs="宋体"/>
                <w:spacing w:val="1"/>
                <w:sz w:val="20"/>
                <w:szCs w:val="20"/>
              </w:rPr>
              <w:t>）</w:t>
            </w:r>
            <w:r>
              <w:rPr>
                <w:rFonts w:ascii="宋体" w:hAnsi="宋体" w:eastAsia="宋体" w:cs="宋体"/>
                <w:spacing w:val="2"/>
                <w:sz w:val="20"/>
                <w:szCs w:val="20"/>
              </w:rPr>
              <w:t xml:space="preserve"> </w:t>
            </w:r>
            <w:r>
              <w:rPr>
                <w:rFonts w:ascii="Times New Roman" w:hAnsi="Times New Roman" w:eastAsia="Times New Roman" w:cs="Times New Roman"/>
                <w:spacing w:val="2"/>
                <w:sz w:val="20"/>
                <w:szCs w:val="20"/>
              </w:rPr>
              <w:t>+15m</w:t>
            </w:r>
            <w:r>
              <w:rPr>
                <w:rFonts w:ascii="宋体" w:hAnsi="宋体" w:eastAsia="宋体" w:cs="宋体"/>
                <w:spacing w:val="2"/>
                <w:sz w:val="20"/>
                <w:szCs w:val="20"/>
              </w:rPr>
              <w:t>排气筒（</w:t>
            </w:r>
            <w:r>
              <w:rPr>
                <w:rFonts w:ascii="Times New Roman" w:hAnsi="Times New Roman" w:eastAsia="Times New Roman" w:cs="Times New Roman"/>
                <w:sz w:val="20"/>
                <w:szCs w:val="20"/>
              </w:rPr>
              <w:t>DA</w:t>
            </w:r>
            <w:r>
              <w:rPr>
                <w:rFonts w:ascii="Times New Roman" w:hAnsi="Times New Roman" w:eastAsia="Times New Roman" w:cs="Times New Roman"/>
                <w:spacing w:val="2"/>
                <w:sz w:val="20"/>
                <w:szCs w:val="20"/>
              </w:rPr>
              <w:t>005</w:t>
            </w:r>
            <w:r>
              <w:rPr>
                <w:rFonts w:ascii="宋体" w:hAnsi="宋体" w:eastAsia="宋体" w:cs="宋体"/>
                <w:spacing w:val="2"/>
                <w:sz w:val="20"/>
                <w:szCs w:val="20"/>
              </w:rPr>
              <w:t>）处</w:t>
            </w:r>
            <w:r>
              <w:rPr>
                <w:rFonts w:ascii="宋体" w:hAnsi="宋体" w:eastAsia="宋体" w:cs="宋体"/>
                <w:spacing w:val="8"/>
                <w:sz w:val="20"/>
                <w:szCs w:val="20"/>
              </w:rPr>
              <w:t>理后可达标排放。</w:t>
            </w:r>
          </w:p>
        </w:tc>
        <w:tc>
          <w:tcPr>
            <w:tcW w:w="906" w:type="dxa"/>
            <w:vAlign w:val="top"/>
          </w:tcPr>
          <w:p w14:paraId="7CB24832">
            <w:pPr>
              <w:spacing w:line="266" w:lineRule="auto"/>
              <w:rPr>
                <w:rFonts w:ascii="Arial"/>
                <w:sz w:val="21"/>
              </w:rPr>
            </w:pPr>
          </w:p>
          <w:p w14:paraId="10E4573A">
            <w:pPr>
              <w:spacing w:line="266" w:lineRule="auto"/>
              <w:rPr>
                <w:rFonts w:ascii="Arial"/>
                <w:sz w:val="21"/>
              </w:rPr>
            </w:pPr>
          </w:p>
          <w:p w14:paraId="7D56ABAB">
            <w:pPr>
              <w:spacing w:line="266" w:lineRule="auto"/>
              <w:rPr>
                <w:rFonts w:ascii="Arial"/>
                <w:sz w:val="21"/>
              </w:rPr>
            </w:pPr>
          </w:p>
          <w:p w14:paraId="6E76C9DF">
            <w:pPr>
              <w:spacing w:line="266" w:lineRule="auto"/>
              <w:rPr>
                <w:rFonts w:ascii="Arial"/>
                <w:sz w:val="21"/>
              </w:rPr>
            </w:pPr>
          </w:p>
          <w:p w14:paraId="7DD04934">
            <w:pPr>
              <w:spacing w:line="266" w:lineRule="auto"/>
              <w:rPr>
                <w:rFonts w:ascii="Arial"/>
                <w:sz w:val="21"/>
              </w:rPr>
            </w:pPr>
          </w:p>
          <w:p w14:paraId="1B882980">
            <w:pPr>
              <w:spacing w:line="266" w:lineRule="auto"/>
              <w:rPr>
                <w:rFonts w:ascii="Arial"/>
                <w:sz w:val="21"/>
              </w:rPr>
            </w:pPr>
          </w:p>
          <w:p w14:paraId="56B3FBF3">
            <w:pPr>
              <w:spacing w:before="65" w:line="228" w:lineRule="auto"/>
              <w:ind w:left="256"/>
              <w:rPr>
                <w:rFonts w:ascii="宋体" w:hAnsi="宋体" w:eastAsia="宋体" w:cs="宋体"/>
                <w:sz w:val="20"/>
                <w:szCs w:val="20"/>
              </w:rPr>
            </w:pPr>
            <w:r>
              <w:rPr>
                <w:rFonts w:ascii="宋体" w:hAnsi="宋体" w:eastAsia="宋体" w:cs="宋体"/>
                <w:spacing w:val="3"/>
                <w:sz w:val="20"/>
                <w:szCs w:val="20"/>
              </w:rPr>
              <w:t>符合</w:t>
            </w:r>
          </w:p>
        </w:tc>
        <w:tc>
          <w:tcPr>
            <w:tcW w:w="122" w:type="dxa"/>
            <w:vMerge w:val="continue"/>
            <w:tcBorders>
              <w:top w:val="nil"/>
              <w:bottom w:val="nil"/>
              <w:right w:val="single" w:color="000000" w:sz="6" w:space="0"/>
            </w:tcBorders>
            <w:vAlign w:val="top"/>
          </w:tcPr>
          <w:p w14:paraId="75DA5368">
            <w:pPr>
              <w:rPr>
                <w:rFonts w:ascii="Arial"/>
                <w:sz w:val="21"/>
              </w:rPr>
            </w:pPr>
          </w:p>
        </w:tc>
      </w:tr>
      <w:tr w14:paraId="2D314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3" w:hRule="atLeast"/>
        </w:trPr>
        <w:tc>
          <w:tcPr>
            <w:tcW w:w="1161" w:type="dxa"/>
            <w:vMerge w:val="continue"/>
            <w:tcBorders>
              <w:top w:val="nil"/>
              <w:left w:val="single" w:color="000000" w:sz="6" w:space="0"/>
              <w:bottom w:val="nil"/>
            </w:tcBorders>
            <w:vAlign w:val="top"/>
          </w:tcPr>
          <w:p w14:paraId="02C14605">
            <w:pPr>
              <w:rPr>
                <w:rFonts w:ascii="Arial"/>
                <w:sz w:val="21"/>
              </w:rPr>
            </w:pPr>
          </w:p>
        </w:tc>
        <w:tc>
          <w:tcPr>
            <w:tcW w:w="113" w:type="dxa"/>
            <w:tcBorders>
              <w:top w:val="nil"/>
              <w:bottom w:val="nil"/>
            </w:tcBorders>
            <w:vAlign w:val="top"/>
          </w:tcPr>
          <w:p w14:paraId="04C32FAB">
            <w:pPr>
              <w:rPr>
                <w:rFonts w:ascii="Arial"/>
                <w:sz w:val="21"/>
              </w:rPr>
            </w:pPr>
          </w:p>
        </w:tc>
        <w:tc>
          <w:tcPr>
            <w:tcW w:w="1219" w:type="dxa"/>
            <w:vMerge w:val="restart"/>
            <w:tcBorders>
              <w:bottom w:val="nil"/>
            </w:tcBorders>
            <w:vAlign w:val="top"/>
          </w:tcPr>
          <w:p w14:paraId="0EF3B3C6">
            <w:pPr>
              <w:spacing w:line="258" w:lineRule="auto"/>
              <w:rPr>
                <w:rFonts w:ascii="Arial"/>
                <w:sz w:val="21"/>
              </w:rPr>
            </w:pPr>
          </w:p>
          <w:p w14:paraId="2A7E2FE7">
            <w:pPr>
              <w:spacing w:line="258" w:lineRule="auto"/>
              <w:rPr>
                <w:rFonts w:ascii="Arial"/>
                <w:sz w:val="21"/>
              </w:rPr>
            </w:pPr>
          </w:p>
          <w:p w14:paraId="7EF77AE5">
            <w:pPr>
              <w:spacing w:line="258" w:lineRule="auto"/>
              <w:rPr>
                <w:rFonts w:ascii="Arial"/>
                <w:sz w:val="21"/>
              </w:rPr>
            </w:pPr>
          </w:p>
          <w:p w14:paraId="03EE0D92">
            <w:pPr>
              <w:spacing w:line="258" w:lineRule="auto"/>
              <w:rPr>
                <w:rFonts w:ascii="Arial"/>
                <w:sz w:val="21"/>
              </w:rPr>
            </w:pPr>
          </w:p>
          <w:p w14:paraId="2FA876FF">
            <w:pPr>
              <w:spacing w:line="259" w:lineRule="auto"/>
              <w:rPr>
                <w:rFonts w:ascii="Arial"/>
                <w:sz w:val="21"/>
              </w:rPr>
            </w:pPr>
          </w:p>
          <w:p w14:paraId="0E0B500F">
            <w:pPr>
              <w:spacing w:line="259" w:lineRule="auto"/>
              <w:rPr>
                <w:rFonts w:ascii="Arial"/>
                <w:sz w:val="21"/>
              </w:rPr>
            </w:pPr>
          </w:p>
          <w:p w14:paraId="2C407566">
            <w:pPr>
              <w:spacing w:line="259" w:lineRule="auto"/>
              <w:rPr>
                <w:rFonts w:ascii="Arial"/>
                <w:sz w:val="21"/>
              </w:rPr>
            </w:pPr>
          </w:p>
          <w:p w14:paraId="74B91658">
            <w:pPr>
              <w:spacing w:before="65" w:line="378" w:lineRule="auto"/>
              <w:ind w:left="189" w:right="140" w:hanging="58"/>
              <w:rPr>
                <w:rFonts w:ascii="宋体" w:hAnsi="宋体" w:eastAsia="宋体" w:cs="宋体"/>
                <w:sz w:val="20"/>
                <w:szCs w:val="20"/>
              </w:rPr>
            </w:pPr>
            <w:r>
              <w:rPr>
                <w:rFonts w:ascii="Times New Roman" w:hAnsi="Times New Roman" w:eastAsia="Times New Roman" w:cs="Times New Roman"/>
                <w:sz w:val="20"/>
                <w:szCs w:val="20"/>
              </w:rPr>
              <w:t>VOCs</w:t>
            </w:r>
            <w:r>
              <w:rPr>
                <w:rFonts w:ascii="宋体" w:hAnsi="宋体" w:eastAsia="宋体" w:cs="宋体"/>
                <w:spacing w:val="20"/>
                <w:sz w:val="20"/>
                <w:szCs w:val="20"/>
              </w:rPr>
              <w:t>排放</w:t>
            </w:r>
            <w:r>
              <w:rPr>
                <w:rFonts w:ascii="宋体" w:hAnsi="宋体" w:eastAsia="宋体" w:cs="宋体"/>
                <w:spacing w:val="7"/>
                <w:sz w:val="20"/>
                <w:szCs w:val="20"/>
              </w:rPr>
              <w:t>控制要求</w:t>
            </w:r>
          </w:p>
        </w:tc>
        <w:tc>
          <w:tcPr>
            <w:tcW w:w="2839" w:type="dxa"/>
            <w:vAlign w:val="top"/>
          </w:tcPr>
          <w:p w14:paraId="671F38CF">
            <w:pPr>
              <w:spacing w:before="39" w:line="348" w:lineRule="auto"/>
              <w:ind w:left="110" w:right="104" w:firstLine="426"/>
              <w:jc w:val="both"/>
              <w:rPr>
                <w:rFonts w:ascii="宋体" w:hAnsi="宋体" w:eastAsia="宋体" w:cs="宋体"/>
                <w:sz w:val="20"/>
                <w:szCs w:val="20"/>
              </w:rPr>
            </w:pPr>
            <w:r>
              <w:rPr>
                <w:rFonts w:ascii="宋体" w:hAnsi="宋体" w:eastAsia="宋体" w:cs="宋体"/>
                <w:spacing w:val="27"/>
                <w:sz w:val="20"/>
                <w:szCs w:val="20"/>
              </w:rPr>
              <w:t>收集的</w:t>
            </w:r>
            <w:r>
              <w:rPr>
                <w:rFonts w:ascii="微软雅黑" w:hAnsi="微软雅黑" w:eastAsia="微软雅黑" w:cs="微软雅黑"/>
                <w:spacing w:val="27"/>
                <w:sz w:val="20"/>
                <w:szCs w:val="20"/>
              </w:rPr>
              <w:t>废气</w:t>
            </w:r>
            <w:r>
              <w:rPr>
                <w:rFonts w:ascii="宋体" w:hAnsi="宋体" w:eastAsia="宋体" w:cs="宋体"/>
                <w:spacing w:val="27"/>
                <w:sz w:val="20"/>
                <w:szCs w:val="20"/>
              </w:rPr>
              <w:t>中</w:t>
            </w:r>
            <w:r>
              <w:rPr>
                <w:rFonts w:ascii="Times New Roman" w:hAnsi="Times New Roman" w:eastAsia="Times New Roman" w:cs="Times New Roman"/>
                <w:sz w:val="20"/>
                <w:szCs w:val="20"/>
              </w:rPr>
              <w:t>NMHC</w:t>
            </w:r>
            <w:r>
              <w:rPr>
                <w:rFonts w:ascii="宋体" w:hAnsi="宋体" w:eastAsia="宋体" w:cs="宋体"/>
                <w:spacing w:val="27"/>
                <w:sz w:val="20"/>
                <w:szCs w:val="20"/>
              </w:rPr>
              <w:t>初</w:t>
            </w:r>
            <w:r>
              <w:rPr>
                <w:rFonts w:ascii="宋体" w:hAnsi="宋体" w:eastAsia="宋体" w:cs="宋体"/>
                <w:spacing w:val="16"/>
                <w:sz w:val="20"/>
                <w:szCs w:val="20"/>
              </w:rPr>
              <w:t>始排放速率</w:t>
            </w:r>
            <w:r>
              <w:rPr>
                <w:rFonts w:ascii="宋体" w:hAnsi="宋体" w:eastAsia="宋体" w:cs="宋体"/>
                <w:spacing w:val="-52"/>
                <w:sz w:val="20"/>
                <w:szCs w:val="20"/>
              </w:rPr>
              <w:t xml:space="preserve"> </w:t>
            </w:r>
            <w:r>
              <w:rPr>
                <w:rFonts w:ascii="宋体" w:hAnsi="宋体" w:eastAsia="宋体" w:cs="宋体"/>
                <w:spacing w:val="16"/>
                <w:sz w:val="20"/>
                <w:szCs w:val="20"/>
              </w:rPr>
              <w:t>大</w:t>
            </w:r>
            <w:r>
              <w:rPr>
                <w:rFonts w:ascii="宋体" w:hAnsi="宋体" w:eastAsia="宋体" w:cs="宋体"/>
                <w:spacing w:val="-60"/>
                <w:sz w:val="20"/>
                <w:szCs w:val="20"/>
              </w:rPr>
              <w:t xml:space="preserve"> </w:t>
            </w:r>
            <w:r>
              <w:rPr>
                <w:rFonts w:ascii="宋体" w:hAnsi="宋体" w:eastAsia="宋体" w:cs="宋体"/>
                <w:spacing w:val="16"/>
                <w:sz w:val="20"/>
                <w:szCs w:val="20"/>
              </w:rPr>
              <w:t>于</w:t>
            </w:r>
            <w:r>
              <w:rPr>
                <w:rFonts w:ascii="宋体" w:hAnsi="宋体" w:eastAsia="宋体" w:cs="宋体"/>
                <w:spacing w:val="-59"/>
                <w:sz w:val="20"/>
                <w:szCs w:val="20"/>
              </w:rPr>
              <w:t xml:space="preserve"> </w:t>
            </w:r>
            <w:r>
              <w:rPr>
                <w:rFonts w:ascii="宋体" w:hAnsi="宋体" w:eastAsia="宋体" w:cs="宋体"/>
                <w:spacing w:val="16"/>
                <w:sz w:val="20"/>
                <w:szCs w:val="20"/>
              </w:rPr>
              <w:t>等</w:t>
            </w:r>
            <w:r>
              <w:rPr>
                <w:rFonts w:ascii="宋体" w:hAnsi="宋体" w:eastAsia="宋体" w:cs="宋体"/>
                <w:spacing w:val="-60"/>
                <w:sz w:val="20"/>
                <w:szCs w:val="20"/>
              </w:rPr>
              <w:t xml:space="preserve"> </w:t>
            </w:r>
            <w:r>
              <w:rPr>
                <w:rFonts w:ascii="宋体" w:hAnsi="宋体" w:eastAsia="宋体" w:cs="宋体"/>
                <w:spacing w:val="16"/>
                <w:sz w:val="20"/>
                <w:szCs w:val="20"/>
              </w:rPr>
              <w:t>于</w:t>
            </w:r>
            <w:r>
              <w:rPr>
                <w:rFonts w:ascii="Times New Roman" w:hAnsi="Times New Roman" w:eastAsia="Times New Roman" w:cs="Times New Roman"/>
                <w:spacing w:val="16"/>
                <w:sz w:val="20"/>
                <w:szCs w:val="20"/>
              </w:rPr>
              <w:t>3</w:t>
            </w:r>
            <w:r>
              <w:rPr>
                <w:rFonts w:ascii="Times New Roman" w:hAnsi="Times New Roman" w:eastAsia="Times New Roman" w:cs="Times New Roman"/>
                <w:sz w:val="20"/>
                <w:szCs w:val="20"/>
              </w:rPr>
              <w:t>kg</w:t>
            </w:r>
            <w:r>
              <w:rPr>
                <w:rFonts w:ascii="Times New Roman" w:hAnsi="Times New Roman" w:eastAsia="Times New Roman" w:cs="Times New Roman"/>
                <w:spacing w:val="16"/>
                <w:sz w:val="20"/>
                <w:szCs w:val="20"/>
              </w:rPr>
              <w:t>/h</w:t>
            </w:r>
            <w:r>
              <w:rPr>
                <w:rFonts w:ascii="宋体" w:hAnsi="宋体" w:eastAsia="宋体" w:cs="宋体"/>
                <w:spacing w:val="11"/>
                <w:sz w:val="20"/>
                <w:szCs w:val="20"/>
              </w:rPr>
              <w:t>时，应配置</w:t>
            </w:r>
            <w:r>
              <w:rPr>
                <w:rFonts w:ascii="Times New Roman" w:hAnsi="Times New Roman" w:eastAsia="Times New Roman" w:cs="Times New Roman"/>
                <w:sz w:val="20"/>
                <w:szCs w:val="20"/>
              </w:rPr>
              <w:t>VOCs</w:t>
            </w:r>
            <w:r>
              <w:rPr>
                <w:rFonts w:ascii="宋体" w:hAnsi="宋体" w:eastAsia="宋体" w:cs="宋体"/>
                <w:spacing w:val="11"/>
                <w:sz w:val="20"/>
                <w:szCs w:val="20"/>
              </w:rPr>
              <w:t>处理设施，</w:t>
            </w:r>
            <w:r>
              <w:rPr>
                <w:rFonts w:ascii="宋体" w:hAnsi="宋体" w:eastAsia="宋体" w:cs="宋体"/>
                <w:spacing w:val="7"/>
                <w:sz w:val="20"/>
                <w:szCs w:val="20"/>
              </w:rPr>
              <w:t>处理效率不应低于</w:t>
            </w:r>
            <w:r>
              <w:rPr>
                <w:rFonts w:ascii="Times New Roman" w:hAnsi="Times New Roman" w:eastAsia="Times New Roman" w:cs="Times New Roman"/>
                <w:spacing w:val="7"/>
                <w:sz w:val="20"/>
                <w:szCs w:val="20"/>
              </w:rPr>
              <w:t>80%</w:t>
            </w:r>
            <w:r>
              <w:rPr>
                <w:rFonts w:ascii="宋体" w:hAnsi="宋体" w:eastAsia="宋体" w:cs="宋体"/>
                <w:spacing w:val="7"/>
                <w:sz w:val="20"/>
                <w:szCs w:val="20"/>
              </w:rPr>
              <w:t>。</w:t>
            </w:r>
          </w:p>
        </w:tc>
        <w:tc>
          <w:tcPr>
            <w:tcW w:w="2512" w:type="dxa"/>
            <w:tcBorders>
              <w:top w:val="single" w:color="4F81BD" w:sz="10" w:space="0"/>
              <w:bottom w:val="single" w:color="4F81BD" w:sz="4" w:space="0"/>
            </w:tcBorders>
            <w:vAlign w:val="top"/>
          </w:tcPr>
          <w:p w14:paraId="29BA4944">
            <w:pPr>
              <w:spacing w:before="40" w:line="349" w:lineRule="auto"/>
              <w:ind w:left="116" w:right="103" w:firstLine="420"/>
              <w:rPr>
                <w:rFonts w:ascii="宋体" w:hAnsi="宋体" w:eastAsia="宋体" w:cs="宋体"/>
                <w:sz w:val="20"/>
                <w:szCs w:val="20"/>
              </w:rPr>
            </w:pPr>
            <w:r>
              <w:rPr>
                <w:rFonts w:ascii="宋体" w:hAnsi="宋体" w:eastAsia="宋体" w:cs="宋体"/>
                <w:spacing w:val="11"/>
                <w:sz w:val="20"/>
                <w:szCs w:val="20"/>
              </w:rPr>
              <w:t>项目</w:t>
            </w:r>
            <w:r>
              <w:rPr>
                <w:rFonts w:ascii="Times New Roman" w:hAnsi="Times New Roman" w:eastAsia="Times New Roman" w:cs="Times New Roman"/>
                <w:sz w:val="20"/>
                <w:szCs w:val="20"/>
              </w:rPr>
              <w:t>VOCs</w:t>
            </w:r>
            <w:r>
              <w:rPr>
                <w:rFonts w:ascii="宋体" w:hAnsi="宋体" w:eastAsia="宋体" w:cs="宋体"/>
                <w:spacing w:val="11"/>
                <w:sz w:val="20"/>
                <w:szCs w:val="20"/>
              </w:rPr>
              <w:t>产生主要</w:t>
            </w:r>
            <w:r>
              <w:rPr>
                <w:rFonts w:ascii="宋体" w:hAnsi="宋体" w:eastAsia="宋体" w:cs="宋体"/>
                <w:spacing w:val="7"/>
                <w:sz w:val="20"/>
                <w:szCs w:val="20"/>
              </w:rPr>
              <w:t>是消失模浇注环节，根据工程分析核算，本改扩建</w:t>
            </w:r>
            <w:r>
              <w:rPr>
                <w:rFonts w:ascii="宋体" w:hAnsi="宋体" w:eastAsia="宋体" w:cs="宋体"/>
                <w:spacing w:val="12"/>
                <w:sz w:val="20"/>
                <w:szCs w:val="20"/>
              </w:rPr>
              <w:t>项目</w:t>
            </w:r>
            <w:r>
              <w:rPr>
                <w:rFonts w:ascii="微软雅黑" w:hAnsi="微软雅黑" w:eastAsia="微软雅黑" w:cs="微软雅黑"/>
                <w:spacing w:val="12"/>
                <w:sz w:val="20"/>
                <w:szCs w:val="20"/>
              </w:rPr>
              <w:t>废气</w:t>
            </w:r>
            <w:r>
              <w:rPr>
                <w:rFonts w:ascii="宋体" w:hAnsi="宋体" w:eastAsia="宋体" w:cs="宋体"/>
                <w:spacing w:val="12"/>
                <w:sz w:val="20"/>
                <w:szCs w:val="20"/>
              </w:rPr>
              <w:t>中</w:t>
            </w:r>
            <w:r>
              <w:rPr>
                <w:rFonts w:ascii="Times New Roman" w:hAnsi="Times New Roman" w:eastAsia="Times New Roman" w:cs="Times New Roman"/>
                <w:sz w:val="20"/>
                <w:szCs w:val="20"/>
              </w:rPr>
              <w:t>NMHC</w:t>
            </w:r>
            <w:r>
              <w:rPr>
                <w:rFonts w:ascii="宋体" w:hAnsi="宋体" w:eastAsia="宋体" w:cs="宋体"/>
                <w:spacing w:val="12"/>
                <w:sz w:val="20"/>
                <w:szCs w:val="20"/>
              </w:rPr>
              <w:t>初始</w:t>
            </w:r>
          </w:p>
          <w:p w14:paraId="633D2F5B">
            <w:pPr>
              <w:spacing w:line="333" w:lineRule="auto"/>
              <w:ind w:left="112" w:right="103" w:firstLine="1"/>
              <w:rPr>
                <w:rFonts w:ascii="宋体" w:hAnsi="宋体" w:eastAsia="宋体" w:cs="宋体"/>
                <w:sz w:val="20"/>
                <w:szCs w:val="20"/>
              </w:rPr>
            </w:pPr>
            <w:r>
              <w:rPr>
                <w:rFonts w:ascii="宋体" w:hAnsi="宋体" w:eastAsia="宋体" w:cs="宋体"/>
                <w:spacing w:val="5"/>
                <w:sz w:val="20"/>
                <w:szCs w:val="20"/>
              </w:rPr>
              <w:t>排放速率为</w:t>
            </w:r>
            <w:r>
              <w:rPr>
                <w:rFonts w:ascii="Times New Roman" w:hAnsi="Times New Roman" w:eastAsia="Times New Roman" w:cs="Times New Roman"/>
                <w:spacing w:val="5"/>
                <w:sz w:val="20"/>
                <w:szCs w:val="20"/>
              </w:rPr>
              <w:t>2.07</w:t>
            </w:r>
            <w:r>
              <w:rPr>
                <w:rFonts w:ascii="Times New Roman" w:hAnsi="Times New Roman" w:eastAsia="Times New Roman" w:cs="Times New Roman"/>
                <w:sz w:val="20"/>
                <w:szCs w:val="20"/>
              </w:rPr>
              <w:t>kg</w:t>
            </w:r>
            <w:r>
              <w:rPr>
                <w:rFonts w:ascii="Times New Roman" w:hAnsi="Times New Roman" w:eastAsia="Times New Roman" w:cs="Times New Roman"/>
                <w:spacing w:val="5"/>
                <w:sz w:val="20"/>
                <w:szCs w:val="20"/>
              </w:rPr>
              <w:t>/h</w:t>
            </w:r>
            <w:r>
              <w:rPr>
                <w:rFonts w:ascii="Times New Roman" w:hAnsi="Times New Roman" w:eastAsia="Times New Roman" w:cs="Times New Roman"/>
                <w:spacing w:val="-22"/>
                <w:sz w:val="20"/>
                <w:szCs w:val="20"/>
              </w:rPr>
              <w:t xml:space="preserve"> </w:t>
            </w:r>
            <w:r>
              <w:rPr>
                <w:rFonts w:ascii="宋体" w:hAnsi="宋体" w:eastAsia="宋体" w:cs="宋体"/>
                <w:spacing w:val="5"/>
                <w:sz w:val="20"/>
                <w:szCs w:val="20"/>
              </w:rPr>
              <w:t>，小</w:t>
            </w:r>
            <w:r>
              <w:rPr>
                <w:rFonts w:ascii="宋体" w:hAnsi="宋体" w:eastAsia="宋体" w:cs="宋体"/>
                <w:spacing w:val="2"/>
                <w:sz w:val="20"/>
                <w:szCs w:val="20"/>
              </w:rPr>
              <w:t>于</w:t>
            </w:r>
            <w:r>
              <w:rPr>
                <w:rFonts w:ascii="Times New Roman" w:hAnsi="Times New Roman" w:eastAsia="Times New Roman" w:cs="Times New Roman"/>
                <w:spacing w:val="2"/>
                <w:sz w:val="20"/>
                <w:szCs w:val="20"/>
              </w:rPr>
              <w:t>3</w:t>
            </w:r>
            <w:r>
              <w:rPr>
                <w:rFonts w:ascii="Times New Roman" w:hAnsi="Times New Roman" w:eastAsia="Times New Roman" w:cs="Times New Roman"/>
                <w:sz w:val="20"/>
                <w:szCs w:val="20"/>
              </w:rPr>
              <w:t>kg</w:t>
            </w:r>
            <w:r>
              <w:rPr>
                <w:rFonts w:ascii="Times New Roman" w:hAnsi="Times New Roman" w:eastAsia="Times New Roman" w:cs="Times New Roman"/>
                <w:spacing w:val="2"/>
                <w:sz w:val="20"/>
                <w:szCs w:val="20"/>
              </w:rPr>
              <w:t>/h</w:t>
            </w:r>
            <w:r>
              <w:rPr>
                <w:rFonts w:ascii="宋体" w:hAnsi="宋体" w:eastAsia="宋体" w:cs="宋体"/>
                <w:spacing w:val="2"/>
                <w:sz w:val="20"/>
                <w:szCs w:val="20"/>
              </w:rPr>
              <w:t>。消失模浇注有机</w:t>
            </w:r>
            <w:r>
              <w:rPr>
                <w:rFonts w:ascii="微软雅黑" w:hAnsi="微软雅黑" w:eastAsia="微软雅黑" w:cs="微软雅黑"/>
                <w:spacing w:val="12"/>
                <w:sz w:val="20"/>
                <w:szCs w:val="20"/>
              </w:rPr>
              <w:t>废气</w:t>
            </w:r>
            <w:r>
              <w:rPr>
                <w:rFonts w:ascii="宋体" w:hAnsi="宋体" w:eastAsia="宋体" w:cs="宋体"/>
                <w:spacing w:val="12"/>
                <w:sz w:val="20"/>
                <w:szCs w:val="20"/>
              </w:rPr>
              <w:t>已配置</w:t>
            </w:r>
            <w:r>
              <w:rPr>
                <w:rFonts w:ascii="Times New Roman" w:hAnsi="Times New Roman" w:eastAsia="Times New Roman" w:cs="Times New Roman"/>
                <w:sz w:val="20"/>
                <w:szCs w:val="20"/>
              </w:rPr>
              <w:t>VOCs</w:t>
            </w:r>
            <w:r>
              <w:rPr>
                <w:rFonts w:ascii="宋体" w:hAnsi="宋体" w:eastAsia="宋体" w:cs="宋体"/>
                <w:spacing w:val="12"/>
                <w:sz w:val="20"/>
                <w:szCs w:val="20"/>
              </w:rPr>
              <w:t>处理设</w:t>
            </w:r>
            <w:r>
              <w:rPr>
                <w:rFonts w:ascii="宋体" w:hAnsi="宋体" w:eastAsia="宋体" w:cs="宋体"/>
                <w:spacing w:val="1"/>
                <w:sz w:val="20"/>
                <w:szCs w:val="20"/>
              </w:rPr>
              <w:t>施。</w:t>
            </w:r>
          </w:p>
        </w:tc>
        <w:tc>
          <w:tcPr>
            <w:tcW w:w="906" w:type="dxa"/>
            <w:vAlign w:val="top"/>
          </w:tcPr>
          <w:p w14:paraId="29FCD82D">
            <w:pPr>
              <w:spacing w:line="279" w:lineRule="auto"/>
              <w:rPr>
                <w:rFonts w:ascii="Arial"/>
                <w:sz w:val="21"/>
              </w:rPr>
            </w:pPr>
          </w:p>
          <w:p w14:paraId="2472892A">
            <w:pPr>
              <w:spacing w:line="279" w:lineRule="auto"/>
              <w:rPr>
                <w:rFonts w:ascii="Arial"/>
                <w:sz w:val="21"/>
              </w:rPr>
            </w:pPr>
          </w:p>
          <w:p w14:paraId="624B22E5">
            <w:pPr>
              <w:spacing w:line="279" w:lineRule="auto"/>
              <w:rPr>
                <w:rFonts w:ascii="Arial"/>
                <w:sz w:val="21"/>
              </w:rPr>
            </w:pPr>
          </w:p>
          <w:p w14:paraId="50AF8748">
            <w:pPr>
              <w:spacing w:line="279" w:lineRule="auto"/>
              <w:rPr>
                <w:rFonts w:ascii="Arial"/>
                <w:sz w:val="21"/>
              </w:rPr>
            </w:pPr>
          </w:p>
          <w:p w14:paraId="06511F56">
            <w:pPr>
              <w:spacing w:line="279" w:lineRule="auto"/>
              <w:rPr>
                <w:rFonts w:ascii="Arial"/>
                <w:sz w:val="21"/>
              </w:rPr>
            </w:pPr>
          </w:p>
          <w:p w14:paraId="0E0E25BD">
            <w:pPr>
              <w:spacing w:before="65" w:line="228" w:lineRule="auto"/>
              <w:ind w:left="256"/>
              <w:rPr>
                <w:rFonts w:ascii="宋体" w:hAnsi="宋体" w:eastAsia="宋体" w:cs="宋体"/>
                <w:sz w:val="20"/>
                <w:szCs w:val="20"/>
              </w:rPr>
            </w:pPr>
            <w:r>
              <w:rPr>
                <w:rFonts w:ascii="宋体" w:hAnsi="宋体" w:eastAsia="宋体" w:cs="宋体"/>
                <w:spacing w:val="3"/>
                <w:sz w:val="20"/>
                <w:szCs w:val="20"/>
              </w:rPr>
              <w:t>符合</w:t>
            </w:r>
          </w:p>
        </w:tc>
        <w:tc>
          <w:tcPr>
            <w:tcW w:w="122" w:type="dxa"/>
            <w:vMerge w:val="continue"/>
            <w:tcBorders>
              <w:top w:val="nil"/>
              <w:bottom w:val="nil"/>
              <w:right w:val="single" w:color="000000" w:sz="6" w:space="0"/>
            </w:tcBorders>
            <w:vAlign w:val="top"/>
          </w:tcPr>
          <w:p w14:paraId="1CD1667A">
            <w:pPr>
              <w:rPr>
                <w:rFonts w:ascii="Arial"/>
                <w:sz w:val="21"/>
              </w:rPr>
            </w:pPr>
          </w:p>
        </w:tc>
      </w:tr>
      <w:tr w14:paraId="7AAE0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8" w:hRule="atLeast"/>
        </w:trPr>
        <w:tc>
          <w:tcPr>
            <w:tcW w:w="1161" w:type="dxa"/>
            <w:vMerge w:val="continue"/>
            <w:tcBorders>
              <w:top w:val="nil"/>
              <w:left w:val="single" w:color="000000" w:sz="6" w:space="0"/>
              <w:bottom w:val="single" w:color="000000" w:sz="6" w:space="0"/>
            </w:tcBorders>
            <w:vAlign w:val="top"/>
          </w:tcPr>
          <w:p w14:paraId="1362872A">
            <w:pPr>
              <w:rPr>
                <w:rFonts w:ascii="Arial"/>
                <w:sz w:val="21"/>
              </w:rPr>
            </w:pPr>
          </w:p>
        </w:tc>
        <w:tc>
          <w:tcPr>
            <w:tcW w:w="113" w:type="dxa"/>
            <w:tcBorders>
              <w:top w:val="nil"/>
              <w:bottom w:val="single" w:color="000000" w:sz="6" w:space="0"/>
            </w:tcBorders>
            <w:vAlign w:val="top"/>
          </w:tcPr>
          <w:p w14:paraId="56397E50">
            <w:pPr>
              <w:rPr>
                <w:rFonts w:ascii="Arial"/>
                <w:sz w:val="21"/>
              </w:rPr>
            </w:pPr>
          </w:p>
        </w:tc>
        <w:tc>
          <w:tcPr>
            <w:tcW w:w="1219" w:type="dxa"/>
            <w:vMerge w:val="continue"/>
            <w:tcBorders>
              <w:top w:val="nil"/>
              <w:bottom w:val="single" w:color="000000" w:sz="6" w:space="0"/>
            </w:tcBorders>
            <w:vAlign w:val="top"/>
          </w:tcPr>
          <w:p w14:paraId="64549BB8">
            <w:pPr>
              <w:rPr>
                <w:rFonts w:ascii="Arial"/>
                <w:sz w:val="21"/>
              </w:rPr>
            </w:pPr>
          </w:p>
        </w:tc>
        <w:tc>
          <w:tcPr>
            <w:tcW w:w="2839" w:type="dxa"/>
            <w:tcBorders>
              <w:bottom w:val="single" w:color="000000" w:sz="6" w:space="0"/>
            </w:tcBorders>
            <w:vAlign w:val="top"/>
          </w:tcPr>
          <w:p w14:paraId="5F9B7BF8">
            <w:pPr>
              <w:spacing w:before="71" w:line="306" w:lineRule="auto"/>
              <w:ind w:left="111" w:right="38" w:firstLine="412"/>
              <w:jc w:val="both"/>
              <w:rPr>
                <w:rFonts w:ascii="宋体" w:hAnsi="宋体" w:eastAsia="宋体" w:cs="宋体"/>
                <w:sz w:val="20"/>
                <w:szCs w:val="20"/>
              </w:rPr>
            </w:pPr>
            <w:r>
              <w:rPr>
                <w:rFonts w:ascii="Times New Roman" w:hAnsi="Times New Roman" w:eastAsia="Times New Roman" w:cs="Times New Roman"/>
                <w:sz w:val="20"/>
                <w:szCs w:val="20"/>
              </w:rPr>
              <w:t>VOCs</w:t>
            </w:r>
            <w:r>
              <w:rPr>
                <w:rFonts w:ascii="微软雅黑" w:hAnsi="微软雅黑" w:eastAsia="微软雅黑" w:cs="微软雅黑"/>
                <w:spacing w:val="12"/>
                <w:sz w:val="20"/>
                <w:szCs w:val="20"/>
              </w:rPr>
              <w:t>废气</w:t>
            </w:r>
            <w:r>
              <w:rPr>
                <w:rFonts w:ascii="宋体" w:hAnsi="宋体" w:eastAsia="宋体" w:cs="宋体"/>
                <w:spacing w:val="12"/>
                <w:sz w:val="20"/>
                <w:szCs w:val="20"/>
              </w:rPr>
              <w:t>收集处理系统</w:t>
            </w:r>
            <w:r>
              <w:rPr>
                <w:rFonts w:ascii="宋体" w:hAnsi="宋体" w:eastAsia="宋体" w:cs="宋体"/>
                <w:spacing w:val="18"/>
                <w:sz w:val="20"/>
                <w:szCs w:val="20"/>
              </w:rPr>
              <w:t>污染</w:t>
            </w:r>
            <w:r>
              <w:rPr>
                <w:rFonts w:ascii="微软雅黑" w:hAnsi="微软雅黑" w:eastAsia="微软雅黑" w:cs="微软雅黑"/>
                <w:spacing w:val="18"/>
                <w:sz w:val="20"/>
                <w:szCs w:val="20"/>
              </w:rPr>
              <w:t>物</w:t>
            </w:r>
            <w:r>
              <w:rPr>
                <w:rFonts w:ascii="宋体" w:hAnsi="宋体" w:eastAsia="宋体" w:cs="宋体"/>
                <w:spacing w:val="18"/>
                <w:sz w:val="20"/>
                <w:szCs w:val="20"/>
              </w:rPr>
              <w:t>排放应符合</w:t>
            </w:r>
            <w:r>
              <w:rPr>
                <w:rFonts w:ascii="Times New Roman" w:hAnsi="Times New Roman" w:eastAsia="Times New Roman" w:cs="Times New Roman"/>
                <w:sz w:val="20"/>
                <w:szCs w:val="20"/>
              </w:rPr>
              <w:t>GB</w:t>
            </w:r>
            <w:r>
              <w:rPr>
                <w:rFonts w:ascii="Times New Roman" w:hAnsi="Times New Roman" w:eastAsia="Times New Roman" w:cs="Times New Roman"/>
                <w:spacing w:val="18"/>
                <w:sz w:val="20"/>
                <w:szCs w:val="20"/>
              </w:rPr>
              <w:t>16297</w:t>
            </w:r>
            <w:r>
              <w:rPr>
                <w:rFonts w:ascii="宋体" w:hAnsi="宋体" w:eastAsia="宋体" w:cs="宋体"/>
                <w:spacing w:val="6"/>
                <w:sz w:val="20"/>
                <w:szCs w:val="20"/>
              </w:rPr>
              <w:t>或相关行业排放标准的规定。</w:t>
            </w:r>
          </w:p>
        </w:tc>
        <w:tc>
          <w:tcPr>
            <w:tcW w:w="2512" w:type="dxa"/>
            <w:tcBorders>
              <w:top w:val="single" w:color="4F81BD" w:sz="4" w:space="0"/>
              <w:bottom w:val="single" w:color="000000" w:sz="6" w:space="0"/>
            </w:tcBorders>
            <w:vAlign w:val="top"/>
          </w:tcPr>
          <w:p w14:paraId="0F509A5C">
            <w:pPr>
              <w:spacing w:before="69" w:line="336" w:lineRule="auto"/>
              <w:ind w:left="113" w:right="115" w:firstLine="428"/>
              <w:rPr>
                <w:rFonts w:ascii="宋体" w:hAnsi="宋体" w:eastAsia="宋体" w:cs="宋体"/>
                <w:sz w:val="20"/>
                <w:szCs w:val="20"/>
              </w:rPr>
            </w:pPr>
            <w:r>
              <w:pict>
                <v:shape id="_x0000_s1044" o:spid="_x0000_s1044" style="position:absolute;left:0pt;margin-left:0.35pt;margin-top:63.7pt;height:0.75pt;width:125.35pt;mso-position-horizontal-relative:page;mso-position-vertical-relative:page;z-index:251668480;mso-width-relative:page;mso-height-relative:page;" filled="f" stroked="t" coordsize="2506,15" path="m0,7l2506,7e">
                  <v:fill on="f" focussize="0,0"/>
                  <v:stroke weight="0.72pt" color="#4F81BD" miterlimit="2" joinstyle="bevel"/>
                  <v:imagedata o:title=""/>
                  <o:lock v:ext="edit"/>
                </v:shape>
              </w:pict>
            </w:r>
            <w:r>
              <w:rPr>
                <w:rFonts w:ascii="宋体" w:hAnsi="宋体" w:eastAsia="宋体" w:cs="宋体"/>
                <w:spacing w:val="7"/>
                <w:sz w:val="20"/>
                <w:szCs w:val="20"/>
              </w:rPr>
              <w:t>改扩建项目收集处</w:t>
            </w:r>
            <w:r>
              <w:rPr>
                <w:rFonts w:ascii="宋体" w:hAnsi="宋体" w:eastAsia="宋体" w:cs="宋体"/>
                <w:spacing w:val="9"/>
                <w:sz w:val="20"/>
                <w:szCs w:val="20"/>
              </w:rPr>
              <w:t>理系统污染</w:t>
            </w:r>
            <w:r>
              <w:rPr>
                <w:rFonts w:ascii="微软雅黑" w:hAnsi="微软雅黑" w:eastAsia="微软雅黑" w:cs="微软雅黑"/>
                <w:spacing w:val="9"/>
                <w:sz w:val="20"/>
                <w:szCs w:val="20"/>
              </w:rPr>
              <w:t>物</w:t>
            </w:r>
            <w:r>
              <w:rPr>
                <w:rFonts w:ascii="宋体" w:hAnsi="宋体" w:eastAsia="宋体" w:cs="宋体"/>
                <w:spacing w:val="9"/>
                <w:sz w:val="20"/>
                <w:szCs w:val="20"/>
              </w:rPr>
              <w:t>排放符合</w:t>
            </w:r>
            <w:r>
              <w:rPr>
                <w:rFonts w:ascii="宋体" w:hAnsi="宋体" w:eastAsia="宋体" w:cs="宋体"/>
                <w:sz w:val="20"/>
                <w:szCs w:val="20"/>
              </w:rPr>
              <w:t xml:space="preserve"> </w:t>
            </w:r>
            <w:r>
              <w:rPr>
                <w:rFonts w:ascii="Times New Roman" w:hAnsi="Times New Roman" w:eastAsia="Times New Roman" w:cs="Times New Roman"/>
                <w:sz w:val="20"/>
                <w:szCs w:val="20"/>
              </w:rPr>
              <w:t>GB</w:t>
            </w:r>
            <w:r>
              <w:rPr>
                <w:rFonts w:ascii="Times New Roman" w:hAnsi="Times New Roman" w:eastAsia="Times New Roman" w:cs="Times New Roman"/>
                <w:spacing w:val="8"/>
                <w:sz w:val="20"/>
                <w:szCs w:val="20"/>
              </w:rPr>
              <w:t>16297</w:t>
            </w:r>
            <w:r>
              <w:rPr>
                <w:rFonts w:ascii="宋体" w:hAnsi="宋体" w:eastAsia="宋体" w:cs="宋体"/>
                <w:spacing w:val="8"/>
                <w:sz w:val="20"/>
                <w:szCs w:val="20"/>
              </w:rPr>
              <w:t>或相关行业排放</w:t>
            </w:r>
          </w:p>
        </w:tc>
        <w:tc>
          <w:tcPr>
            <w:tcW w:w="906" w:type="dxa"/>
            <w:tcBorders>
              <w:bottom w:val="single" w:color="000000" w:sz="6" w:space="0"/>
            </w:tcBorders>
            <w:vAlign w:val="top"/>
          </w:tcPr>
          <w:p w14:paraId="76886833">
            <w:pPr>
              <w:spacing w:line="409" w:lineRule="auto"/>
              <w:rPr>
                <w:rFonts w:ascii="Arial"/>
                <w:sz w:val="21"/>
              </w:rPr>
            </w:pPr>
            <w:r>
              <w:pict>
                <v:shape id="_x0000_s1045" o:spid="_x0000_s1045" style="position:absolute;left:0pt;margin-left:0.05pt;margin-top:63.7pt;height:0.5pt;width:45.9pt;mso-position-horizontal-relative:page;mso-position-vertical-relative:page;z-index:-251650048;mso-width-relative:page;mso-height-relative:page;" filled="f" stroked="t" coordsize="918,10" path="m0,4l917,4e">
                  <v:fill on="f" focussize="0,0"/>
                  <v:stroke weight="0.48pt" color="#000000" miterlimit="2" joinstyle="bevel"/>
                  <v:imagedata o:title=""/>
                  <o:lock v:ext="edit"/>
                </v:shape>
              </w:pict>
            </w:r>
          </w:p>
          <w:p w14:paraId="43B1D775">
            <w:pPr>
              <w:spacing w:before="65" w:line="228" w:lineRule="auto"/>
              <w:ind w:left="256"/>
              <w:rPr>
                <w:rFonts w:ascii="宋体" w:hAnsi="宋体" w:eastAsia="宋体" w:cs="宋体"/>
                <w:sz w:val="20"/>
                <w:szCs w:val="20"/>
              </w:rPr>
            </w:pPr>
            <w:r>
              <w:rPr>
                <w:rFonts w:ascii="宋体" w:hAnsi="宋体" w:eastAsia="宋体" w:cs="宋体"/>
                <w:spacing w:val="3"/>
                <w:sz w:val="20"/>
                <w:szCs w:val="20"/>
              </w:rPr>
              <w:t>符合</w:t>
            </w:r>
          </w:p>
        </w:tc>
        <w:tc>
          <w:tcPr>
            <w:tcW w:w="122" w:type="dxa"/>
            <w:vMerge w:val="continue"/>
            <w:tcBorders>
              <w:top w:val="nil"/>
              <w:bottom w:val="single" w:color="000000" w:sz="6" w:space="0"/>
              <w:right w:val="single" w:color="000000" w:sz="6" w:space="0"/>
            </w:tcBorders>
            <w:vAlign w:val="top"/>
          </w:tcPr>
          <w:p w14:paraId="49A943ED">
            <w:pPr>
              <w:rPr>
                <w:rFonts w:ascii="Arial"/>
                <w:sz w:val="21"/>
              </w:rPr>
            </w:pPr>
          </w:p>
        </w:tc>
      </w:tr>
    </w:tbl>
    <w:p w14:paraId="0461F658">
      <w:pPr>
        <w:pStyle w:val="2"/>
      </w:pPr>
    </w:p>
    <w:p w14:paraId="46B70C65">
      <w:pPr>
        <w:sectPr>
          <w:footerReference r:id="rId41" w:type="default"/>
          <w:pgSz w:w="11906" w:h="16839"/>
          <w:pgMar w:top="400" w:right="1509" w:bottom="1329" w:left="1509" w:header="0" w:footer="1113" w:gutter="0"/>
          <w:cols w:space="720" w:num="1"/>
        </w:sectPr>
      </w:pPr>
    </w:p>
    <w:p w14:paraId="7EE9BB65">
      <w:pPr>
        <w:spacing w:before="19"/>
      </w:pPr>
      <w:r>
        <w:pict>
          <v:shape id="_x0000_s1046" o:spid="_x0000_s1046" style="position:absolute;left:0pt;margin-left:139pt;margin-top:754pt;height:0.5pt;width:374.95pt;mso-position-horizontal-relative:page;mso-position-vertical-relative:page;z-index:-251646976;mso-width-relative:page;mso-height-relative:page;" filled="f" stroked="t" coordsize="7499,10" o:allowincell="f" path="m0,4l7498,4e">
            <v:fill on="f" focussize="0,0"/>
            <v:stroke weight="0.48pt" color="#000000" miterlimit="2" joinstyle="bevel"/>
            <v:imagedata o:title=""/>
            <o:lock v:ext="edit"/>
          </v:shape>
        </w:pict>
      </w:r>
    </w:p>
    <w:p w14:paraId="47E902AB">
      <w:pPr>
        <w:spacing w:before="19"/>
      </w:pPr>
    </w:p>
    <w:p w14:paraId="06CB6810">
      <w:pPr>
        <w:spacing w:before="19"/>
      </w:pPr>
    </w:p>
    <w:p w14:paraId="64FD3CC7">
      <w:pPr>
        <w:spacing w:before="18"/>
      </w:pPr>
    </w:p>
    <w:p w14:paraId="47BC8528">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823"/>
        <w:gridCol w:w="395"/>
        <w:gridCol w:w="2839"/>
        <w:gridCol w:w="73"/>
        <w:gridCol w:w="2439"/>
        <w:gridCol w:w="166"/>
        <w:gridCol w:w="741"/>
        <w:gridCol w:w="122"/>
      </w:tblGrid>
      <w:tr w14:paraId="0D396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1161" w:type="dxa"/>
            <w:vMerge w:val="restart"/>
            <w:tcBorders>
              <w:top w:val="single" w:color="000000" w:sz="6" w:space="0"/>
              <w:left w:val="single" w:color="000000" w:sz="6" w:space="0"/>
              <w:bottom w:val="nil"/>
            </w:tcBorders>
            <w:vAlign w:val="top"/>
          </w:tcPr>
          <w:p w14:paraId="61212970">
            <w:pPr>
              <w:rPr>
                <w:rFonts w:ascii="Arial"/>
                <w:sz w:val="21"/>
              </w:rPr>
            </w:pPr>
          </w:p>
        </w:tc>
        <w:tc>
          <w:tcPr>
            <w:tcW w:w="113" w:type="dxa"/>
            <w:vMerge w:val="restart"/>
            <w:tcBorders>
              <w:top w:val="single" w:color="000000" w:sz="6" w:space="0"/>
              <w:bottom w:val="nil"/>
            </w:tcBorders>
            <w:vAlign w:val="top"/>
          </w:tcPr>
          <w:p w14:paraId="2125D03F">
            <w:pPr>
              <w:rPr>
                <w:rFonts w:ascii="Arial"/>
                <w:sz w:val="21"/>
              </w:rPr>
            </w:pPr>
          </w:p>
        </w:tc>
        <w:tc>
          <w:tcPr>
            <w:tcW w:w="1218" w:type="dxa"/>
            <w:gridSpan w:val="2"/>
            <w:vMerge w:val="restart"/>
            <w:tcBorders>
              <w:top w:val="single" w:color="000000" w:sz="6" w:space="0"/>
              <w:bottom w:val="nil"/>
            </w:tcBorders>
            <w:vAlign w:val="top"/>
          </w:tcPr>
          <w:p w14:paraId="4E36B418">
            <w:pPr>
              <w:rPr>
                <w:rFonts w:ascii="Arial"/>
                <w:sz w:val="21"/>
              </w:rPr>
            </w:pPr>
          </w:p>
        </w:tc>
        <w:tc>
          <w:tcPr>
            <w:tcW w:w="2839" w:type="dxa"/>
            <w:tcBorders>
              <w:top w:val="single" w:color="000000" w:sz="6" w:space="0"/>
            </w:tcBorders>
            <w:vAlign w:val="top"/>
          </w:tcPr>
          <w:p w14:paraId="556CDBB4">
            <w:pPr>
              <w:rPr>
                <w:rFonts w:ascii="Arial"/>
                <w:sz w:val="21"/>
              </w:rPr>
            </w:pPr>
          </w:p>
        </w:tc>
        <w:tc>
          <w:tcPr>
            <w:tcW w:w="2512" w:type="dxa"/>
            <w:gridSpan w:val="2"/>
            <w:tcBorders>
              <w:top w:val="single" w:color="000000" w:sz="6" w:space="0"/>
              <w:bottom w:val="single" w:color="4F81BD" w:sz="4" w:space="0"/>
            </w:tcBorders>
            <w:vAlign w:val="top"/>
          </w:tcPr>
          <w:p w14:paraId="05CC2698">
            <w:pPr>
              <w:spacing w:before="42" w:line="228" w:lineRule="auto"/>
              <w:ind w:left="116"/>
              <w:rPr>
                <w:rFonts w:ascii="宋体" w:hAnsi="宋体" w:eastAsia="宋体" w:cs="宋体"/>
                <w:sz w:val="20"/>
                <w:szCs w:val="20"/>
              </w:rPr>
            </w:pPr>
            <w:r>
              <w:rPr>
                <w:rFonts w:ascii="宋体" w:hAnsi="宋体" w:eastAsia="宋体" w:cs="宋体"/>
                <w:spacing w:val="6"/>
                <w:sz w:val="20"/>
                <w:szCs w:val="20"/>
              </w:rPr>
              <w:t>标准的规定。</w:t>
            </w:r>
          </w:p>
        </w:tc>
        <w:tc>
          <w:tcPr>
            <w:tcW w:w="907" w:type="dxa"/>
            <w:gridSpan w:val="2"/>
            <w:tcBorders>
              <w:top w:val="single" w:color="000000" w:sz="6" w:space="0"/>
            </w:tcBorders>
            <w:vAlign w:val="top"/>
          </w:tcPr>
          <w:p w14:paraId="50FBA4DF">
            <w:pPr>
              <w:rPr>
                <w:rFonts w:ascii="Arial"/>
                <w:sz w:val="21"/>
              </w:rPr>
            </w:pPr>
          </w:p>
        </w:tc>
        <w:tc>
          <w:tcPr>
            <w:tcW w:w="122" w:type="dxa"/>
            <w:vMerge w:val="restart"/>
            <w:tcBorders>
              <w:top w:val="single" w:color="000000" w:sz="6" w:space="0"/>
              <w:bottom w:val="nil"/>
              <w:right w:val="single" w:color="000000" w:sz="6" w:space="0"/>
            </w:tcBorders>
            <w:vAlign w:val="top"/>
          </w:tcPr>
          <w:p w14:paraId="3F053D2A">
            <w:pPr>
              <w:rPr>
                <w:rFonts w:ascii="Arial"/>
                <w:sz w:val="21"/>
              </w:rPr>
            </w:pPr>
          </w:p>
        </w:tc>
      </w:tr>
      <w:tr w14:paraId="771FC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3" w:hRule="atLeast"/>
        </w:trPr>
        <w:tc>
          <w:tcPr>
            <w:tcW w:w="1161" w:type="dxa"/>
            <w:vMerge w:val="continue"/>
            <w:tcBorders>
              <w:top w:val="nil"/>
              <w:left w:val="single" w:color="000000" w:sz="6" w:space="0"/>
              <w:bottom w:val="nil"/>
            </w:tcBorders>
            <w:vAlign w:val="top"/>
          </w:tcPr>
          <w:p w14:paraId="5AAA94EE">
            <w:pPr>
              <w:rPr>
                <w:rFonts w:ascii="Arial"/>
                <w:sz w:val="21"/>
              </w:rPr>
            </w:pPr>
          </w:p>
        </w:tc>
        <w:tc>
          <w:tcPr>
            <w:tcW w:w="113" w:type="dxa"/>
            <w:vMerge w:val="continue"/>
            <w:tcBorders>
              <w:top w:val="nil"/>
              <w:bottom w:val="nil"/>
            </w:tcBorders>
            <w:vAlign w:val="top"/>
          </w:tcPr>
          <w:p w14:paraId="0BAC9F45">
            <w:pPr>
              <w:rPr>
                <w:rFonts w:ascii="Arial"/>
                <w:sz w:val="21"/>
              </w:rPr>
            </w:pPr>
          </w:p>
        </w:tc>
        <w:tc>
          <w:tcPr>
            <w:tcW w:w="1218" w:type="dxa"/>
            <w:gridSpan w:val="2"/>
            <w:vMerge w:val="continue"/>
            <w:tcBorders>
              <w:top w:val="nil"/>
              <w:bottom w:val="nil"/>
            </w:tcBorders>
            <w:vAlign w:val="top"/>
          </w:tcPr>
          <w:p w14:paraId="1FFC9DCB">
            <w:pPr>
              <w:rPr>
                <w:rFonts w:ascii="Arial"/>
                <w:sz w:val="21"/>
              </w:rPr>
            </w:pPr>
          </w:p>
        </w:tc>
        <w:tc>
          <w:tcPr>
            <w:tcW w:w="2839" w:type="dxa"/>
            <w:vAlign w:val="top"/>
          </w:tcPr>
          <w:p w14:paraId="6FD01753">
            <w:pPr>
              <w:spacing w:before="33" w:line="335" w:lineRule="auto"/>
              <w:ind w:left="110" w:right="102" w:firstLine="420"/>
              <w:jc w:val="both"/>
              <w:rPr>
                <w:rFonts w:ascii="宋体" w:hAnsi="宋体" w:eastAsia="宋体" w:cs="宋体"/>
                <w:sz w:val="20"/>
                <w:szCs w:val="20"/>
              </w:rPr>
            </w:pPr>
            <w:r>
              <w:rPr>
                <w:rFonts w:ascii="宋体" w:hAnsi="宋体" w:eastAsia="宋体" w:cs="宋体"/>
                <w:spacing w:val="18"/>
                <w:sz w:val="20"/>
                <w:szCs w:val="20"/>
              </w:rPr>
              <w:t>排</w:t>
            </w:r>
            <w:r>
              <w:rPr>
                <w:rFonts w:ascii="微软雅黑" w:hAnsi="微软雅黑" w:eastAsia="微软雅黑" w:cs="微软雅黑"/>
                <w:spacing w:val="18"/>
                <w:sz w:val="20"/>
                <w:szCs w:val="20"/>
              </w:rPr>
              <w:t>气</w:t>
            </w:r>
            <w:r>
              <w:rPr>
                <w:rFonts w:ascii="宋体" w:hAnsi="宋体" w:eastAsia="宋体" w:cs="宋体"/>
                <w:spacing w:val="18"/>
                <w:sz w:val="20"/>
                <w:szCs w:val="20"/>
              </w:rPr>
              <w:t>筒高度不低于</w:t>
            </w:r>
            <w:r>
              <w:rPr>
                <w:rFonts w:ascii="宋体" w:hAnsi="宋体" w:eastAsia="宋体" w:cs="宋体"/>
                <w:spacing w:val="-54"/>
                <w:sz w:val="20"/>
                <w:szCs w:val="20"/>
              </w:rPr>
              <w:t xml:space="preserve"> </w:t>
            </w:r>
            <w:r>
              <w:rPr>
                <w:rFonts w:ascii="Times New Roman" w:hAnsi="Times New Roman" w:eastAsia="Times New Roman" w:cs="Times New Roman"/>
                <w:spacing w:val="18"/>
                <w:sz w:val="20"/>
                <w:szCs w:val="20"/>
              </w:rPr>
              <w:t>15m</w:t>
            </w:r>
            <w:r>
              <w:rPr>
                <w:rFonts w:ascii="Times New Roman" w:hAnsi="Times New Roman" w:eastAsia="Times New Roman" w:cs="Times New Roman"/>
                <w:sz w:val="20"/>
                <w:szCs w:val="20"/>
              </w:rPr>
              <w:t xml:space="preserve"> </w:t>
            </w:r>
            <w:r>
              <w:rPr>
                <w:rFonts w:ascii="宋体" w:hAnsi="宋体" w:eastAsia="宋体" w:cs="宋体"/>
                <w:spacing w:val="18"/>
                <w:sz w:val="20"/>
                <w:szCs w:val="20"/>
              </w:rPr>
              <w:t>（因安全考虑或有特殊工艺</w:t>
            </w:r>
            <w:r>
              <w:rPr>
                <w:rFonts w:ascii="宋体" w:hAnsi="宋体" w:eastAsia="宋体" w:cs="宋体"/>
                <w:spacing w:val="7"/>
                <w:sz w:val="20"/>
                <w:szCs w:val="20"/>
              </w:rPr>
              <w:t>要求的除外</w:t>
            </w:r>
            <w:r>
              <w:rPr>
                <w:rFonts w:ascii="宋体" w:hAnsi="宋体" w:eastAsia="宋体" w:cs="宋体"/>
                <w:spacing w:val="-31"/>
                <w:sz w:val="20"/>
                <w:szCs w:val="20"/>
              </w:rPr>
              <w:t>），</w:t>
            </w:r>
            <w:r>
              <w:rPr>
                <w:rFonts w:ascii="宋体" w:hAnsi="宋体" w:eastAsia="宋体" w:cs="宋体"/>
                <w:spacing w:val="7"/>
                <w:sz w:val="20"/>
                <w:szCs w:val="20"/>
              </w:rPr>
              <w:t>具体高度以及</w:t>
            </w:r>
            <w:r>
              <w:rPr>
                <w:rFonts w:ascii="宋体" w:hAnsi="宋体" w:eastAsia="宋体" w:cs="宋体"/>
                <w:spacing w:val="18"/>
                <w:sz w:val="20"/>
                <w:szCs w:val="20"/>
              </w:rPr>
              <w:t>与周围建筑</w:t>
            </w:r>
            <w:r>
              <w:rPr>
                <w:rFonts w:ascii="微软雅黑" w:hAnsi="微软雅黑" w:eastAsia="微软雅黑" w:cs="微软雅黑"/>
                <w:spacing w:val="18"/>
                <w:sz w:val="20"/>
                <w:szCs w:val="20"/>
              </w:rPr>
              <w:t>物</w:t>
            </w:r>
            <w:r>
              <w:rPr>
                <w:rFonts w:ascii="宋体" w:hAnsi="宋体" w:eastAsia="宋体" w:cs="宋体"/>
                <w:spacing w:val="18"/>
                <w:sz w:val="20"/>
                <w:szCs w:val="20"/>
              </w:rPr>
              <w:t>的相对高度关系应根据环境影响评价文件</w:t>
            </w:r>
            <w:r>
              <w:rPr>
                <w:rFonts w:ascii="宋体" w:hAnsi="宋体" w:eastAsia="宋体" w:cs="宋体"/>
                <w:spacing w:val="3"/>
                <w:sz w:val="20"/>
                <w:szCs w:val="20"/>
              </w:rPr>
              <w:t>确定。</w:t>
            </w:r>
          </w:p>
        </w:tc>
        <w:tc>
          <w:tcPr>
            <w:tcW w:w="2512" w:type="dxa"/>
            <w:gridSpan w:val="2"/>
            <w:tcBorders>
              <w:top w:val="single" w:color="4F81BD" w:sz="4" w:space="0"/>
              <w:bottom w:val="single" w:color="4F81BD" w:sz="4" w:space="0"/>
            </w:tcBorders>
            <w:vAlign w:val="top"/>
          </w:tcPr>
          <w:p w14:paraId="06053AD5">
            <w:pPr>
              <w:spacing w:before="29" w:line="305" w:lineRule="auto"/>
              <w:ind w:left="114" w:right="138" w:firstLine="421"/>
              <w:rPr>
                <w:rFonts w:ascii="宋体" w:hAnsi="宋体" w:eastAsia="宋体" w:cs="宋体"/>
                <w:sz w:val="20"/>
                <w:szCs w:val="20"/>
              </w:rPr>
            </w:pPr>
            <w:r>
              <w:rPr>
                <w:rFonts w:ascii="宋体" w:hAnsi="宋体" w:eastAsia="宋体" w:cs="宋体"/>
                <w:spacing w:val="8"/>
                <w:sz w:val="20"/>
                <w:szCs w:val="20"/>
              </w:rPr>
              <w:t>本项目有机</w:t>
            </w:r>
            <w:r>
              <w:rPr>
                <w:rFonts w:ascii="微软雅黑" w:hAnsi="微软雅黑" w:eastAsia="微软雅黑" w:cs="微软雅黑"/>
                <w:spacing w:val="8"/>
                <w:sz w:val="20"/>
                <w:szCs w:val="20"/>
              </w:rPr>
              <w:t>废气</w:t>
            </w:r>
            <w:r>
              <w:rPr>
                <w:rFonts w:ascii="宋体" w:hAnsi="宋体" w:eastAsia="宋体" w:cs="宋体"/>
                <w:spacing w:val="8"/>
                <w:sz w:val="20"/>
                <w:szCs w:val="20"/>
              </w:rPr>
              <w:t>排</w:t>
            </w:r>
            <w:r>
              <w:rPr>
                <w:rFonts w:ascii="微软雅黑" w:hAnsi="微软雅黑" w:eastAsia="微软雅黑" w:cs="微软雅黑"/>
                <w:spacing w:val="8"/>
                <w:sz w:val="20"/>
                <w:szCs w:val="20"/>
              </w:rPr>
              <w:t>气</w:t>
            </w:r>
            <w:r>
              <w:rPr>
                <w:rFonts w:ascii="宋体" w:hAnsi="宋体" w:eastAsia="宋体" w:cs="宋体"/>
                <w:spacing w:val="8"/>
                <w:sz w:val="20"/>
                <w:szCs w:val="20"/>
              </w:rPr>
              <w:t>筒（</w:t>
            </w: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005</w:t>
            </w:r>
            <w:r>
              <w:rPr>
                <w:rFonts w:ascii="宋体" w:hAnsi="宋体" w:eastAsia="宋体" w:cs="宋体"/>
                <w:spacing w:val="8"/>
                <w:sz w:val="20"/>
                <w:szCs w:val="20"/>
              </w:rPr>
              <w:t>）高度为</w:t>
            </w:r>
            <w:r>
              <w:rPr>
                <w:rFonts w:ascii="宋体" w:hAnsi="宋体" w:eastAsia="宋体" w:cs="宋体"/>
                <w:spacing w:val="4"/>
                <w:sz w:val="20"/>
                <w:szCs w:val="20"/>
              </w:rPr>
              <w:t xml:space="preserve"> </w:t>
            </w:r>
            <w:r>
              <w:rPr>
                <w:rFonts w:ascii="Times New Roman" w:hAnsi="Times New Roman" w:eastAsia="Times New Roman" w:cs="Times New Roman"/>
                <w:spacing w:val="5"/>
                <w:sz w:val="20"/>
                <w:szCs w:val="20"/>
              </w:rPr>
              <w:t>15m</w:t>
            </w:r>
            <w:r>
              <w:rPr>
                <w:rFonts w:ascii="Times New Roman" w:hAnsi="Times New Roman" w:eastAsia="Times New Roman" w:cs="Times New Roman"/>
                <w:spacing w:val="-13"/>
                <w:sz w:val="20"/>
                <w:szCs w:val="20"/>
              </w:rPr>
              <w:t xml:space="preserve"> </w:t>
            </w:r>
            <w:r>
              <w:rPr>
                <w:rFonts w:ascii="宋体" w:hAnsi="宋体" w:eastAsia="宋体" w:cs="宋体"/>
                <w:spacing w:val="5"/>
                <w:sz w:val="20"/>
                <w:szCs w:val="20"/>
              </w:rPr>
              <w:t>，满足排</w:t>
            </w:r>
            <w:r>
              <w:rPr>
                <w:rFonts w:ascii="微软雅黑" w:hAnsi="微软雅黑" w:eastAsia="微软雅黑" w:cs="微软雅黑"/>
                <w:spacing w:val="5"/>
                <w:sz w:val="20"/>
                <w:szCs w:val="20"/>
              </w:rPr>
              <w:t>气</w:t>
            </w:r>
            <w:r>
              <w:rPr>
                <w:rFonts w:ascii="宋体" w:hAnsi="宋体" w:eastAsia="宋体" w:cs="宋体"/>
                <w:spacing w:val="5"/>
                <w:sz w:val="20"/>
                <w:szCs w:val="20"/>
              </w:rPr>
              <w:t>筒高度不</w:t>
            </w:r>
            <w:r>
              <w:rPr>
                <w:rFonts w:ascii="宋体" w:hAnsi="宋体" w:eastAsia="宋体" w:cs="宋体"/>
                <w:spacing w:val="6"/>
                <w:sz w:val="20"/>
                <w:szCs w:val="20"/>
              </w:rPr>
              <w:t>低于</w:t>
            </w:r>
            <w:r>
              <w:rPr>
                <w:rFonts w:ascii="Times New Roman" w:hAnsi="Times New Roman" w:eastAsia="Times New Roman" w:cs="Times New Roman"/>
                <w:spacing w:val="6"/>
                <w:sz w:val="20"/>
                <w:szCs w:val="20"/>
              </w:rPr>
              <w:t>15m</w:t>
            </w:r>
            <w:r>
              <w:rPr>
                <w:rFonts w:ascii="宋体" w:hAnsi="宋体" w:eastAsia="宋体" w:cs="宋体"/>
                <w:spacing w:val="6"/>
                <w:sz w:val="20"/>
                <w:szCs w:val="20"/>
              </w:rPr>
              <w:t>的要求。</w:t>
            </w:r>
          </w:p>
        </w:tc>
        <w:tc>
          <w:tcPr>
            <w:tcW w:w="907" w:type="dxa"/>
            <w:gridSpan w:val="2"/>
            <w:vAlign w:val="top"/>
          </w:tcPr>
          <w:p w14:paraId="1FAAD27D">
            <w:pPr>
              <w:spacing w:line="245" w:lineRule="auto"/>
              <w:rPr>
                <w:rFonts w:ascii="Arial"/>
                <w:sz w:val="21"/>
              </w:rPr>
            </w:pPr>
          </w:p>
          <w:p w14:paraId="7BB7CC17">
            <w:pPr>
              <w:spacing w:line="245" w:lineRule="auto"/>
              <w:rPr>
                <w:rFonts w:ascii="Arial"/>
                <w:sz w:val="21"/>
              </w:rPr>
            </w:pPr>
          </w:p>
          <w:p w14:paraId="77F37051">
            <w:pPr>
              <w:spacing w:line="245" w:lineRule="auto"/>
              <w:rPr>
                <w:rFonts w:ascii="Arial"/>
                <w:sz w:val="21"/>
              </w:rPr>
            </w:pPr>
          </w:p>
          <w:p w14:paraId="2990E2D3">
            <w:pPr>
              <w:spacing w:line="245" w:lineRule="auto"/>
              <w:rPr>
                <w:rFonts w:ascii="Arial"/>
                <w:sz w:val="21"/>
              </w:rPr>
            </w:pPr>
          </w:p>
          <w:p w14:paraId="5732D4CD">
            <w:pPr>
              <w:spacing w:before="65" w:line="228" w:lineRule="auto"/>
              <w:ind w:left="257"/>
              <w:rPr>
                <w:rFonts w:ascii="宋体" w:hAnsi="宋体" w:eastAsia="宋体" w:cs="宋体"/>
                <w:sz w:val="20"/>
                <w:szCs w:val="20"/>
              </w:rPr>
            </w:pPr>
            <w:r>
              <w:rPr>
                <w:rFonts w:ascii="宋体" w:hAnsi="宋体" w:eastAsia="宋体" w:cs="宋体"/>
                <w:spacing w:val="3"/>
                <w:sz w:val="20"/>
                <w:szCs w:val="20"/>
              </w:rPr>
              <w:t>符合</w:t>
            </w:r>
          </w:p>
        </w:tc>
        <w:tc>
          <w:tcPr>
            <w:tcW w:w="122" w:type="dxa"/>
            <w:vMerge w:val="continue"/>
            <w:tcBorders>
              <w:top w:val="nil"/>
              <w:bottom w:val="nil"/>
              <w:right w:val="single" w:color="000000" w:sz="6" w:space="0"/>
            </w:tcBorders>
            <w:vAlign w:val="top"/>
          </w:tcPr>
          <w:p w14:paraId="6064DFAA">
            <w:pPr>
              <w:rPr>
                <w:rFonts w:ascii="Arial"/>
                <w:sz w:val="21"/>
              </w:rPr>
            </w:pPr>
          </w:p>
        </w:tc>
      </w:tr>
      <w:tr w14:paraId="5A81E4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9" w:hRule="atLeast"/>
        </w:trPr>
        <w:tc>
          <w:tcPr>
            <w:tcW w:w="1161" w:type="dxa"/>
            <w:vMerge w:val="continue"/>
            <w:tcBorders>
              <w:top w:val="nil"/>
              <w:left w:val="single" w:color="000000" w:sz="6" w:space="0"/>
              <w:bottom w:val="nil"/>
            </w:tcBorders>
            <w:vAlign w:val="top"/>
          </w:tcPr>
          <w:p w14:paraId="72ECE948">
            <w:pPr>
              <w:rPr>
                <w:rFonts w:ascii="Arial"/>
                <w:sz w:val="21"/>
              </w:rPr>
            </w:pPr>
          </w:p>
        </w:tc>
        <w:tc>
          <w:tcPr>
            <w:tcW w:w="113" w:type="dxa"/>
            <w:vMerge w:val="continue"/>
            <w:tcBorders>
              <w:top w:val="nil"/>
              <w:bottom w:val="nil"/>
            </w:tcBorders>
            <w:vAlign w:val="top"/>
          </w:tcPr>
          <w:p w14:paraId="4EE424D6">
            <w:pPr>
              <w:rPr>
                <w:rFonts w:ascii="Arial"/>
                <w:sz w:val="21"/>
              </w:rPr>
            </w:pPr>
          </w:p>
        </w:tc>
        <w:tc>
          <w:tcPr>
            <w:tcW w:w="1218" w:type="dxa"/>
            <w:gridSpan w:val="2"/>
            <w:vMerge w:val="continue"/>
            <w:tcBorders>
              <w:top w:val="nil"/>
            </w:tcBorders>
            <w:vAlign w:val="top"/>
          </w:tcPr>
          <w:p w14:paraId="0F3CB24E">
            <w:pPr>
              <w:rPr>
                <w:rFonts w:ascii="Arial"/>
                <w:sz w:val="21"/>
              </w:rPr>
            </w:pPr>
          </w:p>
        </w:tc>
        <w:tc>
          <w:tcPr>
            <w:tcW w:w="2839" w:type="dxa"/>
            <w:vAlign w:val="top"/>
          </w:tcPr>
          <w:p w14:paraId="5DCFAF4F">
            <w:pPr>
              <w:spacing w:before="36" w:line="332" w:lineRule="auto"/>
              <w:ind w:left="110" w:right="53" w:firstLine="433"/>
              <w:jc w:val="both"/>
              <w:rPr>
                <w:rFonts w:ascii="宋体" w:hAnsi="宋体" w:eastAsia="宋体" w:cs="宋体"/>
                <w:sz w:val="20"/>
                <w:szCs w:val="20"/>
              </w:rPr>
            </w:pPr>
            <w:r>
              <w:rPr>
                <w:rFonts w:ascii="宋体" w:hAnsi="宋体" w:eastAsia="宋体" w:cs="宋体"/>
                <w:spacing w:val="18"/>
                <w:sz w:val="20"/>
                <w:szCs w:val="20"/>
              </w:rPr>
              <w:t>当执行不同排放控制要</w:t>
            </w:r>
            <w:r>
              <w:rPr>
                <w:rFonts w:ascii="宋体" w:hAnsi="宋体" w:eastAsia="宋体" w:cs="宋体"/>
                <w:spacing w:val="5"/>
                <w:sz w:val="20"/>
                <w:szCs w:val="20"/>
              </w:rPr>
              <w:t>求的</w:t>
            </w:r>
            <w:r>
              <w:rPr>
                <w:rFonts w:ascii="微软雅黑" w:hAnsi="微软雅黑" w:eastAsia="微软雅黑" w:cs="微软雅黑"/>
                <w:spacing w:val="5"/>
                <w:sz w:val="20"/>
                <w:szCs w:val="20"/>
              </w:rPr>
              <w:t>废气</w:t>
            </w:r>
            <w:r>
              <w:rPr>
                <w:rFonts w:ascii="宋体" w:hAnsi="宋体" w:eastAsia="宋体" w:cs="宋体"/>
                <w:spacing w:val="5"/>
                <w:sz w:val="20"/>
                <w:szCs w:val="20"/>
              </w:rPr>
              <w:t>合并排</w:t>
            </w:r>
            <w:r>
              <w:rPr>
                <w:rFonts w:ascii="微软雅黑" w:hAnsi="微软雅黑" w:eastAsia="微软雅黑" w:cs="微软雅黑"/>
                <w:spacing w:val="5"/>
                <w:sz w:val="20"/>
                <w:szCs w:val="20"/>
              </w:rPr>
              <w:t>气</w:t>
            </w:r>
            <w:r>
              <w:rPr>
                <w:rFonts w:ascii="宋体" w:hAnsi="宋体" w:eastAsia="宋体" w:cs="宋体"/>
                <w:spacing w:val="5"/>
                <w:sz w:val="20"/>
                <w:szCs w:val="20"/>
              </w:rPr>
              <w:t>筒排放时，</w:t>
            </w:r>
            <w:r>
              <w:rPr>
                <w:rFonts w:ascii="宋体" w:hAnsi="宋体" w:eastAsia="宋体" w:cs="宋体"/>
                <w:spacing w:val="1"/>
                <w:sz w:val="20"/>
                <w:szCs w:val="20"/>
              </w:rPr>
              <w:t>应在</w:t>
            </w:r>
            <w:r>
              <w:rPr>
                <w:rFonts w:ascii="微软雅黑" w:hAnsi="微软雅黑" w:eastAsia="微软雅黑" w:cs="微软雅黑"/>
                <w:spacing w:val="1"/>
                <w:sz w:val="20"/>
                <w:szCs w:val="20"/>
              </w:rPr>
              <w:t>废气</w:t>
            </w:r>
            <w:r>
              <w:rPr>
                <w:rFonts w:ascii="宋体" w:hAnsi="宋体" w:eastAsia="宋体" w:cs="宋体"/>
                <w:spacing w:val="1"/>
                <w:sz w:val="20"/>
                <w:szCs w:val="20"/>
              </w:rPr>
              <w:t>混合前进行监测，并执行相应的排放控制要求；若</w:t>
            </w:r>
            <w:r>
              <w:rPr>
                <w:rFonts w:ascii="宋体" w:hAnsi="宋体" w:eastAsia="宋体" w:cs="宋体"/>
                <w:spacing w:val="18"/>
                <w:sz w:val="20"/>
                <w:szCs w:val="20"/>
              </w:rPr>
              <w:t>可选择的监控位置只能对混</w:t>
            </w:r>
            <w:r>
              <w:rPr>
                <w:rFonts w:ascii="宋体" w:hAnsi="宋体" w:eastAsia="宋体" w:cs="宋体"/>
                <w:spacing w:val="1"/>
                <w:sz w:val="20"/>
                <w:szCs w:val="20"/>
              </w:rPr>
              <w:t>合后的</w:t>
            </w:r>
            <w:r>
              <w:rPr>
                <w:rFonts w:ascii="微软雅黑" w:hAnsi="微软雅黑" w:eastAsia="微软雅黑" w:cs="微软雅黑"/>
                <w:spacing w:val="1"/>
                <w:sz w:val="20"/>
                <w:szCs w:val="20"/>
              </w:rPr>
              <w:t>废气</w:t>
            </w:r>
            <w:r>
              <w:rPr>
                <w:rFonts w:ascii="宋体" w:hAnsi="宋体" w:eastAsia="宋体" w:cs="宋体"/>
                <w:spacing w:val="1"/>
                <w:sz w:val="20"/>
                <w:szCs w:val="20"/>
              </w:rPr>
              <w:t>进行监测，则应按</w:t>
            </w:r>
            <w:r>
              <w:rPr>
                <w:rFonts w:ascii="宋体" w:hAnsi="宋体" w:eastAsia="宋体" w:cs="宋体"/>
                <w:spacing w:val="18"/>
                <w:sz w:val="20"/>
                <w:szCs w:val="20"/>
              </w:rPr>
              <w:t>各排放控制要求中最严格的</w:t>
            </w:r>
            <w:r>
              <w:rPr>
                <w:rFonts w:ascii="宋体" w:hAnsi="宋体" w:eastAsia="宋体" w:cs="宋体"/>
                <w:spacing w:val="5"/>
                <w:sz w:val="20"/>
                <w:szCs w:val="20"/>
              </w:rPr>
              <w:t>规定执行。</w:t>
            </w:r>
          </w:p>
        </w:tc>
        <w:tc>
          <w:tcPr>
            <w:tcW w:w="2512" w:type="dxa"/>
            <w:gridSpan w:val="2"/>
            <w:tcBorders>
              <w:top w:val="single" w:color="4F81BD" w:sz="4" w:space="0"/>
            </w:tcBorders>
            <w:vAlign w:val="top"/>
          </w:tcPr>
          <w:p w14:paraId="70A60016">
            <w:pPr>
              <w:spacing w:before="33" w:line="228" w:lineRule="auto"/>
              <w:ind w:left="542"/>
              <w:rPr>
                <w:rFonts w:ascii="宋体" w:hAnsi="宋体" w:eastAsia="宋体" w:cs="宋体"/>
                <w:sz w:val="20"/>
                <w:szCs w:val="20"/>
              </w:rPr>
            </w:pPr>
            <w:r>
              <w:rPr>
                <w:rFonts w:ascii="宋体" w:hAnsi="宋体" w:eastAsia="宋体" w:cs="宋体"/>
                <w:spacing w:val="7"/>
                <w:sz w:val="20"/>
                <w:szCs w:val="20"/>
              </w:rPr>
              <w:t>改扩建项目未进行</w:t>
            </w:r>
          </w:p>
          <w:p w14:paraId="5537DB5E">
            <w:pPr>
              <w:spacing w:before="160" w:line="317" w:lineRule="auto"/>
              <w:ind w:left="110" w:right="99" w:firstLine="5"/>
              <w:rPr>
                <w:rFonts w:ascii="宋体" w:hAnsi="宋体" w:eastAsia="宋体" w:cs="宋体"/>
                <w:sz w:val="20"/>
                <w:szCs w:val="20"/>
              </w:rPr>
            </w:pPr>
            <w:r>
              <w:rPr>
                <w:rFonts w:ascii="宋体" w:hAnsi="宋体" w:eastAsia="宋体" w:cs="宋体"/>
                <w:spacing w:val="8"/>
                <w:sz w:val="20"/>
                <w:szCs w:val="20"/>
              </w:rPr>
              <w:t>合并排</w:t>
            </w:r>
            <w:r>
              <w:rPr>
                <w:rFonts w:ascii="微软雅黑" w:hAnsi="微软雅黑" w:eastAsia="微软雅黑" w:cs="微软雅黑"/>
                <w:spacing w:val="8"/>
                <w:sz w:val="20"/>
                <w:szCs w:val="20"/>
              </w:rPr>
              <w:t>气</w:t>
            </w:r>
            <w:r>
              <w:rPr>
                <w:rFonts w:ascii="宋体" w:hAnsi="宋体" w:eastAsia="宋体" w:cs="宋体"/>
                <w:spacing w:val="8"/>
                <w:sz w:val="20"/>
                <w:szCs w:val="20"/>
              </w:rPr>
              <w:t>筒排放，</w:t>
            </w:r>
            <w:r>
              <w:rPr>
                <w:rFonts w:ascii="微软雅黑" w:hAnsi="微软雅黑" w:eastAsia="微软雅黑" w:cs="微软雅黑"/>
                <w:spacing w:val="8"/>
                <w:sz w:val="20"/>
                <w:szCs w:val="20"/>
              </w:rPr>
              <w:t>非甲烷总烃</w:t>
            </w:r>
            <w:r>
              <w:rPr>
                <w:rFonts w:ascii="宋体" w:hAnsi="宋体" w:eastAsia="宋体" w:cs="宋体"/>
                <w:spacing w:val="8"/>
                <w:sz w:val="20"/>
                <w:szCs w:val="20"/>
              </w:rPr>
              <w:t>排放执行《合成树脂</w:t>
            </w:r>
            <w:r>
              <w:rPr>
                <w:rFonts w:ascii="宋体" w:hAnsi="宋体" w:eastAsia="宋体" w:cs="宋体"/>
                <w:spacing w:val="-1"/>
                <w:sz w:val="20"/>
                <w:szCs w:val="20"/>
              </w:rPr>
              <w:t>工业污染</w:t>
            </w:r>
            <w:r>
              <w:rPr>
                <w:rFonts w:ascii="微软雅黑" w:hAnsi="微软雅黑" w:eastAsia="微软雅黑" w:cs="微软雅黑"/>
                <w:spacing w:val="-1"/>
                <w:sz w:val="20"/>
                <w:szCs w:val="20"/>
              </w:rPr>
              <w:t>物</w:t>
            </w:r>
            <w:r>
              <w:rPr>
                <w:rFonts w:ascii="宋体" w:hAnsi="宋体" w:eastAsia="宋体" w:cs="宋体"/>
                <w:spacing w:val="-1"/>
                <w:sz w:val="20"/>
                <w:szCs w:val="20"/>
              </w:rPr>
              <w:t>排放标准》（G</w:t>
            </w:r>
            <w:r>
              <w:rPr>
                <w:rFonts w:ascii="宋体" w:hAnsi="宋体" w:eastAsia="宋体" w:cs="宋体"/>
                <w:spacing w:val="8"/>
                <w:sz w:val="20"/>
                <w:szCs w:val="20"/>
              </w:rPr>
              <w:t xml:space="preserve"> </w:t>
            </w:r>
            <w:r>
              <w:rPr>
                <w:rFonts w:ascii="宋体" w:hAnsi="宋体" w:eastAsia="宋体" w:cs="宋体"/>
                <w:spacing w:val="5"/>
                <w:sz w:val="20"/>
                <w:szCs w:val="20"/>
              </w:rPr>
              <w:t>B31572—2015，含2024年</w:t>
            </w:r>
            <w:r>
              <w:rPr>
                <w:rFonts w:ascii="宋体" w:hAnsi="宋体" w:eastAsia="宋体" w:cs="宋体"/>
                <w:spacing w:val="8"/>
                <w:sz w:val="20"/>
                <w:szCs w:val="20"/>
              </w:rPr>
              <w:t>修改单）表</w:t>
            </w:r>
            <w:r>
              <w:rPr>
                <w:rFonts w:ascii="Times New Roman" w:hAnsi="Times New Roman" w:eastAsia="Times New Roman" w:cs="Times New Roman"/>
                <w:spacing w:val="8"/>
                <w:sz w:val="20"/>
                <w:szCs w:val="20"/>
              </w:rPr>
              <w:t>4</w:t>
            </w:r>
            <w:r>
              <w:rPr>
                <w:rFonts w:ascii="宋体" w:hAnsi="宋体" w:eastAsia="宋体" w:cs="宋体"/>
                <w:spacing w:val="8"/>
                <w:sz w:val="20"/>
                <w:szCs w:val="20"/>
              </w:rPr>
              <w:t>标准限值。</w:t>
            </w:r>
          </w:p>
        </w:tc>
        <w:tc>
          <w:tcPr>
            <w:tcW w:w="907" w:type="dxa"/>
            <w:gridSpan w:val="2"/>
            <w:vAlign w:val="top"/>
          </w:tcPr>
          <w:p w14:paraId="15D578D9">
            <w:pPr>
              <w:spacing w:line="277" w:lineRule="auto"/>
              <w:rPr>
                <w:rFonts w:ascii="Arial"/>
                <w:sz w:val="21"/>
              </w:rPr>
            </w:pPr>
          </w:p>
          <w:p w14:paraId="348A2B3A">
            <w:pPr>
              <w:spacing w:line="278" w:lineRule="auto"/>
              <w:rPr>
                <w:rFonts w:ascii="Arial"/>
                <w:sz w:val="21"/>
              </w:rPr>
            </w:pPr>
          </w:p>
          <w:p w14:paraId="78403DD0">
            <w:pPr>
              <w:spacing w:line="278" w:lineRule="auto"/>
              <w:rPr>
                <w:rFonts w:ascii="Arial"/>
                <w:sz w:val="21"/>
              </w:rPr>
            </w:pPr>
          </w:p>
          <w:p w14:paraId="61DE7C8B">
            <w:pPr>
              <w:spacing w:line="278" w:lineRule="auto"/>
              <w:rPr>
                <w:rFonts w:ascii="Arial"/>
                <w:sz w:val="21"/>
              </w:rPr>
            </w:pPr>
          </w:p>
          <w:p w14:paraId="51617D42">
            <w:pPr>
              <w:spacing w:line="278" w:lineRule="auto"/>
              <w:rPr>
                <w:rFonts w:ascii="Arial"/>
                <w:sz w:val="21"/>
              </w:rPr>
            </w:pPr>
          </w:p>
          <w:p w14:paraId="1E21F704">
            <w:pPr>
              <w:spacing w:before="65" w:line="228" w:lineRule="auto"/>
              <w:ind w:left="257"/>
              <w:rPr>
                <w:rFonts w:ascii="宋体" w:hAnsi="宋体" w:eastAsia="宋体" w:cs="宋体"/>
                <w:sz w:val="20"/>
                <w:szCs w:val="20"/>
              </w:rPr>
            </w:pPr>
            <w:r>
              <w:rPr>
                <w:rFonts w:ascii="宋体" w:hAnsi="宋体" w:eastAsia="宋体" w:cs="宋体"/>
                <w:spacing w:val="3"/>
                <w:sz w:val="20"/>
                <w:szCs w:val="20"/>
              </w:rPr>
              <w:t>符合</w:t>
            </w:r>
          </w:p>
        </w:tc>
        <w:tc>
          <w:tcPr>
            <w:tcW w:w="122" w:type="dxa"/>
            <w:vMerge w:val="continue"/>
            <w:tcBorders>
              <w:top w:val="nil"/>
              <w:bottom w:val="nil"/>
              <w:right w:val="single" w:color="000000" w:sz="6" w:space="0"/>
            </w:tcBorders>
            <w:vAlign w:val="top"/>
          </w:tcPr>
          <w:p w14:paraId="6292E6E7">
            <w:pPr>
              <w:rPr>
                <w:rFonts w:ascii="Arial"/>
                <w:sz w:val="21"/>
              </w:rPr>
            </w:pPr>
          </w:p>
        </w:tc>
      </w:tr>
      <w:tr w14:paraId="511CE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5" w:hRule="atLeast"/>
        </w:trPr>
        <w:tc>
          <w:tcPr>
            <w:tcW w:w="1161" w:type="dxa"/>
            <w:vMerge w:val="continue"/>
            <w:tcBorders>
              <w:top w:val="nil"/>
              <w:left w:val="single" w:color="000000" w:sz="6" w:space="0"/>
              <w:bottom w:val="nil"/>
            </w:tcBorders>
            <w:vAlign w:val="top"/>
          </w:tcPr>
          <w:p w14:paraId="7CA5538C">
            <w:pPr>
              <w:rPr>
                <w:rFonts w:ascii="Arial"/>
                <w:sz w:val="21"/>
              </w:rPr>
            </w:pPr>
          </w:p>
        </w:tc>
        <w:tc>
          <w:tcPr>
            <w:tcW w:w="7589" w:type="dxa"/>
            <w:gridSpan w:val="8"/>
            <w:tcBorders>
              <w:right w:val="nil"/>
            </w:tcBorders>
            <w:vAlign w:val="top"/>
          </w:tcPr>
          <w:p w14:paraId="10B1CA47">
            <w:pPr>
              <w:spacing w:before="41" w:line="310" w:lineRule="auto"/>
              <w:ind w:left="119" w:right="2" w:firstLine="471"/>
              <w:rPr>
                <w:rFonts w:ascii="宋体" w:hAnsi="宋体" w:eastAsia="宋体" w:cs="宋体"/>
                <w:sz w:val="24"/>
                <w:szCs w:val="24"/>
              </w:rPr>
            </w:pPr>
            <w:r>
              <w:rPr>
                <w:rFonts w:ascii="宋体" w:hAnsi="宋体" w:eastAsia="宋体" w:cs="宋体"/>
                <w:spacing w:val="31"/>
                <w:sz w:val="24"/>
                <w:szCs w:val="24"/>
              </w:rPr>
              <w:t>综上所述</w:t>
            </w:r>
            <w:r>
              <w:rPr>
                <w:rFonts w:ascii="宋体" w:hAnsi="宋体" w:eastAsia="宋体" w:cs="宋体"/>
                <w:spacing w:val="-35"/>
                <w:sz w:val="24"/>
                <w:szCs w:val="24"/>
              </w:rPr>
              <w:t xml:space="preserve"> </w:t>
            </w:r>
            <w:r>
              <w:rPr>
                <w:rFonts w:ascii="宋体" w:hAnsi="宋体" w:eastAsia="宋体" w:cs="宋体"/>
                <w:spacing w:val="31"/>
                <w:sz w:val="24"/>
                <w:szCs w:val="24"/>
              </w:rPr>
              <w:t>，</w:t>
            </w:r>
            <w:r>
              <w:rPr>
                <w:rFonts w:ascii="宋体" w:hAnsi="宋体" w:eastAsia="宋体" w:cs="宋体"/>
                <w:spacing w:val="-66"/>
                <w:sz w:val="24"/>
                <w:szCs w:val="24"/>
              </w:rPr>
              <w:t xml:space="preserve"> </w:t>
            </w:r>
            <w:r>
              <w:rPr>
                <w:rFonts w:ascii="宋体" w:hAnsi="宋体" w:eastAsia="宋体" w:cs="宋体"/>
                <w:spacing w:val="31"/>
                <w:sz w:val="24"/>
                <w:szCs w:val="24"/>
              </w:rPr>
              <w:t>项目与《</w:t>
            </w:r>
            <w:r>
              <w:rPr>
                <w:rFonts w:ascii="宋体" w:hAnsi="宋体" w:eastAsia="宋体" w:cs="宋体"/>
                <w:spacing w:val="-45"/>
                <w:sz w:val="24"/>
                <w:szCs w:val="24"/>
              </w:rPr>
              <w:t xml:space="preserve"> </w:t>
            </w:r>
            <w:r>
              <w:rPr>
                <w:rFonts w:ascii="宋体" w:hAnsi="宋体" w:eastAsia="宋体" w:cs="宋体"/>
                <w:spacing w:val="31"/>
                <w:sz w:val="24"/>
                <w:szCs w:val="24"/>
              </w:rPr>
              <w:t>挥发性有机</w:t>
            </w:r>
            <w:r>
              <w:rPr>
                <w:rFonts w:ascii="微软雅黑" w:hAnsi="微软雅黑" w:eastAsia="微软雅黑" w:cs="微软雅黑"/>
                <w:spacing w:val="31"/>
                <w:sz w:val="24"/>
                <w:szCs w:val="24"/>
              </w:rPr>
              <w:t>物</w:t>
            </w:r>
            <w:r>
              <w:rPr>
                <w:rFonts w:ascii="宋体" w:hAnsi="宋体" w:eastAsia="宋体" w:cs="宋体"/>
                <w:spacing w:val="31"/>
                <w:sz w:val="24"/>
                <w:szCs w:val="24"/>
              </w:rPr>
              <w:t>无组织排放控制标准》</w:t>
            </w:r>
            <w:r>
              <w:rPr>
                <w:rFonts w:ascii="宋体" w:hAnsi="宋体" w:eastAsia="宋体" w:cs="宋体"/>
                <w:sz w:val="24"/>
                <w:szCs w:val="24"/>
              </w:rPr>
              <w:t xml:space="preserve"> </w:t>
            </w:r>
            <w:r>
              <w:rPr>
                <w:rFonts w:ascii="宋体" w:hAnsi="宋体" w:eastAsia="宋体" w:cs="宋体"/>
                <w:spacing w:val="-2"/>
                <w:sz w:val="24"/>
                <w:szCs w:val="24"/>
              </w:rPr>
              <w:t>（</w:t>
            </w:r>
            <w:r>
              <w:rPr>
                <w:rFonts w:ascii="Times New Roman" w:hAnsi="Times New Roman" w:eastAsia="Times New Roman" w:cs="Times New Roman"/>
                <w:spacing w:val="-2"/>
                <w:sz w:val="24"/>
                <w:szCs w:val="24"/>
              </w:rPr>
              <w:t>GB37822-2019</w:t>
            </w:r>
            <w:r>
              <w:rPr>
                <w:rFonts w:ascii="宋体" w:hAnsi="宋体" w:eastAsia="宋体" w:cs="宋体"/>
                <w:spacing w:val="-2"/>
                <w:sz w:val="24"/>
                <w:szCs w:val="24"/>
              </w:rPr>
              <w:t>）相符。</w:t>
            </w:r>
          </w:p>
          <w:p w14:paraId="2C2B0729">
            <w:pPr>
              <w:spacing w:before="2" w:line="306" w:lineRule="auto"/>
              <w:ind w:left="113" w:right="105" w:firstLine="480"/>
              <w:rPr>
                <w:rFonts w:ascii="宋体" w:hAnsi="宋体" w:eastAsia="宋体" w:cs="宋体"/>
                <w:sz w:val="24"/>
                <w:szCs w:val="24"/>
              </w:rPr>
            </w:pPr>
            <w:r>
              <w:rPr>
                <w:rFonts w:ascii="Times New Roman" w:hAnsi="Times New Roman" w:eastAsia="Times New Roman" w:cs="Times New Roman"/>
                <w:b/>
                <w:bCs/>
                <w:spacing w:val="2"/>
                <w:sz w:val="24"/>
                <w:szCs w:val="24"/>
              </w:rPr>
              <w:t>11</w:t>
            </w:r>
            <w:r>
              <w:rPr>
                <w:rFonts w:ascii="Times New Roman" w:hAnsi="Times New Roman" w:eastAsia="Times New Roman" w:cs="Times New Roman"/>
                <w:b/>
                <w:bCs/>
                <w:spacing w:val="-13"/>
                <w:sz w:val="24"/>
                <w:szCs w:val="24"/>
              </w:rPr>
              <w:t xml:space="preserve"> </w:t>
            </w:r>
            <w:r>
              <w:rPr>
                <w:rFonts w:ascii="宋体" w:hAnsi="宋体" w:eastAsia="宋体" w:cs="宋体"/>
                <w:b/>
                <w:bCs/>
                <w:spacing w:val="2"/>
                <w:sz w:val="24"/>
                <w:szCs w:val="24"/>
              </w:rPr>
              <w:t>、与《</w:t>
            </w:r>
            <w:r>
              <w:rPr>
                <w:rFonts w:ascii="Times New Roman" w:hAnsi="Times New Roman" w:eastAsia="Times New Roman" w:cs="Times New Roman"/>
                <w:b/>
                <w:bCs/>
                <w:spacing w:val="2"/>
                <w:sz w:val="24"/>
                <w:szCs w:val="24"/>
              </w:rPr>
              <w:t>2020</w:t>
            </w:r>
            <w:r>
              <w:rPr>
                <w:rFonts w:ascii="Times New Roman" w:hAnsi="Times New Roman" w:eastAsia="Times New Roman" w:cs="Times New Roman"/>
                <w:b/>
                <w:bCs/>
                <w:spacing w:val="18"/>
                <w:sz w:val="24"/>
                <w:szCs w:val="24"/>
              </w:rPr>
              <w:t xml:space="preserve"> </w:t>
            </w:r>
            <w:r>
              <w:rPr>
                <w:rFonts w:ascii="宋体" w:hAnsi="宋体" w:eastAsia="宋体" w:cs="宋体"/>
                <w:b/>
                <w:bCs/>
                <w:spacing w:val="2"/>
                <w:sz w:val="24"/>
                <w:szCs w:val="24"/>
              </w:rPr>
              <w:t>年挥发性有机</w:t>
            </w:r>
            <w:r>
              <w:rPr>
                <w:rFonts w:ascii="微软雅黑" w:hAnsi="微软雅黑" w:eastAsia="微软雅黑" w:cs="微软雅黑"/>
                <w:b/>
                <w:bCs/>
                <w:spacing w:val="2"/>
                <w:sz w:val="24"/>
                <w:szCs w:val="24"/>
              </w:rPr>
              <w:t>物</w:t>
            </w:r>
            <w:r>
              <w:rPr>
                <w:rFonts w:ascii="宋体" w:hAnsi="宋体" w:eastAsia="宋体" w:cs="宋体"/>
                <w:b/>
                <w:bCs/>
                <w:spacing w:val="2"/>
                <w:sz w:val="24"/>
                <w:szCs w:val="24"/>
              </w:rPr>
              <w:t>治理攻坚方案》（环大</w:t>
            </w:r>
            <w:r>
              <w:rPr>
                <w:rFonts w:ascii="微软雅黑" w:hAnsi="微软雅黑" w:eastAsia="微软雅黑" w:cs="微软雅黑"/>
                <w:b/>
                <w:bCs/>
                <w:spacing w:val="2"/>
                <w:sz w:val="24"/>
                <w:szCs w:val="24"/>
              </w:rPr>
              <w:t>气</w:t>
            </w:r>
            <w:r>
              <w:rPr>
                <w:rFonts w:ascii="Times New Roman" w:hAnsi="Times New Roman" w:eastAsia="Times New Roman" w:cs="Times New Roman"/>
                <w:b/>
                <w:bCs/>
                <w:spacing w:val="2"/>
                <w:sz w:val="24"/>
                <w:szCs w:val="24"/>
              </w:rPr>
              <w:t>[</w:t>
            </w:r>
            <w:r>
              <w:fldChar w:fldCharType="begin"/>
            </w:r>
            <w:r>
              <w:instrText xml:space="preserve"> HYPERLINK \l "bookmark27" </w:instrText>
            </w:r>
            <w:r>
              <w:fldChar w:fldCharType="separate"/>
            </w:r>
            <w:r>
              <w:rPr>
                <w:rFonts w:ascii="Times New Roman" w:hAnsi="Times New Roman" w:eastAsia="Times New Roman" w:cs="Times New Roman"/>
                <w:b/>
                <w:bCs/>
                <w:spacing w:val="2"/>
                <w:sz w:val="24"/>
                <w:szCs w:val="24"/>
              </w:rPr>
              <w:t>2020</w:t>
            </w:r>
            <w:r>
              <w:rPr>
                <w:rFonts w:ascii="Times New Roman" w:hAnsi="Times New Roman" w:eastAsia="Times New Roman" w:cs="Times New Roman"/>
                <w:b/>
                <w:bCs/>
                <w:spacing w:val="2"/>
                <w:sz w:val="24"/>
                <w:szCs w:val="24"/>
              </w:rPr>
              <w:fldChar w:fldCharType="end"/>
            </w:r>
            <w:r>
              <w:rPr>
                <w:rFonts w:ascii="Times New Roman" w:hAnsi="Times New Roman" w:eastAsia="Times New Roman" w:cs="Times New Roman"/>
                <w:b/>
                <w:bCs/>
                <w:spacing w:val="2"/>
                <w:sz w:val="24"/>
                <w:szCs w:val="24"/>
              </w:rPr>
              <w:t>]33</w:t>
            </w:r>
            <w:r>
              <w:rPr>
                <w:rFonts w:ascii="宋体" w:hAnsi="宋体" w:eastAsia="宋体" w:cs="宋体"/>
                <w:b/>
                <w:bCs/>
                <w:spacing w:val="-4"/>
                <w:sz w:val="24"/>
                <w:szCs w:val="24"/>
              </w:rPr>
              <w:t>号）相符性分析）</w:t>
            </w:r>
          </w:p>
          <w:p w14:paraId="42D93801">
            <w:pPr>
              <w:spacing w:before="8" w:line="305" w:lineRule="auto"/>
              <w:ind w:left="113" w:firstLine="474"/>
              <w:rPr>
                <w:rFonts w:ascii="宋体" w:hAnsi="宋体" w:eastAsia="宋体" w:cs="宋体"/>
                <w:sz w:val="24"/>
                <w:szCs w:val="24"/>
              </w:rPr>
            </w:pPr>
            <w:r>
              <w:rPr>
                <w:rFonts w:ascii="宋体" w:hAnsi="宋体" w:eastAsia="宋体" w:cs="宋体"/>
                <w:spacing w:val="3"/>
                <w:sz w:val="24"/>
                <w:szCs w:val="24"/>
              </w:rPr>
              <w:t>本项目与《</w:t>
            </w:r>
            <w:r>
              <w:rPr>
                <w:rFonts w:ascii="Times New Roman" w:hAnsi="Times New Roman" w:eastAsia="Times New Roman" w:cs="Times New Roman"/>
                <w:spacing w:val="3"/>
                <w:sz w:val="24"/>
                <w:szCs w:val="24"/>
              </w:rPr>
              <w:t>2020</w:t>
            </w:r>
            <w:r>
              <w:rPr>
                <w:rFonts w:ascii="宋体" w:hAnsi="宋体" w:eastAsia="宋体" w:cs="宋体"/>
                <w:spacing w:val="3"/>
                <w:sz w:val="24"/>
                <w:szCs w:val="24"/>
              </w:rPr>
              <w:t>年挥发性有机</w:t>
            </w:r>
            <w:r>
              <w:rPr>
                <w:rFonts w:ascii="微软雅黑" w:hAnsi="微软雅黑" w:eastAsia="微软雅黑" w:cs="微软雅黑"/>
                <w:spacing w:val="3"/>
                <w:sz w:val="24"/>
                <w:szCs w:val="24"/>
              </w:rPr>
              <w:t>物</w:t>
            </w:r>
            <w:r>
              <w:rPr>
                <w:rFonts w:ascii="宋体" w:hAnsi="宋体" w:eastAsia="宋体" w:cs="宋体"/>
                <w:spacing w:val="3"/>
                <w:sz w:val="24"/>
                <w:szCs w:val="24"/>
              </w:rPr>
              <w:t>治理攻坚方案》（环大</w:t>
            </w:r>
            <w:r>
              <w:rPr>
                <w:rFonts w:ascii="微软雅黑" w:hAnsi="微软雅黑" w:eastAsia="微软雅黑" w:cs="微软雅黑"/>
                <w:spacing w:val="3"/>
                <w:sz w:val="24"/>
                <w:szCs w:val="24"/>
              </w:rPr>
              <w:t>气</w:t>
            </w:r>
            <w:r>
              <w:rPr>
                <w:rFonts w:ascii="Times New Roman" w:hAnsi="Times New Roman" w:eastAsia="Times New Roman" w:cs="Times New Roman"/>
                <w:spacing w:val="3"/>
                <w:sz w:val="24"/>
                <w:szCs w:val="24"/>
              </w:rPr>
              <w:t>[</w:t>
            </w:r>
            <w:r>
              <w:fldChar w:fldCharType="begin"/>
            </w:r>
            <w:r>
              <w:instrText xml:space="preserve"> HYPERLINK \l "bookmark28" </w:instrText>
            </w:r>
            <w:r>
              <w:fldChar w:fldCharType="separate"/>
            </w:r>
            <w:r>
              <w:rPr>
                <w:rFonts w:ascii="Times New Roman" w:hAnsi="Times New Roman" w:eastAsia="Times New Roman" w:cs="Times New Roman"/>
                <w:spacing w:val="3"/>
                <w:sz w:val="24"/>
                <w:szCs w:val="24"/>
              </w:rPr>
              <w:t>2020</w:t>
            </w:r>
            <w:r>
              <w:rPr>
                <w:rFonts w:ascii="Times New Roman" w:hAnsi="Times New Roman" w:eastAsia="Times New Roman" w:cs="Times New Roman"/>
                <w:spacing w:val="3"/>
                <w:sz w:val="24"/>
                <w:szCs w:val="24"/>
              </w:rPr>
              <w:fldChar w:fldCharType="end"/>
            </w:r>
            <w:r>
              <w:rPr>
                <w:rFonts w:ascii="Times New Roman" w:hAnsi="Times New Roman" w:eastAsia="Times New Roman" w:cs="Times New Roman"/>
                <w:spacing w:val="3"/>
                <w:sz w:val="24"/>
                <w:szCs w:val="24"/>
              </w:rPr>
              <w:t>]33</w:t>
            </w:r>
            <w:r>
              <w:rPr>
                <w:rFonts w:ascii="宋体" w:hAnsi="宋体" w:eastAsia="宋体" w:cs="宋体"/>
                <w:spacing w:val="-4"/>
                <w:sz w:val="24"/>
                <w:szCs w:val="24"/>
              </w:rPr>
              <w:t>号）相符性分析见表</w:t>
            </w:r>
            <w:r>
              <w:rPr>
                <w:rFonts w:ascii="Times New Roman" w:hAnsi="Times New Roman" w:eastAsia="Times New Roman" w:cs="Times New Roman"/>
                <w:spacing w:val="-4"/>
                <w:sz w:val="24"/>
                <w:szCs w:val="24"/>
              </w:rPr>
              <w:t>1-</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pacing w:val="-4"/>
                <w:sz w:val="24"/>
                <w:szCs w:val="24"/>
              </w:rPr>
              <w:t>13</w:t>
            </w:r>
            <w:r>
              <w:rPr>
                <w:rFonts w:ascii="宋体" w:hAnsi="宋体" w:eastAsia="宋体" w:cs="宋体"/>
                <w:spacing w:val="-4"/>
                <w:sz w:val="24"/>
                <w:szCs w:val="24"/>
              </w:rPr>
              <w:t>。</w:t>
            </w:r>
          </w:p>
          <w:p w14:paraId="777F91F8">
            <w:pPr>
              <w:spacing w:before="9" w:line="158" w:lineRule="auto"/>
              <w:ind w:left="766"/>
              <w:rPr>
                <w:rFonts w:ascii="宋体" w:hAnsi="宋体" w:eastAsia="宋体" w:cs="宋体"/>
                <w:sz w:val="20"/>
                <w:szCs w:val="20"/>
              </w:rPr>
            </w:pPr>
            <w:r>
              <w:rPr>
                <w:rFonts w:ascii="宋体" w:hAnsi="宋体" w:eastAsia="宋体" w:cs="宋体"/>
                <w:b/>
                <w:bCs/>
                <w:spacing w:val="7"/>
                <w:sz w:val="20"/>
                <w:szCs w:val="20"/>
              </w:rPr>
              <w:t>表</w:t>
            </w:r>
            <w:r>
              <w:rPr>
                <w:rFonts w:ascii="Times New Roman" w:hAnsi="Times New Roman" w:eastAsia="Times New Roman" w:cs="Times New Roman"/>
                <w:b/>
                <w:bCs/>
                <w:spacing w:val="7"/>
                <w:sz w:val="20"/>
                <w:szCs w:val="20"/>
              </w:rPr>
              <w:t xml:space="preserve">1-13    </w:t>
            </w:r>
            <w:r>
              <w:rPr>
                <w:rFonts w:ascii="宋体" w:hAnsi="宋体" w:eastAsia="宋体" w:cs="宋体"/>
                <w:b/>
                <w:bCs/>
                <w:spacing w:val="7"/>
                <w:sz w:val="20"/>
                <w:szCs w:val="20"/>
              </w:rPr>
              <w:t>本项目与《</w:t>
            </w:r>
            <w:r>
              <w:rPr>
                <w:rFonts w:ascii="Times New Roman" w:hAnsi="Times New Roman" w:eastAsia="Times New Roman" w:cs="Times New Roman"/>
                <w:b/>
                <w:bCs/>
                <w:spacing w:val="7"/>
                <w:sz w:val="20"/>
                <w:szCs w:val="20"/>
              </w:rPr>
              <w:t>2020</w:t>
            </w:r>
            <w:r>
              <w:rPr>
                <w:rFonts w:ascii="宋体" w:hAnsi="宋体" w:eastAsia="宋体" w:cs="宋体"/>
                <w:b/>
                <w:bCs/>
                <w:spacing w:val="7"/>
                <w:sz w:val="20"/>
                <w:szCs w:val="20"/>
              </w:rPr>
              <w:t>年挥发性有机</w:t>
            </w:r>
            <w:r>
              <w:rPr>
                <w:rFonts w:ascii="微软雅黑" w:hAnsi="微软雅黑" w:eastAsia="微软雅黑" w:cs="微软雅黑"/>
                <w:b/>
                <w:bCs/>
                <w:spacing w:val="7"/>
                <w:sz w:val="20"/>
                <w:szCs w:val="20"/>
              </w:rPr>
              <w:t>物</w:t>
            </w:r>
            <w:r>
              <w:rPr>
                <w:rFonts w:ascii="宋体" w:hAnsi="宋体" w:eastAsia="宋体" w:cs="宋体"/>
                <w:b/>
                <w:bCs/>
                <w:spacing w:val="7"/>
                <w:sz w:val="20"/>
                <w:szCs w:val="20"/>
              </w:rPr>
              <w:t>治理攻坚方案》符</w:t>
            </w:r>
            <w:r>
              <w:rPr>
                <w:rFonts w:ascii="宋体" w:hAnsi="宋体" w:eastAsia="宋体" w:cs="宋体"/>
                <w:b/>
                <w:bCs/>
                <w:spacing w:val="6"/>
                <w:sz w:val="20"/>
                <w:szCs w:val="20"/>
              </w:rPr>
              <w:t>合性分析</w:t>
            </w:r>
          </w:p>
        </w:tc>
        <w:tc>
          <w:tcPr>
            <w:tcW w:w="122" w:type="dxa"/>
            <w:vMerge w:val="restart"/>
            <w:tcBorders>
              <w:top w:val="nil"/>
              <w:bottom w:val="nil"/>
              <w:right w:val="single" w:color="000000" w:sz="6" w:space="0"/>
            </w:tcBorders>
            <w:vAlign w:val="top"/>
          </w:tcPr>
          <w:p w14:paraId="10A59B67">
            <w:pPr>
              <w:rPr>
                <w:rFonts w:ascii="Arial"/>
                <w:sz w:val="21"/>
              </w:rPr>
            </w:pPr>
          </w:p>
        </w:tc>
      </w:tr>
      <w:tr w14:paraId="03222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61" w:type="dxa"/>
            <w:vMerge w:val="continue"/>
            <w:tcBorders>
              <w:top w:val="nil"/>
              <w:left w:val="single" w:color="000000" w:sz="6" w:space="0"/>
              <w:bottom w:val="nil"/>
            </w:tcBorders>
            <w:vAlign w:val="top"/>
          </w:tcPr>
          <w:p w14:paraId="6B3871BF">
            <w:pPr>
              <w:rPr>
                <w:rFonts w:ascii="Arial"/>
                <w:sz w:val="21"/>
              </w:rPr>
            </w:pPr>
          </w:p>
        </w:tc>
        <w:tc>
          <w:tcPr>
            <w:tcW w:w="113" w:type="dxa"/>
            <w:vMerge w:val="restart"/>
            <w:tcBorders>
              <w:top w:val="nil"/>
              <w:bottom w:val="nil"/>
            </w:tcBorders>
            <w:vAlign w:val="top"/>
          </w:tcPr>
          <w:p w14:paraId="325368EA">
            <w:pPr>
              <w:rPr>
                <w:rFonts w:ascii="Arial"/>
                <w:sz w:val="21"/>
              </w:rPr>
            </w:pPr>
          </w:p>
        </w:tc>
        <w:tc>
          <w:tcPr>
            <w:tcW w:w="4130" w:type="dxa"/>
            <w:gridSpan w:val="4"/>
            <w:vAlign w:val="top"/>
          </w:tcPr>
          <w:p w14:paraId="6B941AFB">
            <w:pPr>
              <w:spacing w:before="41" w:line="191" w:lineRule="auto"/>
              <w:ind w:left="1261"/>
              <w:rPr>
                <w:rFonts w:ascii="宋体" w:hAnsi="宋体" w:eastAsia="宋体" w:cs="宋体"/>
                <w:sz w:val="20"/>
                <w:szCs w:val="20"/>
              </w:rPr>
            </w:pPr>
            <w:r>
              <w:rPr>
                <w:rFonts w:ascii="宋体" w:hAnsi="宋体" w:eastAsia="宋体" w:cs="宋体"/>
                <w:b/>
                <w:bCs/>
                <w:spacing w:val="5"/>
                <w:sz w:val="20"/>
                <w:szCs w:val="20"/>
              </w:rPr>
              <w:t>环大</w:t>
            </w:r>
            <w:r>
              <w:rPr>
                <w:rFonts w:ascii="微软雅黑" w:hAnsi="微软雅黑" w:eastAsia="微软雅黑" w:cs="微软雅黑"/>
                <w:b/>
                <w:bCs/>
                <w:spacing w:val="5"/>
                <w:sz w:val="20"/>
                <w:szCs w:val="20"/>
              </w:rPr>
              <w:t>气</w:t>
            </w:r>
            <w:r>
              <w:rPr>
                <w:rFonts w:ascii="Times New Roman" w:hAnsi="Times New Roman" w:eastAsia="Times New Roman" w:cs="Times New Roman"/>
                <w:b/>
                <w:bCs/>
                <w:spacing w:val="5"/>
                <w:sz w:val="20"/>
                <w:szCs w:val="20"/>
              </w:rPr>
              <w:t>[</w:t>
            </w:r>
            <w:r>
              <w:fldChar w:fldCharType="begin"/>
            </w:r>
            <w:r>
              <w:instrText xml:space="preserve"> HYPERLINK \l "bookmark29" </w:instrText>
            </w:r>
            <w:r>
              <w:fldChar w:fldCharType="separate"/>
            </w:r>
            <w:r>
              <w:rPr>
                <w:rFonts w:ascii="Times New Roman" w:hAnsi="Times New Roman" w:eastAsia="Times New Roman" w:cs="Times New Roman"/>
                <w:b/>
                <w:bCs/>
                <w:spacing w:val="5"/>
                <w:sz w:val="20"/>
                <w:szCs w:val="20"/>
              </w:rPr>
              <w:t>2020</w:t>
            </w:r>
            <w:r>
              <w:rPr>
                <w:rFonts w:ascii="Times New Roman" w:hAnsi="Times New Roman" w:eastAsia="Times New Roman" w:cs="Times New Roman"/>
                <w:b/>
                <w:bCs/>
                <w:spacing w:val="5"/>
                <w:sz w:val="20"/>
                <w:szCs w:val="20"/>
              </w:rPr>
              <w:fldChar w:fldCharType="end"/>
            </w:r>
            <w:r>
              <w:rPr>
                <w:rFonts w:ascii="Times New Roman" w:hAnsi="Times New Roman" w:eastAsia="Times New Roman" w:cs="Times New Roman"/>
                <w:b/>
                <w:bCs/>
                <w:spacing w:val="5"/>
                <w:sz w:val="20"/>
                <w:szCs w:val="20"/>
              </w:rPr>
              <w:t>]33</w:t>
            </w:r>
            <w:r>
              <w:rPr>
                <w:rFonts w:ascii="宋体" w:hAnsi="宋体" w:eastAsia="宋体" w:cs="宋体"/>
                <w:b/>
                <w:bCs/>
                <w:spacing w:val="5"/>
                <w:sz w:val="20"/>
                <w:szCs w:val="20"/>
              </w:rPr>
              <w:t>号</w:t>
            </w:r>
          </w:p>
        </w:tc>
        <w:tc>
          <w:tcPr>
            <w:tcW w:w="2605" w:type="dxa"/>
            <w:gridSpan w:val="2"/>
            <w:vMerge w:val="restart"/>
            <w:tcBorders>
              <w:bottom w:val="nil"/>
            </w:tcBorders>
            <w:vAlign w:val="top"/>
          </w:tcPr>
          <w:p w14:paraId="2DD41EB4">
            <w:pPr>
              <w:spacing w:before="250" w:line="227" w:lineRule="auto"/>
              <w:ind w:left="784"/>
              <w:rPr>
                <w:rFonts w:ascii="宋体" w:hAnsi="宋体" w:eastAsia="宋体" w:cs="宋体"/>
                <w:sz w:val="20"/>
                <w:szCs w:val="20"/>
              </w:rPr>
            </w:pPr>
            <w:r>
              <w:rPr>
                <w:rFonts w:ascii="宋体" w:hAnsi="宋体" w:eastAsia="宋体" w:cs="宋体"/>
                <w:b/>
                <w:bCs/>
                <w:spacing w:val="6"/>
                <w:sz w:val="20"/>
                <w:szCs w:val="20"/>
              </w:rPr>
              <w:t>本项目情况</w:t>
            </w:r>
          </w:p>
        </w:tc>
        <w:tc>
          <w:tcPr>
            <w:tcW w:w="741" w:type="dxa"/>
            <w:vMerge w:val="restart"/>
            <w:tcBorders>
              <w:bottom w:val="nil"/>
            </w:tcBorders>
            <w:vAlign w:val="top"/>
          </w:tcPr>
          <w:p w14:paraId="1BC35D2D">
            <w:pPr>
              <w:spacing w:before="47" w:line="357" w:lineRule="auto"/>
              <w:ind w:left="278" w:right="153" w:hanging="106"/>
              <w:rPr>
                <w:rFonts w:ascii="宋体" w:hAnsi="宋体" w:eastAsia="宋体" w:cs="宋体"/>
                <w:sz w:val="20"/>
                <w:szCs w:val="20"/>
              </w:rPr>
            </w:pPr>
            <w:r>
              <w:rPr>
                <w:rFonts w:ascii="宋体" w:hAnsi="宋体" w:eastAsia="宋体" w:cs="宋体"/>
                <w:b/>
                <w:bCs/>
                <w:spacing w:val="3"/>
                <w:sz w:val="20"/>
                <w:szCs w:val="20"/>
              </w:rPr>
              <w:t>符合</w:t>
            </w:r>
            <w:r>
              <w:rPr>
                <w:rFonts w:ascii="宋体" w:hAnsi="宋体" w:eastAsia="宋体" w:cs="宋体"/>
                <w:b/>
                <w:bCs/>
                <w:spacing w:val="-3"/>
                <w:sz w:val="20"/>
                <w:szCs w:val="20"/>
              </w:rPr>
              <w:t>性</w:t>
            </w:r>
          </w:p>
        </w:tc>
        <w:tc>
          <w:tcPr>
            <w:tcW w:w="122" w:type="dxa"/>
            <w:vMerge w:val="continue"/>
            <w:tcBorders>
              <w:top w:val="nil"/>
              <w:bottom w:val="nil"/>
              <w:right w:val="single" w:color="000000" w:sz="6" w:space="0"/>
            </w:tcBorders>
            <w:vAlign w:val="top"/>
          </w:tcPr>
          <w:p w14:paraId="11CDDB5B">
            <w:pPr>
              <w:rPr>
                <w:rFonts w:ascii="Arial"/>
                <w:sz w:val="21"/>
              </w:rPr>
            </w:pPr>
          </w:p>
        </w:tc>
      </w:tr>
      <w:tr w14:paraId="2450D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61" w:type="dxa"/>
            <w:vMerge w:val="continue"/>
            <w:tcBorders>
              <w:top w:val="nil"/>
              <w:left w:val="single" w:color="000000" w:sz="6" w:space="0"/>
              <w:bottom w:val="nil"/>
            </w:tcBorders>
            <w:vAlign w:val="top"/>
          </w:tcPr>
          <w:p w14:paraId="36776616">
            <w:pPr>
              <w:rPr>
                <w:rFonts w:ascii="Arial"/>
                <w:sz w:val="21"/>
              </w:rPr>
            </w:pPr>
          </w:p>
        </w:tc>
        <w:tc>
          <w:tcPr>
            <w:tcW w:w="113" w:type="dxa"/>
            <w:vMerge w:val="continue"/>
            <w:tcBorders>
              <w:top w:val="nil"/>
              <w:bottom w:val="nil"/>
            </w:tcBorders>
            <w:vAlign w:val="top"/>
          </w:tcPr>
          <w:p w14:paraId="6CC994B2">
            <w:pPr>
              <w:rPr>
                <w:rFonts w:ascii="Arial"/>
                <w:sz w:val="21"/>
              </w:rPr>
            </w:pPr>
          </w:p>
        </w:tc>
        <w:tc>
          <w:tcPr>
            <w:tcW w:w="823" w:type="dxa"/>
            <w:vAlign w:val="top"/>
          </w:tcPr>
          <w:p w14:paraId="26659834">
            <w:pPr>
              <w:spacing w:before="41" w:line="228" w:lineRule="auto"/>
              <w:ind w:left="200"/>
              <w:rPr>
                <w:rFonts w:ascii="宋体" w:hAnsi="宋体" w:eastAsia="宋体" w:cs="宋体"/>
                <w:sz w:val="20"/>
                <w:szCs w:val="20"/>
              </w:rPr>
            </w:pPr>
            <w:r>
              <w:rPr>
                <w:rFonts w:ascii="宋体" w:hAnsi="宋体" w:eastAsia="宋体" w:cs="宋体"/>
                <w:b/>
                <w:bCs/>
                <w:spacing w:val="3"/>
                <w:sz w:val="20"/>
                <w:szCs w:val="20"/>
              </w:rPr>
              <w:t>类别</w:t>
            </w:r>
          </w:p>
        </w:tc>
        <w:tc>
          <w:tcPr>
            <w:tcW w:w="3307" w:type="dxa"/>
            <w:gridSpan w:val="3"/>
            <w:vAlign w:val="top"/>
          </w:tcPr>
          <w:p w14:paraId="56B476D6">
            <w:pPr>
              <w:spacing w:before="41" w:line="228" w:lineRule="auto"/>
              <w:ind w:left="1238"/>
              <w:rPr>
                <w:rFonts w:ascii="宋体" w:hAnsi="宋体" w:eastAsia="宋体" w:cs="宋体"/>
                <w:sz w:val="20"/>
                <w:szCs w:val="20"/>
              </w:rPr>
            </w:pPr>
            <w:r>
              <w:rPr>
                <w:rFonts w:ascii="宋体" w:hAnsi="宋体" w:eastAsia="宋体" w:cs="宋体"/>
                <w:b/>
                <w:bCs/>
                <w:spacing w:val="6"/>
                <w:sz w:val="20"/>
                <w:szCs w:val="20"/>
              </w:rPr>
              <w:t>标准要求</w:t>
            </w:r>
          </w:p>
        </w:tc>
        <w:tc>
          <w:tcPr>
            <w:tcW w:w="2605" w:type="dxa"/>
            <w:gridSpan w:val="2"/>
            <w:vMerge w:val="continue"/>
            <w:tcBorders>
              <w:top w:val="nil"/>
            </w:tcBorders>
            <w:vAlign w:val="top"/>
          </w:tcPr>
          <w:p w14:paraId="71EC25E6">
            <w:pPr>
              <w:rPr>
                <w:rFonts w:ascii="Arial"/>
                <w:sz w:val="21"/>
              </w:rPr>
            </w:pPr>
          </w:p>
        </w:tc>
        <w:tc>
          <w:tcPr>
            <w:tcW w:w="741" w:type="dxa"/>
            <w:vMerge w:val="continue"/>
            <w:tcBorders>
              <w:top w:val="nil"/>
            </w:tcBorders>
            <w:vAlign w:val="top"/>
          </w:tcPr>
          <w:p w14:paraId="58E60E7D">
            <w:pPr>
              <w:rPr>
                <w:rFonts w:ascii="Arial"/>
                <w:sz w:val="21"/>
              </w:rPr>
            </w:pPr>
          </w:p>
        </w:tc>
        <w:tc>
          <w:tcPr>
            <w:tcW w:w="122" w:type="dxa"/>
            <w:vMerge w:val="continue"/>
            <w:tcBorders>
              <w:top w:val="nil"/>
              <w:bottom w:val="nil"/>
              <w:right w:val="single" w:color="000000" w:sz="6" w:space="0"/>
            </w:tcBorders>
            <w:vAlign w:val="top"/>
          </w:tcPr>
          <w:p w14:paraId="3A3436AC">
            <w:pPr>
              <w:rPr>
                <w:rFonts w:ascii="Arial"/>
                <w:sz w:val="21"/>
              </w:rPr>
            </w:pPr>
          </w:p>
        </w:tc>
      </w:tr>
      <w:tr w14:paraId="1497E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2" w:hRule="atLeast"/>
        </w:trPr>
        <w:tc>
          <w:tcPr>
            <w:tcW w:w="1161" w:type="dxa"/>
            <w:vMerge w:val="continue"/>
            <w:tcBorders>
              <w:top w:val="nil"/>
              <w:left w:val="single" w:color="000000" w:sz="6" w:space="0"/>
              <w:bottom w:val="single" w:color="000000" w:sz="6" w:space="0"/>
            </w:tcBorders>
            <w:vAlign w:val="top"/>
          </w:tcPr>
          <w:p w14:paraId="3DB4550A">
            <w:pPr>
              <w:rPr>
                <w:rFonts w:ascii="Arial"/>
                <w:sz w:val="21"/>
              </w:rPr>
            </w:pPr>
          </w:p>
        </w:tc>
        <w:tc>
          <w:tcPr>
            <w:tcW w:w="113" w:type="dxa"/>
            <w:vMerge w:val="continue"/>
            <w:tcBorders>
              <w:top w:val="nil"/>
              <w:bottom w:val="single" w:color="000000" w:sz="6" w:space="0"/>
            </w:tcBorders>
            <w:vAlign w:val="top"/>
          </w:tcPr>
          <w:p w14:paraId="2ED82C85">
            <w:pPr>
              <w:rPr>
                <w:rFonts w:ascii="Arial"/>
                <w:sz w:val="21"/>
              </w:rPr>
            </w:pPr>
          </w:p>
        </w:tc>
        <w:tc>
          <w:tcPr>
            <w:tcW w:w="823" w:type="dxa"/>
            <w:tcBorders>
              <w:bottom w:val="single" w:color="000000" w:sz="6" w:space="0"/>
            </w:tcBorders>
            <w:vAlign w:val="top"/>
          </w:tcPr>
          <w:p w14:paraId="75CC3642">
            <w:pPr>
              <w:spacing w:before="67" w:line="228" w:lineRule="auto"/>
              <w:ind w:left="110"/>
              <w:rPr>
                <w:rFonts w:ascii="宋体" w:hAnsi="宋体" w:eastAsia="宋体" w:cs="宋体"/>
                <w:sz w:val="20"/>
                <w:szCs w:val="20"/>
              </w:rPr>
            </w:pPr>
            <w:r>
              <w:rPr>
                <w:rFonts w:ascii="宋体" w:hAnsi="宋体" w:eastAsia="宋体" w:cs="宋体"/>
                <w:spacing w:val="-1"/>
                <w:sz w:val="20"/>
                <w:szCs w:val="20"/>
              </w:rPr>
              <w:t>一、大</w:t>
            </w:r>
          </w:p>
          <w:p w14:paraId="4176414E">
            <w:pPr>
              <w:spacing w:before="160" w:line="228" w:lineRule="auto"/>
              <w:ind w:left="206"/>
              <w:rPr>
                <w:rFonts w:ascii="宋体" w:hAnsi="宋体" w:eastAsia="宋体" w:cs="宋体"/>
                <w:sz w:val="20"/>
                <w:szCs w:val="20"/>
              </w:rPr>
            </w:pPr>
            <w:r>
              <w:rPr>
                <w:rFonts w:ascii="宋体" w:hAnsi="宋体" w:eastAsia="宋体" w:cs="宋体"/>
                <w:spacing w:val="3"/>
                <w:sz w:val="20"/>
                <w:szCs w:val="20"/>
              </w:rPr>
              <w:t>力推</w:t>
            </w:r>
          </w:p>
          <w:p w14:paraId="5654F040">
            <w:pPr>
              <w:spacing w:before="160" w:line="231" w:lineRule="auto"/>
              <w:ind w:left="201"/>
              <w:rPr>
                <w:rFonts w:ascii="宋体" w:hAnsi="宋体" w:eastAsia="宋体" w:cs="宋体"/>
                <w:sz w:val="20"/>
                <w:szCs w:val="20"/>
              </w:rPr>
            </w:pPr>
            <w:r>
              <w:rPr>
                <w:rFonts w:ascii="宋体" w:hAnsi="宋体" w:eastAsia="宋体" w:cs="宋体"/>
                <w:spacing w:val="5"/>
                <w:sz w:val="20"/>
                <w:szCs w:val="20"/>
              </w:rPr>
              <w:t>进源</w:t>
            </w:r>
          </w:p>
          <w:p w14:paraId="7CB98A9B">
            <w:pPr>
              <w:spacing w:before="157" w:line="228" w:lineRule="auto"/>
              <w:ind w:left="206"/>
              <w:rPr>
                <w:rFonts w:ascii="宋体" w:hAnsi="宋体" w:eastAsia="宋体" w:cs="宋体"/>
                <w:sz w:val="20"/>
                <w:szCs w:val="20"/>
              </w:rPr>
            </w:pPr>
            <w:r>
              <w:rPr>
                <w:rFonts w:ascii="宋体" w:hAnsi="宋体" w:eastAsia="宋体" w:cs="宋体"/>
                <w:spacing w:val="3"/>
                <w:sz w:val="20"/>
                <w:szCs w:val="20"/>
              </w:rPr>
              <w:t>头替</w:t>
            </w:r>
          </w:p>
          <w:p w14:paraId="59600929">
            <w:pPr>
              <w:spacing w:before="161" w:line="228" w:lineRule="auto"/>
              <w:ind w:left="105"/>
              <w:rPr>
                <w:rFonts w:ascii="宋体" w:hAnsi="宋体" w:eastAsia="宋体" w:cs="宋体"/>
                <w:sz w:val="20"/>
                <w:szCs w:val="20"/>
              </w:rPr>
            </w:pPr>
            <w:r>
              <w:rPr>
                <w:rFonts w:ascii="宋体" w:hAnsi="宋体" w:eastAsia="宋体" w:cs="宋体"/>
                <w:sz w:val="20"/>
                <w:szCs w:val="20"/>
              </w:rPr>
              <w:t>代，有</w:t>
            </w:r>
          </w:p>
          <w:p w14:paraId="534015D9">
            <w:pPr>
              <w:spacing w:before="162" w:line="228" w:lineRule="auto"/>
              <w:ind w:left="207"/>
              <w:rPr>
                <w:rFonts w:ascii="宋体" w:hAnsi="宋体" w:eastAsia="宋体" w:cs="宋体"/>
                <w:sz w:val="20"/>
                <w:szCs w:val="20"/>
              </w:rPr>
            </w:pPr>
            <w:r>
              <w:rPr>
                <w:rFonts w:ascii="宋体" w:hAnsi="宋体" w:eastAsia="宋体" w:cs="宋体"/>
                <w:spacing w:val="2"/>
                <w:sz w:val="20"/>
                <w:szCs w:val="20"/>
              </w:rPr>
              <w:t>效减</w:t>
            </w:r>
          </w:p>
          <w:p w14:paraId="153DF45F">
            <w:pPr>
              <w:spacing w:before="163" w:line="230" w:lineRule="auto"/>
              <w:ind w:left="306"/>
              <w:rPr>
                <w:rFonts w:ascii="宋体" w:hAnsi="宋体" w:eastAsia="宋体" w:cs="宋体"/>
                <w:sz w:val="20"/>
                <w:szCs w:val="20"/>
              </w:rPr>
            </w:pPr>
            <w:r>
              <w:rPr>
                <w:rFonts w:ascii="宋体" w:hAnsi="宋体" w:eastAsia="宋体" w:cs="宋体"/>
                <w:sz w:val="20"/>
                <w:szCs w:val="20"/>
              </w:rPr>
              <w:t>少</w:t>
            </w:r>
          </w:p>
          <w:p w14:paraId="67D79A30">
            <w:pPr>
              <w:spacing w:before="180" w:line="195"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VOCs</w:t>
            </w:r>
          </w:p>
        </w:tc>
        <w:tc>
          <w:tcPr>
            <w:tcW w:w="3307" w:type="dxa"/>
            <w:gridSpan w:val="3"/>
            <w:tcBorders>
              <w:bottom w:val="single" w:color="000000" w:sz="6" w:space="0"/>
            </w:tcBorders>
            <w:vAlign w:val="top"/>
          </w:tcPr>
          <w:p w14:paraId="06F1719F">
            <w:pPr>
              <w:spacing w:before="45" w:line="323" w:lineRule="auto"/>
              <w:ind w:left="103" w:right="102" w:firstLine="8"/>
              <w:rPr>
                <w:rFonts w:ascii="宋体" w:hAnsi="宋体" w:eastAsia="宋体" w:cs="宋体"/>
                <w:sz w:val="20"/>
                <w:szCs w:val="20"/>
              </w:rPr>
            </w:pPr>
            <w:r>
              <w:rPr>
                <w:rFonts w:ascii="宋体" w:hAnsi="宋体" w:eastAsia="宋体" w:cs="宋体"/>
                <w:spacing w:val="15"/>
                <w:sz w:val="20"/>
                <w:szCs w:val="20"/>
              </w:rPr>
              <w:t>大力推进低（无）</w:t>
            </w:r>
            <w:r>
              <w:rPr>
                <w:rFonts w:ascii="Times New Roman" w:hAnsi="Times New Roman" w:eastAsia="Times New Roman" w:cs="Times New Roman"/>
                <w:sz w:val="20"/>
                <w:szCs w:val="20"/>
              </w:rPr>
              <w:t>VOCs</w:t>
            </w:r>
            <w:r>
              <w:rPr>
                <w:rFonts w:ascii="宋体" w:hAnsi="宋体" w:eastAsia="宋体" w:cs="宋体"/>
                <w:spacing w:val="15"/>
                <w:sz w:val="20"/>
                <w:szCs w:val="20"/>
              </w:rPr>
              <w:t>含</w:t>
            </w:r>
            <w:r>
              <w:rPr>
                <w:rFonts w:ascii="微软雅黑" w:hAnsi="微软雅黑" w:eastAsia="微软雅黑" w:cs="微软雅黑"/>
                <w:spacing w:val="15"/>
                <w:sz w:val="20"/>
                <w:szCs w:val="20"/>
              </w:rPr>
              <w:t>量</w:t>
            </w:r>
            <w:r>
              <w:rPr>
                <w:rFonts w:ascii="宋体" w:hAnsi="宋体" w:eastAsia="宋体" w:cs="宋体"/>
                <w:spacing w:val="15"/>
                <w:sz w:val="20"/>
                <w:szCs w:val="20"/>
              </w:rPr>
              <w:t>原辅</w:t>
            </w:r>
            <w:r>
              <w:rPr>
                <w:rFonts w:ascii="宋体" w:hAnsi="宋体" w:eastAsia="宋体" w:cs="宋体"/>
                <w:spacing w:val="6"/>
                <w:sz w:val="20"/>
                <w:szCs w:val="20"/>
              </w:rPr>
              <w:t>材料替代。将全面使用符合国家要</w:t>
            </w:r>
            <w:r>
              <w:rPr>
                <w:rFonts w:ascii="宋体" w:hAnsi="宋体" w:eastAsia="宋体" w:cs="宋体"/>
                <w:spacing w:val="16"/>
                <w:sz w:val="20"/>
                <w:szCs w:val="20"/>
              </w:rPr>
              <w:t>求的低</w:t>
            </w:r>
            <w:r>
              <w:rPr>
                <w:rFonts w:ascii="Times New Roman" w:hAnsi="Times New Roman" w:eastAsia="Times New Roman" w:cs="Times New Roman"/>
                <w:sz w:val="20"/>
                <w:szCs w:val="20"/>
              </w:rPr>
              <w:t>VOCs</w:t>
            </w:r>
            <w:r>
              <w:rPr>
                <w:rFonts w:ascii="宋体" w:hAnsi="宋体" w:eastAsia="宋体" w:cs="宋体"/>
                <w:spacing w:val="16"/>
                <w:sz w:val="20"/>
                <w:szCs w:val="20"/>
              </w:rPr>
              <w:t>含</w:t>
            </w:r>
            <w:r>
              <w:rPr>
                <w:rFonts w:ascii="微软雅黑" w:hAnsi="微软雅黑" w:eastAsia="微软雅黑" w:cs="微软雅黑"/>
                <w:spacing w:val="16"/>
                <w:sz w:val="20"/>
                <w:szCs w:val="20"/>
              </w:rPr>
              <w:t>量</w:t>
            </w:r>
            <w:r>
              <w:rPr>
                <w:rFonts w:ascii="宋体" w:hAnsi="宋体" w:eastAsia="宋体" w:cs="宋体"/>
                <w:spacing w:val="16"/>
                <w:sz w:val="20"/>
                <w:szCs w:val="20"/>
              </w:rPr>
              <w:t>原辅材料的企业</w:t>
            </w:r>
            <w:r>
              <w:rPr>
                <w:rFonts w:ascii="宋体" w:hAnsi="宋体" w:eastAsia="宋体" w:cs="宋体"/>
                <w:spacing w:val="21"/>
                <w:sz w:val="20"/>
                <w:szCs w:val="20"/>
              </w:rPr>
              <w:t>纳入正面清单和政府绿色采购清</w:t>
            </w:r>
            <w:r>
              <w:rPr>
                <w:rFonts w:ascii="宋体" w:hAnsi="宋体" w:eastAsia="宋体" w:cs="宋体"/>
                <w:spacing w:val="6"/>
                <w:sz w:val="20"/>
                <w:szCs w:val="20"/>
              </w:rPr>
              <w:t>单。企业应建立原辅材料台账，记</w:t>
            </w:r>
            <w:r>
              <w:rPr>
                <w:rFonts w:ascii="宋体" w:hAnsi="宋体" w:eastAsia="宋体" w:cs="宋体"/>
                <w:spacing w:val="27"/>
                <w:sz w:val="20"/>
                <w:szCs w:val="20"/>
              </w:rPr>
              <w:t>录</w:t>
            </w:r>
            <w:r>
              <w:rPr>
                <w:rFonts w:ascii="Times New Roman" w:hAnsi="Times New Roman" w:eastAsia="Times New Roman" w:cs="Times New Roman"/>
                <w:sz w:val="20"/>
                <w:szCs w:val="20"/>
              </w:rPr>
              <w:t>VOCs</w:t>
            </w:r>
            <w:r>
              <w:rPr>
                <w:rFonts w:ascii="宋体" w:hAnsi="宋体" w:eastAsia="宋体" w:cs="宋体"/>
                <w:spacing w:val="27"/>
                <w:sz w:val="20"/>
                <w:szCs w:val="20"/>
              </w:rPr>
              <w:t>原辅材料名称</w:t>
            </w:r>
            <w:r>
              <w:rPr>
                <w:rFonts w:ascii="宋体" w:hAnsi="宋体" w:eastAsia="宋体" w:cs="宋体"/>
                <w:spacing w:val="-52"/>
                <w:sz w:val="20"/>
                <w:szCs w:val="20"/>
              </w:rPr>
              <w:t xml:space="preserve"> </w:t>
            </w:r>
            <w:r>
              <w:rPr>
                <w:rFonts w:ascii="宋体" w:hAnsi="宋体" w:eastAsia="宋体" w:cs="宋体"/>
                <w:spacing w:val="27"/>
                <w:sz w:val="20"/>
                <w:szCs w:val="20"/>
              </w:rPr>
              <w:t>、成分</w:t>
            </w:r>
            <w:r>
              <w:rPr>
                <w:rFonts w:ascii="宋体" w:hAnsi="宋体" w:eastAsia="宋体" w:cs="宋体"/>
                <w:spacing w:val="-51"/>
                <w:sz w:val="20"/>
                <w:szCs w:val="20"/>
              </w:rPr>
              <w:t xml:space="preserve"> </w:t>
            </w:r>
            <w:r>
              <w:rPr>
                <w:rFonts w:ascii="宋体" w:hAnsi="宋体" w:eastAsia="宋体" w:cs="宋体"/>
                <w:spacing w:val="27"/>
                <w:sz w:val="20"/>
                <w:szCs w:val="20"/>
              </w:rPr>
              <w:t>、</w:t>
            </w:r>
            <w:r>
              <w:rPr>
                <w:rFonts w:ascii="宋体" w:hAnsi="宋体" w:eastAsia="宋体" w:cs="宋体"/>
                <w:sz w:val="20"/>
                <w:szCs w:val="20"/>
              </w:rPr>
              <w:t xml:space="preserve"> </w:t>
            </w:r>
            <w:r>
              <w:rPr>
                <w:rFonts w:ascii="Times New Roman" w:hAnsi="Times New Roman" w:eastAsia="Times New Roman" w:cs="Times New Roman"/>
                <w:sz w:val="20"/>
                <w:szCs w:val="20"/>
              </w:rPr>
              <w:t>VOCs</w:t>
            </w:r>
            <w:r>
              <w:rPr>
                <w:rFonts w:ascii="宋体" w:hAnsi="宋体" w:eastAsia="宋体" w:cs="宋体"/>
                <w:spacing w:val="9"/>
                <w:sz w:val="20"/>
                <w:szCs w:val="20"/>
              </w:rPr>
              <w:t>含</w:t>
            </w:r>
            <w:r>
              <w:rPr>
                <w:rFonts w:ascii="微软雅黑" w:hAnsi="微软雅黑" w:eastAsia="微软雅黑" w:cs="微软雅黑"/>
                <w:spacing w:val="9"/>
                <w:sz w:val="20"/>
                <w:szCs w:val="20"/>
              </w:rPr>
              <w:t>量</w:t>
            </w:r>
            <w:r>
              <w:rPr>
                <w:rFonts w:ascii="微软雅黑" w:hAnsi="微软雅黑" w:eastAsia="微软雅黑" w:cs="微软雅黑"/>
                <w:spacing w:val="-32"/>
                <w:sz w:val="20"/>
                <w:szCs w:val="20"/>
              </w:rPr>
              <w:t xml:space="preserve"> </w:t>
            </w:r>
            <w:r>
              <w:rPr>
                <w:rFonts w:ascii="宋体" w:hAnsi="宋体" w:eastAsia="宋体" w:cs="宋体"/>
                <w:spacing w:val="9"/>
                <w:sz w:val="20"/>
                <w:szCs w:val="20"/>
              </w:rPr>
              <w:t>、采购</w:t>
            </w:r>
            <w:r>
              <w:rPr>
                <w:rFonts w:ascii="微软雅黑" w:hAnsi="微软雅黑" w:eastAsia="微软雅黑" w:cs="微软雅黑"/>
                <w:spacing w:val="9"/>
                <w:sz w:val="20"/>
                <w:szCs w:val="20"/>
              </w:rPr>
              <w:t>量</w:t>
            </w:r>
            <w:r>
              <w:rPr>
                <w:rFonts w:ascii="微软雅黑" w:hAnsi="微软雅黑" w:eastAsia="微软雅黑" w:cs="微软雅黑"/>
                <w:spacing w:val="-31"/>
                <w:sz w:val="20"/>
                <w:szCs w:val="20"/>
              </w:rPr>
              <w:t xml:space="preserve"> </w:t>
            </w:r>
            <w:r>
              <w:rPr>
                <w:rFonts w:ascii="宋体" w:hAnsi="宋体" w:eastAsia="宋体" w:cs="宋体"/>
                <w:spacing w:val="9"/>
                <w:sz w:val="20"/>
                <w:szCs w:val="20"/>
              </w:rPr>
              <w:t>、使用</w:t>
            </w:r>
            <w:r>
              <w:rPr>
                <w:rFonts w:ascii="微软雅黑" w:hAnsi="微软雅黑" w:eastAsia="微软雅黑" w:cs="微软雅黑"/>
                <w:spacing w:val="9"/>
                <w:sz w:val="20"/>
                <w:szCs w:val="20"/>
              </w:rPr>
              <w:t>量</w:t>
            </w:r>
            <w:r>
              <w:rPr>
                <w:rFonts w:ascii="微软雅黑" w:hAnsi="微软雅黑" w:eastAsia="微软雅黑" w:cs="微软雅黑"/>
                <w:spacing w:val="-32"/>
                <w:sz w:val="20"/>
                <w:szCs w:val="20"/>
              </w:rPr>
              <w:t xml:space="preserve"> </w:t>
            </w:r>
            <w:r>
              <w:rPr>
                <w:rFonts w:ascii="宋体" w:hAnsi="宋体" w:eastAsia="宋体" w:cs="宋体"/>
                <w:spacing w:val="9"/>
                <w:sz w:val="20"/>
                <w:szCs w:val="20"/>
              </w:rPr>
              <w:t>、库</w:t>
            </w:r>
            <w:r>
              <w:rPr>
                <w:rFonts w:ascii="宋体" w:hAnsi="宋体" w:eastAsia="宋体" w:cs="宋体"/>
                <w:spacing w:val="6"/>
                <w:sz w:val="20"/>
                <w:szCs w:val="20"/>
              </w:rPr>
              <w:t>存</w:t>
            </w:r>
            <w:r>
              <w:rPr>
                <w:rFonts w:ascii="微软雅黑" w:hAnsi="微软雅黑" w:eastAsia="微软雅黑" w:cs="微软雅黑"/>
                <w:spacing w:val="6"/>
                <w:sz w:val="20"/>
                <w:szCs w:val="20"/>
              </w:rPr>
              <w:t>量</w:t>
            </w:r>
            <w:r>
              <w:rPr>
                <w:rFonts w:ascii="宋体" w:hAnsi="宋体" w:eastAsia="宋体" w:cs="宋体"/>
                <w:spacing w:val="6"/>
                <w:sz w:val="20"/>
                <w:szCs w:val="20"/>
              </w:rPr>
              <w:t>、回收方式、回收</w:t>
            </w:r>
            <w:r>
              <w:rPr>
                <w:rFonts w:ascii="微软雅黑" w:hAnsi="微软雅黑" w:eastAsia="微软雅黑" w:cs="微软雅黑"/>
                <w:spacing w:val="6"/>
                <w:sz w:val="20"/>
                <w:szCs w:val="20"/>
              </w:rPr>
              <w:t>量</w:t>
            </w:r>
            <w:r>
              <w:rPr>
                <w:rFonts w:ascii="宋体" w:hAnsi="宋体" w:eastAsia="宋体" w:cs="宋体"/>
                <w:spacing w:val="6"/>
                <w:sz w:val="20"/>
                <w:szCs w:val="20"/>
              </w:rPr>
              <w:t>等信息，</w:t>
            </w:r>
          </w:p>
        </w:tc>
        <w:tc>
          <w:tcPr>
            <w:tcW w:w="2605" w:type="dxa"/>
            <w:gridSpan w:val="2"/>
            <w:tcBorders>
              <w:bottom w:val="single" w:color="000000" w:sz="6" w:space="0"/>
            </w:tcBorders>
            <w:vAlign w:val="top"/>
          </w:tcPr>
          <w:p w14:paraId="794D58B8">
            <w:pPr>
              <w:spacing w:before="46" w:line="358" w:lineRule="auto"/>
              <w:ind w:left="115" w:right="182" w:firstLine="1"/>
              <w:jc w:val="both"/>
              <w:rPr>
                <w:rFonts w:ascii="宋体" w:hAnsi="宋体" w:eastAsia="宋体" w:cs="宋体"/>
                <w:sz w:val="20"/>
                <w:szCs w:val="20"/>
              </w:rPr>
            </w:pPr>
            <w:r>
              <w:rPr>
                <w:rFonts w:ascii="宋体" w:hAnsi="宋体" w:eastAsia="宋体" w:cs="宋体"/>
                <w:spacing w:val="9"/>
                <w:sz w:val="20"/>
                <w:szCs w:val="20"/>
              </w:rPr>
              <w:t>本项目为改扩建项目，项</w:t>
            </w:r>
            <w:r>
              <w:rPr>
                <w:rFonts w:ascii="宋体" w:hAnsi="宋体" w:eastAsia="宋体" w:cs="宋体"/>
                <w:spacing w:val="11"/>
                <w:sz w:val="20"/>
                <w:szCs w:val="20"/>
              </w:rPr>
              <w:t>目涉及的</w:t>
            </w:r>
            <w:r>
              <w:rPr>
                <w:rFonts w:ascii="Times New Roman" w:hAnsi="Times New Roman" w:eastAsia="Times New Roman" w:cs="Times New Roman"/>
                <w:sz w:val="20"/>
                <w:szCs w:val="20"/>
              </w:rPr>
              <w:t>VOCs</w:t>
            </w:r>
            <w:r>
              <w:rPr>
                <w:rFonts w:ascii="宋体" w:hAnsi="宋体" w:eastAsia="宋体" w:cs="宋体"/>
                <w:spacing w:val="11"/>
                <w:sz w:val="20"/>
                <w:szCs w:val="20"/>
              </w:rPr>
              <w:t>原料为聚</w:t>
            </w:r>
            <w:r>
              <w:rPr>
                <w:rFonts w:ascii="宋体" w:hAnsi="宋体" w:eastAsia="宋体" w:cs="宋体"/>
                <w:spacing w:val="9"/>
                <w:sz w:val="20"/>
                <w:szCs w:val="20"/>
              </w:rPr>
              <w:t>丙烯。项目采购原料均符合国家规定，项目原辅料采购</w:t>
            </w:r>
            <w:r>
              <w:rPr>
                <w:rFonts w:ascii="微软雅黑" w:hAnsi="微软雅黑" w:eastAsia="微软雅黑" w:cs="微软雅黑"/>
                <w:spacing w:val="9"/>
                <w:sz w:val="20"/>
                <w:szCs w:val="20"/>
              </w:rPr>
              <w:t>量</w:t>
            </w:r>
            <w:r>
              <w:rPr>
                <w:rFonts w:ascii="宋体" w:hAnsi="宋体" w:eastAsia="宋体" w:cs="宋体"/>
                <w:spacing w:val="9"/>
                <w:sz w:val="20"/>
                <w:szCs w:val="20"/>
              </w:rPr>
              <w:t>、使用</w:t>
            </w:r>
            <w:r>
              <w:rPr>
                <w:rFonts w:ascii="微软雅黑" w:hAnsi="微软雅黑" w:eastAsia="微软雅黑" w:cs="微软雅黑"/>
                <w:spacing w:val="9"/>
                <w:sz w:val="20"/>
                <w:szCs w:val="20"/>
              </w:rPr>
              <w:t>量</w:t>
            </w:r>
            <w:r>
              <w:rPr>
                <w:rFonts w:ascii="宋体" w:hAnsi="宋体" w:eastAsia="宋体" w:cs="宋体"/>
                <w:spacing w:val="9"/>
                <w:sz w:val="20"/>
                <w:szCs w:val="20"/>
              </w:rPr>
              <w:t>、库存</w:t>
            </w:r>
            <w:r>
              <w:rPr>
                <w:rFonts w:ascii="微软雅黑" w:hAnsi="微软雅黑" w:eastAsia="微软雅黑" w:cs="微软雅黑"/>
                <w:spacing w:val="9"/>
                <w:sz w:val="20"/>
                <w:szCs w:val="20"/>
              </w:rPr>
              <w:t>量</w:t>
            </w:r>
            <w:r>
              <w:rPr>
                <w:rFonts w:ascii="宋体" w:hAnsi="宋体" w:eastAsia="宋体" w:cs="宋体"/>
                <w:spacing w:val="8"/>
                <w:sz w:val="20"/>
                <w:szCs w:val="20"/>
              </w:rPr>
              <w:t>回收方式等均设台账。</w:t>
            </w:r>
          </w:p>
        </w:tc>
        <w:tc>
          <w:tcPr>
            <w:tcW w:w="741" w:type="dxa"/>
            <w:tcBorders>
              <w:bottom w:val="single" w:color="000000" w:sz="6" w:space="0"/>
            </w:tcBorders>
            <w:vAlign w:val="top"/>
          </w:tcPr>
          <w:p w14:paraId="169D4795">
            <w:pPr>
              <w:spacing w:line="279" w:lineRule="auto"/>
              <w:rPr>
                <w:rFonts w:ascii="Arial"/>
                <w:sz w:val="21"/>
              </w:rPr>
            </w:pPr>
          </w:p>
          <w:p w14:paraId="0B7B80A0">
            <w:pPr>
              <w:spacing w:line="279" w:lineRule="auto"/>
              <w:rPr>
                <w:rFonts w:ascii="Arial"/>
                <w:sz w:val="21"/>
              </w:rPr>
            </w:pPr>
          </w:p>
          <w:p w14:paraId="55B1B86F">
            <w:pPr>
              <w:spacing w:line="279" w:lineRule="auto"/>
              <w:rPr>
                <w:rFonts w:ascii="Arial"/>
                <w:sz w:val="21"/>
              </w:rPr>
            </w:pPr>
          </w:p>
          <w:p w14:paraId="42323008">
            <w:pPr>
              <w:spacing w:line="280" w:lineRule="auto"/>
              <w:rPr>
                <w:rFonts w:ascii="Arial"/>
                <w:sz w:val="21"/>
              </w:rPr>
            </w:pPr>
          </w:p>
          <w:p w14:paraId="010F23BF">
            <w:pPr>
              <w:spacing w:line="280" w:lineRule="auto"/>
              <w:rPr>
                <w:rFonts w:ascii="Arial"/>
                <w:sz w:val="21"/>
              </w:rPr>
            </w:pPr>
          </w:p>
          <w:p w14:paraId="01E4B6CE">
            <w:pPr>
              <w:spacing w:before="65" w:line="228" w:lineRule="auto"/>
              <w:ind w:left="175"/>
              <w:rPr>
                <w:rFonts w:ascii="宋体" w:hAnsi="宋体" w:eastAsia="宋体" w:cs="宋体"/>
                <w:sz w:val="20"/>
                <w:szCs w:val="20"/>
              </w:rPr>
            </w:pPr>
            <w:r>
              <w:rPr>
                <w:rFonts w:ascii="宋体" w:hAnsi="宋体" w:eastAsia="宋体" w:cs="宋体"/>
                <w:spacing w:val="3"/>
                <w:sz w:val="20"/>
                <w:szCs w:val="20"/>
              </w:rPr>
              <w:t>符合</w:t>
            </w:r>
          </w:p>
        </w:tc>
        <w:tc>
          <w:tcPr>
            <w:tcW w:w="122" w:type="dxa"/>
            <w:vMerge w:val="continue"/>
            <w:tcBorders>
              <w:top w:val="nil"/>
              <w:bottom w:val="single" w:color="000000" w:sz="6" w:space="0"/>
              <w:right w:val="single" w:color="000000" w:sz="6" w:space="0"/>
            </w:tcBorders>
            <w:vAlign w:val="top"/>
          </w:tcPr>
          <w:p w14:paraId="2D7520E2">
            <w:pPr>
              <w:rPr>
                <w:rFonts w:ascii="Arial"/>
                <w:sz w:val="21"/>
              </w:rPr>
            </w:pPr>
          </w:p>
        </w:tc>
      </w:tr>
    </w:tbl>
    <w:p w14:paraId="27F45804">
      <w:pPr>
        <w:pStyle w:val="2"/>
      </w:pPr>
    </w:p>
    <w:p w14:paraId="45B69E29">
      <w:pPr>
        <w:sectPr>
          <w:footerReference r:id="rId42" w:type="default"/>
          <w:pgSz w:w="11906" w:h="16839"/>
          <w:pgMar w:top="400" w:right="1509" w:bottom="1329" w:left="1509" w:header="0" w:footer="1113" w:gutter="0"/>
          <w:cols w:space="720" w:num="1"/>
        </w:sectPr>
      </w:pPr>
    </w:p>
    <w:p w14:paraId="79325122">
      <w:pPr>
        <w:spacing w:before="19"/>
      </w:pPr>
    </w:p>
    <w:p w14:paraId="2A53D8A7">
      <w:pPr>
        <w:spacing w:before="19"/>
      </w:pPr>
    </w:p>
    <w:p w14:paraId="13785B6F">
      <w:pPr>
        <w:spacing w:before="19"/>
      </w:pPr>
    </w:p>
    <w:p w14:paraId="2DDDAA75">
      <w:pPr>
        <w:spacing w:before="18"/>
      </w:pPr>
    </w:p>
    <w:p w14:paraId="6C8C9D93">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824"/>
        <w:gridCol w:w="3307"/>
        <w:gridCol w:w="2604"/>
        <w:gridCol w:w="741"/>
        <w:gridCol w:w="122"/>
      </w:tblGrid>
      <w:tr w14:paraId="02825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4" w:hRule="atLeast"/>
        </w:trPr>
        <w:tc>
          <w:tcPr>
            <w:tcW w:w="1161" w:type="dxa"/>
            <w:vMerge w:val="restart"/>
            <w:tcBorders>
              <w:top w:val="single" w:color="000000" w:sz="6" w:space="0"/>
              <w:left w:val="single" w:color="000000" w:sz="6" w:space="0"/>
              <w:bottom w:val="nil"/>
            </w:tcBorders>
            <w:vAlign w:val="top"/>
          </w:tcPr>
          <w:p w14:paraId="5E3DB4DC">
            <w:pPr>
              <w:rPr>
                <w:rFonts w:ascii="Arial"/>
                <w:sz w:val="21"/>
              </w:rPr>
            </w:pPr>
          </w:p>
        </w:tc>
        <w:tc>
          <w:tcPr>
            <w:tcW w:w="113" w:type="dxa"/>
            <w:tcBorders>
              <w:top w:val="single" w:color="000000" w:sz="6" w:space="0"/>
              <w:bottom w:val="nil"/>
            </w:tcBorders>
            <w:vAlign w:val="top"/>
          </w:tcPr>
          <w:p w14:paraId="2427641A">
            <w:pPr>
              <w:rPr>
                <w:rFonts w:ascii="Arial"/>
                <w:sz w:val="21"/>
              </w:rPr>
            </w:pPr>
          </w:p>
        </w:tc>
        <w:tc>
          <w:tcPr>
            <w:tcW w:w="824" w:type="dxa"/>
            <w:vAlign w:val="top"/>
          </w:tcPr>
          <w:p w14:paraId="2B75F5D9">
            <w:pPr>
              <w:spacing w:before="37" w:line="228" w:lineRule="auto"/>
              <w:ind w:left="202"/>
              <w:rPr>
                <w:rFonts w:ascii="宋体" w:hAnsi="宋体" w:eastAsia="宋体" w:cs="宋体"/>
                <w:sz w:val="20"/>
                <w:szCs w:val="20"/>
              </w:rPr>
            </w:pPr>
            <w:r>
              <w:rPr>
                <w:rFonts w:ascii="宋体" w:hAnsi="宋体" w:eastAsia="宋体" w:cs="宋体"/>
                <w:spacing w:val="4"/>
                <w:sz w:val="20"/>
                <w:szCs w:val="20"/>
              </w:rPr>
              <w:t>产生</w:t>
            </w:r>
          </w:p>
        </w:tc>
        <w:tc>
          <w:tcPr>
            <w:tcW w:w="3307" w:type="dxa"/>
            <w:vAlign w:val="top"/>
          </w:tcPr>
          <w:p w14:paraId="5AC35318">
            <w:pPr>
              <w:spacing w:before="33" w:line="350" w:lineRule="auto"/>
              <w:ind w:left="102" w:right="104" w:firstLine="11"/>
              <w:jc w:val="both"/>
              <w:rPr>
                <w:rFonts w:ascii="宋体" w:hAnsi="宋体" w:eastAsia="宋体" w:cs="宋体"/>
                <w:sz w:val="20"/>
                <w:szCs w:val="20"/>
              </w:rPr>
            </w:pPr>
            <w:r>
              <w:rPr>
                <w:rFonts w:ascii="宋体" w:hAnsi="宋体" w:eastAsia="宋体" w:cs="宋体"/>
                <w:spacing w:val="5"/>
                <w:sz w:val="20"/>
                <w:szCs w:val="20"/>
              </w:rPr>
              <w:t>并保存相关证明材料。采用符合国</w:t>
            </w:r>
            <w:r>
              <w:rPr>
                <w:rFonts w:ascii="宋体" w:hAnsi="宋体" w:eastAsia="宋体" w:cs="宋体"/>
                <w:spacing w:val="16"/>
                <w:sz w:val="20"/>
                <w:szCs w:val="20"/>
              </w:rPr>
              <w:t>家有关低</w:t>
            </w:r>
            <w:r>
              <w:rPr>
                <w:rFonts w:ascii="Times New Roman" w:hAnsi="Times New Roman" w:eastAsia="Times New Roman" w:cs="Times New Roman"/>
                <w:sz w:val="20"/>
                <w:szCs w:val="20"/>
              </w:rPr>
              <w:t>VOCs</w:t>
            </w:r>
            <w:r>
              <w:rPr>
                <w:rFonts w:ascii="宋体" w:hAnsi="宋体" w:eastAsia="宋体" w:cs="宋体"/>
                <w:spacing w:val="16"/>
                <w:sz w:val="20"/>
                <w:szCs w:val="20"/>
              </w:rPr>
              <w:t>含</w:t>
            </w:r>
            <w:r>
              <w:rPr>
                <w:rFonts w:ascii="微软雅黑" w:hAnsi="微软雅黑" w:eastAsia="微软雅黑" w:cs="微软雅黑"/>
                <w:spacing w:val="16"/>
                <w:sz w:val="20"/>
                <w:szCs w:val="20"/>
              </w:rPr>
              <w:t>量</w:t>
            </w:r>
            <w:r>
              <w:rPr>
                <w:rFonts w:ascii="宋体" w:hAnsi="宋体" w:eastAsia="宋体" w:cs="宋体"/>
                <w:spacing w:val="16"/>
                <w:sz w:val="20"/>
                <w:szCs w:val="20"/>
              </w:rPr>
              <w:t>产品规定的涂</w:t>
            </w:r>
            <w:r>
              <w:rPr>
                <w:rFonts w:ascii="宋体" w:hAnsi="宋体" w:eastAsia="宋体" w:cs="宋体"/>
                <w:spacing w:val="6"/>
                <w:sz w:val="20"/>
                <w:szCs w:val="20"/>
              </w:rPr>
              <w:t>料、油墨、胶粘剂等，排放浓度稳</w:t>
            </w:r>
            <w:r>
              <w:rPr>
                <w:rFonts w:ascii="宋体" w:hAnsi="宋体" w:eastAsia="宋体" w:cs="宋体"/>
                <w:spacing w:val="21"/>
                <w:sz w:val="20"/>
                <w:szCs w:val="20"/>
              </w:rPr>
              <w:t>定达标且排放速率满足相关规定</w:t>
            </w:r>
            <w:r>
              <w:rPr>
                <w:rFonts w:ascii="宋体" w:hAnsi="宋体" w:eastAsia="宋体" w:cs="宋体"/>
                <w:spacing w:val="6"/>
                <w:sz w:val="20"/>
                <w:szCs w:val="20"/>
              </w:rPr>
              <w:t>的，相应生产工序可不要求建设末端</w:t>
            </w:r>
            <w:r>
              <w:rPr>
                <w:rFonts w:ascii="宋体" w:hAnsi="宋体" w:eastAsia="宋体" w:cs="宋体"/>
                <w:spacing w:val="-47"/>
                <w:sz w:val="20"/>
                <w:szCs w:val="20"/>
              </w:rPr>
              <w:t xml:space="preserve"> </w:t>
            </w:r>
            <w:r>
              <w:rPr>
                <w:rFonts w:ascii="宋体" w:hAnsi="宋体" w:eastAsia="宋体" w:cs="宋体"/>
                <w:spacing w:val="6"/>
                <w:sz w:val="20"/>
                <w:szCs w:val="20"/>
              </w:rPr>
              <w:t>治</w:t>
            </w:r>
            <w:r>
              <w:rPr>
                <w:rFonts w:ascii="宋体" w:hAnsi="宋体" w:eastAsia="宋体" w:cs="宋体"/>
                <w:spacing w:val="-58"/>
                <w:sz w:val="20"/>
                <w:szCs w:val="20"/>
              </w:rPr>
              <w:t xml:space="preserve"> </w:t>
            </w:r>
            <w:r>
              <w:rPr>
                <w:rFonts w:ascii="宋体" w:hAnsi="宋体" w:eastAsia="宋体" w:cs="宋体"/>
                <w:spacing w:val="6"/>
                <w:sz w:val="20"/>
                <w:szCs w:val="20"/>
              </w:rPr>
              <w:t>理</w:t>
            </w:r>
            <w:r>
              <w:rPr>
                <w:rFonts w:ascii="宋体" w:hAnsi="宋体" w:eastAsia="宋体" w:cs="宋体"/>
                <w:spacing w:val="-55"/>
                <w:sz w:val="20"/>
                <w:szCs w:val="20"/>
              </w:rPr>
              <w:t xml:space="preserve"> </w:t>
            </w:r>
            <w:r>
              <w:rPr>
                <w:rFonts w:ascii="宋体" w:hAnsi="宋体" w:eastAsia="宋体" w:cs="宋体"/>
                <w:spacing w:val="6"/>
                <w:sz w:val="20"/>
                <w:szCs w:val="20"/>
              </w:rPr>
              <w:t>设施</w:t>
            </w:r>
            <w:r>
              <w:rPr>
                <w:rFonts w:ascii="宋体" w:hAnsi="宋体" w:eastAsia="宋体" w:cs="宋体"/>
                <w:spacing w:val="-41"/>
                <w:sz w:val="20"/>
                <w:szCs w:val="20"/>
              </w:rPr>
              <w:t xml:space="preserve"> </w:t>
            </w:r>
            <w:r>
              <w:rPr>
                <w:rFonts w:ascii="宋体" w:hAnsi="宋体" w:eastAsia="宋体" w:cs="宋体"/>
                <w:spacing w:val="6"/>
                <w:sz w:val="20"/>
                <w:szCs w:val="20"/>
              </w:rPr>
              <w:t>。</w:t>
            </w:r>
            <w:r>
              <w:rPr>
                <w:rFonts w:ascii="宋体" w:hAnsi="宋体" w:eastAsia="宋体" w:cs="宋体"/>
                <w:spacing w:val="-54"/>
                <w:sz w:val="20"/>
                <w:szCs w:val="20"/>
              </w:rPr>
              <w:t xml:space="preserve"> </w:t>
            </w:r>
            <w:r>
              <w:rPr>
                <w:rFonts w:ascii="宋体" w:hAnsi="宋体" w:eastAsia="宋体" w:cs="宋体"/>
                <w:spacing w:val="6"/>
                <w:sz w:val="20"/>
                <w:szCs w:val="20"/>
              </w:rPr>
              <w:t>使</w:t>
            </w:r>
            <w:r>
              <w:rPr>
                <w:rFonts w:ascii="宋体" w:hAnsi="宋体" w:eastAsia="宋体" w:cs="宋体"/>
                <w:spacing w:val="-57"/>
                <w:sz w:val="20"/>
                <w:szCs w:val="20"/>
              </w:rPr>
              <w:t xml:space="preserve"> </w:t>
            </w:r>
            <w:r>
              <w:rPr>
                <w:rFonts w:ascii="宋体" w:hAnsi="宋体" w:eastAsia="宋体" w:cs="宋体"/>
                <w:spacing w:val="6"/>
                <w:sz w:val="20"/>
                <w:szCs w:val="20"/>
              </w:rPr>
              <w:t>用的</w:t>
            </w:r>
            <w:r>
              <w:rPr>
                <w:rFonts w:ascii="宋体" w:hAnsi="宋体" w:eastAsia="宋体" w:cs="宋体"/>
                <w:spacing w:val="-56"/>
                <w:sz w:val="20"/>
                <w:szCs w:val="20"/>
              </w:rPr>
              <w:t xml:space="preserve"> </w:t>
            </w:r>
            <w:r>
              <w:rPr>
                <w:rFonts w:ascii="宋体" w:hAnsi="宋体" w:eastAsia="宋体" w:cs="宋体"/>
                <w:spacing w:val="6"/>
                <w:sz w:val="20"/>
                <w:szCs w:val="20"/>
              </w:rPr>
              <w:t>原</w:t>
            </w:r>
            <w:r>
              <w:rPr>
                <w:rFonts w:ascii="宋体" w:hAnsi="宋体" w:eastAsia="宋体" w:cs="宋体"/>
                <w:spacing w:val="-59"/>
                <w:sz w:val="20"/>
                <w:szCs w:val="20"/>
              </w:rPr>
              <w:t xml:space="preserve"> </w:t>
            </w:r>
            <w:r>
              <w:rPr>
                <w:rFonts w:ascii="宋体" w:hAnsi="宋体" w:eastAsia="宋体" w:cs="宋体"/>
                <w:spacing w:val="6"/>
                <w:sz w:val="20"/>
                <w:szCs w:val="20"/>
              </w:rPr>
              <w:t>辅</w:t>
            </w:r>
            <w:r>
              <w:rPr>
                <w:rFonts w:ascii="宋体" w:hAnsi="宋体" w:eastAsia="宋体" w:cs="宋体"/>
                <w:spacing w:val="-58"/>
                <w:sz w:val="20"/>
                <w:szCs w:val="20"/>
              </w:rPr>
              <w:t xml:space="preserve"> </w:t>
            </w:r>
            <w:r>
              <w:rPr>
                <w:rFonts w:ascii="宋体" w:hAnsi="宋体" w:eastAsia="宋体" w:cs="宋体"/>
                <w:spacing w:val="6"/>
                <w:sz w:val="20"/>
                <w:szCs w:val="20"/>
              </w:rPr>
              <w:t>材料</w:t>
            </w:r>
            <w:r>
              <w:rPr>
                <w:rFonts w:ascii="Times New Roman" w:hAnsi="Times New Roman" w:eastAsia="Times New Roman" w:cs="Times New Roman"/>
                <w:sz w:val="20"/>
                <w:szCs w:val="20"/>
              </w:rPr>
              <w:t>VOCs</w:t>
            </w:r>
            <w:r>
              <w:rPr>
                <w:rFonts w:ascii="宋体" w:hAnsi="宋体" w:eastAsia="宋体" w:cs="宋体"/>
                <w:spacing w:val="17"/>
                <w:sz w:val="20"/>
                <w:szCs w:val="20"/>
              </w:rPr>
              <w:t>含</w:t>
            </w:r>
            <w:r>
              <w:rPr>
                <w:rFonts w:ascii="微软雅黑" w:hAnsi="微软雅黑" w:eastAsia="微软雅黑" w:cs="微软雅黑"/>
                <w:spacing w:val="17"/>
                <w:sz w:val="20"/>
                <w:szCs w:val="20"/>
              </w:rPr>
              <w:t>量</w:t>
            </w:r>
            <w:r>
              <w:rPr>
                <w:rFonts w:ascii="宋体" w:hAnsi="宋体" w:eastAsia="宋体" w:cs="宋体"/>
                <w:spacing w:val="17"/>
                <w:sz w:val="20"/>
                <w:szCs w:val="20"/>
              </w:rPr>
              <w:t>（质</w:t>
            </w:r>
            <w:r>
              <w:rPr>
                <w:rFonts w:ascii="微软雅黑" w:hAnsi="微软雅黑" w:eastAsia="微软雅黑" w:cs="微软雅黑"/>
                <w:spacing w:val="17"/>
                <w:sz w:val="20"/>
                <w:szCs w:val="20"/>
              </w:rPr>
              <w:t>量</w:t>
            </w:r>
            <w:r>
              <w:rPr>
                <w:rFonts w:ascii="宋体" w:hAnsi="宋体" w:eastAsia="宋体" w:cs="宋体"/>
                <w:spacing w:val="17"/>
                <w:sz w:val="20"/>
                <w:szCs w:val="20"/>
              </w:rPr>
              <w:t>比）均低于</w:t>
            </w:r>
            <w:r>
              <w:rPr>
                <w:rFonts w:ascii="Times New Roman" w:hAnsi="Times New Roman" w:eastAsia="Times New Roman" w:cs="Times New Roman"/>
                <w:spacing w:val="17"/>
                <w:sz w:val="20"/>
                <w:szCs w:val="20"/>
              </w:rPr>
              <w:t>10%</w:t>
            </w:r>
            <w:r>
              <w:rPr>
                <w:rFonts w:ascii="宋体" w:hAnsi="宋体" w:eastAsia="宋体" w:cs="宋体"/>
                <w:spacing w:val="6"/>
                <w:sz w:val="20"/>
                <w:szCs w:val="20"/>
              </w:rPr>
              <w:t>的工序，可不要求采取无组织排放收集和处理措施。推进政府绿色采购，要求家具、印刷等政府定点招</w:t>
            </w:r>
            <w:r>
              <w:rPr>
                <w:rFonts w:ascii="宋体" w:hAnsi="宋体" w:eastAsia="宋体" w:cs="宋体"/>
                <w:spacing w:val="21"/>
                <w:sz w:val="20"/>
                <w:szCs w:val="20"/>
              </w:rPr>
              <w:t>标采购企业优先使用低挥发性原</w:t>
            </w:r>
            <w:r>
              <w:rPr>
                <w:rFonts w:ascii="宋体" w:hAnsi="宋体" w:eastAsia="宋体" w:cs="宋体"/>
                <w:spacing w:val="6"/>
                <w:sz w:val="20"/>
                <w:szCs w:val="20"/>
              </w:rPr>
              <w:t>辅材料，鼓励汽车维修等政府定点</w:t>
            </w:r>
            <w:r>
              <w:rPr>
                <w:rFonts w:ascii="宋体" w:hAnsi="宋体" w:eastAsia="宋体" w:cs="宋体"/>
                <w:spacing w:val="21"/>
                <w:sz w:val="20"/>
                <w:szCs w:val="20"/>
              </w:rPr>
              <w:t>招标采购企业使用低挥发性原辅</w:t>
            </w:r>
            <w:r>
              <w:rPr>
                <w:rFonts w:ascii="宋体" w:hAnsi="宋体" w:eastAsia="宋体" w:cs="宋体"/>
                <w:spacing w:val="16"/>
                <w:sz w:val="20"/>
                <w:szCs w:val="20"/>
              </w:rPr>
              <w:t>材料；将低</w:t>
            </w:r>
            <w:r>
              <w:rPr>
                <w:rFonts w:ascii="Times New Roman" w:hAnsi="Times New Roman" w:eastAsia="Times New Roman" w:cs="Times New Roman"/>
                <w:sz w:val="20"/>
                <w:szCs w:val="20"/>
              </w:rPr>
              <w:t>VOCs</w:t>
            </w:r>
            <w:r>
              <w:rPr>
                <w:rFonts w:ascii="宋体" w:hAnsi="宋体" w:eastAsia="宋体" w:cs="宋体"/>
                <w:spacing w:val="16"/>
                <w:sz w:val="20"/>
                <w:szCs w:val="20"/>
              </w:rPr>
              <w:t>含</w:t>
            </w:r>
            <w:r>
              <w:rPr>
                <w:rFonts w:ascii="微软雅黑" w:hAnsi="微软雅黑" w:eastAsia="微软雅黑" w:cs="微软雅黑"/>
                <w:spacing w:val="16"/>
                <w:sz w:val="20"/>
                <w:szCs w:val="20"/>
              </w:rPr>
              <w:t>量</w:t>
            </w:r>
            <w:r>
              <w:rPr>
                <w:rFonts w:ascii="宋体" w:hAnsi="宋体" w:eastAsia="宋体" w:cs="宋体"/>
                <w:spacing w:val="16"/>
                <w:sz w:val="20"/>
                <w:szCs w:val="20"/>
              </w:rPr>
              <w:t>产品纳入政</w:t>
            </w:r>
            <w:r>
              <w:rPr>
                <w:rFonts w:ascii="宋体" w:hAnsi="宋体" w:eastAsia="宋体" w:cs="宋体"/>
                <w:spacing w:val="6"/>
                <w:sz w:val="20"/>
                <w:szCs w:val="20"/>
              </w:rPr>
              <w:t>府采购名录，并在政府投资项目中</w:t>
            </w:r>
            <w:r>
              <w:rPr>
                <w:rFonts w:ascii="宋体" w:hAnsi="宋体" w:eastAsia="宋体" w:cs="宋体"/>
                <w:spacing w:val="12"/>
                <w:sz w:val="20"/>
                <w:szCs w:val="20"/>
              </w:rPr>
              <w:t>优先使用；</w:t>
            </w:r>
            <w:r>
              <w:rPr>
                <w:rFonts w:ascii="宋体" w:hAnsi="宋体" w:eastAsia="宋体" w:cs="宋体"/>
                <w:spacing w:val="-51"/>
                <w:sz w:val="20"/>
                <w:szCs w:val="20"/>
              </w:rPr>
              <w:t xml:space="preserve"> </w:t>
            </w:r>
            <w:r>
              <w:rPr>
                <w:rFonts w:ascii="宋体" w:hAnsi="宋体" w:eastAsia="宋体" w:cs="宋体"/>
                <w:spacing w:val="12"/>
                <w:sz w:val="20"/>
                <w:szCs w:val="20"/>
              </w:rPr>
              <w:t>引导将使用低</w:t>
            </w:r>
            <w:r>
              <w:rPr>
                <w:rFonts w:ascii="Times New Roman" w:hAnsi="Times New Roman" w:eastAsia="Times New Roman" w:cs="Times New Roman"/>
                <w:sz w:val="20"/>
                <w:szCs w:val="20"/>
              </w:rPr>
              <w:t>VOCs</w:t>
            </w:r>
            <w:r>
              <w:rPr>
                <w:rFonts w:ascii="宋体" w:hAnsi="宋体" w:eastAsia="宋体" w:cs="宋体"/>
                <w:spacing w:val="12"/>
                <w:sz w:val="20"/>
                <w:szCs w:val="20"/>
              </w:rPr>
              <w:t>含</w:t>
            </w:r>
            <w:r>
              <w:rPr>
                <w:rFonts w:ascii="微软雅黑" w:hAnsi="微软雅黑" w:eastAsia="微软雅黑" w:cs="微软雅黑"/>
                <w:spacing w:val="6"/>
                <w:sz w:val="20"/>
                <w:szCs w:val="20"/>
              </w:rPr>
              <w:t>量</w:t>
            </w:r>
            <w:r>
              <w:rPr>
                <w:rFonts w:ascii="宋体" w:hAnsi="宋体" w:eastAsia="宋体" w:cs="宋体"/>
                <w:spacing w:val="6"/>
                <w:sz w:val="20"/>
                <w:szCs w:val="20"/>
              </w:rPr>
              <w:t>涂料、胶粘剂等纳入政府采购装</w:t>
            </w:r>
            <w:r>
              <w:rPr>
                <w:rFonts w:ascii="宋体" w:hAnsi="宋体" w:eastAsia="宋体" w:cs="宋体"/>
                <w:spacing w:val="8"/>
                <w:sz w:val="20"/>
                <w:szCs w:val="20"/>
              </w:rPr>
              <w:t>修合同环保条款。</w:t>
            </w:r>
          </w:p>
        </w:tc>
        <w:tc>
          <w:tcPr>
            <w:tcW w:w="2604" w:type="dxa"/>
            <w:vAlign w:val="top"/>
          </w:tcPr>
          <w:p w14:paraId="48298C74">
            <w:pPr>
              <w:rPr>
                <w:rFonts w:ascii="Arial"/>
                <w:sz w:val="21"/>
              </w:rPr>
            </w:pPr>
          </w:p>
        </w:tc>
        <w:tc>
          <w:tcPr>
            <w:tcW w:w="741" w:type="dxa"/>
            <w:vAlign w:val="top"/>
          </w:tcPr>
          <w:p w14:paraId="19F9A86A">
            <w:pPr>
              <w:rPr>
                <w:rFonts w:ascii="Arial"/>
                <w:sz w:val="21"/>
              </w:rPr>
            </w:pPr>
          </w:p>
        </w:tc>
        <w:tc>
          <w:tcPr>
            <w:tcW w:w="122" w:type="dxa"/>
            <w:vMerge w:val="restart"/>
            <w:tcBorders>
              <w:top w:val="single" w:color="000000" w:sz="6" w:space="0"/>
              <w:bottom w:val="nil"/>
              <w:right w:val="single" w:color="000000" w:sz="6" w:space="0"/>
            </w:tcBorders>
            <w:vAlign w:val="top"/>
          </w:tcPr>
          <w:p w14:paraId="6CDD9B1F">
            <w:pPr>
              <w:rPr>
                <w:rFonts w:ascii="Arial"/>
                <w:sz w:val="21"/>
              </w:rPr>
            </w:pPr>
          </w:p>
        </w:tc>
      </w:tr>
      <w:tr w14:paraId="19B14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1" w:hRule="atLeast"/>
        </w:trPr>
        <w:tc>
          <w:tcPr>
            <w:tcW w:w="1161" w:type="dxa"/>
            <w:vMerge w:val="continue"/>
            <w:tcBorders>
              <w:top w:val="nil"/>
              <w:left w:val="single" w:color="000000" w:sz="6" w:space="0"/>
              <w:bottom w:val="single" w:color="000000" w:sz="6" w:space="0"/>
            </w:tcBorders>
            <w:vAlign w:val="top"/>
          </w:tcPr>
          <w:p w14:paraId="47EF607B">
            <w:pPr>
              <w:rPr>
                <w:rFonts w:ascii="Arial"/>
                <w:sz w:val="21"/>
              </w:rPr>
            </w:pPr>
          </w:p>
        </w:tc>
        <w:tc>
          <w:tcPr>
            <w:tcW w:w="113" w:type="dxa"/>
            <w:tcBorders>
              <w:top w:val="nil"/>
              <w:bottom w:val="single" w:color="000000" w:sz="6" w:space="0"/>
            </w:tcBorders>
            <w:vAlign w:val="top"/>
          </w:tcPr>
          <w:p w14:paraId="1023AC83">
            <w:pPr>
              <w:rPr>
                <w:rFonts w:ascii="Arial"/>
                <w:sz w:val="21"/>
              </w:rPr>
            </w:pPr>
          </w:p>
        </w:tc>
        <w:tc>
          <w:tcPr>
            <w:tcW w:w="824" w:type="dxa"/>
            <w:tcBorders>
              <w:bottom w:val="single" w:color="000000" w:sz="6" w:space="0"/>
            </w:tcBorders>
            <w:vAlign w:val="top"/>
          </w:tcPr>
          <w:p w14:paraId="3D541566">
            <w:pPr>
              <w:spacing w:line="242" w:lineRule="auto"/>
              <w:rPr>
                <w:rFonts w:ascii="Arial"/>
                <w:sz w:val="21"/>
              </w:rPr>
            </w:pPr>
          </w:p>
          <w:p w14:paraId="394536FF">
            <w:pPr>
              <w:spacing w:line="242" w:lineRule="auto"/>
              <w:rPr>
                <w:rFonts w:ascii="Arial"/>
                <w:sz w:val="21"/>
              </w:rPr>
            </w:pPr>
          </w:p>
          <w:p w14:paraId="5A85AA39">
            <w:pPr>
              <w:spacing w:line="243" w:lineRule="auto"/>
              <w:rPr>
                <w:rFonts w:ascii="Arial"/>
                <w:sz w:val="21"/>
              </w:rPr>
            </w:pPr>
          </w:p>
          <w:p w14:paraId="2FAC5913">
            <w:pPr>
              <w:spacing w:line="243" w:lineRule="auto"/>
              <w:rPr>
                <w:rFonts w:ascii="Arial"/>
                <w:sz w:val="21"/>
              </w:rPr>
            </w:pPr>
          </w:p>
          <w:p w14:paraId="652AEEB7">
            <w:pPr>
              <w:spacing w:before="85" w:line="202" w:lineRule="auto"/>
              <w:ind w:left="118"/>
              <w:rPr>
                <w:rFonts w:ascii="宋体" w:hAnsi="宋体" w:eastAsia="宋体" w:cs="宋体"/>
                <w:sz w:val="20"/>
                <w:szCs w:val="20"/>
              </w:rPr>
            </w:pPr>
            <w:r>
              <w:rPr>
                <w:rFonts w:ascii="微软雅黑" w:hAnsi="微软雅黑" w:eastAsia="微软雅黑" w:cs="微软雅黑"/>
                <w:spacing w:val="-12"/>
                <w:sz w:val="20"/>
                <w:szCs w:val="20"/>
              </w:rPr>
              <w:t>二</w:t>
            </w:r>
            <w:r>
              <w:rPr>
                <w:rFonts w:ascii="微软雅黑" w:hAnsi="微软雅黑" w:eastAsia="微软雅黑" w:cs="微软雅黑"/>
                <w:spacing w:val="-35"/>
                <w:sz w:val="20"/>
                <w:szCs w:val="20"/>
              </w:rPr>
              <w:t xml:space="preserve"> </w:t>
            </w:r>
            <w:r>
              <w:rPr>
                <w:rFonts w:ascii="宋体" w:hAnsi="宋体" w:eastAsia="宋体" w:cs="宋体"/>
                <w:spacing w:val="-12"/>
                <w:sz w:val="20"/>
                <w:szCs w:val="20"/>
              </w:rPr>
              <w:t>、全</w:t>
            </w:r>
          </w:p>
          <w:p w14:paraId="3E5CBB89">
            <w:pPr>
              <w:spacing w:before="119" w:line="229" w:lineRule="auto"/>
              <w:ind w:left="203"/>
              <w:rPr>
                <w:rFonts w:ascii="宋体" w:hAnsi="宋体" w:eastAsia="宋体" w:cs="宋体"/>
                <w:sz w:val="20"/>
                <w:szCs w:val="20"/>
              </w:rPr>
            </w:pPr>
            <w:r>
              <w:rPr>
                <w:rFonts w:ascii="宋体" w:hAnsi="宋体" w:eastAsia="宋体" w:cs="宋体"/>
                <w:spacing w:val="4"/>
                <w:sz w:val="20"/>
                <w:szCs w:val="20"/>
              </w:rPr>
              <w:t>面落</w:t>
            </w:r>
          </w:p>
          <w:p w14:paraId="1267B93F">
            <w:pPr>
              <w:spacing w:before="160" w:line="228" w:lineRule="auto"/>
              <w:ind w:left="207"/>
              <w:rPr>
                <w:rFonts w:ascii="宋体" w:hAnsi="宋体" w:eastAsia="宋体" w:cs="宋体"/>
                <w:sz w:val="20"/>
                <w:szCs w:val="20"/>
              </w:rPr>
            </w:pPr>
            <w:r>
              <w:rPr>
                <w:rFonts w:ascii="宋体" w:hAnsi="宋体" w:eastAsia="宋体" w:cs="宋体"/>
                <w:spacing w:val="2"/>
                <w:sz w:val="20"/>
                <w:szCs w:val="20"/>
              </w:rPr>
              <w:t>实标</w:t>
            </w:r>
          </w:p>
          <w:p w14:paraId="65ED07F9">
            <w:pPr>
              <w:spacing w:before="160" w:line="229" w:lineRule="auto"/>
              <w:ind w:left="204"/>
              <w:rPr>
                <w:rFonts w:ascii="宋体" w:hAnsi="宋体" w:eastAsia="宋体" w:cs="宋体"/>
                <w:sz w:val="20"/>
                <w:szCs w:val="20"/>
              </w:rPr>
            </w:pPr>
            <w:r>
              <w:rPr>
                <w:rFonts w:ascii="宋体" w:hAnsi="宋体" w:eastAsia="宋体" w:cs="宋体"/>
                <w:spacing w:val="3"/>
                <w:sz w:val="20"/>
                <w:szCs w:val="20"/>
              </w:rPr>
              <w:t>准要</w:t>
            </w:r>
          </w:p>
          <w:p w14:paraId="16087934">
            <w:pPr>
              <w:spacing w:before="162" w:line="229" w:lineRule="auto"/>
              <w:ind w:left="108"/>
              <w:rPr>
                <w:rFonts w:ascii="宋体" w:hAnsi="宋体" w:eastAsia="宋体" w:cs="宋体"/>
                <w:sz w:val="20"/>
                <w:szCs w:val="20"/>
              </w:rPr>
            </w:pPr>
            <w:r>
              <w:rPr>
                <w:rFonts w:ascii="宋体" w:hAnsi="宋体" w:eastAsia="宋体" w:cs="宋体"/>
                <w:spacing w:val="1"/>
                <w:sz w:val="20"/>
                <w:szCs w:val="20"/>
              </w:rPr>
              <w:t>求，强</w:t>
            </w:r>
          </w:p>
          <w:p w14:paraId="66277426">
            <w:pPr>
              <w:spacing w:before="160" w:line="228" w:lineRule="auto"/>
              <w:ind w:left="203"/>
              <w:rPr>
                <w:rFonts w:ascii="宋体" w:hAnsi="宋体" w:eastAsia="宋体" w:cs="宋体"/>
                <w:sz w:val="20"/>
                <w:szCs w:val="20"/>
              </w:rPr>
            </w:pPr>
            <w:r>
              <w:rPr>
                <w:rFonts w:ascii="宋体" w:hAnsi="宋体" w:eastAsia="宋体" w:cs="宋体"/>
                <w:spacing w:val="4"/>
                <w:sz w:val="20"/>
                <w:szCs w:val="20"/>
              </w:rPr>
              <w:t>化无</w:t>
            </w:r>
          </w:p>
          <w:p w14:paraId="21415CAC">
            <w:pPr>
              <w:spacing w:before="160" w:line="232" w:lineRule="auto"/>
              <w:ind w:left="205"/>
              <w:rPr>
                <w:rFonts w:ascii="宋体" w:hAnsi="宋体" w:eastAsia="宋体" w:cs="宋体"/>
                <w:sz w:val="20"/>
                <w:szCs w:val="20"/>
              </w:rPr>
            </w:pPr>
            <w:r>
              <w:rPr>
                <w:rFonts w:ascii="宋体" w:hAnsi="宋体" w:eastAsia="宋体" w:cs="宋体"/>
                <w:spacing w:val="3"/>
                <w:sz w:val="20"/>
                <w:szCs w:val="20"/>
              </w:rPr>
              <w:t>组织</w:t>
            </w:r>
          </w:p>
          <w:p w14:paraId="7370BD10">
            <w:pPr>
              <w:spacing w:before="157" w:line="229" w:lineRule="auto"/>
              <w:ind w:left="202"/>
              <w:rPr>
                <w:rFonts w:ascii="宋体" w:hAnsi="宋体" w:eastAsia="宋体" w:cs="宋体"/>
                <w:sz w:val="20"/>
                <w:szCs w:val="20"/>
              </w:rPr>
            </w:pPr>
            <w:r>
              <w:rPr>
                <w:rFonts w:ascii="宋体" w:hAnsi="宋体" w:eastAsia="宋体" w:cs="宋体"/>
                <w:spacing w:val="4"/>
                <w:sz w:val="20"/>
                <w:szCs w:val="20"/>
              </w:rPr>
              <w:t>排放</w:t>
            </w:r>
          </w:p>
          <w:p w14:paraId="697E448A">
            <w:pPr>
              <w:spacing w:before="163" w:line="228" w:lineRule="auto"/>
              <w:ind w:left="201"/>
              <w:rPr>
                <w:rFonts w:ascii="宋体" w:hAnsi="宋体" w:eastAsia="宋体" w:cs="宋体"/>
                <w:sz w:val="20"/>
                <w:szCs w:val="20"/>
              </w:rPr>
            </w:pPr>
            <w:r>
              <w:rPr>
                <w:rFonts w:ascii="宋体" w:hAnsi="宋体" w:eastAsia="宋体" w:cs="宋体"/>
                <w:spacing w:val="5"/>
                <w:sz w:val="20"/>
                <w:szCs w:val="20"/>
              </w:rPr>
              <w:t>控制</w:t>
            </w:r>
          </w:p>
        </w:tc>
        <w:tc>
          <w:tcPr>
            <w:tcW w:w="3307" w:type="dxa"/>
            <w:tcBorders>
              <w:bottom w:val="single" w:color="000000" w:sz="6" w:space="0"/>
            </w:tcBorders>
            <w:vAlign w:val="top"/>
          </w:tcPr>
          <w:p w14:paraId="64A3040D">
            <w:pPr>
              <w:spacing w:before="36" w:line="352" w:lineRule="auto"/>
              <w:ind w:left="106" w:right="103" w:hanging="2"/>
              <w:jc w:val="both"/>
              <w:rPr>
                <w:rFonts w:ascii="宋体" w:hAnsi="宋体" w:eastAsia="宋体" w:cs="宋体"/>
                <w:sz w:val="20"/>
                <w:szCs w:val="20"/>
              </w:rPr>
            </w:pPr>
            <w:r>
              <w:rPr>
                <w:rFonts w:ascii="Times New Roman" w:hAnsi="Times New Roman" w:eastAsia="Times New Roman" w:cs="Times New Roman"/>
                <w:spacing w:val="5"/>
                <w:sz w:val="20"/>
                <w:szCs w:val="20"/>
              </w:rPr>
              <w:t>2020</w:t>
            </w:r>
            <w:r>
              <w:rPr>
                <w:rFonts w:ascii="宋体" w:hAnsi="宋体" w:eastAsia="宋体" w:cs="宋体"/>
                <w:spacing w:val="5"/>
                <w:sz w:val="20"/>
                <w:szCs w:val="20"/>
              </w:rPr>
              <w:t>年</w:t>
            </w:r>
            <w:r>
              <w:rPr>
                <w:rFonts w:ascii="Times New Roman" w:hAnsi="Times New Roman" w:eastAsia="Times New Roman" w:cs="Times New Roman"/>
                <w:spacing w:val="5"/>
                <w:sz w:val="20"/>
                <w:szCs w:val="20"/>
              </w:rPr>
              <w:t>7</w:t>
            </w:r>
            <w:r>
              <w:rPr>
                <w:rFonts w:ascii="宋体" w:hAnsi="宋体" w:eastAsia="宋体" w:cs="宋体"/>
                <w:spacing w:val="5"/>
                <w:sz w:val="20"/>
                <w:szCs w:val="20"/>
              </w:rPr>
              <w:t>月</w:t>
            </w:r>
            <w:r>
              <w:rPr>
                <w:rFonts w:ascii="Times New Roman" w:hAnsi="Times New Roman" w:eastAsia="Times New Roman" w:cs="Times New Roman"/>
                <w:spacing w:val="5"/>
                <w:sz w:val="20"/>
                <w:szCs w:val="20"/>
              </w:rPr>
              <w:t>1</w:t>
            </w:r>
            <w:r>
              <w:rPr>
                <w:rFonts w:ascii="宋体" w:hAnsi="宋体" w:eastAsia="宋体" w:cs="宋体"/>
                <w:spacing w:val="5"/>
                <w:sz w:val="20"/>
                <w:szCs w:val="20"/>
              </w:rPr>
              <w:t>日起，全面执行《挥发</w:t>
            </w:r>
            <w:r>
              <w:rPr>
                <w:rFonts w:ascii="宋体" w:hAnsi="宋体" w:eastAsia="宋体" w:cs="宋体"/>
                <w:spacing w:val="6"/>
                <w:sz w:val="20"/>
                <w:szCs w:val="20"/>
              </w:rPr>
              <w:t>性有机</w:t>
            </w:r>
            <w:r>
              <w:rPr>
                <w:rFonts w:ascii="微软雅黑" w:hAnsi="微软雅黑" w:eastAsia="微软雅黑" w:cs="微软雅黑"/>
                <w:spacing w:val="6"/>
                <w:sz w:val="20"/>
                <w:szCs w:val="20"/>
              </w:rPr>
              <w:t>物</w:t>
            </w:r>
            <w:r>
              <w:rPr>
                <w:rFonts w:ascii="宋体" w:hAnsi="宋体" w:eastAsia="宋体" w:cs="宋体"/>
                <w:spacing w:val="6"/>
                <w:sz w:val="20"/>
                <w:szCs w:val="20"/>
              </w:rPr>
              <w:t>无组织排放控制标准》，</w:t>
            </w:r>
            <w:r>
              <w:rPr>
                <w:rFonts w:ascii="宋体" w:hAnsi="宋体" w:eastAsia="宋体" w:cs="宋体"/>
                <w:spacing w:val="20"/>
                <w:sz w:val="20"/>
                <w:szCs w:val="20"/>
              </w:rPr>
              <w:t>重点区域应落实无组织排放特别</w:t>
            </w:r>
            <w:r>
              <w:rPr>
                <w:rFonts w:ascii="宋体" w:hAnsi="宋体" w:eastAsia="宋体" w:cs="宋体"/>
                <w:spacing w:val="5"/>
                <w:sz w:val="20"/>
                <w:szCs w:val="20"/>
              </w:rPr>
              <w:t>控制要求。各地要加大标准生效时间、涉及行业及控制要求等宣贯力度，通过现场指导、组织培训、新媒体信息推送、发放明白纸等多种方式，督促指导企业对照标准要求</w:t>
            </w:r>
            <w:r>
              <w:rPr>
                <w:rFonts w:ascii="宋体" w:hAnsi="宋体" w:eastAsia="宋体" w:cs="宋体"/>
                <w:spacing w:val="32"/>
                <w:sz w:val="20"/>
                <w:szCs w:val="20"/>
              </w:rPr>
              <w:t>开展含</w:t>
            </w:r>
            <w:r>
              <w:rPr>
                <w:rFonts w:ascii="Times New Roman" w:hAnsi="Times New Roman" w:eastAsia="Times New Roman" w:cs="Times New Roman"/>
                <w:sz w:val="20"/>
                <w:szCs w:val="20"/>
              </w:rPr>
              <w:t>VOCs</w:t>
            </w:r>
            <w:r>
              <w:rPr>
                <w:rFonts w:ascii="微软雅黑" w:hAnsi="微软雅黑" w:eastAsia="微软雅黑" w:cs="微软雅黑"/>
                <w:spacing w:val="32"/>
                <w:sz w:val="20"/>
                <w:szCs w:val="20"/>
              </w:rPr>
              <w:t>物</w:t>
            </w:r>
            <w:r>
              <w:rPr>
                <w:rFonts w:ascii="宋体" w:hAnsi="宋体" w:eastAsia="宋体" w:cs="宋体"/>
                <w:spacing w:val="32"/>
                <w:sz w:val="20"/>
                <w:szCs w:val="20"/>
              </w:rPr>
              <w:t>料（包括含</w:t>
            </w:r>
            <w:r>
              <w:rPr>
                <w:rFonts w:ascii="Times New Roman" w:hAnsi="Times New Roman" w:eastAsia="Times New Roman" w:cs="Times New Roman"/>
                <w:sz w:val="20"/>
                <w:szCs w:val="20"/>
              </w:rPr>
              <w:t>VOCs</w:t>
            </w:r>
            <w:r>
              <w:rPr>
                <w:rFonts w:ascii="宋体" w:hAnsi="宋体" w:eastAsia="宋体" w:cs="宋体"/>
                <w:spacing w:val="8"/>
                <w:sz w:val="20"/>
                <w:szCs w:val="20"/>
              </w:rPr>
              <w:t>原辅材料、含</w:t>
            </w:r>
            <w:r>
              <w:rPr>
                <w:rFonts w:ascii="Times New Roman" w:hAnsi="Times New Roman" w:eastAsia="Times New Roman" w:cs="Times New Roman"/>
                <w:sz w:val="20"/>
                <w:szCs w:val="20"/>
              </w:rPr>
              <w:t>VOCs</w:t>
            </w:r>
            <w:r>
              <w:rPr>
                <w:rFonts w:ascii="宋体" w:hAnsi="宋体" w:eastAsia="宋体" w:cs="宋体"/>
                <w:spacing w:val="8"/>
                <w:sz w:val="20"/>
                <w:szCs w:val="20"/>
              </w:rPr>
              <w:t>产品、含</w:t>
            </w:r>
            <w:r>
              <w:rPr>
                <w:rFonts w:ascii="Times New Roman" w:hAnsi="Times New Roman" w:eastAsia="Times New Roman" w:cs="Times New Roman"/>
                <w:sz w:val="20"/>
                <w:szCs w:val="20"/>
              </w:rPr>
              <w:t>VOCs</w:t>
            </w:r>
            <w:r>
              <w:rPr>
                <w:rFonts w:ascii="微软雅黑" w:hAnsi="微软雅黑" w:eastAsia="微软雅黑" w:cs="微软雅黑"/>
                <w:spacing w:val="17"/>
                <w:sz w:val="20"/>
                <w:szCs w:val="20"/>
              </w:rPr>
              <w:t>废</w:t>
            </w:r>
            <w:r>
              <w:rPr>
                <w:rFonts w:ascii="宋体" w:hAnsi="宋体" w:eastAsia="宋体" w:cs="宋体"/>
                <w:spacing w:val="17"/>
                <w:sz w:val="20"/>
                <w:szCs w:val="20"/>
              </w:rPr>
              <w:t>料以及有机聚合</w:t>
            </w:r>
            <w:r>
              <w:rPr>
                <w:rFonts w:ascii="微软雅黑" w:hAnsi="微软雅黑" w:eastAsia="微软雅黑" w:cs="微软雅黑"/>
                <w:spacing w:val="17"/>
                <w:sz w:val="20"/>
                <w:szCs w:val="20"/>
              </w:rPr>
              <w:t>物</w:t>
            </w:r>
            <w:r>
              <w:rPr>
                <w:rFonts w:ascii="宋体" w:hAnsi="宋体" w:eastAsia="宋体" w:cs="宋体"/>
                <w:spacing w:val="17"/>
                <w:sz w:val="20"/>
                <w:szCs w:val="20"/>
              </w:rPr>
              <w:t>材料等）</w:t>
            </w:r>
            <w:r>
              <w:rPr>
                <w:rFonts w:ascii="宋体" w:hAnsi="宋体" w:eastAsia="宋体" w:cs="宋体"/>
                <w:spacing w:val="-50"/>
                <w:sz w:val="20"/>
                <w:szCs w:val="20"/>
              </w:rPr>
              <w:t xml:space="preserve"> </w:t>
            </w:r>
            <w:r>
              <w:rPr>
                <w:rFonts w:ascii="宋体" w:hAnsi="宋体" w:eastAsia="宋体" w:cs="宋体"/>
                <w:spacing w:val="17"/>
                <w:sz w:val="20"/>
                <w:szCs w:val="20"/>
              </w:rPr>
              <w:t>储</w:t>
            </w:r>
            <w:r>
              <w:rPr>
                <w:rFonts w:ascii="宋体" w:hAnsi="宋体" w:eastAsia="宋体" w:cs="宋体"/>
                <w:spacing w:val="5"/>
                <w:sz w:val="20"/>
                <w:szCs w:val="20"/>
              </w:rPr>
              <w:t>存、转移和输送、设备与管线组件泄漏、敞开液面逸散以及工艺过程等无组织排放环节排查整治，对达</w:t>
            </w:r>
          </w:p>
        </w:tc>
        <w:tc>
          <w:tcPr>
            <w:tcW w:w="2604" w:type="dxa"/>
            <w:tcBorders>
              <w:bottom w:val="single" w:color="000000" w:sz="6" w:space="0"/>
            </w:tcBorders>
            <w:vAlign w:val="top"/>
          </w:tcPr>
          <w:p w14:paraId="28539528">
            <w:pPr>
              <w:spacing w:before="39" w:line="286" w:lineRule="auto"/>
              <w:ind w:left="116" w:right="119"/>
              <w:rPr>
                <w:rFonts w:ascii="宋体" w:hAnsi="宋体" w:eastAsia="宋体" w:cs="宋体"/>
                <w:sz w:val="20"/>
                <w:szCs w:val="20"/>
              </w:rPr>
            </w:pPr>
            <w:r>
              <w:rPr>
                <w:rFonts w:ascii="宋体" w:hAnsi="宋体" w:eastAsia="宋体" w:cs="宋体"/>
                <w:spacing w:val="14"/>
                <w:sz w:val="20"/>
                <w:szCs w:val="20"/>
              </w:rPr>
              <w:t>本项目注塑产生的</w:t>
            </w:r>
            <w:r>
              <w:rPr>
                <w:rFonts w:ascii="微软雅黑" w:hAnsi="微软雅黑" w:eastAsia="微软雅黑" w:cs="微软雅黑"/>
                <w:spacing w:val="14"/>
                <w:sz w:val="20"/>
                <w:szCs w:val="20"/>
              </w:rPr>
              <w:t>废气</w:t>
            </w:r>
            <w:r>
              <w:rPr>
                <w:rFonts w:ascii="宋体" w:hAnsi="宋体" w:eastAsia="宋体" w:cs="宋体"/>
                <w:spacing w:val="14"/>
                <w:sz w:val="20"/>
                <w:szCs w:val="20"/>
              </w:rPr>
              <w:t>在</w:t>
            </w:r>
            <w:r>
              <w:rPr>
                <w:rFonts w:ascii="宋体" w:hAnsi="宋体" w:eastAsia="宋体" w:cs="宋体"/>
                <w:spacing w:val="8"/>
                <w:sz w:val="20"/>
                <w:szCs w:val="20"/>
              </w:rPr>
              <w:t>浇注区上空设置集</w:t>
            </w:r>
            <w:r>
              <w:rPr>
                <w:rFonts w:ascii="微软雅黑" w:hAnsi="微软雅黑" w:eastAsia="微软雅黑" w:cs="微软雅黑"/>
                <w:spacing w:val="8"/>
                <w:sz w:val="20"/>
                <w:szCs w:val="20"/>
              </w:rPr>
              <w:t>气</w:t>
            </w:r>
            <w:r>
              <w:rPr>
                <w:rFonts w:ascii="宋体" w:hAnsi="宋体" w:eastAsia="宋体" w:cs="宋体"/>
                <w:spacing w:val="8"/>
                <w:sz w:val="20"/>
                <w:szCs w:val="20"/>
              </w:rPr>
              <w:t>罩</w:t>
            </w:r>
          </w:p>
          <w:p w14:paraId="7FBA16E3">
            <w:pPr>
              <w:spacing w:before="1" w:line="285" w:lineRule="auto"/>
              <w:ind w:left="115" w:right="100" w:firstLine="10"/>
              <w:rPr>
                <w:rFonts w:ascii="宋体" w:hAnsi="宋体" w:eastAsia="宋体" w:cs="宋体"/>
                <w:sz w:val="20"/>
                <w:szCs w:val="20"/>
              </w:rPr>
            </w:pPr>
            <w:r>
              <w:rPr>
                <w:rFonts w:ascii="宋体" w:hAnsi="宋体" w:eastAsia="宋体" w:cs="宋体"/>
                <w:spacing w:val="6"/>
                <w:sz w:val="20"/>
                <w:szCs w:val="20"/>
              </w:rPr>
              <w:t>（共</w:t>
            </w:r>
            <w:r>
              <w:rPr>
                <w:rFonts w:ascii="Times New Roman" w:hAnsi="Times New Roman" w:eastAsia="Times New Roman" w:cs="Times New Roman"/>
                <w:spacing w:val="6"/>
                <w:sz w:val="20"/>
                <w:szCs w:val="20"/>
              </w:rPr>
              <w:t>4</w:t>
            </w:r>
            <w:r>
              <w:rPr>
                <w:rFonts w:ascii="宋体" w:hAnsi="宋体" w:eastAsia="宋体" w:cs="宋体"/>
                <w:spacing w:val="6"/>
                <w:sz w:val="20"/>
                <w:szCs w:val="20"/>
              </w:rPr>
              <w:t>个、集</w:t>
            </w:r>
            <w:r>
              <w:rPr>
                <w:rFonts w:ascii="微软雅黑" w:hAnsi="微软雅黑" w:eastAsia="微软雅黑" w:cs="微软雅黑"/>
                <w:spacing w:val="6"/>
                <w:sz w:val="20"/>
                <w:szCs w:val="20"/>
              </w:rPr>
              <w:t>气</w:t>
            </w:r>
            <w:r>
              <w:rPr>
                <w:rFonts w:ascii="宋体" w:hAnsi="宋体" w:eastAsia="宋体" w:cs="宋体"/>
                <w:spacing w:val="6"/>
                <w:sz w:val="20"/>
                <w:szCs w:val="20"/>
              </w:rPr>
              <w:t>罩要罩住整</w:t>
            </w:r>
            <w:r>
              <w:rPr>
                <w:rFonts w:ascii="宋体" w:hAnsi="宋体" w:eastAsia="宋体" w:cs="宋体"/>
                <w:spacing w:val="8"/>
                <w:sz w:val="20"/>
                <w:szCs w:val="20"/>
              </w:rPr>
              <w:t>个注塑区有机</w:t>
            </w:r>
            <w:r>
              <w:rPr>
                <w:rFonts w:ascii="微软雅黑" w:hAnsi="微软雅黑" w:eastAsia="微软雅黑" w:cs="微软雅黑"/>
                <w:spacing w:val="8"/>
                <w:sz w:val="20"/>
                <w:szCs w:val="20"/>
              </w:rPr>
              <w:t>废气</w:t>
            </w:r>
            <w:r>
              <w:rPr>
                <w:rFonts w:ascii="宋体" w:hAnsi="宋体" w:eastAsia="宋体" w:cs="宋体"/>
                <w:spacing w:val="8"/>
                <w:sz w:val="20"/>
                <w:szCs w:val="20"/>
              </w:rPr>
              <w:t>产生</w:t>
            </w:r>
          </w:p>
          <w:p w14:paraId="2EBDE1B5">
            <w:pPr>
              <w:spacing w:line="286" w:lineRule="auto"/>
              <w:ind w:left="124" w:right="100" w:firstLine="1"/>
              <w:rPr>
                <w:rFonts w:ascii="宋体" w:hAnsi="宋体" w:eastAsia="宋体" w:cs="宋体"/>
                <w:sz w:val="20"/>
                <w:szCs w:val="20"/>
              </w:rPr>
            </w:pPr>
            <w:r>
              <w:rPr>
                <w:rFonts w:ascii="宋体" w:hAnsi="宋体" w:eastAsia="宋体" w:cs="宋体"/>
                <w:sz w:val="20"/>
                <w:szCs w:val="20"/>
              </w:rPr>
              <w:t>点，集</w:t>
            </w:r>
            <w:r>
              <w:rPr>
                <w:rFonts w:ascii="微软雅黑" w:hAnsi="微软雅黑" w:eastAsia="微软雅黑" w:cs="微软雅黑"/>
                <w:sz w:val="20"/>
                <w:szCs w:val="20"/>
              </w:rPr>
              <w:t>气</w:t>
            </w:r>
            <w:r>
              <w:rPr>
                <w:rFonts w:ascii="宋体" w:hAnsi="宋体" w:eastAsia="宋体" w:cs="宋体"/>
                <w:sz w:val="20"/>
                <w:szCs w:val="20"/>
              </w:rPr>
              <w:t>效率</w:t>
            </w:r>
            <w:r>
              <w:rPr>
                <w:rFonts w:ascii="Times New Roman" w:hAnsi="Times New Roman" w:eastAsia="Times New Roman" w:cs="Times New Roman"/>
                <w:sz w:val="20"/>
                <w:szCs w:val="20"/>
              </w:rPr>
              <w:t>80%</w:t>
            </w:r>
            <w:r>
              <w:rPr>
                <w:rFonts w:ascii="宋体" w:hAnsi="宋体" w:eastAsia="宋体" w:cs="宋体"/>
                <w:sz w:val="20"/>
                <w:szCs w:val="20"/>
              </w:rPr>
              <w:t>）收集</w:t>
            </w:r>
            <w:r>
              <w:rPr>
                <w:rFonts w:ascii="微软雅黑" w:hAnsi="微软雅黑" w:eastAsia="微软雅黑" w:cs="微软雅黑"/>
                <w:sz w:val="20"/>
                <w:szCs w:val="20"/>
              </w:rPr>
              <w:t>废</w:t>
            </w:r>
            <w:r>
              <w:rPr>
                <w:rFonts w:ascii="微软雅黑" w:hAnsi="微软雅黑" w:eastAsia="微软雅黑" w:cs="微软雅黑"/>
                <w:spacing w:val="8"/>
                <w:sz w:val="20"/>
                <w:szCs w:val="20"/>
              </w:rPr>
              <w:t>气</w:t>
            </w:r>
            <w:r>
              <w:rPr>
                <w:rFonts w:ascii="宋体" w:hAnsi="宋体" w:eastAsia="宋体" w:cs="宋体"/>
                <w:spacing w:val="8"/>
                <w:sz w:val="20"/>
                <w:szCs w:val="20"/>
              </w:rPr>
              <w:t>后本项目为改扩建项</w:t>
            </w:r>
          </w:p>
          <w:p w14:paraId="0CE85DC8">
            <w:pPr>
              <w:spacing w:before="4" w:line="312" w:lineRule="auto"/>
              <w:ind w:left="114" w:right="99" w:firstLine="40"/>
              <w:rPr>
                <w:rFonts w:ascii="宋体" w:hAnsi="宋体" w:eastAsia="宋体" w:cs="宋体"/>
                <w:sz w:val="20"/>
                <w:szCs w:val="20"/>
              </w:rPr>
            </w:pPr>
            <w:r>
              <w:rPr>
                <w:rFonts w:ascii="宋体" w:hAnsi="宋体" w:eastAsia="宋体" w:cs="宋体"/>
                <w:spacing w:val="9"/>
                <w:sz w:val="20"/>
                <w:szCs w:val="20"/>
              </w:rPr>
              <w:t>目，注塑产生的</w:t>
            </w:r>
            <w:r>
              <w:rPr>
                <w:rFonts w:ascii="微软雅黑" w:hAnsi="微软雅黑" w:eastAsia="微软雅黑" w:cs="微软雅黑"/>
                <w:spacing w:val="9"/>
                <w:sz w:val="20"/>
                <w:szCs w:val="20"/>
              </w:rPr>
              <w:t>废气</w:t>
            </w:r>
            <w:r>
              <w:rPr>
                <w:rFonts w:ascii="宋体" w:hAnsi="宋体" w:eastAsia="宋体" w:cs="宋体"/>
                <w:spacing w:val="9"/>
                <w:sz w:val="20"/>
                <w:szCs w:val="20"/>
              </w:rPr>
              <w:t>在浇</w:t>
            </w:r>
            <w:r>
              <w:rPr>
                <w:rFonts w:ascii="宋体" w:hAnsi="宋体" w:eastAsia="宋体" w:cs="宋体"/>
                <w:spacing w:val="7"/>
                <w:sz w:val="20"/>
                <w:szCs w:val="20"/>
              </w:rPr>
              <w:t>注区上空设置集</w:t>
            </w:r>
            <w:r>
              <w:rPr>
                <w:rFonts w:ascii="微软雅黑" w:hAnsi="微软雅黑" w:eastAsia="微软雅黑" w:cs="微软雅黑"/>
                <w:spacing w:val="7"/>
                <w:sz w:val="20"/>
                <w:szCs w:val="20"/>
              </w:rPr>
              <w:t>气</w:t>
            </w:r>
            <w:r>
              <w:rPr>
                <w:rFonts w:ascii="宋体" w:hAnsi="宋体" w:eastAsia="宋体" w:cs="宋体"/>
                <w:spacing w:val="7"/>
                <w:sz w:val="20"/>
                <w:szCs w:val="20"/>
              </w:rPr>
              <w:t>罩（共</w:t>
            </w:r>
            <w:r>
              <w:rPr>
                <w:rFonts w:ascii="Times New Roman" w:hAnsi="Times New Roman" w:eastAsia="Times New Roman" w:cs="Times New Roman"/>
                <w:spacing w:val="7"/>
                <w:sz w:val="20"/>
                <w:szCs w:val="20"/>
              </w:rPr>
              <w:t>4</w:t>
            </w:r>
            <w:r>
              <w:rPr>
                <w:rFonts w:ascii="宋体" w:hAnsi="宋体" w:eastAsia="宋体" w:cs="宋体"/>
                <w:spacing w:val="9"/>
                <w:sz w:val="20"/>
                <w:szCs w:val="20"/>
              </w:rPr>
              <w:t>个、集</w:t>
            </w:r>
            <w:r>
              <w:rPr>
                <w:rFonts w:ascii="微软雅黑" w:hAnsi="微软雅黑" w:eastAsia="微软雅黑" w:cs="微软雅黑"/>
                <w:spacing w:val="9"/>
                <w:sz w:val="20"/>
                <w:szCs w:val="20"/>
              </w:rPr>
              <w:t>气</w:t>
            </w:r>
            <w:r>
              <w:rPr>
                <w:rFonts w:ascii="宋体" w:hAnsi="宋体" w:eastAsia="宋体" w:cs="宋体"/>
                <w:spacing w:val="9"/>
                <w:sz w:val="20"/>
                <w:szCs w:val="20"/>
              </w:rPr>
              <w:t>罩要罩住整个浇注区有机</w:t>
            </w:r>
            <w:r>
              <w:rPr>
                <w:rFonts w:ascii="微软雅黑" w:hAnsi="微软雅黑" w:eastAsia="微软雅黑" w:cs="微软雅黑"/>
                <w:spacing w:val="9"/>
                <w:sz w:val="20"/>
                <w:szCs w:val="20"/>
              </w:rPr>
              <w:t>废气</w:t>
            </w:r>
            <w:r>
              <w:rPr>
                <w:rFonts w:ascii="宋体" w:hAnsi="宋体" w:eastAsia="宋体" w:cs="宋体"/>
                <w:spacing w:val="9"/>
                <w:sz w:val="20"/>
                <w:szCs w:val="20"/>
              </w:rPr>
              <w:t>产生点，集</w:t>
            </w:r>
            <w:r>
              <w:rPr>
                <w:rFonts w:ascii="微软雅黑" w:hAnsi="微软雅黑" w:eastAsia="微软雅黑" w:cs="微软雅黑"/>
                <w:spacing w:val="1"/>
                <w:sz w:val="20"/>
                <w:szCs w:val="20"/>
              </w:rPr>
              <w:t>气</w:t>
            </w:r>
            <w:r>
              <w:rPr>
                <w:rFonts w:ascii="宋体" w:hAnsi="宋体" w:eastAsia="宋体" w:cs="宋体"/>
                <w:spacing w:val="1"/>
                <w:sz w:val="20"/>
                <w:szCs w:val="20"/>
              </w:rPr>
              <w:t>效率</w:t>
            </w:r>
            <w:r>
              <w:rPr>
                <w:rFonts w:ascii="Times New Roman" w:hAnsi="Times New Roman" w:eastAsia="Times New Roman" w:cs="Times New Roman"/>
                <w:spacing w:val="1"/>
                <w:sz w:val="20"/>
                <w:szCs w:val="20"/>
              </w:rPr>
              <w:t>80%</w:t>
            </w:r>
            <w:r>
              <w:rPr>
                <w:rFonts w:ascii="宋体" w:hAnsi="宋体" w:eastAsia="宋体" w:cs="宋体"/>
                <w:spacing w:val="1"/>
                <w:sz w:val="20"/>
                <w:szCs w:val="20"/>
              </w:rPr>
              <w:t>）收集经三级活</w:t>
            </w:r>
            <w:r>
              <w:rPr>
                <w:rFonts w:ascii="宋体" w:hAnsi="宋体" w:eastAsia="宋体" w:cs="宋体"/>
                <w:spacing w:val="7"/>
                <w:sz w:val="20"/>
                <w:szCs w:val="20"/>
              </w:rPr>
              <w:t>性炭吸附（</w:t>
            </w:r>
            <w:r>
              <w:rPr>
                <w:rFonts w:ascii="Times New Roman" w:hAnsi="Times New Roman" w:eastAsia="Times New Roman" w:cs="Times New Roman"/>
                <w:spacing w:val="7"/>
                <w:sz w:val="20"/>
                <w:szCs w:val="20"/>
              </w:rPr>
              <w:t>65%</w:t>
            </w:r>
            <w:r>
              <w:rPr>
                <w:rFonts w:ascii="宋体" w:hAnsi="宋体" w:eastAsia="宋体" w:cs="宋体"/>
                <w:spacing w:val="7"/>
                <w:sz w:val="20"/>
                <w:szCs w:val="20"/>
              </w:rPr>
              <w:t>）</w:t>
            </w:r>
            <w:r>
              <w:rPr>
                <w:rFonts w:ascii="Times New Roman" w:hAnsi="Times New Roman" w:eastAsia="Times New Roman" w:cs="Times New Roman"/>
                <w:spacing w:val="7"/>
                <w:sz w:val="20"/>
                <w:szCs w:val="20"/>
              </w:rPr>
              <w:t>+15m</w:t>
            </w:r>
            <w:r>
              <w:rPr>
                <w:rFonts w:ascii="宋体" w:hAnsi="宋体" w:eastAsia="宋体" w:cs="宋体"/>
                <w:spacing w:val="7"/>
                <w:sz w:val="20"/>
                <w:szCs w:val="20"/>
              </w:rPr>
              <w:t>排</w:t>
            </w:r>
            <w:r>
              <w:rPr>
                <w:rFonts w:ascii="宋体" w:hAnsi="宋体" w:eastAsia="宋体" w:cs="宋体"/>
                <w:spacing w:val="9"/>
                <w:sz w:val="20"/>
                <w:szCs w:val="20"/>
              </w:rPr>
              <w:t>气筒（</w:t>
            </w:r>
            <w:r>
              <w:rPr>
                <w:rFonts w:ascii="Times New Roman" w:hAnsi="Times New Roman" w:eastAsia="Times New Roman" w:cs="Times New Roman"/>
                <w:sz w:val="20"/>
                <w:szCs w:val="20"/>
              </w:rPr>
              <w:t>DA</w:t>
            </w:r>
            <w:r>
              <w:rPr>
                <w:rFonts w:ascii="Times New Roman" w:hAnsi="Times New Roman" w:eastAsia="Times New Roman" w:cs="Times New Roman"/>
                <w:spacing w:val="9"/>
                <w:sz w:val="20"/>
                <w:szCs w:val="20"/>
              </w:rPr>
              <w:t>005</w:t>
            </w:r>
            <w:r>
              <w:rPr>
                <w:rFonts w:ascii="宋体" w:hAnsi="宋体" w:eastAsia="宋体" w:cs="宋体"/>
                <w:spacing w:val="9"/>
                <w:sz w:val="20"/>
                <w:szCs w:val="20"/>
              </w:rPr>
              <w:t>）处理后可</w:t>
            </w:r>
            <w:r>
              <w:rPr>
                <w:rFonts w:ascii="宋体" w:hAnsi="宋体" w:eastAsia="宋体" w:cs="宋体"/>
                <w:spacing w:val="6"/>
                <w:sz w:val="20"/>
                <w:szCs w:val="20"/>
              </w:rPr>
              <w:t>达标排放。</w:t>
            </w:r>
          </w:p>
        </w:tc>
        <w:tc>
          <w:tcPr>
            <w:tcW w:w="741" w:type="dxa"/>
            <w:tcBorders>
              <w:bottom w:val="single" w:color="000000" w:sz="6" w:space="0"/>
            </w:tcBorders>
            <w:vAlign w:val="top"/>
          </w:tcPr>
          <w:p w14:paraId="05116C59">
            <w:pPr>
              <w:spacing w:line="261" w:lineRule="auto"/>
              <w:rPr>
                <w:rFonts w:ascii="Arial"/>
                <w:sz w:val="21"/>
              </w:rPr>
            </w:pPr>
          </w:p>
          <w:p w14:paraId="216E43A9">
            <w:pPr>
              <w:spacing w:line="261" w:lineRule="auto"/>
              <w:rPr>
                <w:rFonts w:ascii="Arial"/>
                <w:sz w:val="21"/>
              </w:rPr>
            </w:pPr>
          </w:p>
          <w:p w14:paraId="3D045242">
            <w:pPr>
              <w:spacing w:line="261" w:lineRule="auto"/>
              <w:rPr>
                <w:rFonts w:ascii="Arial"/>
                <w:sz w:val="21"/>
              </w:rPr>
            </w:pPr>
          </w:p>
          <w:p w14:paraId="657C04EA">
            <w:pPr>
              <w:spacing w:line="261" w:lineRule="auto"/>
              <w:rPr>
                <w:rFonts w:ascii="Arial"/>
                <w:sz w:val="21"/>
              </w:rPr>
            </w:pPr>
          </w:p>
          <w:p w14:paraId="31168F81">
            <w:pPr>
              <w:spacing w:line="261" w:lineRule="auto"/>
              <w:rPr>
                <w:rFonts w:ascii="Arial"/>
                <w:sz w:val="21"/>
              </w:rPr>
            </w:pPr>
          </w:p>
          <w:p w14:paraId="4E14DDFD">
            <w:pPr>
              <w:spacing w:line="261" w:lineRule="auto"/>
              <w:rPr>
                <w:rFonts w:ascii="Arial"/>
                <w:sz w:val="21"/>
              </w:rPr>
            </w:pPr>
          </w:p>
          <w:p w14:paraId="338FA455">
            <w:pPr>
              <w:spacing w:line="262" w:lineRule="auto"/>
              <w:rPr>
                <w:rFonts w:ascii="Arial"/>
                <w:sz w:val="21"/>
              </w:rPr>
            </w:pPr>
          </w:p>
          <w:p w14:paraId="3A5DB732">
            <w:pPr>
              <w:spacing w:line="262" w:lineRule="auto"/>
              <w:rPr>
                <w:rFonts w:ascii="Arial"/>
                <w:sz w:val="21"/>
              </w:rPr>
            </w:pPr>
          </w:p>
          <w:p w14:paraId="6F2C1FFE">
            <w:pPr>
              <w:spacing w:line="262" w:lineRule="auto"/>
              <w:rPr>
                <w:rFonts w:ascii="Arial"/>
                <w:sz w:val="21"/>
              </w:rPr>
            </w:pPr>
          </w:p>
          <w:p w14:paraId="51B46054">
            <w:pPr>
              <w:spacing w:line="262" w:lineRule="auto"/>
              <w:rPr>
                <w:rFonts w:ascii="Arial"/>
                <w:sz w:val="21"/>
              </w:rPr>
            </w:pPr>
          </w:p>
          <w:p w14:paraId="6D323957">
            <w:pPr>
              <w:spacing w:before="65" w:line="228" w:lineRule="auto"/>
              <w:ind w:left="175"/>
              <w:rPr>
                <w:rFonts w:ascii="宋体" w:hAnsi="宋体" w:eastAsia="宋体" w:cs="宋体"/>
                <w:sz w:val="20"/>
                <w:szCs w:val="20"/>
              </w:rPr>
            </w:pPr>
            <w:r>
              <w:rPr>
                <w:rFonts w:ascii="宋体" w:hAnsi="宋体" w:eastAsia="宋体" w:cs="宋体"/>
                <w:spacing w:val="3"/>
                <w:sz w:val="20"/>
                <w:szCs w:val="20"/>
              </w:rPr>
              <w:t>符合</w:t>
            </w:r>
          </w:p>
        </w:tc>
        <w:tc>
          <w:tcPr>
            <w:tcW w:w="122" w:type="dxa"/>
            <w:vMerge w:val="continue"/>
            <w:tcBorders>
              <w:top w:val="nil"/>
              <w:bottom w:val="single" w:color="000000" w:sz="6" w:space="0"/>
              <w:right w:val="single" w:color="000000" w:sz="6" w:space="0"/>
            </w:tcBorders>
            <w:vAlign w:val="top"/>
          </w:tcPr>
          <w:p w14:paraId="46D6AAE2">
            <w:pPr>
              <w:rPr>
                <w:rFonts w:ascii="Arial"/>
                <w:sz w:val="21"/>
              </w:rPr>
            </w:pPr>
          </w:p>
        </w:tc>
      </w:tr>
    </w:tbl>
    <w:p w14:paraId="74A5EDFF">
      <w:pPr>
        <w:pStyle w:val="2"/>
      </w:pPr>
    </w:p>
    <w:p w14:paraId="4113F652">
      <w:pPr>
        <w:sectPr>
          <w:footerReference r:id="rId43" w:type="default"/>
          <w:pgSz w:w="11906" w:h="16839"/>
          <w:pgMar w:top="400" w:right="1509" w:bottom="1329" w:left="1509" w:header="0" w:footer="1113" w:gutter="0"/>
          <w:cols w:space="720" w:num="1"/>
        </w:sectPr>
      </w:pPr>
    </w:p>
    <w:p w14:paraId="7360D819">
      <w:pPr>
        <w:spacing w:before="19"/>
      </w:pPr>
    </w:p>
    <w:p w14:paraId="6BAC5104">
      <w:pPr>
        <w:spacing w:before="19"/>
      </w:pPr>
    </w:p>
    <w:p w14:paraId="3C2C8D57">
      <w:pPr>
        <w:spacing w:before="19"/>
      </w:pPr>
    </w:p>
    <w:p w14:paraId="21E6E6FB">
      <w:pPr>
        <w:spacing w:before="18"/>
      </w:pPr>
    </w:p>
    <w:p w14:paraId="3D14719B">
      <w:pPr>
        <w:spacing w:before="18"/>
      </w:pPr>
    </w:p>
    <w:tbl>
      <w:tblPr>
        <w:tblStyle w:val="10"/>
        <w:tblW w:w="887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1"/>
        <w:gridCol w:w="113"/>
        <w:gridCol w:w="824"/>
        <w:gridCol w:w="3307"/>
        <w:gridCol w:w="2604"/>
        <w:gridCol w:w="741"/>
        <w:gridCol w:w="122"/>
      </w:tblGrid>
      <w:tr w14:paraId="6F6DE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161" w:type="dxa"/>
            <w:vMerge w:val="restart"/>
            <w:tcBorders>
              <w:top w:val="single" w:color="000000" w:sz="6" w:space="0"/>
              <w:left w:val="single" w:color="000000" w:sz="6" w:space="0"/>
              <w:bottom w:val="nil"/>
            </w:tcBorders>
            <w:vAlign w:val="top"/>
          </w:tcPr>
          <w:p w14:paraId="262D8482">
            <w:pPr>
              <w:rPr>
                <w:rFonts w:ascii="Arial"/>
                <w:sz w:val="21"/>
              </w:rPr>
            </w:pPr>
          </w:p>
        </w:tc>
        <w:tc>
          <w:tcPr>
            <w:tcW w:w="113" w:type="dxa"/>
            <w:tcBorders>
              <w:top w:val="single" w:color="000000" w:sz="6" w:space="0"/>
              <w:bottom w:val="nil"/>
            </w:tcBorders>
            <w:vAlign w:val="top"/>
          </w:tcPr>
          <w:p w14:paraId="2C760366">
            <w:pPr>
              <w:rPr>
                <w:rFonts w:ascii="Arial"/>
                <w:sz w:val="21"/>
              </w:rPr>
            </w:pPr>
          </w:p>
        </w:tc>
        <w:tc>
          <w:tcPr>
            <w:tcW w:w="824" w:type="dxa"/>
            <w:tcBorders>
              <w:top w:val="single" w:color="000000" w:sz="6" w:space="0"/>
            </w:tcBorders>
            <w:vAlign w:val="top"/>
          </w:tcPr>
          <w:p w14:paraId="566B6A22">
            <w:pPr>
              <w:rPr>
                <w:rFonts w:ascii="Arial"/>
                <w:sz w:val="21"/>
              </w:rPr>
            </w:pPr>
          </w:p>
        </w:tc>
        <w:tc>
          <w:tcPr>
            <w:tcW w:w="3307" w:type="dxa"/>
            <w:tcBorders>
              <w:top w:val="single" w:color="000000" w:sz="6" w:space="0"/>
            </w:tcBorders>
            <w:vAlign w:val="top"/>
          </w:tcPr>
          <w:p w14:paraId="51CE3756">
            <w:pPr>
              <w:spacing w:before="36" w:line="371" w:lineRule="auto"/>
              <w:ind w:left="109" w:right="105" w:firstLine="2"/>
              <w:jc w:val="both"/>
              <w:rPr>
                <w:rFonts w:ascii="宋体" w:hAnsi="宋体" w:eastAsia="宋体" w:cs="宋体"/>
                <w:sz w:val="20"/>
                <w:szCs w:val="20"/>
              </w:rPr>
            </w:pPr>
            <w:r>
              <w:rPr>
                <w:rFonts w:ascii="宋体" w:hAnsi="宋体" w:eastAsia="宋体" w:cs="宋体"/>
                <w:spacing w:val="5"/>
                <w:sz w:val="20"/>
                <w:szCs w:val="20"/>
              </w:rPr>
              <w:t>不到要求的加快整改。指导企业制</w:t>
            </w:r>
            <w:r>
              <w:rPr>
                <w:rFonts w:ascii="宋体" w:hAnsi="宋体" w:eastAsia="宋体" w:cs="宋体"/>
                <w:spacing w:val="15"/>
                <w:sz w:val="20"/>
                <w:szCs w:val="20"/>
              </w:rPr>
              <w:t>定</w:t>
            </w:r>
            <w:r>
              <w:rPr>
                <w:rFonts w:ascii="Times New Roman" w:hAnsi="Times New Roman" w:eastAsia="Times New Roman" w:cs="Times New Roman"/>
                <w:sz w:val="20"/>
                <w:szCs w:val="20"/>
              </w:rPr>
              <w:t>VOCs</w:t>
            </w:r>
            <w:r>
              <w:rPr>
                <w:rFonts w:ascii="宋体" w:hAnsi="宋体" w:eastAsia="宋体" w:cs="宋体"/>
                <w:spacing w:val="15"/>
                <w:sz w:val="20"/>
                <w:szCs w:val="20"/>
              </w:rPr>
              <w:t>无组织排放控制规程，细</w:t>
            </w:r>
            <w:r>
              <w:rPr>
                <w:rFonts w:ascii="宋体" w:hAnsi="宋体" w:eastAsia="宋体" w:cs="宋体"/>
                <w:spacing w:val="5"/>
                <w:sz w:val="20"/>
                <w:szCs w:val="20"/>
              </w:rPr>
              <w:t>化到具体工序和生产环节，以及启停机、检维修作业等，落实到具体责任人；健全内部考核制度，严格</w:t>
            </w:r>
            <w:r>
              <w:rPr>
                <w:rFonts w:ascii="宋体" w:hAnsi="宋体" w:eastAsia="宋体" w:cs="宋体"/>
                <w:spacing w:val="7"/>
                <w:sz w:val="20"/>
                <w:szCs w:val="20"/>
              </w:rPr>
              <w:t>按照操作规程生产。</w:t>
            </w:r>
          </w:p>
        </w:tc>
        <w:tc>
          <w:tcPr>
            <w:tcW w:w="2604" w:type="dxa"/>
            <w:tcBorders>
              <w:top w:val="single" w:color="000000" w:sz="6" w:space="0"/>
            </w:tcBorders>
            <w:vAlign w:val="top"/>
          </w:tcPr>
          <w:p w14:paraId="6B129C59">
            <w:pPr>
              <w:rPr>
                <w:rFonts w:ascii="Arial"/>
                <w:sz w:val="21"/>
              </w:rPr>
            </w:pPr>
          </w:p>
        </w:tc>
        <w:tc>
          <w:tcPr>
            <w:tcW w:w="741" w:type="dxa"/>
            <w:tcBorders>
              <w:top w:val="single" w:color="000000" w:sz="6" w:space="0"/>
            </w:tcBorders>
            <w:vAlign w:val="top"/>
          </w:tcPr>
          <w:p w14:paraId="28451BCD">
            <w:pPr>
              <w:rPr>
                <w:rFonts w:ascii="Arial"/>
                <w:sz w:val="21"/>
              </w:rPr>
            </w:pPr>
          </w:p>
        </w:tc>
        <w:tc>
          <w:tcPr>
            <w:tcW w:w="122" w:type="dxa"/>
            <w:tcBorders>
              <w:top w:val="single" w:color="000000" w:sz="6" w:space="0"/>
              <w:bottom w:val="nil"/>
              <w:right w:val="single" w:color="000000" w:sz="6" w:space="0"/>
            </w:tcBorders>
            <w:vAlign w:val="top"/>
          </w:tcPr>
          <w:p w14:paraId="7D44F49F">
            <w:pPr>
              <w:rPr>
                <w:rFonts w:ascii="Arial"/>
                <w:sz w:val="21"/>
              </w:rPr>
            </w:pPr>
          </w:p>
        </w:tc>
      </w:tr>
      <w:tr w14:paraId="01F01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8" w:hRule="atLeast"/>
        </w:trPr>
        <w:tc>
          <w:tcPr>
            <w:tcW w:w="1161" w:type="dxa"/>
            <w:vMerge w:val="continue"/>
            <w:tcBorders>
              <w:top w:val="nil"/>
              <w:left w:val="single" w:color="000000" w:sz="6" w:space="0"/>
              <w:bottom w:val="nil"/>
            </w:tcBorders>
            <w:vAlign w:val="top"/>
          </w:tcPr>
          <w:p w14:paraId="7A7875DD">
            <w:pPr>
              <w:rPr>
                <w:rFonts w:ascii="Arial"/>
                <w:sz w:val="21"/>
              </w:rPr>
            </w:pPr>
          </w:p>
        </w:tc>
        <w:tc>
          <w:tcPr>
            <w:tcW w:w="113" w:type="dxa"/>
            <w:tcBorders>
              <w:top w:val="nil"/>
              <w:bottom w:val="nil"/>
            </w:tcBorders>
            <w:vAlign w:val="top"/>
          </w:tcPr>
          <w:p w14:paraId="6E3F5C46">
            <w:pPr>
              <w:rPr>
                <w:rFonts w:ascii="Arial"/>
                <w:sz w:val="21"/>
              </w:rPr>
            </w:pPr>
          </w:p>
        </w:tc>
        <w:tc>
          <w:tcPr>
            <w:tcW w:w="824" w:type="dxa"/>
            <w:vAlign w:val="top"/>
          </w:tcPr>
          <w:p w14:paraId="3606DCEC">
            <w:pPr>
              <w:spacing w:line="249" w:lineRule="auto"/>
              <w:rPr>
                <w:rFonts w:ascii="Arial"/>
                <w:sz w:val="21"/>
              </w:rPr>
            </w:pPr>
          </w:p>
          <w:p w14:paraId="0C39EE0C">
            <w:pPr>
              <w:spacing w:line="250" w:lineRule="auto"/>
              <w:rPr>
                <w:rFonts w:ascii="Arial"/>
                <w:sz w:val="21"/>
              </w:rPr>
            </w:pPr>
          </w:p>
          <w:p w14:paraId="0578BF30">
            <w:pPr>
              <w:spacing w:line="250" w:lineRule="auto"/>
              <w:rPr>
                <w:rFonts w:ascii="Arial"/>
                <w:sz w:val="21"/>
              </w:rPr>
            </w:pPr>
          </w:p>
          <w:p w14:paraId="7B1E5892">
            <w:pPr>
              <w:spacing w:line="250" w:lineRule="auto"/>
              <w:rPr>
                <w:rFonts w:ascii="Arial"/>
                <w:sz w:val="21"/>
              </w:rPr>
            </w:pPr>
          </w:p>
          <w:p w14:paraId="031DA221">
            <w:pPr>
              <w:spacing w:line="250" w:lineRule="auto"/>
              <w:rPr>
                <w:rFonts w:ascii="Arial"/>
                <w:sz w:val="21"/>
              </w:rPr>
            </w:pPr>
          </w:p>
          <w:p w14:paraId="58F1097C">
            <w:pPr>
              <w:spacing w:line="250" w:lineRule="auto"/>
              <w:rPr>
                <w:rFonts w:ascii="Arial"/>
                <w:sz w:val="21"/>
              </w:rPr>
            </w:pPr>
          </w:p>
          <w:p w14:paraId="52BC0EDF">
            <w:pPr>
              <w:spacing w:line="250" w:lineRule="auto"/>
              <w:rPr>
                <w:rFonts w:ascii="Arial"/>
                <w:sz w:val="21"/>
              </w:rPr>
            </w:pPr>
          </w:p>
          <w:p w14:paraId="58AB39EE">
            <w:pPr>
              <w:spacing w:line="250" w:lineRule="auto"/>
              <w:rPr>
                <w:rFonts w:ascii="Arial"/>
                <w:sz w:val="21"/>
              </w:rPr>
            </w:pPr>
          </w:p>
          <w:p w14:paraId="248470A7">
            <w:pPr>
              <w:spacing w:before="65" w:line="228" w:lineRule="auto"/>
              <w:ind w:left="106"/>
              <w:rPr>
                <w:rFonts w:ascii="宋体" w:hAnsi="宋体" w:eastAsia="宋体" w:cs="宋体"/>
                <w:sz w:val="20"/>
                <w:szCs w:val="20"/>
              </w:rPr>
            </w:pPr>
            <w:r>
              <w:rPr>
                <w:rFonts w:ascii="宋体" w:hAnsi="宋体" w:eastAsia="宋体" w:cs="宋体"/>
                <w:spacing w:val="2"/>
                <w:sz w:val="20"/>
                <w:szCs w:val="20"/>
              </w:rPr>
              <w:t>三、聚</w:t>
            </w:r>
          </w:p>
          <w:p w14:paraId="15677BFE">
            <w:pPr>
              <w:spacing w:before="160" w:line="229" w:lineRule="auto"/>
              <w:ind w:left="202"/>
              <w:rPr>
                <w:rFonts w:ascii="宋体" w:hAnsi="宋体" w:eastAsia="宋体" w:cs="宋体"/>
                <w:sz w:val="20"/>
                <w:szCs w:val="20"/>
              </w:rPr>
            </w:pPr>
            <w:r>
              <w:rPr>
                <w:rFonts w:ascii="宋体" w:hAnsi="宋体" w:eastAsia="宋体" w:cs="宋体"/>
                <w:spacing w:val="4"/>
                <w:sz w:val="20"/>
                <w:szCs w:val="20"/>
              </w:rPr>
              <w:t>焦治</w:t>
            </w:r>
          </w:p>
          <w:p w14:paraId="6A308B65">
            <w:pPr>
              <w:spacing w:before="159" w:line="229" w:lineRule="auto"/>
              <w:ind w:left="204"/>
              <w:rPr>
                <w:rFonts w:ascii="宋体" w:hAnsi="宋体" w:eastAsia="宋体" w:cs="宋体"/>
                <w:sz w:val="20"/>
                <w:szCs w:val="20"/>
              </w:rPr>
            </w:pPr>
            <w:r>
              <w:rPr>
                <w:rFonts w:ascii="宋体" w:hAnsi="宋体" w:eastAsia="宋体" w:cs="宋体"/>
                <w:spacing w:val="3"/>
                <w:sz w:val="20"/>
                <w:szCs w:val="20"/>
              </w:rPr>
              <w:t>污设</w:t>
            </w:r>
          </w:p>
          <w:p w14:paraId="5FEC84EF">
            <w:pPr>
              <w:spacing w:before="159" w:line="231" w:lineRule="auto"/>
              <w:ind w:left="153"/>
              <w:rPr>
                <w:rFonts w:ascii="宋体" w:hAnsi="宋体" w:eastAsia="宋体" w:cs="宋体"/>
                <w:sz w:val="20"/>
                <w:szCs w:val="20"/>
              </w:rPr>
            </w:pPr>
            <w:r>
              <w:rPr>
                <w:rFonts w:ascii="宋体" w:hAnsi="宋体" w:eastAsia="宋体" w:cs="宋体"/>
                <w:spacing w:val="5"/>
                <w:sz w:val="20"/>
                <w:szCs w:val="20"/>
              </w:rPr>
              <w:t>施</w:t>
            </w:r>
            <w:r>
              <w:rPr>
                <w:rFonts w:ascii="Times New Roman" w:hAnsi="Times New Roman" w:eastAsia="Times New Roman" w:cs="Times New Roman"/>
                <w:spacing w:val="5"/>
                <w:sz w:val="20"/>
                <w:szCs w:val="20"/>
              </w:rPr>
              <w:t>“</w:t>
            </w:r>
            <w:r>
              <w:rPr>
                <w:rFonts w:ascii="宋体" w:hAnsi="宋体" w:eastAsia="宋体" w:cs="宋体"/>
                <w:spacing w:val="5"/>
                <w:sz w:val="20"/>
                <w:szCs w:val="20"/>
              </w:rPr>
              <w:t>三</w:t>
            </w:r>
          </w:p>
          <w:p w14:paraId="4C224FFA">
            <w:pPr>
              <w:spacing w:before="161" w:line="228" w:lineRule="auto"/>
              <w:ind w:left="156"/>
              <w:rPr>
                <w:rFonts w:ascii="宋体" w:hAnsi="宋体" w:eastAsia="宋体" w:cs="宋体"/>
                <w:sz w:val="20"/>
                <w:szCs w:val="20"/>
              </w:rPr>
            </w:pPr>
            <w:r>
              <w:rPr>
                <w:rFonts w:ascii="宋体" w:hAnsi="宋体" w:eastAsia="宋体" w:cs="宋体"/>
                <w:spacing w:val="1"/>
                <w:sz w:val="20"/>
                <w:szCs w:val="20"/>
              </w:rPr>
              <w:t>率</w:t>
            </w:r>
            <w:r>
              <w:rPr>
                <w:rFonts w:ascii="Times New Roman" w:hAnsi="Times New Roman" w:eastAsia="Times New Roman" w:cs="Times New Roman"/>
                <w:spacing w:val="1"/>
                <w:sz w:val="20"/>
                <w:szCs w:val="20"/>
              </w:rPr>
              <w:t>”</w:t>
            </w:r>
            <w:r>
              <w:rPr>
                <w:rFonts w:ascii="宋体" w:hAnsi="宋体" w:eastAsia="宋体" w:cs="宋体"/>
                <w:spacing w:val="1"/>
                <w:sz w:val="20"/>
                <w:szCs w:val="20"/>
              </w:rPr>
              <w:t>，</w:t>
            </w:r>
          </w:p>
          <w:p w14:paraId="4F57E462">
            <w:pPr>
              <w:spacing w:before="161" w:line="228" w:lineRule="auto"/>
              <w:ind w:left="203"/>
              <w:rPr>
                <w:rFonts w:ascii="宋体" w:hAnsi="宋体" w:eastAsia="宋体" w:cs="宋体"/>
                <w:sz w:val="20"/>
                <w:szCs w:val="20"/>
              </w:rPr>
            </w:pPr>
            <w:r>
              <w:rPr>
                <w:rFonts w:ascii="宋体" w:hAnsi="宋体" w:eastAsia="宋体" w:cs="宋体"/>
                <w:spacing w:val="4"/>
                <w:sz w:val="20"/>
                <w:szCs w:val="20"/>
              </w:rPr>
              <w:t>提升</w:t>
            </w:r>
          </w:p>
          <w:p w14:paraId="604E81AE">
            <w:pPr>
              <w:spacing w:before="161" w:line="228" w:lineRule="auto"/>
              <w:ind w:left="205"/>
              <w:rPr>
                <w:rFonts w:ascii="宋体" w:hAnsi="宋体" w:eastAsia="宋体" w:cs="宋体"/>
                <w:sz w:val="20"/>
                <w:szCs w:val="20"/>
              </w:rPr>
            </w:pPr>
            <w:r>
              <w:rPr>
                <w:rFonts w:ascii="宋体" w:hAnsi="宋体" w:eastAsia="宋体" w:cs="宋体"/>
                <w:spacing w:val="3"/>
                <w:sz w:val="20"/>
                <w:szCs w:val="20"/>
              </w:rPr>
              <w:t>综合</w:t>
            </w:r>
          </w:p>
          <w:p w14:paraId="6CFDECC5">
            <w:pPr>
              <w:spacing w:before="161" w:line="233" w:lineRule="auto"/>
              <w:ind w:left="207"/>
              <w:rPr>
                <w:rFonts w:ascii="宋体" w:hAnsi="宋体" w:eastAsia="宋体" w:cs="宋体"/>
                <w:sz w:val="20"/>
                <w:szCs w:val="20"/>
              </w:rPr>
            </w:pPr>
            <w:r>
              <w:rPr>
                <w:rFonts w:ascii="宋体" w:hAnsi="宋体" w:eastAsia="宋体" w:cs="宋体"/>
                <w:spacing w:val="2"/>
                <w:sz w:val="20"/>
                <w:szCs w:val="20"/>
              </w:rPr>
              <w:t>治理</w:t>
            </w:r>
          </w:p>
          <w:p w14:paraId="24C4077B">
            <w:pPr>
              <w:spacing w:before="155" w:line="228" w:lineRule="auto"/>
              <w:ind w:left="207"/>
              <w:rPr>
                <w:rFonts w:ascii="宋体" w:hAnsi="宋体" w:eastAsia="宋体" w:cs="宋体"/>
                <w:sz w:val="20"/>
                <w:szCs w:val="20"/>
              </w:rPr>
            </w:pPr>
            <w:r>
              <w:rPr>
                <w:rFonts w:ascii="宋体" w:hAnsi="宋体" w:eastAsia="宋体" w:cs="宋体"/>
                <w:spacing w:val="2"/>
                <w:sz w:val="20"/>
                <w:szCs w:val="20"/>
              </w:rPr>
              <w:t>效率</w:t>
            </w:r>
          </w:p>
        </w:tc>
        <w:tc>
          <w:tcPr>
            <w:tcW w:w="3307" w:type="dxa"/>
            <w:vAlign w:val="top"/>
          </w:tcPr>
          <w:p w14:paraId="7C09D854">
            <w:pPr>
              <w:spacing w:before="35" w:line="357" w:lineRule="auto"/>
              <w:ind w:left="107" w:right="105" w:firstLine="3"/>
              <w:jc w:val="both"/>
              <w:rPr>
                <w:rFonts w:ascii="宋体" w:hAnsi="宋体" w:eastAsia="宋体" w:cs="宋体"/>
                <w:sz w:val="20"/>
                <w:szCs w:val="20"/>
              </w:rPr>
            </w:pPr>
            <w:r>
              <w:rPr>
                <w:rFonts w:ascii="宋体" w:hAnsi="宋体" w:eastAsia="宋体" w:cs="宋体"/>
                <w:spacing w:val="31"/>
                <w:sz w:val="20"/>
                <w:szCs w:val="20"/>
              </w:rPr>
              <w:t>组织企业对现有</w:t>
            </w:r>
            <w:r>
              <w:rPr>
                <w:rFonts w:ascii="Times New Roman" w:hAnsi="Times New Roman" w:eastAsia="Times New Roman" w:cs="Times New Roman"/>
                <w:sz w:val="20"/>
                <w:szCs w:val="20"/>
              </w:rPr>
              <w:t>VOCs</w:t>
            </w:r>
            <w:r>
              <w:rPr>
                <w:rFonts w:ascii="微软雅黑" w:hAnsi="微软雅黑" w:eastAsia="微软雅黑" w:cs="微软雅黑"/>
                <w:spacing w:val="31"/>
                <w:sz w:val="20"/>
                <w:szCs w:val="20"/>
              </w:rPr>
              <w:t>废气</w:t>
            </w:r>
            <w:r>
              <w:rPr>
                <w:rFonts w:ascii="微软雅黑" w:hAnsi="微软雅黑" w:eastAsia="微软雅黑" w:cs="微软雅黑"/>
                <w:spacing w:val="-16"/>
                <w:sz w:val="20"/>
                <w:szCs w:val="20"/>
              </w:rPr>
              <w:t xml:space="preserve"> </w:t>
            </w:r>
            <w:r>
              <w:rPr>
                <w:rFonts w:ascii="宋体" w:hAnsi="宋体" w:eastAsia="宋体" w:cs="宋体"/>
                <w:spacing w:val="31"/>
                <w:sz w:val="20"/>
                <w:szCs w:val="20"/>
              </w:rPr>
              <w:t>收集</w:t>
            </w:r>
            <w:r>
              <w:rPr>
                <w:rFonts w:ascii="宋体" w:hAnsi="宋体" w:eastAsia="宋体" w:cs="宋体"/>
                <w:spacing w:val="5"/>
                <w:sz w:val="20"/>
                <w:szCs w:val="20"/>
              </w:rPr>
              <w:t>率、治理设施同步运行率和去除率开展自查，重点关注单一采用光氧化、光催化、低温等离子、一次性活性炭吸附、喷淋吸收等工艺的治</w:t>
            </w:r>
            <w:r>
              <w:rPr>
                <w:rFonts w:ascii="宋体" w:hAnsi="宋体" w:eastAsia="宋体" w:cs="宋体"/>
                <w:spacing w:val="11"/>
                <w:sz w:val="20"/>
                <w:szCs w:val="20"/>
              </w:rPr>
              <w:t>理设施，</w:t>
            </w:r>
            <w:r>
              <w:rPr>
                <w:rFonts w:ascii="Times New Roman" w:hAnsi="Times New Roman" w:eastAsia="Times New Roman" w:cs="Times New Roman"/>
                <w:spacing w:val="11"/>
                <w:sz w:val="20"/>
                <w:szCs w:val="20"/>
              </w:rPr>
              <w:t>7</w:t>
            </w:r>
            <w:r>
              <w:rPr>
                <w:rFonts w:ascii="宋体" w:hAnsi="宋体" w:eastAsia="宋体" w:cs="宋体"/>
                <w:spacing w:val="11"/>
                <w:sz w:val="20"/>
                <w:szCs w:val="20"/>
              </w:rPr>
              <w:t>月</w:t>
            </w:r>
            <w:r>
              <w:rPr>
                <w:rFonts w:ascii="Times New Roman" w:hAnsi="Times New Roman" w:eastAsia="Times New Roman" w:cs="Times New Roman"/>
                <w:spacing w:val="11"/>
                <w:sz w:val="20"/>
                <w:szCs w:val="20"/>
              </w:rPr>
              <w:t>15</w:t>
            </w:r>
            <w:r>
              <w:rPr>
                <w:rFonts w:ascii="宋体" w:hAnsi="宋体" w:eastAsia="宋体" w:cs="宋体"/>
                <w:spacing w:val="11"/>
                <w:sz w:val="20"/>
                <w:szCs w:val="20"/>
              </w:rPr>
              <w:t>日前完成。对达不</w:t>
            </w:r>
            <w:r>
              <w:rPr>
                <w:rFonts w:ascii="宋体" w:hAnsi="宋体" w:eastAsia="宋体" w:cs="宋体"/>
                <w:spacing w:val="15"/>
                <w:sz w:val="20"/>
                <w:szCs w:val="20"/>
              </w:rPr>
              <w:t>到要求的</w:t>
            </w:r>
            <w:r>
              <w:rPr>
                <w:rFonts w:ascii="Times New Roman" w:hAnsi="Times New Roman" w:eastAsia="Times New Roman" w:cs="Times New Roman"/>
                <w:sz w:val="20"/>
                <w:szCs w:val="20"/>
              </w:rPr>
              <w:t>VOCs</w:t>
            </w:r>
            <w:r>
              <w:rPr>
                <w:rFonts w:ascii="宋体" w:hAnsi="宋体" w:eastAsia="宋体" w:cs="宋体"/>
                <w:spacing w:val="15"/>
                <w:sz w:val="20"/>
                <w:szCs w:val="20"/>
              </w:rPr>
              <w:t>收集、治理设施进</w:t>
            </w:r>
            <w:r>
              <w:rPr>
                <w:rFonts w:ascii="宋体" w:hAnsi="宋体" w:eastAsia="宋体" w:cs="宋体"/>
                <w:spacing w:val="5"/>
                <w:sz w:val="20"/>
                <w:szCs w:val="20"/>
              </w:rPr>
              <w:t>行更换或升级改造，确保实现达标排放。除恶臭异味治理外，一般不采用低温等离子、光催化、光氧化等技术。行业排放标准中规定特别排放限值和控制要求的，应按相关规定执行；未制定行业标准的应执</w:t>
            </w:r>
            <w:r>
              <w:rPr>
                <w:rFonts w:ascii="宋体" w:hAnsi="宋体" w:eastAsia="宋体" w:cs="宋体"/>
                <w:spacing w:val="20"/>
                <w:sz w:val="20"/>
                <w:szCs w:val="20"/>
              </w:rPr>
              <w:t>行大</w:t>
            </w:r>
            <w:r>
              <w:rPr>
                <w:rFonts w:ascii="微软雅黑" w:hAnsi="微软雅黑" w:eastAsia="微软雅黑" w:cs="微软雅黑"/>
                <w:spacing w:val="20"/>
                <w:sz w:val="20"/>
                <w:szCs w:val="20"/>
              </w:rPr>
              <w:t>气</w:t>
            </w:r>
            <w:r>
              <w:rPr>
                <w:rFonts w:ascii="宋体" w:hAnsi="宋体" w:eastAsia="宋体" w:cs="宋体"/>
                <w:spacing w:val="20"/>
                <w:sz w:val="20"/>
                <w:szCs w:val="20"/>
              </w:rPr>
              <w:t>污染</w:t>
            </w:r>
            <w:r>
              <w:rPr>
                <w:rFonts w:ascii="微软雅黑" w:hAnsi="微软雅黑" w:eastAsia="微软雅黑" w:cs="微软雅黑"/>
                <w:spacing w:val="20"/>
                <w:sz w:val="20"/>
                <w:szCs w:val="20"/>
              </w:rPr>
              <w:t>物</w:t>
            </w:r>
            <w:r>
              <w:rPr>
                <w:rFonts w:ascii="宋体" w:hAnsi="宋体" w:eastAsia="宋体" w:cs="宋体"/>
                <w:spacing w:val="20"/>
                <w:sz w:val="20"/>
                <w:szCs w:val="20"/>
              </w:rPr>
              <w:t>综合排放标准和挥</w:t>
            </w:r>
            <w:r>
              <w:rPr>
                <w:rFonts w:ascii="宋体" w:hAnsi="宋体" w:eastAsia="宋体" w:cs="宋体"/>
                <w:spacing w:val="5"/>
                <w:sz w:val="20"/>
                <w:szCs w:val="20"/>
              </w:rPr>
              <w:t>发性有机</w:t>
            </w:r>
            <w:r>
              <w:rPr>
                <w:rFonts w:ascii="微软雅黑" w:hAnsi="微软雅黑" w:eastAsia="微软雅黑" w:cs="微软雅黑"/>
                <w:spacing w:val="5"/>
                <w:sz w:val="20"/>
                <w:szCs w:val="20"/>
              </w:rPr>
              <w:t>物</w:t>
            </w:r>
            <w:r>
              <w:rPr>
                <w:rFonts w:ascii="宋体" w:hAnsi="宋体" w:eastAsia="宋体" w:cs="宋体"/>
                <w:spacing w:val="5"/>
                <w:sz w:val="20"/>
                <w:szCs w:val="20"/>
              </w:rPr>
              <w:t>无组织排放控制标准；已制定更严格地方排放标准的，按</w:t>
            </w:r>
            <w:r>
              <w:rPr>
                <w:rFonts w:ascii="宋体" w:hAnsi="宋体" w:eastAsia="宋体" w:cs="宋体"/>
                <w:spacing w:val="7"/>
                <w:sz w:val="20"/>
                <w:szCs w:val="20"/>
              </w:rPr>
              <w:t>地方标准执行。</w:t>
            </w:r>
          </w:p>
        </w:tc>
        <w:tc>
          <w:tcPr>
            <w:tcW w:w="2604" w:type="dxa"/>
            <w:vAlign w:val="top"/>
          </w:tcPr>
          <w:p w14:paraId="68175B56">
            <w:pPr>
              <w:spacing w:before="34" w:line="228" w:lineRule="auto"/>
              <w:ind w:left="119"/>
              <w:rPr>
                <w:rFonts w:ascii="宋体" w:hAnsi="宋体" w:eastAsia="宋体" w:cs="宋体"/>
                <w:sz w:val="20"/>
                <w:szCs w:val="20"/>
              </w:rPr>
            </w:pPr>
            <w:r>
              <w:rPr>
                <w:rFonts w:ascii="宋体" w:hAnsi="宋体" w:eastAsia="宋体" w:cs="宋体"/>
                <w:spacing w:val="11"/>
                <w:sz w:val="20"/>
                <w:szCs w:val="20"/>
              </w:rPr>
              <w:t>项目</w:t>
            </w:r>
            <w:r>
              <w:rPr>
                <w:rFonts w:ascii="Times New Roman" w:hAnsi="Times New Roman" w:eastAsia="Times New Roman" w:cs="Times New Roman"/>
                <w:sz w:val="20"/>
                <w:szCs w:val="20"/>
              </w:rPr>
              <w:t>VOCs</w:t>
            </w:r>
            <w:r>
              <w:rPr>
                <w:rFonts w:ascii="宋体" w:hAnsi="宋体" w:eastAsia="宋体" w:cs="宋体"/>
                <w:spacing w:val="11"/>
                <w:sz w:val="20"/>
                <w:szCs w:val="20"/>
              </w:rPr>
              <w:t>产生主要是注</w:t>
            </w:r>
          </w:p>
          <w:p w14:paraId="0F01C3A6">
            <w:pPr>
              <w:spacing w:before="160" w:line="286" w:lineRule="auto"/>
              <w:ind w:left="114" w:right="100" w:firstLine="5"/>
              <w:rPr>
                <w:rFonts w:ascii="宋体" w:hAnsi="宋体" w:eastAsia="宋体" w:cs="宋体"/>
                <w:sz w:val="20"/>
                <w:szCs w:val="20"/>
              </w:rPr>
            </w:pPr>
            <w:r>
              <w:rPr>
                <w:rFonts w:ascii="宋体" w:hAnsi="宋体" w:eastAsia="宋体" w:cs="宋体"/>
                <w:spacing w:val="12"/>
                <w:sz w:val="20"/>
                <w:szCs w:val="20"/>
              </w:rPr>
              <w:t>塑环节，注塑产生的</w:t>
            </w:r>
            <w:r>
              <w:rPr>
                <w:rFonts w:ascii="微软雅黑" w:hAnsi="微软雅黑" w:eastAsia="微软雅黑" w:cs="微软雅黑"/>
                <w:spacing w:val="12"/>
                <w:sz w:val="20"/>
                <w:szCs w:val="20"/>
              </w:rPr>
              <w:t>废气</w:t>
            </w:r>
            <w:r>
              <w:rPr>
                <w:rFonts w:ascii="宋体" w:hAnsi="宋体" w:eastAsia="宋体" w:cs="宋体"/>
                <w:spacing w:val="9"/>
                <w:sz w:val="20"/>
                <w:szCs w:val="20"/>
              </w:rPr>
              <w:t>在浇注区上空设置集</w:t>
            </w:r>
            <w:r>
              <w:rPr>
                <w:rFonts w:ascii="微软雅黑" w:hAnsi="微软雅黑" w:eastAsia="微软雅黑" w:cs="微软雅黑"/>
                <w:spacing w:val="9"/>
                <w:sz w:val="20"/>
                <w:szCs w:val="20"/>
              </w:rPr>
              <w:t>气</w:t>
            </w:r>
            <w:r>
              <w:rPr>
                <w:rFonts w:ascii="宋体" w:hAnsi="宋体" w:eastAsia="宋体" w:cs="宋体"/>
                <w:spacing w:val="9"/>
                <w:sz w:val="20"/>
                <w:szCs w:val="20"/>
              </w:rPr>
              <w:t>罩</w:t>
            </w:r>
            <w:r>
              <w:rPr>
                <w:rFonts w:ascii="宋体" w:hAnsi="宋体" w:eastAsia="宋体" w:cs="宋体"/>
                <w:spacing w:val="6"/>
                <w:sz w:val="20"/>
                <w:szCs w:val="20"/>
              </w:rPr>
              <w:t>（共</w:t>
            </w:r>
            <w:r>
              <w:rPr>
                <w:rFonts w:ascii="Times New Roman" w:hAnsi="Times New Roman" w:eastAsia="Times New Roman" w:cs="Times New Roman"/>
                <w:spacing w:val="6"/>
                <w:sz w:val="20"/>
                <w:szCs w:val="20"/>
              </w:rPr>
              <w:t>4</w:t>
            </w:r>
            <w:r>
              <w:rPr>
                <w:rFonts w:ascii="宋体" w:hAnsi="宋体" w:eastAsia="宋体" w:cs="宋体"/>
                <w:spacing w:val="6"/>
                <w:sz w:val="20"/>
                <w:szCs w:val="20"/>
              </w:rPr>
              <w:t>个、集</w:t>
            </w:r>
            <w:r>
              <w:rPr>
                <w:rFonts w:ascii="微软雅黑" w:hAnsi="微软雅黑" w:eastAsia="微软雅黑" w:cs="微软雅黑"/>
                <w:spacing w:val="6"/>
                <w:sz w:val="20"/>
                <w:szCs w:val="20"/>
              </w:rPr>
              <w:t>气</w:t>
            </w:r>
            <w:r>
              <w:rPr>
                <w:rFonts w:ascii="宋体" w:hAnsi="宋体" w:eastAsia="宋体" w:cs="宋体"/>
                <w:spacing w:val="6"/>
                <w:sz w:val="20"/>
                <w:szCs w:val="20"/>
              </w:rPr>
              <w:t>罩要罩住整</w:t>
            </w:r>
            <w:r>
              <w:rPr>
                <w:rFonts w:ascii="宋体" w:hAnsi="宋体" w:eastAsia="宋体" w:cs="宋体"/>
                <w:spacing w:val="9"/>
                <w:sz w:val="20"/>
                <w:szCs w:val="20"/>
              </w:rPr>
              <w:t>个注塑区有机</w:t>
            </w:r>
            <w:r>
              <w:rPr>
                <w:rFonts w:ascii="微软雅黑" w:hAnsi="微软雅黑" w:eastAsia="微软雅黑" w:cs="微软雅黑"/>
                <w:spacing w:val="9"/>
                <w:sz w:val="20"/>
                <w:szCs w:val="20"/>
              </w:rPr>
              <w:t>废气</w:t>
            </w:r>
            <w:r>
              <w:rPr>
                <w:rFonts w:ascii="宋体" w:hAnsi="宋体" w:eastAsia="宋体" w:cs="宋体"/>
                <w:spacing w:val="9"/>
                <w:sz w:val="20"/>
                <w:szCs w:val="20"/>
              </w:rPr>
              <w:t>产生</w:t>
            </w:r>
          </w:p>
          <w:p w14:paraId="37A0A401">
            <w:pPr>
              <w:spacing w:line="285" w:lineRule="auto"/>
              <w:ind w:left="124" w:right="100" w:firstLine="1"/>
              <w:rPr>
                <w:rFonts w:ascii="宋体" w:hAnsi="宋体" w:eastAsia="宋体" w:cs="宋体"/>
                <w:sz w:val="20"/>
                <w:szCs w:val="20"/>
              </w:rPr>
            </w:pPr>
            <w:r>
              <w:rPr>
                <w:rFonts w:ascii="宋体" w:hAnsi="宋体" w:eastAsia="宋体" w:cs="宋体"/>
                <w:sz w:val="20"/>
                <w:szCs w:val="20"/>
              </w:rPr>
              <w:t>点，集</w:t>
            </w:r>
            <w:r>
              <w:rPr>
                <w:rFonts w:ascii="微软雅黑" w:hAnsi="微软雅黑" w:eastAsia="微软雅黑" w:cs="微软雅黑"/>
                <w:sz w:val="20"/>
                <w:szCs w:val="20"/>
              </w:rPr>
              <w:t>气</w:t>
            </w:r>
            <w:r>
              <w:rPr>
                <w:rFonts w:ascii="宋体" w:hAnsi="宋体" w:eastAsia="宋体" w:cs="宋体"/>
                <w:sz w:val="20"/>
                <w:szCs w:val="20"/>
              </w:rPr>
              <w:t>效率</w:t>
            </w:r>
            <w:r>
              <w:rPr>
                <w:rFonts w:ascii="Times New Roman" w:hAnsi="Times New Roman" w:eastAsia="Times New Roman" w:cs="Times New Roman"/>
                <w:sz w:val="20"/>
                <w:szCs w:val="20"/>
              </w:rPr>
              <w:t>80%</w:t>
            </w:r>
            <w:r>
              <w:rPr>
                <w:rFonts w:ascii="宋体" w:hAnsi="宋体" w:eastAsia="宋体" w:cs="宋体"/>
                <w:sz w:val="20"/>
                <w:szCs w:val="20"/>
              </w:rPr>
              <w:t>）收集</w:t>
            </w:r>
            <w:r>
              <w:rPr>
                <w:rFonts w:ascii="微软雅黑" w:hAnsi="微软雅黑" w:eastAsia="微软雅黑" w:cs="微软雅黑"/>
                <w:sz w:val="20"/>
                <w:szCs w:val="20"/>
              </w:rPr>
              <w:t>废</w:t>
            </w:r>
            <w:r>
              <w:rPr>
                <w:rFonts w:ascii="微软雅黑" w:hAnsi="微软雅黑" w:eastAsia="微软雅黑" w:cs="微软雅黑"/>
                <w:spacing w:val="8"/>
                <w:sz w:val="20"/>
                <w:szCs w:val="20"/>
              </w:rPr>
              <w:t>气</w:t>
            </w:r>
            <w:r>
              <w:rPr>
                <w:rFonts w:ascii="宋体" w:hAnsi="宋体" w:eastAsia="宋体" w:cs="宋体"/>
                <w:spacing w:val="8"/>
                <w:sz w:val="20"/>
                <w:szCs w:val="20"/>
              </w:rPr>
              <w:t>后本项目为改扩建项</w:t>
            </w:r>
          </w:p>
          <w:p w14:paraId="3D27B9CB">
            <w:pPr>
              <w:spacing w:before="11" w:line="314" w:lineRule="auto"/>
              <w:ind w:left="114" w:right="99" w:firstLine="40"/>
              <w:rPr>
                <w:rFonts w:ascii="宋体" w:hAnsi="宋体" w:eastAsia="宋体" w:cs="宋体"/>
                <w:sz w:val="20"/>
                <w:szCs w:val="20"/>
              </w:rPr>
            </w:pPr>
            <w:r>
              <w:rPr>
                <w:rFonts w:ascii="宋体" w:hAnsi="宋体" w:eastAsia="宋体" w:cs="宋体"/>
                <w:spacing w:val="9"/>
                <w:sz w:val="20"/>
                <w:szCs w:val="20"/>
              </w:rPr>
              <w:t>目，注塑产生的</w:t>
            </w:r>
            <w:r>
              <w:rPr>
                <w:rFonts w:ascii="微软雅黑" w:hAnsi="微软雅黑" w:eastAsia="微软雅黑" w:cs="微软雅黑"/>
                <w:spacing w:val="9"/>
                <w:sz w:val="20"/>
                <w:szCs w:val="20"/>
              </w:rPr>
              <w:t>废气</w:t>
            </w:r>
            <w:r>
              <w:rPr>
                <w:rFonts w:ascii="宋体" w:hAnsi="宋体" w:eastAsia="宋体" w:cs="宋体"/>
                <w:spacing w:val="9"/>
                <w:sz w:val="20"/>
                <w:szCs w:val="20"/>
              </w:rPr>
              <w:t>在浇</w:t>
            </w:r>
            <w:r>
              <w:rPr>
                <w:rFonts w:ascii="宋体" w:hAnsi="宋体" w:eastAsia="宋体" w:cs="宋体"/>
                <w:spacing w:val="7"/>
                <w:sz w:val="20"/>
                <w:szCs w:val="20"/>
              </w:rPr>
              <w:t>注区上空设置集</w:t>
            </w:r>
            <w:r>
              <w:rPr>
                <w:rFonts w:ascii="微软雅黑" w:hAnsi="微软雅黑" w:eastAsia="微软雅黑" w:cs="微软雅黑"/>
                <w:spacing w:val="7"/>
                <w:sz w:val="20"/>
                <w:szCs w:val="20"/>
              </w:rPr>
              <w:t>气</w:t>
            </w:r>
            <w:r>
              <w:rPr>
                <w:rFonts w:ascii="宋体" w:hAnsi="宋体" w:eastAsia="宋体" w:cs="宋体"/>
                <w:spacing w:val="7"/>
                <w:sz w:val="20"/>
                <w:szCs w:val="20"/>
              </w:rPr>
              <w:t>罩（共</w:t>
            </w:r>
            <w:r>
              <w:rPr>
                <w:rFonts w:ascii="Times New Roman" w:hAnsi="Times New Roman" w:eastAsia="Times New Roman" w:cs="Times New Roman"/>
                <w:spacing w:val="7"/>
                <w:sz w:val="20"/>
                <w:szCs w:val="20"/>
              </w:rPr>
              <w:t>4</w:t>
            </w:r>
            <w:r>
              <w:rPr>
                <w:rFonts w:ascii="宋体" w:hAnsi="宋体" w:eastAsia="宋体" w:cs="宋体"/>
                <w:spacing w:val="9"/>
                <w:sz w:val="20"/>
                <w:szCs w:val="20"/>
              </w:rPr>
              <w:t>个、集</w:t>
            </w:r>
            <w:r>
              <w:rPr>
                <w:rFonts w:ascii="微软雅黑" w:hAnsi="微软雅黑" w:eastAsia="微软雅黑" w:cs="微软雅黑"/>
                <w:spacing w:val="9"/>
                <w:sz w:val="20"/>
                <w:szCs w:val="20"/>
              </w:rPr>
              <w:t>气</w:t>
            </w:r>
            <w:r>
              <w:rPr>
                <w:rFonts w:ascii="宋体" w:hAnsi="宋体" w:eastAsia="宋体" w:cs="宋体"/>
                <w:spacing w:val="9"/>
                <w:sz w:val="20"/>
                <w:szCs w:val="20"/>
              </w:rPr>
              <w:t>罩要罩住整个浇注区有机</w:t>
            </w:r>
            <w:r>
              <w:rPr>
                <w:rFonts w:ascii="微软雅黑" w:hAnsi="微软雅黑" w:eastAsia="微软雅黑" w:cs="微软雅黑"/>
                <w:spacing w:val="9"/>
                <w:sz w:val="20"/>
                <w:szCs w:val="20"/>
              </w:rPr>
              <w:t>废气</w:t>
            </w:r>
            <w:r>
              <w:rPr>
                <w:rFonts w:ascii="宋体" w:hAnsi="宋体" w:eastAsia="宋体" w:cs="宋体"/>
                <w:spacing w:val="9"/>
                <w:sz w:val="20"/>
                <w:szCs w:val="20"/>
              </w:rPr>
              <w:t>产生点，集</w:t>
            </w:r>
            <w:r>
              <w:rPr>
                <w:rFonts w:ascii="微软雅黑" w:hAnsi="微软雅黑" w:eastAsia="微软雅黑" w:cs="微软雅黑"/>
                <w:spacing w:val="1"/>
                <w:sz w:val="20"/>
                <w:szCs w:val="20"/>
              </w:rPr>
              <w:t>气</w:t>
            </w:r>
            <w:r>
              <w:rPr>
                <w:rFonts w:ascii="宋体" w:hAnsi="宋体" w:eastAsia="宋体" w:cs="宋体"/>
                <w:spacing w:val="1"/>
                <w:sz w:val="20"/>
                <w:szCs w:val="20"/>
              </w:rPr>
              <w:t>效率</w:t>
            </w:r>
            <w:r>
              <w:rPr>
                <w:rFonts w:ascii="Times New Roman" w:hAnsi="Times New Roman" w:eastAsia="Times New Roman" w:cs="Times New Roman"/>
                <w:spacing w:val="1"/>
                <w:sz w:val="20"/>
                <w:szCs w:val="20"/>
              </w:rPr>
              <w:t>80%</w:t>
            </w:r>
            <w:r>
              <w:rPr>
                <w:rFonts w:ascii="宋体" w:hAnsi="宋体" w:eastAsia="宋体" w:cs="宋体"/>
                <w:spacing w:val="1"/>
                <w:sz w:val="20"/>
                <w:szCs w:val="20"/>
              </w:rPr>
              <w:t>）收集经三级活</w:t>
            </w:r>
            <w:r>
              <w:rPr>
                <w:rFonts w:ascii="宋体" w:hAnsi="宋体" w:eastAsia="宋体" w:cs="宋体"/>
                <w:spacing w:val="7"/>
                <w:sz w:val="20"/>
                <w:szCs w:val="20"/>
              </w:rPr>
              <w:t>性炭吸附（</w:t>
            </w:r>
            <w:r>
              <w:rPr>
                <w:rFonts w:ascii="Times New Roman" w:hAnsi="Times New Roman" w:eastAsia="Times New Roman" w:cs="Times New Roman"/>
                <w:spacing w:val="7"/>
                <w:sz w:val="20"/>
                <w:szCs w:val="20"/>
              </w:rPr>
              <w:t>65%</w:t>
            </w:r>
            <w:r>
              <w:rPr>
                <w:rFonts w:ascii="宋体" w:hAnsi="宋体" w:eastAsia="宋体" w:cs="宋体"/>
                <w:spacing w:val="7"/>
                <w:sz w:val="20"/>
                <w:szCs w:val="20"/>
              </w:rPr>
              <w:t>）</w:t>
            </w:r>
            <w:r>
              <w:rPr>
                <w:rFonts w:ascii="Times New Roman" w:hAnsi="Times New Roman" w:eastAsia="Times New Roman" w:cs="Times New Roman"/>
                <w:spacing w:val="7"/>
                <w:sz w:val="20"/>
                <w:szCs w:val="20"/>
              </w:rPr>
              <w:t>+15m</w:t>
            </w:r>
            <w:r>
              <w:rPr>
                <w:rFonts w:ascii="宋体" w:hAnsi="宋体" w:eastAsia="宋体" w:cs="宋体"/>
                <w:spacing w:val="7"/>
                <w:sz w:val="20"/>
                <w:szCs w:val="20"/>
              </w:rPr>
              <w:t>排</w:t>
            </w:r>
            <w:r>
              <w:rPr>
                <w:rFonts w:ascii="宋体" w:hAnsi="宋体" w:eastAsia="宋体" w:cs="宋体"/>
                <w:spacing w:val="9"/>
                <w:sz w:val="20"/>
                <w:szCs w:val="20"/>
              </w:rPr>
              <w:t>气筒（</w:t>
            </w:r>
            <w:r>
              <w:rPr>
                <w:rFonts w:ascii="Times New Roman" w:hAnsi="Times New Roman" w:eastAsia="Times New Roman" w:cs="Times New Roman"/>
                <w:sz w:val="20"/>
                <w:szCs w:val="20"/>
              </w:rPr>
              <w:t>DA</w:t>
            </w:r>
            <w:r>
              <w:rPr>
                <w:rFonts w:ascii="Times New Roman" w:hAnsi="Times New Roman" w:eastAsia="Times New Roman" w:cs="Times New Roman"/>
                <w:spacing w:val="9"/>
                <w:sz w:val="20"/>
                <w:szCs w:val="20"/>
              </w:rPr>
              <w:t>005</w:t>
            </w:r>
            <w:r>
              <w:rPr>
                <w:rFonts w:ascii="宋体" w:hAnsi="宋体" w:eastAsia="宋体" w:cs="宋体"/>
                <w:spacing w:val="9"/>
                <w:sz w:val="20"/>
                <w:szCs w:val="20"/>
              </w:rPr>
              <w:t>）处理后可达标排放。有机</w:t>
            </w:r>
            <w:r>
              <w:rPr>
                <w:rFonts w:ascii="微软雅黑" w:hAnsi="微软雅黑" w:eastAsia="微软雅黑" w:cs="微软雅黑"/>
                <w:spacing w:val="9"/>
                <w:sz w:val="20"/>
                <w:szCs w:val="20"/>
              </w:rPr>
              <w:t>废气</w:t>
            </w:r>
            <w:r>
              <w:rPr>
                <w:rFonts w:ascii="宋体" w:hAnsi="宋体" w:eastAsia="宋体" w:cs="宋体"/>
                <w:spacing w:val="9"/>
                <w:sz w:val="20"/>
                <w:szCs w:val="20"/>
              </w:rPr>
              <w:t>执行《合成树脂工业污染</w:t>
            </w:r>
            <w:r>
              <w:rPr>
                <w:rFonts w:ascii="微软雅黑" w:hAnsi="微软雅黑" w:eastAsia="微软雅黑" w:cs="微软雅黑"/>
                <w:spacing w:val="9"/>
                <w:sz w:val="20"/>
                <w:szCs w:val="20"/>
              </w:rPr>
              <w:t>物</w:t>
            </w:r>
            <w:r>
              <w:rPr>
                <w:rFonts w:ascii="宋体" w:hAnsi="宋体" w:eastAsia="宋体" w:cs="宋体"/>
                <w:spacing w:val="9"/>
                <w:sz w:val="20"/>
                <w:szCs w:val="20"/>
              </w:rPr>
              <w:t>排</w:t>
            </w:r>
            <w:r>
              <w:rPr>
                <w:rFonts w:ascii="宋体" w:hAnsi="宋体" w:eastAsia="宋体" w:cs="宋体"/>
                <w:spacing w:val="7"/>
                <w:sz w:val="20"/>
                <w:szCs w:val="20"/>
              </w:rPr>
              <w:t>放标准》（</w:t>
            </w:r>
            <w:r>
              <w:rPr>
                <w:rFonts w:ascii="Times New Roman" w:hAnsi="Times New Roman" w:eastAsia="Times New Roman" w:cs="Times New Roman"/>
                <w:sz w:val="20"/>
                <w:szCs w:val="20"/>
              </w:rPr>
              <w:t>GB</w:t>
            </w:r>
            <w:r>
              <w:rPr>
                <w:rFonts w:ascii="Times New Roman" w:hAnsi="Times New Roman" w:eastAsia="Times New Roman" w:cs="Times New Roman"/>
                <w:spacing w:val="7"/>
                <w:sz w:val="20"/>
                <w:szCs w:val="20"/>
              </w:rPr>
              <w:t xml:space="preserve">31572—201 </w:t>
            </w:r>
            <w:r>
              <w:rPr>
                <w:rFonts w:ascii="Times New Roman" w:hAnsi="Times New Roman" w:eastAsia="Times New Roman" w:cs="Times New Roman"/>
                <w:spacing w:val="5"/>
                <w:sz w:val="20"/>
                <w:szCs w:val="20"/>
              </w:rPr>
              <w:t>5</w:t>
            </w:r>
            <w:r>
              <w:rPr>
                <w:rFonts w:ascii="Times New Roman" w:hAnsi="Times New Roman" w:eastAsia="Times New Roman" w:cs="Times New Roman"/>
                <w:spacing w:val="-21"/>
                <w:sz w:val="20"/>
                <w:szCs w:val="20"/>
              </w:rPr>
              <w:t xml:space="preserve"> </w:t>
            </w:r>
            <w:r>
              <w:rPr>
                <w:rFonts w:ascii="宋体" w:hAnsi="宋体" w:eastAsia="宋体" w:cs="宋体"/>
                <w:spacing w:val="5"/>
                <w:sz w:val="20"/>
                <w:szCs w:val="20"/>
              </w:rPr>
              <w:t>，含</w:t>
            </w:r>
            <w:r>
              <w:rPr>
                <w:rFonts w:ascii="Times New Roman" w:hAnsi="Times New Roman" w:eastAsia="Times New Roman" w:cs="Times New Roman"/>
                <w:spacing w:val="5"/>
                <w:sz w:val="20"/>
                <w:szCs w:val="20"/>
              </w:rPr>
              <w:t>2024</w:t>
            </w:r>
            <w:r>
              <w:rPr>
                <w:rFonts w:ascii="宋体" w:hAnsi="宋体" w:eastAsia="宋体" w:cs="宋体"/>
                <w:spacing w:val="5"/>
                <w:sz w:val="20"/>
                <w:szCs w:val="20"/>
              </w:rPr>
              <w:t>年修改单）表</w:t>
            </w:r>
            <w:r>
              <w:rPr>
                <w:rFonts w:ascii="Times New Roman" w:hAnsi="Times New Roman" w:eastAsia="Times New Roman" w:cs="Times New Roman"/>
                <w:spacing w:val="5"/>
                <w:sz w:val="20"/>
                <w:szCs w:val="20"/>
              </w:rPr>
              <w:t>4</w:t>
            </w:r>
            <w:r>
              <w:rPr>
                <w:rFonts w:ascii="宋体" w:hAnsi="宋体" w:eastAsia="宋体" w:cs="宋体"/>
                <w:spacing w:val="5"/>
                <w:sz w:val="20"/>
                <w:szCs w:val="20"/>
              </w:rPr>
              <w:t>标准值。</w:t>
            </w:r>
          </w:p>
        </w:tc>
        <w:tc>
          <w:tcPr>
            <w:tcW w:w="741" w:type="dxa"/>
            <w:vAlign w:val="top"/>
          </w:tcPr>
          <w:p w14:paraId="65E61810">
            <w:pPr>
              <w:spacing w:line="241" w:lineRule="auto"/>
              <w:rPr>
                <w:rFonts w:ascii="Arial"/>
                <w:sz w:val="21"/>
              </w:rPr>
            </w:pPr>
          </w:p>
          <w:p w14:paraId="0B82DAC6">
            <w:pPr>
              <w:spacing w:line="241" w:lineRule="auto"/>
              <w:rPr>
                <w:rFonts w:ascii="Arial"/>
                <w:sz w:val="21"/>
              </w:rPr>
            </w:pPr>
          </w:p>
          <w:p w14:paraId="5FA09DEF">
            <w:pPr>
              <w:spacing w:line="241" w:lineRule="auto"/>
              <w:rPr>
                <w:rFonts w:ascii="Arial"/>
                <w:sz w:val="21"/>
              </w:rPr>
            </w:pPr>
          </w:p>
          <w:p w14:paraId="599C60A0">
            <w:pPr>
              <w:spacing w:line="241" w:lineRule="auto"/>
              <w:rPr>
                <w:rFonts w:ascii="Arial"/>
                <w:sz w:val="21"/>
              </w:rPr>
            </w:pPr>
          </w:p>
          <w:p w14:paraId="781F32DA">
            <w:pPr>
              <w:spacing w:line="241" w:lineRule="auto"/>
              <w:rPr>
                <w:rFonts w:ascii="Arial"/>
                <w:sz w:val="21"/>
              </w:rPr>
            </w:pPr>
          </w:p>
          <w:p w14:paraId="2E6DDC30">
            <w:pPr>
              <w:spacing w:line="241" w:lineRule="auto"/>
              <w:rPr>
                <w:rFonts w:ascii="Arial"/>
                <w:sz w:val="21"/>
              </w:rPr>
            </w:pPr>
          </w:p>
          <w:p w14:paraId="0E86796D">
            <w:pPr>
              <w:spacing w:line="241" w:lineRule="auto"/>
              <w:rPr>
                <w:rFonts w:ascii="Arial"/>
                <w:sz w:val="21"/>
              </w:rPr>
            </w:pPr>
          </w:p>
          <w:p w14:paraId="0B097272">
            <w:pPr>
              <w:spacing w:line="242" w:lineRule="auto"/>
              <w:rPr>
                <w:rFonts w:ascii="Arial"/>
                <w:sz w:val="21"/>
              </w:rPr>
            </w:pPr>
          </w:p>
          <w:p w14:paraId="3F861CB7">
            <w:pPr>
              <w:spacing w:line="242" w:lineRule="auto"/>
              <w:rPr>
                <w:rFonts w:ascii="Arial"/>
                <w:sz w:val="21"/>
              </w:rPr>
            </w:pPr>
          </w:p>
          <w:p w14:paraId="701B00A0">
            <w:pPr>
              <w:spacing w:line="242" w:lineRule="auto"/>
              <w:rPr>
                <w:rFonts w:ascii="Arial"/>
                <w:sz w:val="21"/>
              </w:rPr>
            </w:pPr>
          </w:p>
          <w:p w14:paraId="0FB6F719">
            <w:pPr>
              <w:spacing w:line="242" w:lineRule="auto"/>
              <w:rPr>
                <w:rFonts w:ascii="Arial"/>
                <w:sz w:val="21"/>
              </w:rPr>
            </w:pPr>
          </w:p>
          <w:p w14:paraId="6A4BEAF0">
            <w:pPr>
              <w:spacing w:line="242" w:lineRule="auto"/>
              <w:rPr>
                <w:rFonts w:ascii="Arial"/>
                <w:sz w:val="21"/>
              </w:rPr>
            </w:pPr>
          </w:p>
          <w:p w14:paraId="4DF51948">
            <w:pPr>
              <w:spacing w:line="242" w:lineRule="auto"/>
              <w:rPr>
                <w:rFonts w:ascii="Arial"/>
                <w:sz w:val="21"/>
              </w:rPr>
            </w:pPr>
          </w:p>
          <w:p w14:paraId="2800A4B1">
            <w:pPr>
              <w:spacing w:line="242" w:lineRule="auto"/>
              <w:rPr>
                <w:rFonts w:ascii="Arial"/>
                <w:sz w:val="21"/>
              </w:rPr>
            </w:pPr>
          </w:p>
          <w:p w14:paraId="33D09F0A">
            <w:pPr>
              <w:spacing w:line="242" w:lineRule="auto"/>
              <w:rPr>
                <w:rFonts w:ascii="Arial"/>
                <w:sz w:val="21"/>
              </w:rPr>
            </w:pPr>
          </w:p>
          <w:p w14:paraId="40258E67">
            <w:pPr>
              <w:spacing w:before="65" w:line="228" w:lineRule="auto"/>
              <w:ind w:left="175"/>
              <w:rPr>
                <w:rFonts w:ascii="宋体" w:hAnsi="宋体" w:eastAsia="宋体" w:cs="宋体"/>
                <w:sz w:val="20"/>
                <w:szCs w:val="20"/>
              </w:rPr>
            </w:pPr>
            <w:r>
              <w:rPr>
                <w:rFonts w:ascii="宋体" w:hAnsi="宋体" w:eastAsia="宋体" w:cs="宋体"/>
                <w:spacing w:val="3"/>
                <w:sz w:val="20"/>
                <w:szCs w:val="20"/>
              </w:rPr>
              <w:t>符合</w:t>
            </w:r>
          </w:p>
        </w:tc>
        <w:tc>
          <w:tcPr>
            <w:tcW w:w="122" w:type="dxa"/>
            <w:tcBorders>
              <w:top w:val="nil"/>
              <w:bottom w:val="nil"/>
              <w:right w:val="single" w:color="000000" w:sz="6" w:space="0"/>
            </w:tcBorders>
            <w:vAlign w:val="top"/>
          </w:tcPr>
          <w:p w14:paraId="7CA31413">
            <w:pPr>
              <w:rPr>
                <w:rFonts w:ascii="Arial"/>
                <w:sz w:val="21"/>
              </w:rPr>
            </w:pPr>
          </w:p>
        </w:tc>
      </w:tr>
      <w:tr w14:paraId="6F21A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5" w:hRule="atLeast"/>
        </w:trPr>
        <w:tc>
          <w:tcPr>
            <w:tcW w:w="1161" w:type="dxa"/>
            <w:vMerge w:val="continue"/>
            <w:tcBorders>
              <w:top w:val="nil"/>
              <w:left w:val="single" w:color="000000" w:sz="6" w:space="0"/>
              <w:bottom w:val="single" w:color="000000" w:sz="6" w:space="0"/>
            </w:tcBorders>
            <w:vAlign w:val="top"/>
          </w:tcPr>
          <w:p w14:paraId="60D69C6A">
            <w:pPr>
              <w:rPr>
                <w:rFonts w:ascii="Arial"/>
                <w:sz w:val="21"/>
              </w:rPr>
            </w:pPr>
          </w:p>
        </w:tc>
        <w:tc>
          <w:tcPr>
            <w:tcW w:w="7711" w:type="dxa"/>
            <w:gridSpan w:val="6"/>
            <w:tcBorders>
              <w:bottom w:val="single" w:color="000000" w:sz="6" w:space="0"/>
              <w:right w:val="single" w:color="000000" w:sz="6" w:space="0"/>
            </w:tcBorders>
            <w:vAlign w:val="top"/>
          </w:tcPr>
          <w:p w14:paraId="28B9C26E">
            <w:pPr>
              <w:spacing w:before="46" w:line="186" w:lineRule="auto"/>
              <w:ind w:left="591"/>
              <w:rPr>
                <w:rFonts w:ascii="宋体" w:hAnsi="宋体" w:eastAsia="宋体" w:cs="宋体"/>
                <w:sz w:val="24"/>
                <w:szCs w:val="24"/>
              </w:rPr>
            </w:pPr>
            <w:r>
              <w:rPr>
                <w:rFonts w:ascii="宋体" w:hAnsi="宋体" w:eastAsia="宋体" w:cs="宋体"/>
                <w:spacing w:val="-1"/>
                <w:sz w:val="24"/>
                <w:szCs w:val="24"/>
              </w:rPr>
              <w:t>综上所述，项目与《</w:t>
            </w:r>
            <w:r>
              <w:rPr>
                <w:rFonts w:ascii="Times New Roman" w:hAnsi="Times New Roman" w:eastAsia="Times New Roman" w:cs="Times New Roman"/>
                <w:spacing w:val="-1"/>
                <w:sz w:val="24"/>
                <w:szCs w:val="24"/>
              </w:rPr>
              <w:t>2020</w:t>
            </w:r>
            <w:r>
              <w:rPr>
                <w:rFonts w:ascii="宋体" w:hAnsi="宋体" w:eastAsia="宋体" w:cs="宋体"/>
                <w:spacing w:val="-1"/>
                <w:sz w:val="24"/>
                <w:szCs w:val="24"/>
              </w:rPr>
              <w:t>年挥发性有机</w:t>
            </w:r>
            <w:r>
              <w:rPr>
                <w:rFonts w:ascii="微软雅黑" w:hAnsi="微软雅黑" w:eastAsia="微软雅黑" w:cs="微软雅黑"/>
                <w:spacing w:val="-1"/>
                <w:sz w:val="24"/>
                <w:szCs w:val="24"/>
              </w:rPr>
              <w:t>物</w:t>
            </w:r>
            <w:r>
              <w:rPr>
                <w:rFonts w:ascii="宋体" w:hAnsi="宋体" w:eastAsia="宋体" w:cs="宋体"/>
                <w:spacing w:val="-1"/>
                <w:sz w:val="24"/>
                <w:szCs w:val="24"/>
              </w:rPr>
              <w:t>治理攻坚方案》相符。</w:t>
            </w:r>
          </w:p>
          <w:p w14:paraId="790C45EE">
            <w:pPr>
              <w:spacing w:before="146" w:line="220" w:lineRule="auto"/>
              <w:ind w:left="652"/>
              <w:rPr>
                <w:rFonts w:ascii="宋体" w:hAnsi="宋体" w:eastAsia="宋体" w:cs="宋体"/>
                <w:sz w:val="24"/>
                <w:szCs w:val="24"/>
              </w:rPr>
            </w:pPr>
            <w:r>
              <w:rPr>
                <w:rFonts w:ascii="Times New Roman" w:hAnsi="Times New Roman" w:eastAsia="Times New Roman" w:cs="Times New Roman"/>
                <w:b/>
                <w:bCs/>
                <w:spacing w:val="18"/>
                <w:sz w:val="24"/>
                <w:szCs w:val="24"/>
              </w:rPr>
              <w:t>12</w:t>
            </w:r>
            <w:r>
              <w:rPr>
                <w:rFonts w:ascii="Times New Roman" w:hAnsi="Times New Roman" w:eastAsia="Times New Roman" w:cs="Times New Roman"/>
                <w:b/>
                <w:bCs/>
                <w:spacing w:val="-14"/>
                <w:sz w:val="24"/>
                <w:szCs w:val="24"/>
              </w:rPr>
              <w:t xml:space="preserve"> </w:t>
            </w:r>
            <w:r>
              <w:rPr>
                <w:rFonts w:ascii="宋体" w:hAnsi="宋体" w:eastAsia="宋体" w:cs="宋体"/>
                <w:b/>
                <w:bCs/>
                <w:spacing w:val="18"/>
                <w:sz w:val="24"/>
                <w:szCs w:val="24"/>
              </w:rPr>
              <w:t>、与周边环境的相容性分析</w:t>
            </w:r>
          </w:p>
          <w:p w14:paraId="3E960F49">
            <w:pPr>
              <w:spacing w:before="180" w:line="355" w:lineRule="auto"/>
              <w:ind w:left="107" w:right="102" w:firstLine="484"/>
              <w:jc w:val="both"/>
              <w:rPr>
                <w:rFonts w:ascii="宋体" w:hAnsi="宋体" w:eastAsia="宋体" w:cs="宋体"/>
                <w:sz w:val="24"/>
                <w:szCs w:val="24"/>
              </w:rPr>
            </w:pPr>
            <w:r>
              <w:rPr>
                <w:rFonts w:ascii="宋体" w:hAnsi="宋体" w:eastAsia="宋体" w:cs="宋体"/>
                <w:spacing w:val="1"/>
                <w:sz w:val="24"/>
                <w:szCs w:val="24"/>
              </w:rPr>
              <w:t>项目位于云南昆明市寻甸县金所园区，根据实地调查，项目周边企</w:t>
            </w:r>
            <w:r>
              <w:rPr>
                <w:rFonts w:ascii="宋体" w:hAnsi="宋体" w:eastAsia="宋体" w:cs="宋体"/>
                <w:spacing w:val="2"/>
                <w:sz w:val="24"/>
                <w:szCs w:val="24"/>
              </w:rPr>
              <w:t>业多为家具设备生产及仓库，没有高污染企</w:t>
            </w:r>
            <w:r>
              <w:rPr>
                <w:rFonts w:ascii="宋体" w:hAnsi="宋体" w:eastAsia="宋体" w:cs="宋体"/>
                <w:spacing w:val="1"/>
                <w:sz w:val="24"/>
                <w:szCs w:val="24"/>
              </w:rPr>
              <w:t>业，对本项目影响较小，项</w:t>
            </w:r>
            <w:r>
              <w:rPr>
                <w:rFonts w:ascii="宋体" w:hAnsi="宋体" w:eastAsia="宋体" w:cs="宋体"/>
                <w:spacing w:val="2"/>
                <w:sz w:val="24"/>
                <w:szCs w:val="24"/>
              </w:rPr>
              <w:t>目配套的水、电、天然气等市政设施已基本</w:t>
            </w:r>
            <w:r>
              <w:rPr>
                <w:rFonts w:ascii="宋体" w:hAnsi="宋体" w:eastAsia="宋体" w:cs="宋体"/>
                <w:spacing w:val="1"/>
                <w:sz w:val="24"/>
                <w:szCs w:val="24"/>
              </w:rPr>
              <w:t>配置到位。项目周边企业多为木材加工、家具加工、销售及仓库，周边企业污染物主要为颗粒物、</w:t>
            </w:r>
          </w:p>
        </w:tc>
      </w:tr>
    </w:tbl>
    <w:p w14:paraId="0E2E0A43">
      <w:pPr>
        <w:pStyle w:val="2"/>
      </w:pPr>
    </w:p>
    <w:p w14:paraId="3355DA41">
      <w:pPr>
        <w:sectPr>
          <w:footerReference r:id="rId44" w:type="default"/>
          <w:pgSz w:w="11906" w:h="16839"/>
          <w:pgMar w:top="400" w:right="1509" w:bottom="1329" w:left="1509" w:header="0" w:footer="1113" w:gutter="0"/>
          <w:cols w:space="720" w:num="1"/>
        </w:sectPr>
      </w:pPr>
    </w:p>
    <w:p w14:paraId="62DF8F44">
      <w:pPr>
        <w:spacing w:before="19"/>
      </w:pPr>
    </w:p>
    <w:p w14:paraId="60AECD76">
      <w:pPr>
        <w:spacing w:before="19"/>
      </w:pPr>
    </w:p>
    <w:p w14:paraId="3BE474E0">
      <w:pPr>
        <w:spacing w:before="19"/>
      </w:pPr>
    </w:p>
    <w:p w14:paraId="5DBE3173">
      <w:pPr>
        <w:spacing w:before="18"/>
      </w:pPr>
    </w:p>
    <w:p w14:paraId="3416FAE4">
      <w:pPr>
        <w:spacing w:before="18"/>
      </w:pPr>
    </w:p>
    <w:tbl>
      <w:tblPr>
        <w:tblStyle w:val="10"/>
        <w:tblW w:w="887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61"/>
        <w:gridCol w:w="7711"/>
      </w:tblGrid>
      <w:tr w14:paraId="741C5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90" w:hRule="atLeast"/>
        </w:trPr>
        <w:tc>
          <w:tcPr>
            <w:tcW w:w="1161" w:type="dxa"/>
            <w:tcBorders>
              <w:right w:val="single" w:color="000000" w:sz="2" w:space="0"/>
            </w:tcBorders>
            <w:vAlign w:val="top"/>
          </w:tcPr>
          <w:p w14:paraId="22779BC3">
            <w:pPr>
              <w:rPr>
                <w:rFonts w:ascii="Arial"/>
                <w:sz w:val="21"/>
              </w:rPr>
            </w:pPr>
          </w:p>
        </w:tc>
        <w:tc>
          <w:tcPr>
            <w:tcW w:w="7711" w:type="dxa"/>
            <w:tcBorders>
              <w:left w:val="single" w:color="000000" w:sz="2" w:space="0"/>
            </w:tcBorders>
            <w:vAlign w:val="top"/>
          </w:tcPr>
          <w:p w14:paraId="181B03D8">
            <w:pPr>
              <w:spacing w:before="32" w:line="359" w:lineRule="auto"/>
              <w:ind w:left="107" w:right="102" w:firstLine="4"/>
              <w:jc w:val="both"/>
              <w:rPr>
                <w:rFonts w:ascii="宋体" w:hAnsi="宋体" w:eastAsia="宋体" w:cs="宋体"/>
                <w:sz w:val="24"/>
                <w:szCs w:val="24"/>
              </w:rPr>
            </w:pPr>
            <w:r>
              <w:rPr>
                <w:rFonts w:ascii="宋体" w:hAnsi="宋体" w:eastAsia="宋体" w:cs="宋体"/>
                <w:spacing w:val="1"/>
                <w:sz w:val="24"/>
                <w:szCs w:val="24"/>
              </w:rPr>
              <w:t>二氧化硫、氮氧化物、非甲烷总烃，与厂区主要污染物一致。离项目最</w:t>
            </w:r>
            <w:r>
              <w:rPr>
                <w:rFonts w:ascii="宋体" w:hAnsi="宋体" w:eastAsia="宋体" w:cs="宋体"/>
                <w:spacing w:val="2"/>
                <w:sz w:val="24"/>
                <w:szCs w:val="24"/>
              </w:rPr>
              <w:t>近的保护目标为北侧</w:t>
            </w:r>
            <w:r>
              <w:rPr>
                <w:rFonts w:ascii="宋体" w:hAnsi="宋体" w:eastAsia="宋体" w:cs="宋体"/>
                <w:spacing w:val="-38"/>
                <w:sz w:val="24"/>
                <w:szCs w:val="24"/>
              </w:rPr>
              <w:t xml:space="preserve"> </w:t>
            </w:r>
            <w:r>
              <w:rPr>
                <w:rFonts w:ascii="Times New Roman" w:hAnsi="Times New Roman" w:eastAsia="Times New Roman" w:cs="Times New Roman"/>
                <w:spacing w:val="2"/>
                <w:sz w:val="24"/>
                <w:szCs w:val="24"/>
              </w:rPr>
              <w:t>425m</w:t>
            </w:r>
            <w:r>
              <w:rPr>
                <w:rFonts w:ascii="Times New Roman" w:hAnsi="Times New Roman" w:eastAsia="Times New Roman" w:cs="Times New Roman"/>
                <w:spacing w:val="17"/>
                <w:w w:val="101"/>
                <w:sz w:val="24"/>
                <w:szCs w:val="24"/>
              </w:rPr>
              <w:t xml:space="preserve"> </w:t>
            </w:r>
            <w:r>
              <w:rPr>
                <w:rFonts w:ascii="宋体" w:hAnsi="宋体" w:eastAsia="宋体" w:cs="宋体"/>
                <w:spacing w:val="2"/>
                <w:sz w:val="24"/>
                <w:szCs w:val="24"/>
              </w:rPr>
              <w:t>处的散户，本项目为扩建项目，使用的生产</w:t>
            </w:r>
            <w:r>
              <w:rPr>
                <w:rFonts w:ascii="宋体" w:hAnsi="宋体" w:eastAsia="宋体" w:cs="宋体"/>
                <w:spacing w:val="14"/>
                <w:sz w:val="24"/>
                <w:szCs w:val="24"/>
              </w:rPr>
              <w:t>原料</w:t>
            </w:r>
            <w:r>
              <w:rPr>
                <w:rFonts w:ascii="宋体" w:hAnsi="宋体" w:eastAsia="宋体" w:cs="宋体"/>
                <w:spacing w:val="-34"/>
                <w:sz w:val="24"/>
                <w:szCs w:val="24"/>
              </w:rPr>
              <w:t xml:space="preserve"> </w:t>
            </w:r>
            <w:r>
              <w:rPr>
                <w:rFonts w:ascii="Times New Roman" w:hAnsi="Times New Roman" w:eastAsia="Times New Roman" w:cs="Times New Roman"/>
                <w:sz w:val="24"/>
                <w:szCs w:val="24"/>
              </w:rPr>
              <w:t>PP</w:t>
            </w:r>
            <w:r>
              <w:rPr>
                <w:rFonts w:ascii="Times New Roman" w:hAnsi="Times New Roman" w:eastAsia="Times New Roman" w:cs="Times New Roman"/>
                <w:spacing w:val="33"/>
                <w:sz w:val="24"/>
                <w:szCs w:val="24"/>
              </w:rPr>
              <w:t xml:space="preserve"> </w:t>
            </w:r>
            <w:r>
              <w:rPr>
                <w:rFonts w:ascii="宋体" w:hAnsi="宋体" w:eastAsia="宋体" w:cs="宋体"/>
                <w:spacing w:val="14"/>
                <w:sz w:val="24"/>
                <w:szCs w:val="24"/>
              </w:rPr>
              <w:t>均为合格品；</w:t>
            </w:r>
            <w:r>
              <w:rPr>
                <w:rFonts w:ascii="宋体" w:hAnsi="宋体" w:eastAsia="宋体" w:cs="宋体"/>
                <w:spacing w:val="-66"/>
                <w:sz w:val="24"/>
                <w:szCs w:val="24"/>
              </w:rPr>
              <w:t xml:space="preserve"> </w:t>
            </w:r>
            <w:r>
              <w:rPr>
                <w:rFonts w:ascii="宋体" w:hAnsi="宋体" w:eastAsia="宋体" w:cs="宋体"/>
                <w:spacing w:val="14"/>
                <w:sz w:val="24"/>
                <w:szCs w:val="24"/>
              </w:rPr>
              <w:t>废气经集气罩</w:t>
            </w:r>
            <w:r>
              <w:rPr>
                <w:rFonts w:ascii="Times New Roman" w:hAnsi="Times New Roman" w:eastAsia="Times New Roman" w:cs="Times New Roman"/>
                <w:spacing w:val="14"/>
                <w:sz w:val="24"/>
                <w:szCs w:val="24"/>
              </w:rPr>
              <w:t>+</w:t>
            </w:r>
            <w:r>
              <w:rPr>
                <w:rFonts w:ascii="Times New Roman" w:hAnsi="Times New Roman" w:eastAsia="Times New Roman" w:cs="Times New Roman"/>
                <w:spacing w:val="-27"/>
                <w:sz w:val="24"/>
                <w:szCs w:val="24"/>
              </w:rPr>
              <w:t xml:space="preserve"> </w:t>
            </w:r>
            <w:r>
              <w:rPr>
                <w:rFonts w:ascii="宋体" w:hAnsi="宋体" w:eastAsia="宋体" w:cs="宋体"/>
                <w:spacing w:val="14"/>
                <w:sz w:val="24"/>
                <w:szCs w:val="24"/>
              </w:rPr>
              <w:t>三级活性炭吸附</w:t>
            </w:r>
            <w:r>
              <w:rPr>
                <w:rFonts w:ascii="Times New Roman" w:hAnsi="Times New Roman" w:eastAsia="Times New Roman" w:cs="Times New Roman"/>
                <w:spacing w:val="14"/>
                <w:sz w:val="24"/>
                <w:szCs w:val="24"/>
              </w:rPr>
              <w:t>+15m</w:t>
            </w:r>
            <w:r>
              <w:rPr>
                <w:rFonts w:ascii="Times New Roman" w:hAnsi="Times New Roman" w:eastAsia="Times New Roman" w:cs="Times New Roman"/>
                <w:spacing w:val="34"/>
                <w:sz w:val="24"/>
                <w:szCs w:val="24"/>
              </w:rPr>
              <w:t xml:space="preserve"> </w:t>
            </w:r>
            <w:r>
              <w:rPr>
                <w:rFonts w:ascii="宋体" w:hAnsi="宋体" w:eastAsia="宋体" w:cs="宋体"/>
                <w:spacing w:val="14"/>
                <w:sz w:val="24"/>
                <w:szCs w:val="24"/>
              </w:rPr>
              <w:t>排气筒</w:t>
            </w:r>
            <w:r>
              <w:rPr>
                <w:rFonts w:ascii="宋体" w:hAnsi="宋体" w:eastAsia="宋体" w:cs="宋体"/>
                <w:spacing w:val="2"/>
                <w:sz w:val="24"/>
                <w:szCs w:val="24"/>
              </w:rPr>
              <w:t>（</w:t>
            </w:r>
            <w:r>
              <w:rPr>
                <w:rFonts w:ascii="Times New Roman" w:hAnsi="Times New Roman" w:eastAsia="Times New Roman" w:cs="Times New Roman"/>
                <w:sz w:val="24"/>
                <w:szCs w:val="24"/>
              </w:rPr>
              <w:t>DA</w:t>
            </w:r>
            <w:r>
              <w:rPr>
                <w:rFonts w:ascii="Times New Roman" w:hAnsi="Times New Roman" w:eastAsia="Times New Roman" w:cs="Times New Roman"/>
                <w:spacing w:val="2"/>
                <w:sz w:val="24"/>
                <w:szCs w:val="24"/>
              </w:rPr>
              <w:t>005</w:t>
            </w:r>
            <w:r>
              <w:rPr>
                <w:rFonts w:ascii="宋体" w:hAnsi="宋体" w:eastAsia="宋体" w:cs="宋体"/>
                <w:spacing w:val="2"/>
                <w:sz w:val="24"/>
                <w:szCs w:val="24"/>
              </w:rPr>
              <w:t>）处理后可达标排放，对大气环境影响较小；厂区实施雨污分流排水体制，雨水经厂区雨水沟收集后排入</w:t>
            </w:r>
            <w:r>
              <w:rPr>
                <w:rFonts w:ascii="宋体" w:hAnsi="宋体" w:eastAsia="宋体" w:cs="宋体"/>
                <w:spacing w:val="1"/>
                <w:sz w:val="24"/>
                <w:szCs w:val="24"/>
              </w:rPr>
              <w:t>园区雨水管网；本项目为扩建项目在已建厂房新增</w:t>
            </w:r>
            <w:r>
              <w:rPr>
                <w:rFonts w:ascii="宋体" w:hAnsi="宋体" w:eastAsia="宋体" w:cs="宋体"/>
                <w:spacing w:val="-29"/>
                <w:sz w:val="24"/>
                <w:szCs w:val="24"/>
              </w:rPr>
              <w:t xml:space="preserve"> </w:t>
            </w: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条塑料筐生产线</w:t>
            </w:r>
            <w:r>
              <w:rPr>
                <w:rFonts w:ascii="宋体" w:hAnsi="宋体" w:eastAsia="宋体" w:cs="宋体"/>
                <w:sz w:val="24"/>
                <w:szCs w:val="24"/>
              </w:rPr>
              <w:t>，无生产废水，生活污水经化</w:t>
            </w:r>
            <w:r>
              <w:rPr>
                <w:rFonts w:ascii="宋体" w:hAnsi="宋体" w:eastAsia="宋体" w:cs="宋体"/>
                <w:spacing w:val="-3"/>
                <w:sz w:val="24"/>
                <w:szCs w:val="24"/>
              </w:rPr>
              <w:t>粪池</w:t>
            </w:r>
            <w:r>
              <w:rPr>
                <w:rFonts w:ascii="Times New Roman" w:hAnsi="Times New Roman" w:eastAsia="Times New Roman" w:cs="Times New Roman"/>
                <w:spacing w:val="-3"/>
                <w:sz w:val="24"/>
                <w:szCs w:val="24"/>
              </w:rPr>
              <w:t>+</w:t>
            </w:r>
            <w:r>
              <w:rPr>
                <w:rFonts w:ascii="宋体" w:hAnsi="宋体" w:eastAsia="宋体" w:cs="宋体"/>
                <w:spacing w:val="-3"/>
                <w:sz w:val="24"/>
                <w:szCs w:val="24"/>
              </w:rPr>
              <w:t>一体化污水处理设施处理后回用于绿化，不改变废水治理措施，项</w:t>
            </w:r>
            <w:r>
              <w:rPr>
                <w:rFonts w:ascii="宋体" w:hAnsi="宋体" w:eastAsia="宋体" w:cs="宋体"/>
                <w:spacing w:val="1"/>
                <w:sz w:val="24"/>
                <w:szCs w:val="24"/>
              </w:rPr>
              <w:t>目区周边大多为家具制造等污染较轻的企业，项目与周围企业无相互干</w:t>
            </w:r>
            <w:r>
              <w:rPr>
                <w:rFonts w:ascii="宋体" w:hAnsi="宋体" w:eastAsia="宋体" w:cs="宋体"/>
                <w:spacing w:val="-2"/>
                <w:sz w:val="24"/>
                <w:szCs w:val="24"/>
              </w:rPr>
              <w:t>扰的因素。</w:t>
            </w:r>
          </w:p>
          <w:p w14:paraId="0CEEF3B9">
            <w:pPr>
              <w:spacing w:line="359" w:lineRule="auto"/>
              <w:ind w:left="110" w:right="102" w:firstLine="480"/>
              <w:rPr>
                <w:rFonts w:ascii="宋体" w:hAnsi="宋体" w:eastAsia="宋体" w:cs="宋体"/>
                <w:sz w:val="24"/>
                <w:szCs w:val="24"/>
              </w:rPr>
            </w:pPr>
            <w:r>
              <w:rPr>
                <w:rFonts w:ascii="宋体" w:hAnsi="宋体" w:eastAsia="宋体" w:cs="宋体"/>
                <w:spacing w:val="1"/>
                <w:sz w:val="24"/>
                <w:szCs w:val="24"/>
              </w:rPr>
              <w:t>综上，项目建设场地条件、交通运输、环境保护和水、电、通信等</w:t>
            </w:r>
            <w:r>
              <w:rPr>
                <w:rFonts w:ascii="宋体" w:hAnsi="宋体" w:eastAsia="宋体" w:cs="宋体"/>
                <w:spacing w:val="-1"/>
                <w:sz w:val="24"/>
                <w:szCs w:val="24"/>
              </w:rPr>
              <w:t>条件好，无重大的环境制约因素，与周边环境相容。</w:t>
            </w:r>
          </w:p>
          <w:p w14:paraId="5BDEF4B6">
            <w:pPr>
              <w:spacing w:line="220" w:lineRule="auto"/>
              <w:ind w:left="594"/>
              <w:rPr>
                <w:rFonts w:ascii="宋体" w:hAnsi="宋体" w:eastAsia="宋体" w:cs="宋体"/>
                <w:sz w:val="24"/>
                <w:szCs w:val="24"/>
              </w:rPr>
            </w:pPr>
            <w:r>
              <w:rPr>
                <w:rFonts w:ascii="Times New Roman" w:hAnsi="Times New Roman" w:eastAsia="Times New Roman" w:cs="Times New Roman"/>
                <w:b/>
                <w:bCs/>
                <w:spacing w:val="-6"/>
                <w:sz w:val="24"/>
                <w:szCs w:val="24"/>
              </w:rPr>
              <w:t>13</w:t>
            </w:r>
            <w:r>
              <w:rPr>
                <w:rFonts w:ascii="Times New Roman" w:hAnsi="Times New Roman" w:eastAsia="Times New Roman" w:cs="Times New Roman"/>
                <w:b/>
                <w:bCs/>
                <w:spacing w:val="-30"/>
                <w:sz w:val="24"/>
                <w:szCs w:val="24"/>
              </w:rPr>
              <w:t xml:space="preserve"> </w:t>
            </w:r>
            <w:r>
              <w:rPr>
                <w:rFonts w:ascii="宋体" w:hAnsi="宋体" w:eastAsia="宋体" w:cs="宋体"/>
                <w:b/>
                <w:bCs/>
                <w:spacing w:val="-6"/>
                <w:sz w:val="24"/>
                <w:szCs w:val="24"/>
              </w:rPr>
              <w:t>、选址合理性分析</w:t>
            </w:r>
          </w:p>
          <w:p w14:paraId="7D1DE85E">
            <w:pPr>
              <w:spacing w:before="183" w:line="359" w:lineRule="auto"/>
              <w:ind w:left="107" w:right="40" w:firstLine="484"/>
              <w:jc w:val="both"/>
              <w:rPr>
                <w:rFonts w:ascii="宋体" w:hAnsi="宋体" w:eastAsia="宋体" w:cs="宋体"/>
                <w:sz w:val="24"/>
                <w:szCs w:val="24"/>
              </w:rPr>
            </w:pPr>
            <w:r>
              <w:rPr>
                <w:rFonts w:ascii="宋体" w:hAnsi="宋体" w:eastAsia="宋体" w:cs="宋体"/>
                <w:spacing w:val="1"/>
                <w:sz w:val="24"/>
                <w:szCs w:val="24"/>
              </w:rPr>
              <w:t>项目位于云南省昆明市寻甸县金所片区，属于云南寻甸产业园金所</w:t>
            </w:r>
            <w:r>
              <w:rPr>
                <w:rFonts w:ascii="宋体" w:hAnsi="宋体" w:eastAsia="宋体" w:cs="宋体"/>
                <w:spacing w:val="2"/>
                <w:sz w:val="24"/>
                <w:szCs w:val="24"/>
              </w:rPr>
              <w:t>片区，属工业用地，符合园区规划。项目区</w:t>
            </w:r>
            <w:r>
              <w:rPr>
                <w:rFonts w:ascii="宋体" w:hAnsi="宋体" w:eastAsia="宋体" w:cs="宋体"/>
                <w:spacing w:val="1"/>
                <w:sz w:val="24"/>
                <w:szCs w:val="24"/>
              </w:rPr>
              <w:t>不涉及自然保护区、风景名</w:t>
            </w:r>
            <w:r>
              <w:rPr>
                <w:rFonts w:ascii="宋体" w:hAnsi="宋体" w:eastAsia="宋体" w:cs="宋体"/>
                <w:spacing w:val="2"/>
                <w:sz w:val="24"/>
                <w:szCs w:val="24"/>
              </w:rPr>
              <w:t>胜区、生态功能保护区等需特殊保护的环境</w:t>
            </w:r>
            <w:r>
              <w:rPr>
                <w:rFonts w:ascii="宋体" w:hAnsi="宋体" w:eastAsia="宋体" w:cs="宋体"/>
                <w:spacing w:val="1"/>
                <w:sz w:val="24"/>
                <w:szCs w:val="24"/>
              </w:rPr>
              <w:t>敏感区，不涉及生态保护红</w:t>
            </w:r>
            <w:r>
              <w:rPr>
                <w:rFonts w:ascii="宋体" w:hAnsi="宋体" w:eastAsia="宋体" w:cs="宋体"/>
                <w:spacing w:val="2"/>
                <w:sz w:val="24"/>
                <w:szCs w:val="24"/>
              </w:rPr>
              <w:t>线。由于园区基础设施的建设，所选场地在</w:t>
            </w:r>
            <w:r>
              <w:rPr>
                <w:rFonts w:ascii="宋体" w:hAnsi="宋体" w:eastAsia="宋体" w:cs="宋体"/>
                <w:spacing w:val="1"/>
                <w:sz w:val="24"/>
                <w:szCs w:val="24"/>
              </w:rPr>
              <w:t>供电、供水、交通等基础条</w:t>
            </w:r>
            <w:r>
              <w:rPr>
                <w:rFonts w:ascii="宋体" w:hAnsi="宋体" w:eastAsia="宋体" w:cs="宋体"/>
                <w:spacing w:val="2"/>
                <w:sz w:val="24"/>
                <w:szCs w:val="24"/>
              </w:rPr>
              <w:t>件十分便利。本项目为扩建项目，在园区已</w:t>
            </w:r>
            <w:r>
              <w:rPr>
                <w:rFonts w:ascii="宋体" w:hAnsi="宋体" w:eastAsia="宋体" w:cs="宋体"/>
                <w:spacing w:val="1"/>
                <w:sz w:val="24"/>
                <w:szCs w:val="24"/>
              </w:rPr>
              <w:t>建厂房内生产，实施雨污分</w:t>
            </w:r>
            <w:r>
              <w:rPr>
                <w:rFonts w:ascii="宋体" w:hAnsi="宋体" w:eastAsia="宋体" w:cs="宋体"/>
                <w:spacing w:val="-4"/>
                <w:sz w:val="24"/>
                <w:szCs w:val="24"/>
              </w:rPr>
              <w:t>流排水体制，雨水经厂区雨水沟收集后排入园区雨水管网，无生产废水，</w:t>
            </w:r>
            <w:r>
              <w:rPr>
                <w:rFonts w:ascii="宋体" w:hAnsi="宋体" w:eastAsia="宋体" w:cs="宋体"/>
                <w:spacing w:val="-3"/>
                <w:sz w:val="24"/>
                <w:szCs w:val="24"/>
              </w:rPr>
              <w:t>生活污水经化粪池</w:t>
            </w:r>
            <w:r>
              <w:rPr>
                <w:rFonts w:ascii="Times New Roman" w:hAnsi="Times New Roman" w:eastAsia="Times New Roman" w:cs="Times New Roman"/>
                <w:spacing w:val="-3"/>
                <w:sz w:val="24"/>
                <w:szCs w:val="24"/>
              </w:rPr>
              <w:t>+</w:t>
            </w:r>
            <w:r>
              <w:rPr>
                <w:rFonts w:ascii="宋体" w:hAnsi="宋体" w:eastAsia="宋体" w:cs="宋体"/>
                <w:spacing w:val="-3"/>
                <w:sz w:val="24"/>
                <w:szCs w:val="24"/>
              </w:rPr>
              <w:t>一体化污水处理设施处理后回用于绿化，不改变废水</w:t>
            </w:r>
            <w:r>
              <w:rPr>
                <w:rFonts w:ascii="宋体" w:hAnsi="宋体" w:eastAsia="宋体" w:cs="宋体"/>
                <w:spacing w:val="1"/>
                <w:sz w:val="24"/>
                <w:szCs w:val="24"/>
              </w:rPr>
              <w:t>治理措施，废气经集气罩</w:t>
            </w:r>
            <w:r>
              <w:rPr>
                <w:rFonts w:ascii="Times New Roman" w:hAnsi="Times New Roman" w:eastAsia="Times New Roman" w:cs="Times New Roman"/>
                <w:spacing w:val="1"/>
                <w:sz w:val="24"/>
                <w:szCs w:val="24"/>
              </w:rPr>
              <w:t>+</w:t>
            </w:r>
            <w:r>
              <w:rPr>
                <w:rFonts w:ascii="宋体" w:hAnsi="宋体" w:eastAsia="宋体" w:cs="宋体"/>
                <w:spacing w:val="1"/>
                <w:sz w:val="24"/>
                <w:szCs w:val="24"/>
              </w:rPr>
              <w:t>三级活性炭吸附</w:t>
            </w:r>
            <w:r>
              <w:rPr>
                <w:rFonts w:ascii="Times New Roman" w:hAnsi="Times New Roman" w:eastAsia="Times New Roman" w:cs="Times New Roman"/>
                <w:spacing w:val="1"/>
                <w:sz w:val="24"/>
                <w:szCs w:val="24"/>
              </w:rPr>
              <w:t xml:space="preserve">+15m </w:t>
            </w:r>
            <w:r>
              <w:rPr>
                <w:rFonts w:ascii="宋体" w:hAnsi="宋体" w:eastAsia="宋体" w:cs="宋体"/>
                <w:spacing w:val="1"/>
                <w:sz w:val="24"/>
                <w:szCs w:val="24"/>
              </w:rPr>
              <w:t>排气</w:t>
            </w:r>
            <w:r>
              <w:rPr>
                <w:rFonts w:ascii="宋体" w:hAnsi="宋体" w:eastAsia="宋体" w:cs="宋体"/>
                <w:sz w:val="24"/>
                <w:szCs w:val="24"/>
              </w:rPr>
              <w:t>筒（</w:t>
            </w:r>
            <w:r>
              <w:rPr>
                <w:rFonts w:ascii="Times New Roman" w:hAnsi="Times New Roman" w:eastAsia="Times New Roman" w:cs="Times New Roman"/>
                <w:sz w:val="24"/>
                <w:szCs w:val="24"/>
              </w:rPr>
              <w:t>DA005</w:t>
            </w:r>
            <w:r>
              <w:rPr>
                <w:rFonts w:ascii="宋体" w:hAnsi="宋体" w:eastAsia="宋体" w:cs="宋体"/>
                <w:sz w:val="24"/>
                <w:szCs w:val="24"/>
              </w:rPr>
              <w:t>）处理</w:t>
            </w:r>
            <w:r>
              <w:rPr>
                <w:rFonts w:ascii="宋体" w:hAnsi="宋体" w:eastAsia="宋体" w:cs="宋体"/>
                <w:spacing w:val="-4"/>
                <w:sz w:val="24"/>
                <w:szCs w:val="24"/>
              </w:rPr>
              <w:t>后可达标排放；固体废物废包装材料、边角料、不合格产品收集后外售，</w:t>
            </w:r>
            <w:r>
              <w:rPr>
                <w:rFonts w:ascii="宋体" w:hAnsi="宋体" w:eastAsia="宋体" w:cs="宋体"/>
                <w:spacing w:val="2"/>
                <w:sz w:val="24"/>
                <w:szCs w:val="24"/>
              </w:rPr>
              <w:t>危废废机油于废旧活性炭分类暂存于危废暂</w:t>
            </w:r>
            <w:r>
              <w:rPr>
                <w:rFonts w:ascii="宋体" w:hAnsi="宋体" w:eastAsia="宋体" w:cs="宋体"/>
                <w:spacing w:val="1"/>
                <w:sz w:val="24"/>
                <w:szCs w:val="24"/>
              </w:rPr>
              <w:t>存间，委托有资质单位定期</w:t>
            </w:r>
            <w:r>
              <w:rPr>
                <w:rFonts w:ascii="宋体" w:hAnsi="宋体" w:eastAsia="宋体" w:cs="宋体"/>
                <w:sz w:val="24"/>
                <w:szCs w:val="24"/>
              </w:rPr>
              <w:t>处置，项目固废能得到合理处置；项目与周围环境相容。</w:t>
            </w:r>
            <w:r>
              <w:rPr>
                <w:rFonts w:ascii="宋体" w:hAnsi="宋体" w:eastAsia="宋体" w:cs="宋体"/>
                <w:spacing w:val="-65"/>
                <w:sz w:val="24"/>
                <w:szCs w:val="24"/>
              </w:rPr>
              <w:t xml:space="preserve"> </w:t>
            </w:r>
            <w:r>
              <w:rPr>
                <w:rFonts w:ascii="宋体" w:hAnsi="宋体" w:eastAsia="宋体" w:cs="宋体"/>
                <w:sz w:val="24"/>
                <w:szCs w:val="24"/>
              </w:rPr>
              <w:t>目</w:t>
            </w:r>
            <w:r>
              <w:rPr>
                <w:rFonts w:ascii="宋体" w:hAnsi="宋体" w:eastAsia="宋体" w:cs="宋体"/>
                <w:spacing w:val="-1"/>
                <w:sz w:val="24"/>
                <w:szCs w:val="24"/>
              </w:rPr>
              <w:t>前项目周边</w:t>
            </w:r>
            <w:r>
              <w:rPr>
                <w:rFonts w:ascii="宋体" w:hAnsi="宋体" w:eastAsia="宋体" w:cs="宋体"/>
                <w:spacing w:val="2"/>
                <w:sz w:val="24"/>
                <w:szCs w:val="24"/>
              </w:rPr>
              <w:t>环境质量良好，水、电等基础设施建设完善</w:t>
            </w:r>
            <w:r>
              <w:rPr>
                <w:rFonts w:ascii="宋体" w:hAnsi="宋体" w:eastAsia="宋体" w:cs="宋体"/>
                <w:spacing w:val="1"/>
                <w:sz w:val="24"/>
                <w:szCs w:val="24"/>
              </w:rPr>
              <w:t>，外环境较简单，无重大环</w:t>
            </w:r>
            <w:r>
              <w:rPr>
                <w:rFonts w:ascii="宋体" w:hAnsi="宋体" w:eastAsia="宋体" w:cs="宋体"/>
                <w:spacing w:val="2"/>
                <w:sz w:val="24"/>
                <w:szCs w:val="24"/>
              </w:rPr>
              <w:t>境制约因素存在。建设用地周围无需要特殊</w:t>
            </w:r>
            <w:r>
              <w:rPr>
                <w:rFonts w:ascii="宋体" w:hAnsi="宋体" w:eastAsia="宋体" w:cs="宋体"/>
                <w:spacing w:val="1"/>
                <w:sz w:val="24"/>
                <w:szCs w:val="24"/>
              </w:rPr>
              <w:t>保护的文物、名胜、古迹和</w:t>
            </w:r>
            <w:r>
              <w:rPr>
                <w:rFonts w:ascii="宋体" w:hAnsi="宋体" w:eastAsia="宋体" w:cs="宋体"/>
                <w:spacing w:val="-2"/>
                <w:sz w:val="24"/>
                <w:szCs w:val="24"/>
              </w:rPr>
              <w:t>文化、</w:t>
            </w:r>
            <w:r>
              <w:rPr>
                <w:rFonts w:ascii="宋体" w:hAnsi="宋体" w:eastAsia="宋体" w:cs="宋体"/>
                <w:spacing w:val="-71"/>
                <w:sz w:val="24"/>
                <w:szCs w:val="24"/>
              </w:rPr>
              <w:t xml:space="preserve"> </w:t>
            </w:r>
            <w:r>
              <w:rPr>
                <w:rFonts w:ascii="宋体" w:hAnsi="宋体" w:eastAsia="宋体" w:cs="宋体"/>
                <w:spacing w:val="-2"/>
                <w:sz w:val="24"/>
                <w:szCs w:val="24"/>
              </w:rPr>
              <w:t>自然遗产，不属于自然保护区和风景名胜区的保护</w:t>
            </w:r>
            <w:r>
              <w:rPr>
                <w:rFonts w:ascii="宋体" w:hAnsi="宋体" w:eastAsia="宋体" w:cs="宋体"/>
                <w:spacing w:val="-3"/>
                <w:sz w:val="24"/>
                <w:szCs w:val="24"/>
              </w:rPr>
              <w:t>范围。</w:t>
            </w:r>
          </w:p>
          <w:p w14:paraId="32C55B10">
            <w:pPr>
              <w:spacing w:line="350" w:lineRule="auto"/>
              <w:ind w:left="110" w:right="102" w:firstLine="480"/>
              <w:rPr>
                <w:rFonts w:ascii="宋体" w:hAnsi="宋体" w:eastAsia="宋体" w:cs="宋体"/>
                <w:sz w:val="24"/>
                <w:szCs w:val="24"/>
              </w:rPr>
            </w:pPr>
            <w:r>
              <w:rPr>
                <w:rFonts w:ascii="宋体" w:hAnsi="宋体" w:eastAsia="宋体" w:cs="宋体"/>
                <w:spacing w:val="1"/>
                <w:sz w:val="24"/>
                <w:szCs w:val="24"/>
              </w:rPr>
              <w:t>综上，项目建设场地条件、交通运输、环境保护和水、电、通信等</w:t>
            </w:r>
            <w:r>
              <w:rPr>
                <w:rFonts w:ascii="宋体" w:hAnsi="宋体" w:eastAsia="宋体" w:cs="宋体"/>
                <w:spacing w:val="-1"/>
                <w:sz w:val="24"/>
                <w:szCs w:val="24"/>
              </w:rPr>
              <w:t>条件好，无重大的环境制约因素，项目选址合理。</w:t>
            </w:r>
          </w:p>
        </w:tc>
      </w:tr>
    </w:tbl>
    <w:p w14:paraId="36ED1DD1">
      <w:pPr>
        <w:pStyle w:val="2"/>
      </w:pPr>
    </w:p>
    <w:p w14:paraId="74CD1215">
      <w:pPr>
        <w:sectPr>
          <w:footerReference r:id="rId45" w:type="default"/>
          <w:pgSz w:w="11906" w:h="16839"/>
          <w:pgMar w:top="400" w:right="1509" w:bottom="1329" w:left="1509" w:header="0" w:footer="1113" w:gutter="0"/>
          <w:cols w:space="720" w:num="1"/>
        </w:sectPr>
      </w:pPr>
    </w:p>
    <w:p w14:paraId="5E15F146">
      <w:pPr>
        <w:spacing w:before="19"/>
      </w:pPr>
    </w:p>
    <w:p w14:paraId="6B3B1D92">
      <w:pPr>
        <w:spacing w:before="19"/>
      </w:pPr>
    </w:p>
    <w:p w14:paraId="6D0432ED">
      <w:pPr>
        <w:spacing w:before="19"/>
      </w:pPr>
    </w:p>
    <w:p w14:paraId="5C24FE0E">
      <w:pPr>
        <w:spacing w:before="18"/>
      </w:pPr>
    </w:p>
    <w:p w14:paraId="36792842">
      <w:pPr>
        <w:spacing w:before="18"/>
      </w:pPr>
    </w:p>
    <w:tbl>
      <w:tblPr>
        <w:tblStyle w:val="10"/>
        <w:tblW w:w="887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61"/>
        <w:gridCol w:w="7711"/>
      </w:tblGrid>
      <w:tr w14:paraId="3C829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9" w:hRule="atLeast"/>
        </w:trPr>
        <w:tc>
          <w:tcPr>
            <w:tcW w:w="1161" w:type="dxa"/>
            <w:tcBorders>
              <w:right w:val="single" w:color="000000" w:sz="2" w:space="0"/>
            </w:tcBorders>
            <w:vAlign w:val="top"/>
          </w:tcPr>
          <w:p w14:paraId="1645C2D6">
            <w:pPr>
              <w:rPr>
                <w:rFonts w:ascii="Arial"/>
                <w:sz w:val="21"/>
              </w:rPr>
            </w:pPr>
          </w:p>
        </w:tc>
        <w:tc>
          <w:tcPr>
            <w:tcW w:w="7711" w:type="dxa"/>
            <w:tcBorders>
              <w:left w:val="single" w:color="000000" w:sz="2" w:space="0"/>
            </w:tcBorders>
            <w:vAlign w:val="top"/>
          </w:tcPr>
          <w:p w14:paraId="28B8C8F4">
            <w:pPr>
              <w:spacing w:before="29" w:line="219" w:lineRule="auto"/>
              <w:ind w:left="594"/>
              <w:rPr>
                <w:rFonts w:ascii="宋体" w:hAnsi="宋体" w:eastAsia="宋体" w:cs="宋体"/>
                <w:sz w:val="24"/>
                <w:szCs w:val="24"/>
              </w:rPr>
            </w:pPr>
            <w:r>
              <w:rPr>
                <w:rFonts w:ascii="Times New Roman" w:hAnsi="Times New Roman" w:eastAsia="Times New Roman" w:cs="Times New Roman"/>
                <w:b/>
                <w:bCs/>
                <w:spacing w:val="-5"/>
                <w:sz w:val="24"/>
                <w:szCs w:val="24"/>
              </w:rPr>
              <w:t>14</w:t>
            </w:r>
            <w:r>
              <w:rPr>
                <w:rFonts w:ascii="Times New Roman" w:hAnsi="Times New Roman" w:eastAsia="Times New Roman" w:cs="Times New Roman"/>
                <w:b/>
                <w:bCs/>
                <w:spacing w:val="-33"/>
                <w:sz w:val="24"/>
                <w:szCs w:val="24"/>
              </w:rPr>
              <w:t xml:space="preserve"> </w:t>
            </w:r>
            <w:r>
              <w:rPr>
                <w:rFonts w:ascii="宋体" w:hAnsi="宋体" w:eastAsia="宋体" w:cs="宋体"/>
                <w:b/>
                <w:bCs/>
                <w:spacing w:val="-5"/>
                <w:sz w:val="24"/>
                <w:szCs w:val="24"/>
              </w:rPr>
              <w:t>、平面布置合理性分析</w:t>
            </w:r>
          </w:p>
          <w:p w14:paraId="2223AE27">
            <w:pPr>
              <w:spacing w:before="185" w:line="359" w:lineRule="auto"/>
              <w:ind w:left="106" w:right="40" w:firstLine="482"/>
              <w:jc w:val="both"/>
              <w:rPr>
                <w:rFonts w:ascii="宋体" w:hAnsi="宋体" w:eastAsia="宋体" w:cs="宋体"/>
                <w:sz w:val="24"/>
                <w:szCs w:val="24"/>
              </w:rPr>
            </w:pPr>
            <w:r>
              <w:rPr>
                <w:rFonts w:ascii="宋体" w:hAnsi="宋体" w:eastAsia="宋体" w:cs="宋体"/>
                <w:sz w:val="24"/>
                <w:szCs w:val="24"/>
              </w:rPr>
              <w:t>本项目为扩建项目，在已建厂房新增</w:t>
            </w:r>
            <w:r>
              <w:rPr>
                <w:rFonts w:ascii="宋体" w:hAnsi="宋体" w:eastAsia="宋体" w:cs="宋体"/>
                <w:spacing w:val="-12"/>
                <w:sz w:val="24"/>
                <w:szCs w:val="24"/>
              </w:rPr>
              <w:t xml:space="preserve"> </w:t>
            </w:r>
            <w:r>
              <w:rPr>
                <w:rFonts w:ascii="Times New Roman" w:hAnsi="Times New Roman" w:eastAsia="Times New Roman" w:cs="Times New Roman"/>
                <w:sz w:val="24"/>
                <w:szCs w:val="24"/>
              </w:rPr>
              <w:t xml:space="preserve">1 </w:t>
            </w:r>
            <w:r>
              <w:rPr>
                <w:rFonts w:ascii="宋体" w:hAnsi="宋体" w:eastAsia="宋体" w:cs="宋体"/>
                <w:sz w:val="24"/>
                <w:szCs w:val="24"/>
              </w:rPr>
              <w:t>条塑料筐生产线，从右到左</w:t>
            </w:r>
            <w:r>
              <w:rPr>
                <w:rFonts w:ascii="宋体" w:hAnsi="宋体" w:eastAsia="宋体" w:cs="宋体"/>
                <w:spacing w:val="-4"/>
                <w:sz w:val="24"/>
                <w:szCs w:val="24"/>
              </w:rPr>
              <w:t>分为生产区、原材料存放区、仓库区，项目按生产工艺流程布置生产线，</w:t>
            </w:r>
            <w:r>
              <w:rPr>
                <w:rFonts w:ascii="宋体" w:hAnsi="宋体" w:eastAsia="宋体" w:cs="宋体"/>
                <w:spacing w:val="2"/>
                <w:sz w:val="24"/>
                <w:szCs w:val="24"/>
              </w:rPr>
              <w:t>将功能联系密切的单元紧凑布置，方便管理，</w:t>
            </w:r>
            <w:r>
              <w:rPr>
                <w:rFonts w:ascii="宋体" w:hAnsi="宋体" w:eastAsia="宋体" w:cs="宋体"/>
                <w:spacing w:val="1"/>
                <w:sz w:val="24"/>
                <w:szCs w:val="24"/>
              </w:rPr>
              <w:t>有利于生产。本项目按照</w:t>
            </w:r>
            <w:r>
              <w:rPr>
                <w:rFonts w:ascii="宋体" w:hAnsi="宋体" w:eastAsia="宋体" w:cs="宋体"/>
                <w:spacing w:val="-4"/>
                <w:sz w:val="24"/>
                <w:szCs w:val="24"/>
              </w:rPr>
              <w:t>物料输送方向和各单元相互关系的密切程度为原则，各功能区布置明确，</w:t>
            </w:r>
            <w:r>
              <w:rPr>
                <w:rFonts w:ascii="宋体" w:hAnsi="宋体" w:eastAsia="宋体" w:cs="宋体"/>
                <w:spacing w:val="2"/>
                <w:sz w:val="24"/>
                <w:szCs w:val="24"/>
              </w:rPr>
              <w:t>既方便内外交通联系，又方便原料、产品的运</w:t>
            </w:r>
            <w:r>
              <w:rPr>
                <w:rFonts w:ascii="宋体" w:hAnsi="宋体" w:eastAsia="宋体" w:cs="宋体"/>
                <w:spacing w:val="1"/>
                <w:sz w:val="24"/>
                <w:szCs w:val="24"/>
              </w:rPr>
              <w:t>输，不会对现有项目产生</w:t>
            </w:r>
            <w:r>
              <w:rPr>
                <w:rFonts w:ascii="宋体" w:hAnsi="宋体" w:eastAsia="宋体" w:cs="宋体"/>
                <w:spacing w:val="2"/>
                <w:sz w:val="24"/>
                <w:szCs w:val="24"/>
              </w:rPr>
              <w:t>影响，满足生产人流、物流、分离、互不交叉干扰的原则，结构明朗，</w:t>
            </w:r>
            <w:r>
              <w:rPr>
                <w:rFonts w:ascii="宋体" w:hAnsi="宋体" w:eastAsia="宋体" w:cs="宋体"/>
                <w:spacing w:val="-1"/>
                <w:sz w:val="24"/>
                <w:szCs w:val="24"/>
              </w:rPr>
              <w:t>流程顺畅，布局紧凑，符合生产工艺流程等需求。</w:t>
            </w:r>
          </w:p>
          <w:p w14:paraId="329DCE32">
            <w:pPr>
              <w:spacing w:before="2" w:line="360" w:lineRule="auto"/>
              <w:ind w:left="106" w:right="102" w:firstLine="484"/>
              <w:jc w:val="both"/>
              <w:rPr>
                <w:rFonts w:ascii="宋体" w:hAnsi="宋体" w:eastAsia="宋体" w:cs="宋体"/>
                <w:sz w:val="24"/>
                <w:szCs w:val="24"/>
              </w:rPr>
            </w:pPr>
            <w:r>
              <w:rPr>
                <w:rFonts w:ascii="宋体" w:hAnsi="宋体" w:eastAsia="宋体" w:cs="宋体"/>
                <w:spacing w:val="1"/>
                <w:sz w:val="24"/>
                <w:szCs w:val="24"/>
              </w:rPr>
              <w:t>综上分析，项目功能分区明确，做到统一协调，建、构筑物的布置</w:t>
            </w:r>
            <w:r>
              <w:rPr>
                <w:rFonts w:ascii="宋体" w:hAnsi="宋体" w:eastAsia="宋体" w:cs="宋体"/>
                <w:spacing w:val="2"/>
                <w:sz w:val="24"/>
                <w:szCs w:val="24"/>
              </w:rPr>
              <w:t>紧凑合理，满足生产系统的储存、操作等主要</w:t>
            </w:r>
            <w:r>
              <w:rPr>
                <w:rFonts w:ascii="宋体" w:hAnsi="宋体" w:eastAsia="宋体" w:cs="宋体"/>
                <w:spacing w:val="1"/>
                <w:sz w:val="24"/>
                <w:szCs w:val="24"/>
              </w:rPr>
              <w:t>环节的要求，项目平面布</w:t>
            </w:r>
            <w:r>
              <w:rPr>
                <w:rFonts w:ascii="宋体" w:hAnsi="宋体" w:eastAsia="宋体" w:cs="宋体"/>
                <w:spacing w:val="-2"/>
                <w:sz w:val="24"/>
                <w:szCs w:val="24"/>
              </w:rPr>
              <w:t>置合理。</w:t>
            </w:r>
          </w:p>
        </w:tc>
      </w:tr>
    </w:tbl>
    <w:p w14:paraId="20C4BFE6">
      <w:pPr>
        <w:pStyle w:val="2"/>
      </w:pPr>
    </w:p>
    <w:p w14:paraId="13985C93">
      <w:pPr>
        <w:sectPr>
          <w:footerReference r:id="rId46" w:type="default"/>
          <w:pgSz w:w="11906" w:h="16839"/>
          <w:pgMar w:top="400" w:right="1509" w:bottom="1329" w:left="1509" w:header="0" w:footer="1113" w:gutter="0"/>
          <w:cols w:space="720" w:num="1"/>
        </w:sectPr>
      </w:pPr>
    </w:p>
    <w:p w14:paraId="6002AC44">
      <w:pPr>
        <w:pStyle w:val="2"/>
        <w:spacing w:line="248" w:lineRule="auto"/>
      </w:pPr>
    </w:p>
    <w:p w14:paraId="6D025D20">
      <w:pPr>
        <w:pStyle w:val="2"/>
        <w:spacing w:line="248" w:lineRule="auto"/>
      </w:pPr>
    </w:p>
    <w:p w14:paraId="27386F1F">
      <w:pPr>
        <w:pStyle w:val="2"/>
        <w:spacing w:line="248" w:lineRule="auto"/>
      </w:pPr>
    </w:p>
    <w:p w14:paraId="113F606C">
      <w:pPr>
        <w:pStyle w:val="2"/>
        <w:spacing w:line="249" w:lineRule="auto"/>
      </w:pPr>
    </w:p>
    <w:p w14:paraId="1B053093">
      <w:pPr>
        <w:pStyle w:val="2"/>
        <w:spacing w:line="249" w:lineRule="auto"/>
      </w:pPr>
    </w:p>
    <w:p w14:paraId="5F6E56DE">
      <w:pPr>
        <w:spacing w:before="97" w:line="220" w:lineRule="auto"/>
        <w:ind w:left="3350"/>
        <w:outlineLvl w:val="0"/>
        <w:rPr>
          <w:rFonts w:ascii="宋体" w:hAnsi="宋体" w:eastAsia="宋体" w:cs="宋体"/>
          <w:sz w:val="30"/>
          <w:szCs w:val="30"/>
        </w:rPr>
      </w:pPr>
      <w:bookmarkStart w:id="5" w:name="bookmark2"/>
      <w:bookmarkEnd w:id="5"/>
      <w:r>
        <w:rPr>
          <w:rFonts w:ascii="宋体" w:hAnsi="宋体" w:eastAsia="宋体" w:cs="宋体"/>
          <w:b/>
          <w:bCs/>
          <w:spacing w:val="-4"/>
          <w:sz w:val="30"/>
          <w:szCs w:val="30"/>
        </w:rPr>
        <w:t>二、建设项目工程分析</w:t>
      </w:r>
    </w:p>
    <w:p w14:paraId="4E4CD5E2">
      <w:pPr>
        <w:spacing w:line="180" w:lineRule="exact"/>
      </w:pPr>
    </w:p>
    <w:tbl>
      <w:tblPr>
        <w:tblStyle w:val="10"/>
        <w:tblW w:w="90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28"/>
        <w:gridCol w:w="8636"/>
      </w:tblGrid>
      <w:tr w14:paraId="17038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12" w:hRule="atLeast"/>
        </w:trPr>
        <w:tc>
          <w:tcPr>
            <w:tcW w:w="428" w:type="dxa"/>
            <w:tcBorders>
              <w:right w:val="single" w:color="000000" w:sz="2" w:space="0"/>
            </w:tcBorders>
            <w:textDirection w:val="tbRlV"/>
            <w:vAlign w:val="top"/>
          </w:tcPr>
          <w:p w14:paraId="3E69C665">
            <w:pPr>
              <w:spacing w:before="75" w:line="199" w:lineRule="auto"/>
              <w:ind w:left="5407"/>
              <w:rPr>
                <w:rFonts w:ascii="宋体" w:hAnsi="宋体" w:eastAsia="宋体" w:cs="宋体"/>
                <w:sz w:val="24"/>
                <w:szCs w:val="24"/>
              </w:rPr>
            </w:pPr>
            <w:r>
              <w:rPr>
                <w:rFonts w:ascii="宋体" w:hAnsi="宋体" w:eastAsia="宋体" w:cs="宋体"/>
                <w:spacing w:val="-1"/>
                <w:sz w:val="24"/>
                <w:szCs w:val="24"/>
              </w:rPr>
              <w:t>建</w:t>
            </w:r>
            <w:r>
              <w:rPr>
                <w:rFonts w:ascii="宋体" w:hAnsi="宋体" w:eastAsia="宋体" w:cs="宋体"/>
                <w:spacing w:val="108"/>
                <w:sz w:val="24"/>
                <w:szCs w:val="24"/>
              </w:rPr>
              <w:t xml:space="preserve"> </w:t>
            </w:r>
            <w:r>
              <w:rPr>
                <w:rFonts w:ascii="宋体" w:hAnsi="宋体" w:eastAsia="宋体" w:cs="宋体"/>
                <w:spacing w:val="-1"/>
                <w:sz w:val="24"/>
                <w:szCs w:val="24"/>
              </w:rPr>
              <w:t>设</w:t>
            </w:r>
            <w:r>
              <w:rPr>
                <w:rFonts w:ascii="宋体" w:hAnsi="宋体" w:eastAsia="宋体" w:cs="宋体"/>
                <w:spacing w:val="108"/>
                <w:sz w:val="24"/>
                <w:szCs w:val="24"/>
              </w:rPr>
              <w:t xml:space="preserve"> </w:t>
            </w:r>
            <w:r>
              <w:rPr>
                <w:rFonts w:ascii="宋体" w:hAnsi="宋体" w:eastAsia="宋体" w:cs="宋体"/>
                <w:spacing w:val="-1"/>
                <w:position w:val="1"/>
                <w:sz w:val="24"/>
                <w:szCs w:val="24"/>
              </w:rPr>
              <w:t>内</w:t>
            </w:r>
            <w:r>
              <w:rPr>
                <w:rFonts w:ascii="宋体" w:hAnsi="宋体" w:eastAsia="宋体" w:cs="宋体"/>
                <w:spacing w:val="106"/>
                <w:position w:val="1"/>
                <w:sz w:val="24"/>
                <w:szCs w:val="24"/>
              </w:rPr>
              <w:t xml:space="preserve"> </w:t>
            </w:r>
            <w:r>
              <w:rPr>
                <w:rFonts w:ascii="宋体" w:hAnsi="宋体" w:eastAsia="宋体" w:cs="宋体"/>
                <w:spacing w:val="-1"/>
                <w:sz w:val="24"/>
                <w:szCs w:val="24"/>
              </w:rPr>
              <w:t>容</w:t>
            </w:r>
          </w:p>
        </w:tc>
        <w:tc>
          <w:tcPr>
            <w:tcW w:w="8636" w:type="dxa"/>
            <w:tcBorders>
              <w:left w:val="single" w:color="000000" w:sz="2" w:space="0"/>
            </w:tcBorders>
            <w:vAlign w:val="top"/>
          </w:tcPr>
          <w:p w14:paraId="61444EC2">
            <w:pPr>
              <w:spacing w:before="39" w:line="219" w:lineRule="auto"/>
              <w:ind w:left="593"/>
              <w:rPr>
                <w:rFonts w:ascii="宋体" w:hAnsi="宋体" w:eastAsia="宋体" w:cs="宋体"/>
                <w:sz w:val="24"/>
                <w:szCs w:val="24"/>
              </w:rPr>
            </w:pPr>
            <w:r>
              <w:rPr>
                <w:rFonts w:ascii="Times New Roman" w:hAnsi="Times New Roman" w:eastAsia="Times New Roman" w:cs="Times New Roman"/>
                <w:b/>
                <w:bCs/>
                <w:spacing w:val="-9"/>
                <w:sz w:val="24"/>
                <w:szCs w:val="24"/>
              </w:rPr>
              <w:t>1</w:t>
            </w:r>
            <w:r>
              <w:rPr>
                <w:rFonts w:ascii="Times New Roman" w:hAnsi="Times New Roman" w:eastAsia="Times New Roman" w:cs="Times New Roman"/>
                <w:b/>
                <w:bCs/>
                <w:spacing w:val="-31"/>
                <w:sz w:val="24"/>
                <w:szCs w:val="24"/>
              </w:rPr>
              <w:t xml:space="preserve"> </w:t>
            </w:r>
            <w:r>
              <w:rPr>
                <w:rFonts w:ascii="宋体" w:hAnsi="宋体" w:eastAsia="宋体" w:cs="宋体"/>
                <w:b/>
                <w:bCs/>
                <w:spacing w:val="-9"/>
                <w:sz w:val="24"/>
                <w:szCs w:val="24"/>
              </w:rPr>
              <w:t>、项目背景</w:t>
            </w:r>
          </w:p>
          <w:p w14:paraId="3660D65B">
            <w:pPr>
              <w:spacing w:before="185" w:line="359" w:lineRule="auto"/>
              <w:ind w:left="104" w:right="102" w:firstLine="510"/>
              <w:jc w:val="both"/>
              <w:rPr>
                <w:rFonts w:ascii="宋体" w:hAnsi="宋体" w:eastAsia="宋体" w:cs="宋体"/>
                <w:sz w:val="24"/>
                <w:szCs w:val="24"/>
              </w:rPr>
            </w:pPr>
            <w:r>
              <w:rPr>
                <w:rFonts w:ascii="宋体" w:hAnsi="宋体" w:eastAsia="宋体" w:cs="宋体"/>
                <w:spacing w:val="-1"/>
                <w:sz w:val="24"/>
                <w:szCs w:val="24"/>
              </w:rPr>
              <w:t>昆明欧铂瑞木制品有限公司于</w:t>
            </w:r>
            <w:r>
              <w:rPr>
                <w:rFonts w:ascii="宋体" w:hAnsi="宋体" w:eastAsia="宋体" w:cs="宋体"/>
                <w:spacing w:val="-40"/>
                <w:sz w:val="24"/>
                <w:szCs w:val="24"/>
              </w:rPr>
              <w:t xml:space="preserve"> </w:t>
            </w:r>
            <w:r>
              <w:rPr>
                <w:rFonts w:ascii="Times New Roman" w:hAnsi="Times New Roman" w:eastAsia="Times New Roman" w:cs="Times New Roman"/>
                <w:spacing w:val="-1"/>
                <w:sz w:val="24"/>
                <w:szCs w:val="24"/>
              </w:rPr>
              <w:t>2019</w:t>
            </w:r>
            <w:r>
              <w:rPr>
                <w:rFonts w:ascii="Times New Roman" w:hAnsi="Times New Roman" w:eastAsia="Times New Roman" w:cs="Times New Roman"/>
                <w:spacing w:val="15"/>
                <w:sz w:val="24"/>
                <w:szCs w:val="24"/>
              </w:rPr>
              <w:t xml:space="preserve"> </w:t>
            </w:r>
            <w:r>
              <w:rPr>
                <w:rFonts w:ascii="宋体" w:hAnsi="宋体" w:eastAsia="宋体" w:cs="宋体"/>
                <w:spacing w:val="-1"/>
                <w:sz w:val="24"/>
                <w:szCs w:val="24"/>
              </w:rPr>
              <w:t>年</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5</w:t>
            </w:r>
            <w:r>
              <w:rPr>
                <w:rFonts w:ascii="Times New Roman" w:hAnsi="Times New Roman" w:eastAsia="Times New Roman" w:cs="Times New Roman"/>
                <w:spacing w:val="17"/>
                <w:w w:val="101"/>
                <w:sz w:val="24"/>
                <w:szCs w:val="24"/>
              </w:rPr>
              <w:t xml:space="preserve"> </w:t>
            </w:r>
            <w:r>
              <w:rPr>
                <w:rFonts w:ascii="宋体" w:hAnsi="宋体" w:eastAsia="宋体" w:cs="宋体"/>
                <w:spacing w:val="-1"/>
                <w:sz w:val="24"/>
                <w:szCs w:val="24"/>
              </w:rPr>
              <w:t>月购买寻甸县金所工业园区土地</w:t>
            </w:r>
            <w:r>
              <w:rPr>
                <w:rFonts w:ascii="宋体" w:hAnsi="宋体" w:eastAsia="宋体" w:cs="宋体"/>
                <w:spacing w:val="-45"/>
                <w:sz w:val="24"/>
                <w:szCs w:val="24"/>
              </w:rPr>
              <w:t xml:space="preserve"> </w:t>
            </w:r>
            <w:r>
              <w:rPr>
                <w:rFonts w:ascii="Times New Roman" w:hAnsi="Times New Roman" w:eastAsia="Times New Roman" w:cs="Times New Roman"/>
                <w:spacing w:val="-1"/>
                <w:sz w:val="24"/>
                <w:szCs w:val="24"/>
              </w:rPr>
              <w:t>69</w:t>
            </w:r>
            <w:r>
              <w:rPr>
                <w:rFonts w:ascii="宋体" w:hAnsi="宋体" w:eastAsia="宋体" w:cs="宋体"/>
                <w:spacing w:val="-4"/>
                <w:sz w:val="24"/>
                <w:szCs w:val="24"/>
              </w:rPr>
              <w:t>亩，总建筑面积约</w:t>
            </w:r>
            <w:r>
              <w:rPr>
                <w:rFonts w:ascii="宋体" w:hAnsi="宋体" w:eastAsia="宋体" w:cs="宋体"/>
                <w:spacing w:val="-42"/>
                <w:sz w:val="24"/>
                <w:szCs w:val="24"/>
              </w:rPr>
              <w:t xml:space="preserve"> </w:t>
            </w:r>
            <w:r>
              <w:rPr>
                <w:rFonts w:ascii="Times New Roman" w:hAnsi="Times New Roman" w:eastAsia="Times New Roman" w:cs="Times New Roman"/>
                <w:spacing w:val="-4"/>
                <w:sz w:val="24"/>
                <w:szCs w:val="24"/>
              </w:rPr>
              <w:t>30898.85m</w:t>
            </w:r>
            <w:r>
              <w:rPr>
                <w:rFonts w:ascii="Times New Roman" w:hAnsi="Times New Roman" w:eastAsia="Times New Roman" w:cs="Times New Roman"/>
                <w:spacing w:val="-4"/>
                <w:position w:val="8"/>
                <w:sz w:val="15"/>
                <w:szCs w:val="15"/>
              </w:rPr>
              <w:t>2</w:t>
            </w:r>
            <w:r>
              <w:rPr>
                <w:rFonts w:ascii="宋体" w:hAnsi="宋体" w:eastAsia="宋体" w:cs="宋体"/>
                <w:spacing w:val="-4"/>
                <w:sz w:val="24"/>
                <w:szCs w:val="24"/>
              </w:rPr>
              <w:t>。昆明欧铂瑞木制品有限公司于</w:t>
            </w:r>
            <w:r>
              <w:rPr>
                <w:rFonts w:ascii="宋体" w:hAnsi="宋体" w:eastAsia="宋体" w:cs="宋体"/>
                <w:spacing w:val="-55"/>
                <w:sz w:val="24"/>
                <w:szCs w:val="24"/>
              </w:rPr>
              <w:t xml:space="preserve"> </w:t>
            </w:r>
            <w:r>
              <w:rPr>
                <w:rFonts w:ascii="Times New Roman" w:hAnsi="Times New Roman" w:eastAsia="Times New Roman" w:cs="Times New Roman"/>
                <w:spacing w:val="-4"/>
                <w:sz w:val="24"/>
                <w:szCs w:val="24"/>
              </w:rPr>
              <w:t xml:space="preserve">2020 </w:t>
            </w:r>
            <w:r>
              <w:rPr>
                <w:rFonts w:ascii="宋体" w:hAnsi="宋体" w:eastAsia="宋体" w:cs="宋体"/>
                <w:spacing w:val="-4"/>
                <w:sz w:val="24"/>
                <w:szCs w:val="24"/>
              </w:rPr>
              <w:t>年</w:t>
            </w:r>
            <w:r>
              <w:rPr>
                <w:rFonts w:ascii="宋体" w:hAnsi="宋体" w:eastAsia="宋体" w:cs="宋体"/>
                <w:spacing w:val="-50"/>
                <w:sz w:val="24"/>
                <w:szCs w:val="24"/>
              </w:rPr>
              <w:t xml:space="preserve"> </w:t>
            </w:r>
            <w:r>
              <w:rPr>
                <w:rFonts w:ascii="Times New Roman" w:hAnsi="Times New Roman" w:eastAsia="Times New Roman" w:cs="Times New Roman"/>
                <w:spacing w:val="-4"/>
                <w:sz w:val="24"/>
                <w:szCs w:val="24"/>
              </w:rPr>
              <w:t>9</w:t>
            </w:r>
            <w:r>
              <w:rPr>
                <w:rFonts w:ascii="Times New Roman" w:hAnsi="Times New Roman" w:eastAsia="Times New Roman" w:cs="Times New Roman"/>
                <w:spacing w:val="15"/>
                <w:sz w:val="24"/>
                <w:szCs w:val="24"/>
              </w:rPr>
              <w:t xml:space="preserve"> </w:t>
            </w:r>
            <w:r>
              <w:rPr>
                <w:rFonts w:ascii="宋体" w:hAnsi="宋体" w:eastAsia="宋体" w:cs="宋体"/>
                <w:spacing w:val="-4"/>
                <w:sz w:val="24"/>
                <w:szCs w:val="24"/>
              </w:rPr>
              <w:t>月委托云</w:t>
            </w:r>
            <w:r>
              <w:rPr>
                <w:rFonts w:ascii="宋体" w:hAnsi="宋体" w:eastAsia="宋体" w:cs="宋体"/>
                <w:sz w:val="24"/>
                <w:szCs w:val="24"/>
              </w:rPr>
              <w:t>南莱恩环保技术工程有限公司编制了昆明欧铂瑞木制品有限公司年产</w:t>
            </w:r>
            <w:r>
              <w:rPr>
                <w:rFonts w:ascii="宋体" w:hAnsi="宋体" w:eastAsia="宋体" w:cs="宋体"/>
                <w:spacing w:val="-64"/>
                <w:sz w:val="24"/>
                <w:szCs w:val="24"/>
              </w:rPr>
              <w:t xml:space="preserve"> </w:t>
            </w:r>
            <w:r>
              <w:rPr>
                <w:rFonts w:ascii="Times New Roman" w:hAnsi="Times New Roman" w:eastAsia="Times New Roman" w:cs="Times New Roman"/>
                <w:sz w:val="24"/>
                <w:szCs w:val="24"/>
              </w:rPr>
              <w:t xml:space="preserve">3 </w:t>
            </w:r>
            <w:r>
              <w:rPr>
                <w:rFonts w:ascii="宋体" w:hAnsi="宋体" w:eastAsia="宋体" w:cs="宋体"/>
                <w:sz w:val="24"/>
                <w:szCs w:val="24"/>
              </w:rPr>
              <w:t>万</w:t>
            </w:r>
            <w:r>
              <w:rPr>
                <w:rFonts w:ascii="Times New Roman" w:hAnsi="Times New Roman" w:eastAsia="Times New Roman" w:cs="Times New Roman"/>
                <w:sz w:val="24"/>
                <w:szCs w:val="24"/>
              </w:rPr>
              <w:t>m³</w:t>
            </w:r>
            <w:r>
              <w:rPr>
                <w:rFonts w:ascii="宋体" w:hAnsi="宋体" w:eastAsia="宋体" w:cs="宋体"/>
                <w:sz w:val="24"/>
                <w:szCs w:val="24"/>
              </w:rPr>
              <w:t>免漆</w:t>
            </w:r>
            <w:r>
              <w:rPr>
                <w:rFonts w:ascii="宋体" w:hAnsi="宋体" w:eastAsia="宋体" w:cs="宋体"/>
                <w:spacing w:val="-1"/>
                <w:sz w:val="24"/>
                <w:szCs w:val="24"/>
              </w:rPr>
              <w:t>生态板及深加工生产线项目环境影响报告表》，</w:t>
            </w:r>
            <w:r>
              <w:rPr>
                <w:rFonts w:ascii="Times New Roman" w:hAnsi="Times New Roman" w:eastAsia="Times New Roman" w:cs="Times New Roman"/>
                <w:spacing w:val="-1"/>
                <w:sz w:val="24"/>
                <w:szCs w:val="24"/>
              </w:rPr>
              <w:t>2021</w:t>
            </w:r>
            <w:r>
              <w:rPr>
                <w:rFonts w:ascii="Times New Roman" w:hAnsi="Times New Roman" w:eastAsia="Times New Roman" w:cs="Times New Roman"/>
                <w:spacing w:val="22"/>
                <w:w w:val="101"/>
                <w:sz w:val="24"/>
                <w:szCs w:val="24"/>
              </w:rPr>
              <w:t xml:space="preserve"> </w:t>
            </w:r>
            <w:r>
              <w:rPr>
                <w:rFonts w:ascii="宋体" w:hAnsi="宋体" w:eastAsia="宋体" w:cs="宋体"/>
                <w:spacing w:val="-1"/>
                <w:sz w:val="24"/>
                <w:szCs w:val="24"/>
              </w:rPr>
              <w:t>年</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5</w:t>
            </w:r>
            <w:r>
              <w:rPr>
                <w:rFonts w:ascii="Times New Roman" w:hAnsi="Times New Roman" w:eastAsia="Times New Roman" w:cs="Times New Roman"/>
                <w:spacing w:val="17"/>
                <w:w w:val="101"/>
                <w:sz w:val="24"/>
                <w:szCs w:val="24"/>
              </w:rPr>
              <w:t xml:space="preserve"> </w:t>
            </w:r>
            <w:r>
              <w:rPr>
                <w:rFonts w:ascii="宋体" w:hAnsi="宋体" w:eastAsia="宋体" w:cs="宋体"/>
                <w:spacing w:val="-1"/>
                <w:sz w:val="24"/>
                <w:szCs w:val="24"/>
              </w:rPr>
              <w:t>月</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24</w:t>
            </w:r>
            <w:r>
              <w:rPr>
                <w:rFonts w:ascii="Times New Roman" w:hAnsi="Times New Roman" w:eastAsia="Times New Roman" w:cs="Times New Roman"/>
                <w:spacing w:val="53"/>
                <w:w w:val="101"/>
                <w:sz w:val="24"/>
                <w:szCs w:val="24"/>
              </w:rPr>
              <w:t xml:space="preserve"> </w:t>
            </w:r>
            <w:r>
              <w:rPr>
                <w:rFonts w:ascii="宋体" w:hAnsi="宋体" w:eastAsia="宋体" w:cs="宋体"/>
                <w:spacing w:val="-1"/>
                <w:sz w:val="24"/>
                <w:szCs w:val="24"/>
              </w:rPr>
              <w:t>日建设单位取得</w:t>
            </w:r>
            <w:r>
              <w:rPr>
                <w:rFonts w:ascii="宋体" w:hAnsi="宋体" w:eastAsia="宋体" w:cs="宋体"/>
                <w:sz w:val="24"/>
                <w:szCs w:val="24"/>
              </w:rPr>
              <w:t>昆明市生态环境局寻甸分局《关于对</w:t>
            </w:r>
            <w:r>
              <w:rPr>
                <w:rFonts w:ascii="Times New Roman" w:hAnsi="Times New Roman" w:eastAsia="Times New Roman" w:cs="Times New Roman"/>
                <w:sz w:val="24"/>
                <w:szCs w:val="24"/>
              </w:rPr>
              <w:t>&lt;</w:t>
            </w:r>
            <w:r>
              <w:rPr>
                <w:rFonts w:ascii="宋体" w:hAnsi="宋体" w:eastAsia="宋体" w:cs="宋体"/>
                <w:sz w:val="24"/>
                <w:szCs w:val="24"/>
              </w:rPr>
              <w:t>昆明欧铂瑞木制品有限公司年</w:t>
            </w:r>
            <w:r>
              <w:rPr>
                <w:rFonts w:ascii="宋体" w:hAnsi="宋体" w:eastAsia="宋体" w:cs="宋体"/>
                <w:spacing w:val="-1"/>
                <w:sz w:val="24"/>
                <w:szCs w:val="24"/>
              </w:rPr>
              <w:t>产</w:t>
            </w:r>
            <w:r>
              <w:rPr>
                <w:rFonts w:ascii="宋体" w:hAnsi="宋体" w:eastAsia="宋体" w:cs="宋体"/>
                <w:spacing w:val="-48"/>
                <w:sz w:val="24"/>
                <w:szCs w:val="24"/>
              </w:rPr>
              <w:t xml:space="preserve"> </w:t>
            </w:r>
            <w:r>
              <w:rPr>
                <w:rFonts w:ascii="Times New Roman" w:hAnsi="Times New Roman" w:eastAsia="Times New Roman" w:cs="Times New Roman"/>
                <w:spacing w:val="-1"/>
                <w:sz w:val="24"/>
                <w:szCs w:val="24"/>
              </w:rPr>
              <w:t>3</w:t>
            </w:r>
            <w:r>
              <w:rPr>
                <w:rFonts w:ascii="Times New Roman" w:hAnsi="Times New Roman" w:eastAsia="Times New Roman" w:cs="Times New Roman"/>
                <w:spacing w:val="18"/>
                <w:sz w:val="24"/>
                <w:szCs w:val="24"/>
              </w:rPr>
              <w:t xml:space="preserve"> </w:t>
            </w:r>
            <w:r>
              <w:rPr>
                <w:rFonts w:ascii="宋体" w:hAnsi="宋体" w:eastAsia="宋体" w:cs="宋体"/>
                <w:spacing w:val="-1"/>
                <w:sz w:val="24"/>
                <w:szCs w:val="24"/>
              </w:rPr>
              <w:t>万</w:t>
            </w:r>
            <w:r>
              <w:rPr>
                <w:rFonts w:ascii="宋体" w:hAnsi="宋体" w:eastAsia="宋体" w:cs="宋体"/>
                <w:spacing w:val="-58"/>
                <w:sz w:val="24"/>
                <w:szCs w:val="24"/>
              </w:rPr>
              <w:t xml:space="preserve"> </w:t>
            </w:r>
            <w:r>
              <w:rPr>
                <w:rFonts w:ascii="Times New Roman" w:hAnsi="Times New Roman" w:eastAsia="Times New Roman" w:cs="Times New Roman"/>
                <w:spacing w:val="-1"/>
                <w:sz w:val="24"/>
                <w:szCs w:val="24"/>
              </w:rPr>
              <w:t>m³</w:t>
            </w:r>
            <w:r>
              <w:rPr>
                <w:rFonts w:ascii="Times New Roman" w:hAnsi="Times New Roman" w:eastAsia="Times New Roman" w:cs="Times New Roman"/>
                <w:spacing w:val="-45"/>
                <w:sz w:val="24"/>
                <w:szCs w:val="24"/>
              </w:rPr>
              <w:t xml:space="preserve"> </w:t>
            </w:r>
            <w:r>
              <w:rPr>
                <w:rFonts w:ascii="宋体" w:hAnsi="宋体" w:eastAsia="宋体" w:cs="宋体"/>
                <w:spacing w:val="-1"/>
                <w:sz w:val="24"/>
                <w:szCs w:val="24"/>
              </w:rPr>
              <w:t>免</w:t>
            </w:r>
            <w:r>
              <w:rPr>
                <w:rFonts w:ascii="宋体" w:hAnsi="宋体" w:eastAsia="宋体" w:cs="宋体"/>
                <w:spacing w:val="3"/>
                <w:sz w:val="24"/>
                <w:szCs w:val="24"/>
              </w:rPr>
              <w:t>漆生态板及深加工生产线项目环境影响报告表</w:t>
            </w:r>
            <w:r>
              <w:rPr>
                <w:rFonts w:ascii="Times New Roman" w:hAnsi="Times New Roman" w:eastAsia="Times New Roman" w:cs="Times New Roman"/>
                <w:spacing w:val="3"/>
                <w:sz w:val="24"/>
                <w:szCs w:val="24"/>
              </w:rPr>
              <w:t>&gt;</w:t>
            </w:r>
            <w:r>
              <w:rPr>
                <w:rFonts w:ascii="宋体" w:hAnsi="宋体" w:eastAsia="宋体" w:cs="宋体"/>
                <w:spacing w:val="3"/>
                <w:sz w:val="24"/>
                <w:szCs w:val="24"/>
              </w:rPr>
              <w:t>的批复》（昆生环寻〔</w:t>
            </w:r>
            <w:r>
              <w:rPr>
                <w:rFonts w:ascii="Times New Roman" w:hAnsi="Times New Roman" w:eastAsia="Times New Roman" w:cs="Times New Roman"/>
                <w:spacing w:val="3"/>
                <w:sz w:val="24"/>
                <w:szCs w:val="24"/>
              </w:rPr>
              <w:t>2021</w:t>
            </w:r>
            <w:r>
              <w:rPr>
                <w:rFonts w:ascii="宋体" w:hAnsi="宋体" w:eastAsia="宋体" w:cs="宋体"/>
                <w:spacing w:val="3"/>
                <w:sz w:val="24"/>
                <w:szCs w:val="24"/>
              </w:rPr>
              <w:t>〕</w:t>
            </w:r>
            <w:r>
              <w:rPr>
                <w:rFonts w:ascii="Times New Roman" w:hAnsi="Times New Roman" w:eastAsia="Times New Roman" w:cs="Times New Roman"/>
                <w:spacing w:val="3"/>
                <w:sz w:val="24"/>
                <w:szCs w:val="24"/>
              </w:rPr>
              <w:t>84</w:t>
            </w:r>
            <w:r>
              <w:rPr>
                <w:rFonts w:ascii="宋体" w:hAnsi="宋体" w:eastAsia="宋体" w:cs="宋体"/>
                <w:sz w:val="24"/>
                <w:szCs w:val="24"/>
              </w:rPr>
              <w:t>号</w:t>
            </w:r>
            <w:r>
              <w:rPr>
                <w:rFonts w:ascii="宋体" w:hAnsi="宋体" w:eastAsia="宋体" w:cs="宋体"/>
                <w:spacing w:val="-15"/>
                <w:sz w:val="24"/>
                <w:szCs w:val="24"/>
              </w:rPr>
              <w:t>）（</w:t>
            </w:r>
            <w:r>
              <w:rPr>
                <w:rFonts w:ascii="宋体" w:hAnsi="宋体" w:eastAsia="宋体" w:cs="宋体"/>
                <w:sz w:val="24"/>
                <w:szCs w:val="24"/>
              </w:rPr>
              <w:t>见附件）。</w:t>
            </w:r>
            <w:r>
              <w:rPr>
                <w:rFonts w:ascii="Times New Roman" w:hAnsi="Times New Roman" w:eastAsia="Times New Roman" w:cs="Times New Roman"/>
                <w:sz w:val="24"/>
                <w:szCs w:val="24"/>
              </w:rPr>
              <w:t xml:space="preserve">2021 </w:t>
            </w:r>
            <w:r>
              <w:rPr>
                <w:rFonts w:ascii="宋体" w:hAnsi="宋体" w:eastAsia="宋体" w:cs="宋体"/>
                <w:sz w:val="24"/>
                <w:szCs w:val="24"/>
              </w:rPr>
              <w:t>年</w:t>
            </w:r>
            <w:r>
              <w:rPr>
                <w:rFonts w:ascii="宋体" w:hAnsi="宋体" w:eastAsia="宋体" w:cs="宋体"/>
                <w:spacing w:val="-30"/>
                <w:sz w:val="24"/>
                <w:szCs w:val="24"/>
              </w:rPr>
              <w:t xml:space="preserve"> </w:t>
            </w:r>
            <w:r>
              <w:rPr>
                <w:rFonts w:ascii="Times New Roman" w:hAnsi="Times New Roman" w:eastAsia="Times New Roman" w:cs="Times New Roman"/>
                <w:sz w:val="24"/>
                <w:szCs w:val="24"/>
              </w:rPr>
              <w:t>12</w:t>
            </w:r>
            <w:r>
              <w:rPr>
                <w:rFonts w:ascii="Times New Roman" w:hAnsi="Times New Roman" w:eastAsia="Times New Roman" w:cs="Times New Roman"/>
                <w:spacing w:val="20"/>
                <w:sz w:val="24"/>
                <w:szCs w:val="24"/>
              </w:rPr>
              <w:t xml:space="preserve"> </w:t>
            </w:r>
            <w:r>
              <w:rPr>
                <w:rFonts w:ascii="宋体" w:hAnsi="宋体" w:eastAsia="宋体" w:cs="宋体"/>
                <w:sz w:val="24"/>
                <w:szCs w:val="24"/>
              </w:rPr>
              <w:t>月</w:t>
            </w:r>
            <w:r>
              <w:rPr>
                <w:rFonts w:ascii="宋体" w:hAnsi="宋体" w:eastAsia="宋体" w:cs="宋体"/>
                <w:spacing w:val="-50"/>
                <w:sz w:val="24"/>
                <w:szCs w:val="24"/>
              </w:rPr>
              <w:t xml:space="preserve"> </w:t>
            </w:r>
            <w:r>
              <w:rPr>
                <w:rFonts w:ascii="Times New Roman" w:hAnsi="Times New Roman" w:eastAsia="Times New Roman" w:cs="Times New Roman"/>
                <w:sz w:val="24"/>
                <w:szCs w:val="24"/>
              </w:rPr>
              <w:t xml:space="preserve">6  </w:t>
            </w:r>
            <w:r>
              <w:rPr>
                <w:rFonts w:ascii="宋体" w:hAnsi="宋体" w:eastAsia="宋体" w:cs="宋体"/>
                <w:sz w:val="24"/>
                <w:szCs w:val="24"/>
              </w:rPr>
              <w:t>日在全国排污许</w:t>
            </w:r>
            <w:r>
              <w:rPr>
                <w:rFonts w:ascii="宋体" w:hAnsi="宋体" w:eastAsia="宋体" w:cs="宋体"/>
                <w:spacing w:val="-1"/>
                <w:sz w:val="24"/>
                <w:szCs w:val="24"/>
              </w:rPr>
              <w:t>可信息管理平台申报排污许可</w:t>
            </w:r>
            <w:r>
              <w:rPr>
                <w:rFonts w:ascii="宋体" w:hAnsi="宋体" w:eastAsia="宋体" w:cs="宋体"/>
                <w:spacing w:val="-3"/>
                <w:sz w:val="24"/>
                <w:szCs w:val="24"/>
              </w:rPr>
              <w:t>登记，登记编号：</w:t>
            </w:r>
            <w:r>
              <w:rPr>
                <w:rFonts w:ascii="Times New Roman" w:hAnsi="Times New Roman" w:eastAsia="Times New Roman" w:cs="Times New Roman"/>
                <w:spacing w:val="-3"/>
                <w:sz w:val="24"/>
                <w:szCs w:val="24"/>
              </w:rPr>
              <w:t>91534001MA6K85Q25N001X</w:t>
            </w:r>
            <w:r>
              <w:rPr>
                <w:rFonts w:ascii="Times New Roman" w:hAnsi="Times New Roman" w:eastAsia="Times New Roman" w:cs="Times New Roman"/>
                <w:spacing w:val="-26"/>
                <w:sz w:val="24"/>
                <w:szCs w:val="24"/>
              </w:rPr>
              <w:t xml:space="preserve"> </w:t>
            </w:r>
            <w:r>
              <w:rPr>
                <w:rFonts w:ascii="宋体" w:hAnsi="宋体" w:eastAsia="宋体" w:cs="宋体"/>
                <w:spacing w:val="-3"/>
                <w:sz w:val="24"/>
                <w:szCs w:val="24"/>
              </w:rPr>
              <w:t>。昆明欧铂瑞木制品有限公司</w:t>
            </w:r>
            <w:r>
              <w:rPr>
                <w:rFonts w:ascii="宋体" w:hAnsi="宋体" w:eastAsia="宋体" w:cs="宋体"/>
                <w:spacing w:val="-4"/>
                <w:sz w:val="24"/>
                <w:szCs w:val="24"/>
              </w:rPr>
              <w:t>年产</w:t>
            </w:r>
            <w:r>
              <w:rPr>
                <w:rFonts w:ascii="Times New Roman" w:hAnsi="Times New Roman" w:eastAsia="Times New Roman" w:cs="Times New Roman"/>
                <w:spacing w:val="-6"/>
                <w:sz w:val="24"/>
                <w:szCs w:val="24"/>
              </w:rPr>
              <w:t>3</w:t>
            </w:r>
            <w:r>
              <w:rPr>
                <w:rFonts w:ascii="Times New Roman" w:hAnsi="Times New Roman" w:eastAsia="Times New Roman" w:cs="Times New Roman"/>
                <w:spacing w:val="15"/>
                <w:w w:val="101"/>
                <w:sz w:val="24"/>
                <w:szCs w:val="24"/>
              </w:rPr>
              <w:t xml:space="preserve"> </w:t>
            </w:r>
            <w:r>
              <w:rPr>
                <w:rFonts w:ascii="宋体" w:hAnsi="宋体" w:eastAsia="宋体" w:cs="宋体"/>
                <w:spacing w:val="-6"/>
                <w:sz w:val="24"/>
                <w:szCs w:val="24"/>
              </w:rPr>
              <w:t>万</w:t>
            </w:r>
            <w:r>
              <w:rPr>
                <w:rFonts w:ascii="宋体" w:hAnsi="宋体" w:eastAsia="宋体" w:cs="宋体"/>
                <w:spacing w:val="-58"/>
                <w:sz w:val="24"/>
                <w:szCs w:val="24"/>
              </w:rPr>
              <w:t xml:space="preserve"> </w:t>
            </w:r>
            <w:r>
              <w:rPr>
                <w:rFonts w:ascii="Times New Roman" w:hAnsi="Times New Roman" w:eastAsia="Times New Roman" w:cs="Times New Roman"/>
                <w:spacing w:val="-6"/>
                <w:sz w:val="24"/>
                <w:szCs w:val="24"/>
              </w:rPr>
              <w:t>m³</w:t>
            </w:r>
            <w:r>
              <w:rPr>
                <w:rFonts w:ascii="Times New Roman" w:hAnsi="Times New Roman" w:eastAsia="Times New Roman" w:cs="Times New Roman"/>
                <w:spacing w:val="-45"/>
                <w:sz w:val="24"/>
                <w:szCs w:val="24"/>
              </w:rPr>
              <w:t xml:space="preserve"> </w:t>
            </w:r>
            <w:r>
              <w:rPr>
                <w:rFonts w:ascii="宋体" w:hAnsi="宋体" w:eastAsia="宋体" w:cs="宋体"/>
                <w:spacing w:val="-6"/>
                <w:sz w:val="24"/>
                <w:szCs w:val="24"/>
              </w:rPr>
              <w:t>免漆生态板及深加工生产线项目于</w:t>
            </w:r>
            <w:r>
              <w:rPr>
                <w:rFonts w:ascii="宋体" w:hAnsi="宋体" w:eastAsia="宋体" w:cs="宋体"/>
                <w:spacing w:val="-55"/>
                <w:sz w:val="24"/>
                <w:szCs w:val="24"/>
              </w:rPr>
              <w:t xml:space="preserve"> </w:t>
            </w:r>
            <w:r>
              <w:rPr>
                <w:rFonts w:ascii="Times New Roman" w:hAnsi="Times New Roman" w:eastAsia="Times New Roman" w:cs="Times New Roman"/>
                <w:spacing w:val="-6"/>
                <w:sz w:val="24"/>
                <w:szCs w:val="24"/>
              </w:rPr>
              <w:t xml:space="preserve">2024 </w:t>
            </w:r>
            <w:r>
              <w:rPr>
                <w:rFonts w:ascii="宋体" w:hAnsi="宋体" w:eastAsia="宋体" w:cs="宋体"/>
                <w:spacing w:val="-6"/>
                <w:sz w:val="24"/>
                <w:szCs w:val="24"/>
              </w:rPr>
              <w:t>年建成，并于</w:t>
            </w:r>
            <w:r>
              <w:rPr>
                <w:rFonts w:ascii="宋体" w:hAnsi="宋体" w:eastAsia="宋体" w:cs="宋体"/>
                <w:spacing w:val="-55"/>
                <w:sz w:val="24"/>
                <w:szCs w:val="24"/>
              </w:rPr>
              <w:t xml:space="preserve"> </w:t>
            </w:r>
            <w:r>
              <w:rPr>
                <w:rFonts w:ascii="Times New Roman" w:hAnsi="Times New Roman" w:eastAsia="Times New Roman" w:cs="Times New Roman"/>
                <w:spacing w:val="-6"/>
                <w:sz w:val="24"/>
                <w:szCs w:val="24"/>
              </w:rPr>
              <w:t>2</w:t>
            </w:r>
            <w:r>
              <w:rPr>
                <w:rFonts w:ascii="Times New Roman" w:hAnsi="Times New Roman" w:eastAsia="Times New Roman" w:cs="Times New Roman"/>
                <w:spacing w:val="-7"/>
                <w:sz w:val="24"/>
                <w:szCs w:val="24"/>
              </w:rPr>
              <w:t xml:space="preserve">024 </w:t>
            </w:r>
            <w:r>
              <w:rPr>
                <w:rFonts w:ascii="宋体" w:hAnsi="宋体" w:eastAsia="宋体" w:cs="宋体"/>
                <w:spacing w:val="-7"/>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7"/>
                <w:sz w:val="24"/>
                <w:szCs w:val="24"/>
              </w:rPr>
              <w:t>1</w:t>
            </w:r>
            <w:r>
              <w:rPr>
                <w:rFonts w:ascii="Times New Roman" w:hAnsi="Times New Roman" w:eastAsia="Times New Roman" w:cs="Times New Roman"/>
                <w:spacing w:val="15"/>
                <w:w w:val="101"/>
                <w:sz w:val="24"/>
                <w:szCs w:val="24"/>
              </w:rPr>
              <w:t xml:space="preserve"> </w:t>
            </w:r>
            <w:r>
              <w:rPr>
                <w:rFonts w:ascii="宋体" w:hAnsi="宋体" w:eastAsia="宋体" w:cs="宋体"/>
                <w:spacing w:val="-7"/>
                <w:sz w:val="24"/>
                <w:szCs w:val="24"/>
              </w:rPr>
              <w:t>月</w:t>
            </w:r>
            <w:r>
              <w:rPr>
                <w:rFonts w:ascii="宋体" w:hAnsi="宋体" w:eastAsia="宋体" w:cs="宋体"/>
                <w:spacing w:val="-50"/>
                <w:sz w:val="24"/>
                <w:szCs w:val="24"/>
              </w:rPr>
              <w:t xml:space="preserve"> </w:t>
            </w:r>
            <w:r>
              <w:rPr>
                <w:rFonts w:ascii="Times New Roman" w:hAnsi="Times New Roman" w:eastAsia="Times New Roman" w:cs="Times New Roman"/>
                <w:spacing w:val="-7"/>
                <w:sz w:val="24"/>
                <w:szCs w:val="24"/>
              </w:rPr>
              <w:t xml:space="preserve">30  </w:t>
            </w:r>
            <w:r>
              <w:rPr>
                <w:rFonts w:ascii="宋体" w:hAnsi="宋体" w:eastAsia="宋体" w:cs="宋体"/>
                <w:spacing w:val="-7"/>
                <w:sz w:val="24"/>
                <w:szCs w:val="24"/>
              </w:rPr>
              <w:t>日完</w:t>
            </w:r>
            <w:r>
              <w:rPr>
                <w:rFonts w:ascii="宋体" w:hAnsi="宋体" w:eastAsia="宋体" w:cs="宋体"/>
                <w:spacing w:val="-2"/>
                <w:sz w:val="24"/>
                <w:szCs w:val="24"/>
              </w:rPr>
              <w:t>成验收。</w:t>
            </w:r>
            <w:r>
              <w:rPr>
                <w:rFonts w:ascii="宋体" w:hAnsi="宋体" w:eastAsia="宋体" w:cs="宋体"/>
                <w:spacing w:val="-51"/>
                <w:sz w:val="24"/>
                <w:szCs w:val="24"/>
              </w:rPr>
              <w:t xml:space="preserve"> </w:t>
            </w:r>
            <w:r>
              <w:rPr>
                <w:rFonts w:ascii="宋体" w:hAnsi="宋体" w:eastAsia="宋体" w:cs="宋体"/>
                <w:spacing w:val="-2"/>
                <w:sz w:val="24"/>
                <w:szCs w:val="24"/>
              </w:rPr>
              <w:t>目前正常运营中，年产</w:t>
            </w:r>
            <w:r>
              <w:rPr>
                <w:rFonts w:ascii="宋体" w:hAnsi="宋体" w:eastAsia="宋体" w:cs="宋体"/>
                <w:spacing w:val="-47"/>
                <w:sz w:val="24"/>
                <w:szCs w:val="24"/>
              </w:rPr>
              <w:t xml:space="preserve"> </w:t>
            </w:r>
            <w:r>
              <w:rPr>
                <w:rFonts w:ascii="Times New Roman" w:hAnsi="Times New Roman" w:eastAsia="Times New Roman" w:cs="Times New Roman"/>
                <w:spacing w:val="-2"/>
                <w:sz w:val="24"/>
                <w:szCs w:val="24"/>
              </w:rPr>
              <w:t>3</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万</w:t>
            </w:r>
            <w:r>
              <w:rPr>
                <w:rFonts w:ascii="宋体" w:hAnsi="宋体" w:eastAsia="宋体" w:cs="宋体"/>
                <w:spacing w:val="-53"/>
                <w:sz w:val="24"/>
                <w:szCs w:val="24"/>
              </w:rPr>
              <w:t xml:space="preserve"> </w:t>
            </w:r>
            <w:r>
              <w:rPr>
                <w:rFonts w:ascii="Times New Roman" w:hAnsi="Times New Roman" w:eastAsia="Times New Roman" w:cs="Times New Roman"/>
                <w:spacing w:val="-2"/>
                <w:sz w:val="24"/>
                <w:szCs w:val="24"/>
              </w:rPr>
              <w:t>m³</w:t>
            </w:r>
            <w:r>
              <w:rPr>
                <w:rFonts w:ascii="Times New Roman" w:hAnsi="Times New Roman" w:eastAsia="Times New Roman" w:cs="Times New Roman"/>
                <w:spacing w:val="-43"/>
                <w:sz w:val="24"/>
                <w:szCs w:val="24"/>
              </w:rPr>
              <w:t xml:space="preserve"> </w:t>
            </w:r>
            <w:r>
              <w:rPr>
                <w:rFonts w:ascii="宋体" w:hAnsi="宋体" w:eastAsia="宋体" w:cs="宋体"/>
                <w:spacing w:val="-2"/>
                <w:sz w:val="24"/>
                <w:szCs w:val="24"/>
              </w:rPr>
              <w:t>免漆生态板、</w:t>
            </w:r>
            <w:r>
              <w:rPr>
                <w:rFonts w:ascii="Times New Roman" w:hAnsi="Times New Roman" w:eastAsia="Times New Roman" w:cs="Times New Roman"/>
                <w:spacing w:val="-2"/>
                <w:sz w:val="24"/>
                <w:szCs w:val="24"/>
              </w:rPr>
              <w:t xml:space="preserve">3000 </w:t>
            </w:r>
            <w:r>
              <w:rPr>
                <w:rFonts w:ascii="宋体" w:hAnsi="宋体" w:eastAsia="宋体" w:cs="宋体"/>
                <w:spacing w:val="-2"/>
                <w:sz w:val="24"/>
                <w:szCs w:val="24"/>
              </w:rPr>
              <w:t>套成套衣柜、</w:t>
            </w:r>
            <w:r>
              <w:rPr>
                <w:rFonts w:ascii="Times New Roman" w:hAnsi="Times New Roman" w:eastAsia="Times New Roman" w:cs="Times New Roman"/>
                <w:spacing w:val="-2"/>
                <w:sz w:val="24"/>
                <w:szCs w:val="24"/>
              </w:rPr>
              <w:t>1000</w:t>
            </w:r>
            <w:r>
              <w:rPr>
                <w:rFonts w:ascii="Times New Roman" w:hAnsi="Times New Roman" w:eastAsia="Times New Roman" w:cs="Times New Roman"/>
                <w:spacing w:val="15"/>
                <w:w w:val="101"/>
                <w:sz w:val="24"/>
                <w:szCs w:val="24"/>
              </w:rPr>
              <w:t xml:space="preserve"> </w:t>
            </w:r>
            <w:r>
              <w:rPr>
                <w:rFonts w:ascii="宋体" w:hAnsi="宋体" w:eastAsia="宋体" w:cs="宋体"/>
                <w:spacing w:val="-2"/>
                <w:sz w:val="24"/>
                <w:szCs w:val="24"/>
              </w:rPr>
              <w:t>张</w:t>
            </w:r>
            <w:r>
              <w:rPr>
                <w:rFonts w:ascii="宋体" w:hAnsi="宋体" w:eastAsia="宋体" w:cs="宋体"/>
                <w:spacing w:val="-1"/>
                <w:sz w:val="24"/>
                <w:szCs w:val="24"/>
              </w:rPr>
              <w:t>床，</w:t>
            </w:r>
            <w:r>
              <w:rPr>
                <w:rFonts w:ascii="Times New Roman" w:hAnsi="Times New Roman" w:eastAsia="Times New Roman" w:cs="Times New Roman"/>
                <w:spacing w:val="-1"/>
                <w:sz w:val="24"/>
                <w:szCs w:val="24"/>
              </w:rPr>
              <w:t xml:space="preserve">2000 </w:t>
            </w:r>
            <w:r>
              <w:rPr>
                <w:rFonts w:ascii="宋体" w:hAnsi="宋体" w:eastAsia="宋体" w:cs="宋体"/>
                <w:spacing w:val="-1"/>
                <w:sz w:val="24"/>
                <w:szCs w:val="24"/>
              </w:rPr>
              <w:t>套鞋柜、</w:t>
            </w:r>
            <w:r>
              <w:rPr>
                <w:rFonts w:ascii="Times New Roman" w:hAnsi="Times New Roman" w:eastAsia="Times New Roman" w:cs="Times New Roman"/>
                <w:spacing w:val="-1"/>
                <w:sz w:val="24"/>
                <w:szCs w:val="24"/>
              </w:rPr>
              <w:t>500</w:t>
            </w:r>
            <w:r>
              <w:rPr>
                <w:rFonts w:ascii="Times New Roman" w:hAnsi="Times New Roman" w:eastAsia="Times New Roman" w:cs="Times New Roman"/>
                <w:spacing w:val="23"/>
                <w:sz w:val="24"/>
                <w:szCs w:val="24"/>
              </w:rPr>
              <w:t xml:space="preserve"> </w:t>
            </w:r>
            <w:r>
              <w:rPr>
                <w:rFonts w:ascii="宋体" w:hAnsi="宋体" w:eastAsia="宋体" w:cs="宋体"/>
                <w:spacing w:val="-1"/>
                <w:sz w:val="24"/>
                <w:szCs w:val="24"/>
              </w:rPr>
              <w:t>吨三聚氰胺纸、</w:t>
            </w:r>
            <w:r>
              <w:rPr>
                <w:rFonts w:ascii="Times New Roman" w:hAnsi="Times New Roman" w:eastAsia="Times New Roman" w:cs="Times New Roman"/>
                <w:spacing w:val="-1"/>
                <w:sz w:val="24"/>
                <w:szCs w:val="24"/>
              </w:rPr>
              <w:t xml:space="preserve">3000 </w:t>
            </w:r>
            <w:r>
              <w:rPr>
                <w:rFonts w:ascii="宋体" w:hAnsi="宋体" w:eastAsia="宋体" w:cs="宋体"/>
                <w:spacing w:val="-1"/>
                <w:sz w:val="24"/>
                <w:szCs w:val="24"/>
              </w:rPr>
              <w:t>套免漆木门。</w:t>
            </w:r>
          </w:p>
          <w:p w14:paraId="6DDBB4A9">
            <w:pPr>
              <w:spacing w:line="359" w:lineRule="auto"/>
              <w:ind w:left="107" w:right="102" w:firstLine="480"/>
              <w:rPr>
                <w:rFonts w:ascii="宋体" w:hAnsi="宋体" w:eastAsia="宋体" w:cs="宋体"/>
                <w:sz w:val="24"/>
                <w:szCs w:val="24"/>
              </w:rPr>
            </w:pPr>
            <w:r>
              <w:rPr>
                <w:rFonts w:ascii="宋体" w:hAnsi="宋体" w:eastAsia="宋体" w:cs="宋体"/>
                <w:sz w:val="24"/>
                <w:szCs w:val="24"/>
              </w:rPr>
              <w:t>经昆明欧铂瑞木制品有限公司市场调研，公</w:t>
            </w:r>
            <w:r>
              <w:rPr>
                <w:rFonts w:ascii="宋体" w:hAnsi="宋体" w:eastAsia="宋体" w:cs="宋体"/>
                <w:spacing w:val="-1"/>
                <w:sz w:val="24"/>
                <w:szCs w:val="24"/>
              </w:rPr>
              <w:t>司决定扩建</w:t>
            </w:r>
            <w:r>
              <w:rPr>
                <w:rFonts w:ascii="宋体" w:hAnsi="宋体" w:eastAsia="宋体" w:cs="宋体"/>
                <w:spacing w:val="-31"/>
                <w:sz w:val="24"/>
                <w:szCs w:val="24"/>
              </w:rPr>
              <w:t xml:space="preserve"> </w:t>
            </w: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条塑料筐生产线。</w:t>
            </w:r>
            <w:r>
              <w:rPr>
                <w:rFonts w:ascii="宋体" w:hAnsi="宋体" w:eastAsia="宋体" w:cs="宋体"/>
                <w:spacing w:val="-2"/>
                <w:sz w:val="24"/>
                <w:szCs w:val="24"/>
              </w:rPr>
              <w:t>昆明欧铂瑞木制品有限公司于</w:t>
            </w:r>
            <w:r>
              <w:rPr>
                <w:rFonts w:ascii="宋体" w:hAnsi="宋体" w:eastAsia="宋体" w:cs="宋体"/>
                <w:spacing w:val="-53"/>
                <w:sz w:val="24"/>
                <w:szCs w:val="24"/>
              </w:rPr>
              <w:t xml:space="preserve"> </w:t>
            </w:r>
            <w:r>
              <w:rPr>
                <w:rFonts w:ascii="Times New Roman" w:hAnsi="Times New Roman" w:eastAsia="Times New Roman" w:cs="Times New Roman"/>
                <w:spacing w:val="-2"/>
                <w:sz w:val="24"/>
                <w:szCs w:val="24"/>
              </w:rPr>
              <w:t xml:space="preserve">2026 </w:t>
            </w:r>
            <w:r>
              <w:rPr>
                <w:rFonts w:ascii="宋体" w:hAnsi="宋体" w:eastAsia="宋体" w:cs="宋体"/>
                <w:spacing w:val="-2"/>
                <w:sz w:val="24"/>
                <w:szCs w:val="24"/>
              </w:rPr>
              <w:t>年</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7</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月</w:t>
            </w:r>
            <w:r>
              <w:rPr>
                <w:rFonts w:ascii="宋体" w:hAnsi="宋体" w:eastAsia="宋体" w:cs="宋体"/>
                <w:spacing w:val="-52"/>
                <w:sz w:val="24"/>
                <w:szCs w:val="24"/>
              </w:rPr>
              <w:t xml:space="preserve"> </w:t>
            </w:r>
            <w:r>
              <w:rPr>
                <w:rFonts w:ascii="Times New Roman" w:hAnsi="Times New Roman" w:eastAsia="Times New Roman" w:cs="Times New Roman"/>
                <w:spacing w:val="-2"/>
                <w:sz w:val="24"/>
                <w:szCs w:val="24"/>
              </w:rPr>
              <w:t xml:space="preserve">22  </w:t>
            </w:r>
            <w:r>
              <w:rPr>
                <w:rFonts w:ascii="宋体" w:hAnsi="宋体" w:eastAsia="宋体" w:cs="宋体"/>
                <w:spacing w:val="-2"/>
                <w:sz w:val="24"/>
                <w:szCs w:val="24"/>
              </w:rPr>
              <w:t>日取得了寻甸回族彝族自</w:t>
            </w:r>
            <w:r>
              <w:rPr>
                <w:rFonts w:ascii="宋体" w:hAnsi="宋体" w:eastAsia="宋体" w:cs="宋体"/>
                <w:spacing w:val="-3"/>
                <w:sz w:val="24"/>
                <w:szCs w:val="24"/>
              </w:rPr>
              <w:t>治县发展</w:t>
            </w:r>
            <w:r>
              <w:rPr>
                <w:rFonts w:ascii="宋体" w:hAnsi="宋体" w:eastAsia="宋体" w:cs="宋体"/>
                <w:spacing w:val="-1"/>
                <w:sz w:val="24"/>
                <w:szCs w:val="24"/>
              </w:rPr>
              <w:t>和改革局出具的《昆明欧铂瑞木制品有限公司年产</w:t>
            </w:r>
            <w:r>
              <w:rPr>
                <w:rFonts w:ascii="宋体" w:hAnsi="宋体" w:eastAsia="宋体" w:cs="宋体"/>
                <w:spacing w:val="-27"/>
                <w:sz w:val="24"/>
                <w:szCs w:val="24"/>
              </w:rPr>
              <w:t xml:space="preserve"> </w:t>
            </w:r>
            <w:r>
              <w:rPr>
                <w:rFonts w:ascii="Times New Roman" w:hAnsi="Times New Roman" w:eastAsia="Times New Roman" w:cs="Times New Roman"/>
                <w:spacing w:val="-1"/>
                <w:sz w:val="24"/>
                <w:szCs w:val="24"/>
              </w:rPr>
              <w:t>100</w:t>
            </w:r>
            <w:r>
              <w:rPr>
                <w:rFonts w:ascii="Times New Roman" w:hAnsi="Times New Roman" w:eastAsia="Times New Roman" w:cs="Times New Roman"/>
                <w:spacing w:val="18"/>
                <w:sz w:val="24"/>
                <w:szCs w:val="24"/>
              </w:rPr>
              <w:t xml:space="preserve"> </w:t>
            </w:r>
            <w:r>
              <w:rPr>
                <w:rFonts w:ascii="宋体" w:hAnsi="宋体" w:eastAsia="宋体" w:cs="宋体"/>
                <w:spacing w:val="-1"/>
                <w:sz w:val="24"/>
                <w:szCs w:val="24"/>
              </w:rPr>
              <w:t>万个塑料筐项目》投资备</w:t>
            </w:r>
            <w:r>
              <w:rPr>
                <w:rFonts w:ascii="宋体" w:hAnsi="宋体" w:eastAsia="宋体" w:cs="宋体"/>
                <w:sz w:val="24"/>
                <w:szCs w:val="24"/>
              </w:rPr>
              <w:t>案证，备案号【项目代码】</w:t>
            </w:r>
            <w:r>
              <w:rPr>
                <w:rFonts w:ascii="Times New Roman" w:hAnsi="Times New Roman" w:eastAsia="Times New Roman" w:cs="Times New Roman"/>
                <w:sz w:val="24"/>
                <w:szCs w:val="24"/>
              </w:rPr>
              <w:t>2607-530129-0</w:t>
            </w:r>
            <w:r>
              <w:rPr>
                <w:rFonts w:ascii="Times New Roman" w:hAnsi="Times New Roman" w:eastAsia="Times New Roman" w:cs="Times New Roman"/>
                <w:spacing w:val="-1"/>
                <w:sz w:val="24"/>
                <w:szCs w:val="24"/>
              </w:rPr>
              <w:t>4-01-216755</w:t>
            </w:r>
            <w:r>
              <w:rPr>
                <w:rFonts w:ascii="宋体" w:hAnsi="宋体" w:eastAsia="宋体" w:cs="宋体"/>
                <w:spacing w:val="-1"/>
                <w:sz w:val="24"/>
                <w:szCs w:val="24"/>
              </w:rPr>
              <w:t>。</w:t>
            </w:r>
          </w:p>
          <w:p w14:paraId="4B1CCD64">
            <w:pPr>
              <w:spacing w:before="5" w:line="358" w:lineRule="auto"/>
              <w:ind w:left="106" w:right="22" w:firstLine="480"/>
              <w:jc w:val="both"/>
              <w:rPr>
                <w:rFonts w:ascii="宋体" w:hAnsi="宋体" w:eastAsia="宋体" w:cs="宋体"/>
                <w:sz w:val="24"/>
                <w:szCs w:val="24"/>
              </w:rPr>
            </w:pPr>
            <w:r>
              <w:rPr>
                <w:rFonts w:ascii="宋体" w:hAnsi="宋体" w:eastAsia="宋体" w:cs="宋体"/>
                <w:sz w:val="24"/>
                <w:szCs w:val="24"/>
              </w:rPr>
              <w:t>根据《中华人民共和国环境保护法》、《中华人民共和国环境影响评价法》</w:t>
            </w:r>
            <w:r>
              <w:rPr>
                <w:rFonts w:ascii="宋体" w:hAnsi="宋体" w:eastAsia="宋体" w:cs="宋体"/>
                <w:spacing w:val="-4"/>
                <w:sz w:val="24"/>
                <w:szCs w:val="24"/>
              </w:rPr>
              <w:t>和《建设项目环境保护管理条例》的相关规定，本项目应开展环境影响评价工作。</w:t>
            </w:r>
            <w:r>
              <w:rPr>
                <w:rFonts w:ascii="宋体" w:hAnsi="宋体" w:eastAsia="宋体" w:cs="宋体"/>
                <w:spacing w:val="2"/>
                <w:sz w:val="24"/>
                <w:szCs w:val="24"/>
              </w:rPr>
              <w:t>根据《建设项目环境影响评价分类管理名录》（</w:t>
            </w:r>
            <w:r>
              <w:rPr>
                <w:rFonts w:ascii="Times New Roman" w:hAnsi="Times New Roman" w:eastAsia="Times New Roman" w:cs="Times New Roman"/>
                <w:spacing w:val="2"/>
                <w:sz w:val="24"/>
                <w:szCs w:val="24"/>
              </w:rPr>
              <w:t xml:space="preserve">2021 </w:t>
            </w:r>
            <w:r>
              <w:rPr>
                <w:rFonts w:ascii="宋体" w:hAnsi="宋体" w:eastAsia="宋体" w:cs="宋体"/>
                <w:spacing w:val="2"/>
                <w:sz w:val="24"/>
                <w:szCs w:val="24"/>
              </w:rPr>
              <w:t>年版</w:t>
            </w:r>
            <w:r>
              <w:rPr>
                <w:rFonts w:ascii="宋体" w:hAnsi="宋体" w:eastAsia="宋体" w:cs="宋体"/>
                <w:spacing w:val="10"/>
                <w:sz w:val="24"/>
                <w:szCs w:val="24"/>
              </w:rPr>
              <w:t>），</w:t>
            </w:r>
            <w:r>
              <w:rPr>
                <w:rFonts w:ascii="宋体" w:hAnsi="宋体" w:eastAsia="宋体" w:cs="宋体"/>
                <w:spacing w:val="2"/>
                <w:sz w:val="24"/>
                <w:szCs w:val="24"/>
              </w:rPr>
              <w:t>本项目</w:t>
            </w:r>
            <w:r>
              <w:rPr>
                <w:rFonts w:ascii="宋体" w:hAnsi="宋体" w:eastAsia="宋体" w:cs="宋体"/>
                <w:spacing w:val="1"/>
                <w:sz w:val="24"/>
                <w:szCs w:val="24"/>
              </w:rPr>
              <w:t>属于</w:t>
            </w:r>
            <w:r>
              <w:rPr>
                <w:rFonts w:ascii="Times New Roman" w:hAnsi="Times New Roman" w:eastAsia="Times New Roman" w:cs="Times New Roman"/>
                <w:spacing w:val="1"/>
                <w:sz w:val="24"/>
                <w:szCs w:val="24"/>
              </w:rPr>
              <w:t>“</w:t>
            </w:r>
            <w:r>
              <w:rPr>
                <w:rFonts w:ascii="宋体" w:hAnsi="宋体" w:eastAsia="宋体" w:cs="宋体"/>
                <w:spacing w:val="1"/>
                <w:sz w:val="24"/>
                <w:szCs w:val="24"/>
              </w:rPr>
              <w:t>二十六、橡胶和塑料制品业</w:t>
            </w:r>
            <w:r>
              <w:rPr>
                <w:rFonts w:ascii="宋体" w:hAnsi="宋体" w:eastAsia="宋体" w:cs="宋体"/>
                <w:spacing w:val="-47"/>
                <w:sz w:val="24"/>
                <w:szCs w:val="24"/>
              </w:rPr>
              <w:t xml:space="preserve"> </w:t>
            </w:r>
            <w:r>
              <w:rPr>
                <w:rFonts w:ascii="Times New Roman" w:hAnsi="Times New Roman" w:eastAsia="Times New Roman" w:cs="Times New Roman"/>
                <w:spacing w:val="1"/>
                <w:sz w:val="24"/>
                <w:szCs w:val="24"/>
              </w:rPr>
              <w:t>29-53</w:t>
            </w:r>
            <w:r>
              <w:rPr>
                <w:rFonts w:ascii="Times New Roman" w:hAnsi="Times New Roman" w:eastAsia="Times New Roman" w:cs="Times New Roman"/>
                <w:spacing w:val="-29"/>
                <w:sz w:val="24"/>
                <w:szCs w:val="24"/>
              </w:rPr>
              <w:t xml:space="preserve"> </w:t>
            </w:r>
            <w:r>
              <w:rPr>
                <w:rFonts w:ascii="宋体" w:hAnsi="宋体" w:eastAsia="宋体" w:cs="宋体"/>
                <w:spacing w:val="1"/>
                <w:sz w:val="24"/>
                <w:szCs w:val="24"/>
              </w:rPr>
              <w:t>、塑料制品业</w:t>
            </w:r>
            <w:r>
              <w:rPr>
                <w:rFonts w:ascii="宋体" w:hAnsi="宋体" w:eastAsia="宋体" w:cs="宋体"/>
                <w:spacing w:val="-52"/>
                <w:sz w:val="24"/>
                <w:szCs w:val="24"/>
              </w:rPr>
              <w:t xml:space="preserve"> </w:t>
            </w:r>
            <w:r>
              <w:rPr>
                <w:rFonts w:ascii="Times New Roman" w:hAnsi="Times New Roman" w:eastAsia="Times New Roman" w:cs="Times New Roman"/>
                <w:spacing w:val="1"/>
                <w:sz w:val="24"/>
                <w:szCs w:val="24"/>
              </w:rPr>
              <w:t>292-</w:t>
            </w:r>
            <w:r>
              <w:rPr>
                <w:rFonts w:ascii="宋体" w:hAnsi="宋体" w:eastAsia="宋体" w:cs="宋体"/>
                <w:spacing w:val="1"/>
                <w:sz w:val="24"/>
                <w:szCs w:val="24"/>
              </w:rPr>
              <w:t>其他（年用非溶剂型低</w:t>
            </w:r>
            <w:r>
              <w:rPr>
                <w:rFonts w:ascii="宋体" w:hAnsi="宋体" w:eastAsia="宋体" w:cs="宋体"/>
                <w:spacing w:val="-56"/>
                <w:sz w:val="24"/>
                <w:szCs w:val="24"/>
              </w:rPr>
              <w:t xml:space="preserve"> </w:t>
            </w:r>
            <w:r>
              <w:rPr>
                <w:rFonts w:ascii="Times New Roman" w:hAnsi="Times New Roman" w:eastAsia="Times New Roman" w:cs="Times New Roman"/>
                <w:sz w:val="24"/>
                <w:szCs w:val="24"/>
              </w:rPr>
              <w:t>VOCs</w:t>
            </w:r>
            <w:r>
              <w:rPr>
                <w:rFonts w:ascii="Times New Roman" w:hAnsi="Times New Roman" w:eastAsia="Times New Roman" w:cs="Times New Roman"/>
                <w:spacing w:val="1"/>
                <w:sz w:val="24"/>
                <w:szCs w:val="24"/>
              </w:rPr>
              <w:t xml:space="preserve"> </w:t>
            </w:r>
            <w:r>
              <w:rPr>
                <w:rFonts w:ascii="宋体" w:hAnsi="宋体" w:eastAsia="宋体" w:cs="宋体"/>
                <w:spacing w:val="1"/>
                <w:sz w:val="24"/>
                <w:szCs w:val="24"/>
              </w:rPr>
              <w:t>含</w:t>
            </w:r>
            <w:r>
              <w:rPr>
                <w:rFonts w:ascii="宋体" w:hAnsi="宋体" w:eastAsia="宋体" w:cs="宋体"/>
                <w:spacing w:val="-6"/>
                <w:sz w:val="24"/>
                <w:szCs w:val="24"/>
              </w:rPr>
              <w:t>量涂料</w:t>
            </w:r>
            <w:r>
              <w:rPr>
                <w:rFonts w:ascii="宋体" w:hAnsi="宋体" w:eastAsia="宋体" w:cs="宋体"/>
                <w:spacing w:val="-27"/>
                <w:sz w:val="24"/>
                <w:szCs w:val="24"/>
              </w:rPr>
              <w:t xml:space="preserve"> </w:t>
            </w:r>
            <w:r>
              <w:rPr>
                <w:rFonts w:ascii="Times New Roman" w:hAnsi="Times New Roman" w:eastAsia="Times New Roman" w:cs="Times New Roman"/>
                <w:spacing w:val="-6"/>
                <w:sz w:val="24"/>
                <w:szCs w:val="24"/>
              </w:rPr>
              <w:t>10</w:t>
            </w:r>
            <w:r>
              <w:rPr>
                <w:rFonts w:ascii="Times New Roman" w:hAnsi="Times New Roman" w:eastAsia="Times New Roman" w:cs="Times New Roman"/>
                <w:spacing w:val="21"/>
                <w:sz w:val="24"/>
                <w:szCs w:val="24"/>
              </w:rPr>
              <w:t xml:space="preserve"> </w:t>
            </w:r>
            <w:r>
              <w:rPr>
                <w:rFonts w:ascii="宋体" w:hAnsi="宋体" w:eastAsia="宋体" w:cs="宋体"/>
                <w:spacing w:val="-6"/>
                <w:sz w:val="24"/>
                <w:szCs w:val="24"/>
              </w:rPr>
              <w:t>吨以下的除外）</w:t>
            </w:r>
            <w:r>
              <w:rPr>
                <w:rFonts w:ascii="Times New Roman" w:hAnsi="Times New Roman" w:eastAsia="Times New Roman" w:cs="Times New Roman"/>
                <w:spacing w:val="-6"/>
                <w:sz w:val="24"/>
                <w:szCs w:val="24"/>
              </w:rPr>
              <w:t>”</w:t>
            </w:r>
            <w:r>
              <w:rPr>
                <w:rFonts w:ascii="Times New Roman" w:hAnsi="Times New Roman" w:eastAsia="Times New Roman" w:cs="Times New Roman"/>
                <w:spacing w:val="-36"/>
                <w:sz w:val="24"/>
                <w:szCs w:val="24"/>
              </w:rPr>
              <w:t xml:space="preserve"> </w:t>
            </w:r>
            <w:r>
              <w:rPr>
                <w:rFonts w:ascii="宋体" w:hAnsi="宋体" w:eastAsia="宋体" w:cs="宋体"/>
                <w:spacing w:val="-6"/>
                <w:sz w:val="24"/>
                <w:szCs w:val="24"/>
              </w:rPr>
              <w:t>,</w:t>
            </w:r>
            <w:r>
              <w:rPr>
                <w:rFonts w:ascii="宋体" w:hAnsi="宋体" w:eastAsia="宋体" w:cs="宋体"/>
                <w:spacing w:val="63"/>
                <w:sz w:val="24"/>
                <w:szCs w:val="24"/>
              </w:rPr>
              <w:t xml:space="preserve"> </w:t>
            </w:r>
            <w:r>
              <w:rPr>
                <w:rFonts w:ascii="宋体" w:hAnsi="宋体" w:eastAsia="宋体" w:cs="宋体"/>
                <w:spacing w:val="-6"/>
                <w:sz w:val="24"/>
                <w:szCs w:val="24"/>
              </w:rPr>
              <w:t>应编制环境影响报告表。</w:t>
            </w:r>
          </w:p>
          <w:p w14:paraId="453014EC">
            <w:pPr>
              <w:spacing w:line="219" w:lineRule="auto"/>
              <w:ind w:left="583"/>
              <w:rPr>
                <w:rFonts w:ascii="宋体" w:hAnsi="宋体" w:eastAsia="宋体" w:cs="宋体"/>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34"/>
                <w:sz w:val="24"/>
                <w:szCs w:val="24"/>
              </w:rPr>
              <w:t xml:space="preserve"> </w:t>
            </w:r>
            <w:r>
              <w:rPr>
                <w:rFonts w:ascii="宋体" w:hAnsi="宋体" w:eastAsia="宋体" w:cs="宋体"/>
                <w:b/>
                <w:bCs/>
                <w:spacing w:val="-5"/>
                <w:sz w:val="24"/>
                <w:szCs w:val="24"/>
              </w:rPr>
              <w:t>、建设内容及规模</w:t>
            </w:r>
          </w:p>
          <w:p w14:paraId="16A9D863">
            <w:pPr>
              <w:spacing w:before="186" w:line="352" w:lineRule="auto"/>
              <w:ind w:left="106" w:right="22" w:firstLine="480"/>
              <w:jc w:val="both"/>
              <w:rPr>
                <w:rFonts w:ascii="宋体" w:hAnsi="宋体" w:eastAsia="宋体" w:cs="宋体"/>
                <w:sz w:val="24"/>
                <w:szCs w:val="24"/>
              </w:rPr>
            </w:pPr>
            <w:r>
              <w:rPr>
                <w:rFonts w:ascii="宋体" w:hAnsi="宋体" w:eastAsia="宋体" w:cs="宋体"/>
                <w:spacing w:val="-1"/>
                <w:sz w:val="24"/>
                <w:szCs w:val="24"/>
              </w:rPr>
              <w:t>本项目位于已建厂房内，厂房占地面积</w:t>
            </w:r>
            <w:r>
              <w:rPr>
                <w:rFonts w:ascii="宋体" w:hAnsi="宋体" w:eastAsia="宋体" w:cs="宋体"/>
                <w:spacing w:val="-48"/>
                <w:sz w:val="24"/>
                <w:szCs w:val="24"/>
              </w:rPr>
              <w:t xml:space="preserve"> </w:t>
            </w:r>
            <w:r>
              <w:rPr>
                <w:rFonts w:ascii="宋体" w:hAnsi="宋体" w:eastAsia="宋体" w:cs="宋体"/>
                <w:spacing w:val="-1"/>
                <w:sz w:val="24"/>
                <w:szCs w:val="24"/>
              </w:rPr>
              <w:t>2820</w:t>
            </w:r>
            <w:r>
              <w:rPr>
                <w:rFonts w:ascii="宋体" w:hAnsi="宋体" w:eastAsia="宋体" w:cs="宋体"/>
                <w:spacing w:val="-51"/>
                <w:sz w:val="24"/>
                <w:szCs w:val="24"/>
              </w:rPr>
              <w:t xml:space="preserve"> </w:t>
            </w:r>
            <w:r>
              <w:rPr>
                <w:rFonts w:ascii="宋体" w:hAnsi="宋体" w:eastAsia="宋体" w:cs="宋体"/>
                <w:spacing w:val="-1"/>
                <w:sz w:val="24"/>
                <w:szCs w:val="24"/>
              </w:rPr>
              <w:t>平方米</w:t>
            </w:r>
            <w:r>
              <w:rPr>
                <w:rFonts w:ascii="宋体" w:hAnsi="宋体" w:eastAsia="宋体" w:cs="宋体"/>
                <w:spacing w:val="-2"/>
                <w:sz w:val="24"/>
                <w:szCs w:val="24"/>
              </w:rPr>
              <w:t>，分为原料区、生产区、</w:t>
            </w:r>
            <w:r>
              <w:rPr>
                <w:rFonts w:ascii="宋体" w:hAnsi="宋体" w:eastAsia="宋体" w:cs="宋体"/>
                <w:spacing w:val="2"/>
                <w:sz w:val="24"/>
                <w:szCs w:val="24"/>
              </w:rPr>
              <w:t>成品区，主要设备为4</w:t>
            </w:r>
            <w:r>
              <w:rPr>
                <w:rFonts w:ascii="宋体" w:hAnsi="宋体" w:eastAsia="宋体" w:cs="宋体"/>
                <w:spacing w:val="-32"/>
                <w:sz w:val="24"/>
                <w:szCs w:val="24"/>
              </w:rPr>
              <w:t xml:space="preserve"> </w:t>
            </w:r>
            <w:r>
              <w:rPr>
                <w:rFonts w:ascii="宋体" w:hAnsi="宋体" w:eastAsia="宋体" w:cs="宋体"/>
                <w:spacing w:val="2"/>
                <w:sz w:val="24"/>
                <w:szCs w:val="24"/>
              </w:rPr>
              <w:t>台注塑机及配套的60t/h</w:t>
            </w:r>
            <w:r>
              <w:rPr>
                <w:rFonts w:ascii="宋体" w:hAnsi="宋体" w:eastAsia="宋体" w:cs="宋体"/>
                <w:spacing w:val="-49"/>
                <w:sz w:val="24"/>
                <w:szCs w:val="24"/>
              </w:rPr>
              <w:t xml:space="preserve"> </w:t>
            </w:r>
            <w:r>
              <w:rPr>
                <w:rFonts w:ascii="宋体" w:hAnsi="宋体" w:eastAsia="宋体" w:cs="宋体"/>
                <w:spacing w:val="2"/>
                <w:sz w:val="24"/>
                <w:szCs w:val="24"/>
              </w:rPr>
              <w:t>冷却循环塔等相关设备</w:t>
            </w:r>
            <w:r>
              <w:rPr>
                <w:rFonts w:ascii="宋体" w:hAnsi="宋体" w:eastAsia="宋体" w:cs="宋体"/>
                <w:spacing w:val="1"/>
                <w:sz w:val="24"/>
                <w:szCs w:val="24"/>
              </w:rPr>
              <w:t>，项目建</w:t>
            </w:r>
            <w:r>
              <w:rPr>
                <w:rFonts w:ascii="宋体" w:hAnsi="宋体" w:eastAsia="宋体" w:cs="宋体"/>
                <w:sz w:val="24"/>
                <w:szCs w:val="24"/>
              </w:rPr>
              <w:t>成后可生产</w:t>
            </w:r>
            <w:r>
              <w:rPr>
                <w:rFonts w:ascii="宋体" w:hAnsi="宋体" w:eastAsia="宋体" w:cs="宋体"/>
                <w:spacing w:val="-33"/>
                <w:sz w:val="24"/>
                <w:szCs w:val="24"/>
              </w:rPr>
              <w:t xml:space="preserve"> </w:t>
            </w:r>
            <w:r>
              <w:rPr>
                <w:rFonts w:ascii="宋体" w:hAnsi="宋体" w:eastAsia="宋体" w:cs="宋体"/>
                <w:sz w:val="24"/>
                <w:szCs w:val="24"/>
              </w:rPr>
              <w:t>100</w:t>
            </w:r>
            <w:r>
              <w:rPr>
                <w:rFonts w:ascii="宋体" w:hAnsi="宋体" w:eastAsia="宋体" w:cs="宋体"/>
                <w:spacing w:val="-45"/>
                <w:sz w:val="24"/>
                <w:szCs w:val="24"/>
              </w:rPr>
              <w:t xml:space="preserve"> </w:t>
            </w:r>
            <w:r>
              <w:rPr>
                <w:rFonts w:ascii="宋体" w:hAnsi="宋体" w:eastAsia="宋体" w:cs="宋体"/>
                <w:sz w:val="24"/>
                <w:szCs w:val="24"/>
              </w:rPr>
              <w:t>万个塑料包装筐（约</w:t>
            </w:r>
            <w:r>
              <w:rPr>
                <w:rFonts w:ascii="Times New Roman" w:hAnsi="Times New Roman" w:eastAsia="Times New Roman" w:cs="Times New Roman"/>
                <w:sz w:val="24"/>
                <w:szCs w:val="24"/>
              </w:rPr>
              <w:t>2300t</w:t>
            </w:r>
            <w:r>
              <w:rPr>
                <w:rFonts w:ascii="宋体" w:hAnsi="宋体" w:eastAsia="宋体" w:cs="宋体"/>
                <w:sz w:val="24"/>
                <w:szCs w:val="24"/>
              </w:rPr>
              <w:t>）。项目生</w:t>
            </w:r>
            <w:r>
              <w:rPr>
                <w:rFonts w:ascii="宋体" w:hAnsi="宋体" w:eastAsia="宋体" w:cs="宋体"/>
                <w:spacing w:val="-1"/>
                <w:sz w:val="24"/>
                <w:szCs w:val="24"/>
              </w:rPr>
              <w:t>产主要原料为聚丙烯（PP）</w:t>
            </w:r>
            <w:r>
              <w:rPr>
                <w:rFonts w:ascii="宋体" w:hAnsi="宋体" w:eastAsia="宋体" w:cs="宋体"/>
                <w:sz w:val="24"/>
                <w:szCs w:val="24"/>
              </w:rPr>
              <w:t>环保塑料颗粒，不涉及废塑料热熔。原料经配料机配料</w:t>
            </w:r>
            <w:r>
              <w:rPr>
                <w:rFonts w:ascii="宋体" w:hAnsi="宋体" w:eastAsia="宋体" w:cs="宋体"/>
                <w:spacing w:val="-1"/>
                <w:sz w:val="24"/>
                <w:szCs w:val="24"/>
              </w:rPr>
              <w:t>后经注塑机注塑成型后即</w:t>
            </w:r>
            <w:r>
              <w:rPr>
                <w:rFonts w:ascii="宋体" w:hAnsi="宋体" w:eastAsia="宋体" w:cs="宋体"/>
                <w:sz w:val="24"/>
                <w:szCs w:val="24"/>
              </w:rPr>
              <w:t>得成品。具体工艺流程为上料、注塑成型、冷却固化。产品包装入库后外售。不</w:t>
            </w:r>
          </w:p>
        </w:tc>
      </w:tr>
    </w:tbl>
    <w:p w14:paraId="6FF7E75E">
      <w:pPr>
        <w:pStyle w:val="2"/>
      </w:pPr>
    </w:p>
    <w:p w14:paraId="1E65310B">
      <w:pPr>
        <w:sectPr>
          <w:footerReference r:id="rId47" w:type="default"/>
          <w:pgSz w:w="11906" w:h="16839"/>
          <w:pgMar w:top="400" w:right="1413" w:bottom="1329" w:left="1413" w:header="0" w:footer="1113" w:gutter="0"/>
          <w:cols w:space="720" w:num="1"/>
        </w:sectPr>
      </w:pPr>
    </w:p>
    <w:p w14:paraId="19AA673B">
      <w:pPr>
        <w:spacing w:before="19"/>
      </w:pPr>
    </w:p>
    <w:p w14:paraId="470B3286">
      <w:pPr>
        <w:spacing w:before="19"/>
      </w:pPr>
    </w:p>
    <w:p w14:paraId="7DA72D0A">
      <w:pPr>
        <w:spacing w:before="19"/>
      </w:pPr>
    </w:p>
    <w:p w14:paraId="5919F582">
      <w:pPr>
        <w:spacing w:before="18"/>
      </w:pPr>
    </w:p>
    <w:p w14:paraId="742CC1F2">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596"/>
        <w:gridCol w:w="1379"/>
        <w:gridCol w:w="2514"/>
        <w:gridCol w:w="2213"/>
        <w:gridCol w:w="1626"/>
        <w:gridCol w:w="195"/>
      </w:tblGrid>
      <w:tr w14:paraId="5367D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6" w:hRule="atLeast"/>
        </w:trPr>
        <w:tc>
          <w:tcPr>
            <w:tcW w:w="428" w:type="dxa"/>
            <w:vMerge w:val="restart"/>
            <w:tcBorders>
              <w:top w:val="single" w:color="000000" w:sz="6" w:space="0"/>
              <w:left w:val="single" w:color="000000" w:sz="6" w:space="0"/>
              <w:bottom w:val="nil"/>
            </w:tcBorders>
            <w:vAlign w:val="top"/>
          </w:tcPr>
          <w:p w14:paraId="13C7EAF3">
            <w:pPr>
              <w:rPr>
                <w:rFonts w:ascii="Arial"/>
                <w:sz w:val="21"/>
              </w:rPr>
            </w:pPr>
          </w:p>
        </w:tc>
        <w:tc>
          <w:tcPr>
            <w:tcW w:w="8636" w:type="dxa"/>
            <w:gridSpan w:val="7"/>
            <w:tcBorders>
              <w:top w:val="single" w:color="000000" w:sz="6" w:space="0"/>
              <w:right w:val="single" w:color="000000" w:sz="6" w:space="0"/>
            </w:tcBorders>
            <w:vAlign w:val="top"/>
          </w:tcPr>
          <w:p w14:paraId="26334CA7">
            <w:pPr>
              <w:spacing w:before="39" w:line="221" w:lineRule="auto"/>
              <w:ind w:left="108"/>
              <w:rPr>
                <w:rFonts w:ascii="宋体" w:hAnsi="宋体" w:eastAsia="宋体" w:cs="宋体"/>
                <w:sz w:val="24"/>
                <w:szCs w:val="24"/>
              </w:rPr>
            </w:pPr>
            <w:r>
              <w:rPr>
                <w:rFonts w:ascii="宋体" w:hAnsi="宋体" w:eastAsia="宋体" w:cs="宋体"/>
                <w:spacing w:val="-2"/>
                <w:sz w:val="24"/>
                <w:szCs w:val="24"/>
              </w:rPr>
              <w:t>涉及化学工艺。</w:t>
            </w:r>
          </w:p>
          <w:p w14:paraId="2003E601">
            <w:pPr>
              <w:spacing w:before="182" w:line="359" w:lineRule="auto"/>
              <w:ind w:left="105" w:firstLine="479"/>
              <w:jc w:val="both"/>
              <w:rPr>
                <w:rFonts w:ascii="宋体" w:hAnsi="宋体" w:eastAsia="宋体" w:cs="宋体"/>
                <w:sz w:val="24"/>
                <w:szCs w:val="24"/>
              </w:rPr>
            </w:pPr>
            <w:r>
              <w:rPr>
                <w:rFonts w:ascii="宋体" w:hAnsi="宋体" w:eastAsia="宋体" w:cs="宋体"/>
                <w:spacing w:val="-2"/>
                <w:sz w:val="24"/>
                <w:szCs w:val="24"/>
              </w:rPr>
              <w:t>施工进度：项目拟在</w:t>
            </w:r>
            <w:r>
              <w:rPr>
                <w:rFonts w:ascii="宋体" w:hAnsi="宋体" w:eastAsia="宋体" w:cs="宋体"/>
                <w:spacing w:val="-46"/>
                <w:sz w:val="24"/>
                <w:szCs w:val="24"/>
              </w:rPr>
              <w:t xml:space="preserve"> </w:t>
            </w:r>
            <w:r>
              <w:rPr>
                <w:rFonts w:ascii="Times New Roman" w:hAnsi="Times New Roman" w:eastAsia="Times New Roman" w:cs="Times New Roman"/>
                <w:spacing w:val="-2"/>
                <w:sz w:val="24"/>
                <w:szCs w:val="24"/>
              </w:rPr>
              <w:t xml:space="preserve">2026 </w:t>
            </w:r>
            <w:r>
              <w:rPr>
                <w:rFonts w:ascii="宋体" w:hAnsi="宋体" w:eastAsia="宋体" w:cs="宋体"/>
                <w:spacing w:val="-2"/>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10</w:t>
            </w:r>
            <w:r>
              <w:rPr>
                <w:rFonts w:ascii="Times New Roman" w:hAnsi="Times New Roman" w:eastAsia="Times New Roman" w:cs="Times New Roman"/>
                <w:spacing w:val="17"/>
                <w:w w:val="101"/>
                <w:sz w:val="24"/>
                <w:szCs w:val="24"/>
              </w:rPr>
              <w:t xml:space="preserve"> </w:t>
            </w:r>
            <w:r>
              <w:rPr>
                <w:rFonts w:ascii="宋体" w:hAnsi="宋体" w:eastAsia="宋体" w:cs="宋体"/>
                <w:spacing w:val="-2"/>
                <w:sz w:val="24"/>
                <w:szCs w:val="24"/>
              </w:rPr>
              <w:t>月开始建设，施工期</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个月，现项目已将注</w:t>
            </w:r>
            <w:r>
              <w:rPr>
                <w:rFonts w:ascii="宋体" w:hAnsi="宋体" w:eastAsia="宋体" w:cs="宋体"/>
                <w:spacing w:val="-3"/>
                <w:sz w:val="24"/>
                <w:szCs w:val="24"/>
              </w:rPr>
              <w:t>塑机和冷却塔安装完成，属于未批先建，根据《中华</w:t>
            </w:r>
            <w:r>
              <w:rPr>
                <w:rFonts w:ascii="宋体" w:hAnsi="宋体" w:eastAsia="宋体" w:cs="宋体"/>
                <w:spacing w:val="-4"/>
                <w:sz w:val="24"/>
                <w:szCs w:val="24"/>
              </w:rPr>
              <w:t>人民共和国环境影响评价法》</w:t>
            </w:r>
            <w:r>
              <w:rPr>
                <w:rFonts w:ascii="宋体" w:hAnsi="宋体" w:eastAsia="宋体" w:cs="宋体"/>
                <w:sz w:val="24"/>
                <w:szCs w:val="24"/>
              </w:rPr>
              <w:t xml:space="preserve"> </w:t>
            </w:r>
            <w:r>
              <w:rPr>
                <w:rFonts w:ascii="宋体" w:hAnsi="宋体" w:eastAsia="宋体" w:cs="宋体"/>
                <w:spacing w:val="-4"/>
                <w:sz w:val="24"/>
                <w:szCs w:val="24"/>
              </w:rPr>
              <w:t>（</w:t>
            </w:r>
            <w:r>
              <w:rPr>
                <w:rFonts w:ascii="Times New Roman" w:hAnsi="Times New Roman" w:eastAsia="Times New Roman" w:cs="Times New Roman"/>
                <w:spacing w:val="-4"/>
                <w:sz w:val="24"/>
                <w:szCs w:val="24"/>
              </w:rPr>
              <w:t xml:space="preserve">2018 </w:t>
            </w:r>
            <w:r>
              <w:rPr>
                <w:rFonts w:ascii="宋体" w:hAnsi="宋体" w:eastAsia="宋体" w:cs="宋体"/>
                <w:spacing w:val="-4"/>
                <w:sz w:val="24"/>
                <w:szCs w:val="24"/>
              </w:rPr>
              <w:t>修正版）中的相关规定，昆明市环境保护局于</w:t>
            </w:r>
            <w:r>
              <w:rPr>
                <w:rFonts w:ascii="宋体" w:hAnsi="宋体" w:eastAsia="宋体" w:cs="宋体"/>
                <w:spacing w:val="-53"/>
                <w:sz w:val="24"/>
                <w:szCs w:val="24"/>
              </w:rPr>
              <w:t xml:space="preserve"> </w:t>
            </w:r>
            <w:r>
              <w:rPr>
                <w:rFonts w:ascii="Times New Roman" w:hAnsi="Times New Roman" w:eastAsia="Times New Roman" w:cs="Times New Roman"/>
                <w:spacing w:val="-4"/>
                <w:sz w:val="24"/>
                <w:szCs w:val="24"/>
              </w:rPr>
              <w:t xml:space="preserve">2026 </w:t>
            </w:r>
            <w:r>
              <w:rPr>
                <w:rFonts w:ascii="宋体" w:hAnsi="宋体" w:eastAsia="宋体" w:cs="宋体"/>
                <w:spacing w:val="-4"/>
                <w:sz w:val="24"/>
                <w:szCs w:val="24"/>
              </w:rPr>
              <w:t>年</w:t>
            </w:r>
            <w:r>
              <w:rPr>
                <w:rFonts w:ascii="宋体" w:hAnsi="宋体" w:eastAsia="宋体" w:cs="宋体"/>
                <w:spacing w:val="-45"/>
                <w:sz w:val="24"/>
                <w:szCs w:val="24"/>
              </w:rPr>
              <w:t xml:space="preserve"> </w:t>
            </w:r>
            <w:r>
              <w:rPr>
                <w:rFonts w:ascii="Times New Roman" w:hAnsi="Times New Roman" w:eastAsia="Times New Roman" w:cs="Times New Roman"/>
                <w:spacing w:val="-4"/>
                <w:sz w:val="24"/>
                <w:szCs w:val="24"/>
              </w:rPr>
              <w:t>8</w:t>
            </w:r>
            <w:r>
              <w:rPr>
                <w:rFonts w:ascii="Times New Roman" w:hAnsi="Times New Roman" w:eastAsia="Times New Roman" w:cs="Times New Roman"/>
                <w:spacing w:val="15"/>
                <w:sz w:val="24"/>
                <w:szCs w:val="24"/>
              </w:rPr>
              <w:t xml:space="preserve"> </w:t>
            </w:r>
            <w:r>
              <w:rPr>
                <w:rFonts w:ascii="宋体" w:hAnsi="宋体" w:eastAsia="宋体" w:cs="宋体"/>
                <w:spacing w:val="-4"/>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 xml:space="preserve">10  </w:t>
            </w:r>
            <w:r>
              <w:rPr>
                <w:rFonts w:ascii="宋体" w:hAnsi="宋体" w:eastAsia="宋体" w:cs="宋体"/>
                <w:spacing w:val="-4"/>
                <w:sz w:val="24"/>
                <w:szCs w:val="24"/>
              </w:rPr>
              <w:t>日对项目进</w:t>
            </w:r>
            <w:r>
              <w:rPr>
                <w:rFonts w:ascii="宋体" w:hAnsi="宋体" w:eastAsia="宋体" w:cs="宋体"/>
                <w:sz w:val="24"/>
                <w:szCs w:val="24"/>
              </w:rPr>
              <w:t>行了行政处罚决定书（昆生环罚【</w:t>
            </w:r>
            <w:r>
              <w:rPr>
                <w:rFonts w:ascii="Times New Roman" w:hAnsi="Times New Roman" w:eastAsia="Times New Roman" w:cs="Times New Roman"/>
                <w:sz w:val="24"/>
                <w:szCs w:val="24"/>
              </w:rPr>
              <w:t>2026</w:t>
            </w:r>
            <w:r>
              <w:rPr>
                <w:rFonts w:ascii="宋体" w:hAnsi="宋体" w:eastAsia="宋体" w:cs="宋体"/>
                <w:sz w:val="24"/>
                <w:szCs w:val="24"/>
              </w:rPr>
              <w:t>】</w:t>
            </w:r>
            <w:r>
              <w:rPr>
                <w:rFonts w:ascii="Times New Roman" w:hAnsi="Times New Roman" w:eastAsia="Times New Roman" w:cs="Times New Roman"/>
                <w:sz w:val="24"/>
                <w:szCs w:val="24"/>
              </w:rPr>
              <w:t>11-</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1</w:t>
            </w:r>
            <w:r>
              <w:rPr>
                <w:rFonts w:ascii="Times New Roman" w:hAnsi="Times New Roman" w:eastAsia="Times New Roman" w:cs="Times New Roman"/>
                <w:spacing w:val="-1"/>
                <w:sz w:val="24"/>
                <w:szCs w:val="24"/>
              </w:rPr>
              <w:t>4</w:t>
            </w:r>
            <w:r>
              <w:rPr>
                <w:rFonts w:ascii="Times New Roman" w:hAnsi="Times New Roman" w:eastAsia="Times New Roman" w:cs="Times New Roman"/>
                <w:spacing w:val="18"/>
                <w:sz w:val="24"/>
                <w:szCs w:val="24"/>
              </w:rPr>
              <w:t xml:space="preserve"> </w:t>
            </w:r>
            <w:r>
              <w:rPr>
                <w:rFonts w:ascii="宋体" w:hAnsi="宋体" w:eastAsia="宋体" w:cs="宋体"/>
                <w:spacing w:val="-1"/>
                <w:sz w:val="24"/>
                <w:szCs w:val="24"/>
              </w:rPr>
              <w:t>号</w:t>
            </w:r>
            <w:r>
              <w:rPr>
                <w:rFonts w:ascii="宋体" w:hAnsi="宋体" w:eastAsia="宋体" w:cs="宋体"/>
                <w:spacing w:val="-3"/>
                <w:sz w:val="24"/>
                <w:szCs w:val="24"/>
              </w:rPr>
              <w:t>）（</w:t>
            </w:r>
            <w:r>
              <w:rPr>
                <w:rFonts w:ascii="宋体" w:hAnsi="宋体" w:eastAsia="宋体" w:cs="宋体"/>
                <w:spacing w:val="-1"/>
                <w:sz w:val="24"/>
                <w:szCs w:val="24"/>
              </w:rPr>
              <w:t>详见附件</w:t>
            </w:r>
            <w:r>
              <w:rPr>
                <w:rFonts w:ascii="宋体" w:hAnsi="宋体" w:eastAsia="宋体" w:cs="宋体"/>
                <w:spacing w:val="-30"/>
                <w:sz w:val="24"/>
                <w:szCs w:val="24"/>
              </w:rPr>
              <w:t xml:space="preserve"> </w:t>
            </w:r>
            <w:r>
              <w:rPr>
                <w:rFonts w:ascii="Times New Roman" w:hAnsi="Times New Roman" w:eastAsia="Times New Roman" w:cs="Times New Roman"/>
                <w:spacing w:val="-1"/>
                <w:sz w:val="24"/>
                <w:szCs w:val="24"/>
              </w:rPr>
              <w:t>11</w:t>
            </w:r>
            <w:r>
              <w:rPr>
                <w:rFonts w:ascii="宋体" w:hAnsi="宋体" w:eastAsia="宋体" w:cs="宋体"/>
                <w:spacing w:val="-3"/>
                <w:sz w:val="24"/>
                <w:szCs w:val="24"/>
              </w:rPr>
              <w:t>），</w:t>
            </w:r>
            <w:r>
              <w:rPr>
                <w:rFonts w:ascii="宋体" w:hAnsi="宋体" w:eastAsia="宋体" w:cs="宋体"/>
                <w:spacing w:val="-1"/>
                <w:sz w:val="24"/>
                <w:szCs w:val="24"/>
              </w:rPr>
              <w:t>并要求企业尽快补办环评手续。</w:t>
            </w:r>
          </w:p>
          <w:p w14:paraId="7A38DC34">
            <w:pPr>
              <w:spacing w:line="218" w:lineRule="auto"/>
              <w:ind w:left="587"/>
              <w:rPr>
                <w:rFonts w:ascii="宋体" w:hAnsi="宋体" w:eastAsia="宋体" w:cs="宋体"/>
                <w:sz w:val="24"/>
                <w:szCs w:val="24"/>
              </w:rPr>
            </w:pPr>
            <w:r>
              <w:rPr>
                <w:rFonts w:ascii="宋体" w:hAnsi="宋体" w:eastAsia="宋体" w:cs="宋体"/>
                <w:spacing w:val="-3"/>
                <w:sz w:val="24"/>
                <w:szCs w:val="24"/>
              </w:rPr>
              <w:t>本项目工程组成一览表详见表</w:t>
            </w:r>
            <w:r>
              <w:rPr>
                <w:rFonts w:ascii="宋体" w:hAnsi="宋体" w:eastAsia="宋体" w:cs="宋体"/>
                <w:spacing w:val="-49"/>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3"/>
                <w:sz w:val="24"/>
                <w:szCs w:val="24"/>
              </w:rPr>
              <w:t>1</w:t>
            </w:r>
            <w:r>
              <w:rPr>
                <w:rFonts w:ascii="宋体" w:hAnsi="宋体" w:eastAsia="宋体" w:cs="宋体"/>
                <w:spacing w:val="-3"/>
                <w:sz w:val="24"/>
                <w:szCs w:val="24"/>
              </w:rPr>
              <w:t>。</w:t>
            </w:r>
          </w:p>
          <w:p w14:paraId="53945EA7">
            <w:pPr>
              <w:spacing w:before="177" w:line="214" w:lineRule="auto"/>
              <w:ind w:left="2939"/>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39"/>
                <w:sz w:val="20"/>
                <w:szCs w:val="20"/>
              </w:rPr>
              <w:t xml:space="preserve"> </w:t>
            </w:r>
            <w:r>
              <w:rPr>
                <w:rFonts w:ascii="Times New Roman" w:hAnsi="Times New Roman" w:eastAsia="Times New Roman" w:cs="Times New Roman"/>
                <w:b/>
                <w:bCs/>
                <w:spacing w:val="6"/>
                <w:sz w:val="20"/>
                <w:szCs w:val="20"/>
              </w:rPr>
              <w:t xml:space="preserve">2-1  </w:t>
            </w:r>
            <w:r>
              <w:rPr>
                <w:rFonts w:ascii="宋体" w:hAnsi="宋体" w:eastAsia="宋体" w:cs="宋体"/>
                <w:b/>
                <w:bCs/>
                <w:spacing w:val="6"/>
                <w:sz w:val="20"/>
                <w:szCs w:val="20"/>
              </w:rPr>
              <w:t>本项目工程组成一览表</w:t>
            </w:r>
          </w:p>
        </w:tc>
      </w:tr>
      <w:tr w14:paraId="2F673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34A818B2">
            <w:pPr>
              <w:rPr>
                <w:rFonts w:ascii="Arial"/>
                <w:sz w:val="21"/>
              </w:rPr>
            </w:pPr>
          </w:p>
        </w:tc>
        <w:tc>
          <w:tcPr>
            <w:tcW w:w="113" w:type="dxa"/>
            <w:tcBorders>
              <w:top w:val="nil"/>
              <w:bottom w:val="nil"/>
            </w:tcBorders>
            <w:vAlign w:val="top"/>
          </w:tcPr>
          <w:p w14:paraId="3AC6B910">
            <w:pPr>
              <w:rPr>
                <w:rFonts w:ascii="Arial"/>
                <w:sz w:val="21"/>
              </w:rPr>
            </w:pPr>
          </w:p>
        </w:tc>
        <w:tc>
          <w:tcPr>
            <w:tcW w:w="1975" w:type="dxa"/>
            <w:gridSpan w:val="2"/>
            <w:vAlign w:val="top"/>
          </w:tcPr>
          <w:p w14:paraId="2C0A0F60">
            <w:pPr>
              <w:spacing w:before="36" w:line="228" w:lineRule="auto"/>
              <w:ind w:left="568"/>
              <w:rPr>
                <w:rFonts w:ascii="宋体" w:hAnsi="宋体" w:eastAsia="宋体" w:cs="宋体"/>
                <w:sz w:val="20"/>
                <w:szCs w:val="20"/>
              </w:rPr>
            </w:pPr>
            <w:r>
              <w:rPr>
                <w:rFonts w:ascii="宋体" w:hAnsi="宋体" w:eastAsia="宋体" w:cs="宋体"/>
                <w:b/>
                <w:bCs/>
                <w:spacing w:val="5"/>
                <w:sz w:val="20"/>
                <w:szCs w:val="20"/>
              </w:rPr>
              <w:t>工程组成</w:t>
            </w:r>
          </w:p>
        </w:tc>
        <w:tc>
          <w:tcPr>
            <w:tcW w:w="2514" w:type="dxa"/>
            <w:vAlign w:val="top"/>
          </w:tcPr>
          <w:p w14:paraId="48D08405">
            <w:pPr>
              <w:spacing w:before="35" w:line="228" w:lineRule="auto"/>
              <w:ind w:left="313"/>
              <w:rPr>
                <w:rFonts w:ascii="宋体" w:hAnsi="宋体" w:eastAsia="宋体" w:cs="宋体"/>
                <w:sz w:val="20"/>
                <w:szCs w:val="20"/>
              </w:rPr>
            </w:pPr>
            <w:r>
              <w:rPr>
                <w:rFonts w:ascii="宋体" w:hAnsi="宋体" w:eastAsia="宋体" w:cs="宋体"/>
                <w:b/>
                <w:bCs/>
                <w:spacing w:val="7"/>
                <w:sz w:val="20"/>
                <w:szCs w:val="20"/>
              </w:rPr>
              <w:t>现有已建内容及规模</w:t>
            </w:r>
          </w:p>
        </w:tc>
        <w:tc>
          <w:tcPr>
            <w:tcW w:w="2213" w:type="dxa"/>
            <w:vAlign w:val="top"/>
          </w:tcPr>
          <w:p w14:paraId="3F313113">
            <w:pPr>
              <w:spacing w:before="35" w:line="227" w:lineRule="auto"/>
              <w:ind w:left="481"/>
              <w:rPr>
                <w:rFonts w:ascii="宋体" w:hAnsi="宋体" w:eastAsia="宋体" w:cs="宋体"/>
                <w:sz w:val="20"/>
                <w:szCs w:val="20"/>
              </w:rPr>
            </w:pPr>
            <w:r>
              <w:rPr>
                <w:rFonts w:ascii="宋体" w:hAnsi="宋体" w:eastAsia="宋体" w:cs="宋体"/>
                <w:b/>
                <w:bCs/>
                <w:spacing w:val="6"/>
                <w:sz w:val="20"/>
                <w:szCs w:val="20"/>
              </w:rPr>
              <w:t>本次扩建内容</w:t>
            </w:r>
          </w:p>
        </w:tc>
        <w:tc>
          <w:tcPr>
            <w:tcW w:w="1626" w:type="dxa"/>
            <w:vAlign w:val="top"/>
          </w:tcPr>
          <w:p w14:paraId="41408C10">
            <w:pPr>
              <w:spacing w:before="36" w:line="228" w:lineRule="auto"/>
              <w:ind w:left="404"/>
              <w:rPr>
                <w:rFonts w:ascii="宋体" w:hAnsi="宋体" w:eastAsia="宋体" w:cs="宋体"/>
                <w:sz w:val="20"/>
                <w:szCs w:val="20"/>
              </w:rPr>
            </w:pPr>
            <w:r>
              <w:rPr>
                <w:rFonts w:ascii="宋体" w:hAnsi="宋体" w:eastAsia="宋体" w:cs="宋体"/>
                <w:b/>
                <w:bCs/>
                <w:spacing w:val="5"/>
                <w:sz w:val="20"/>
                <w:szCs w:val="20"/>
              </w:rPr>
              <w:t>建设情况</w:t>
            </w:r>
          </w:p>
        </w:tc>
        <w:tc>
          <w:tcPr>
            <w:tcW w:w="195" w:type="dxa"/>
            <w:vMerge w:val="restart"/>
            <w:tcBorders>
              <w:top w:val="nil"/>
              <w:bottom w:val="nil"/>
              <w:right w:val="single" w:color="000000" w:sz="6" w:space="0"/>
            </w:tcBorders>
            <w:vAlign w:val="top"/>
          </w:tcPr>
          <w:p w14:paraId="15D04302">
            <w:pPr>
              <w:rPr>
                <w:rFonts w:ascii="Arial"/>
                <w:sz w:val="21"/>
              </w:rPr>
            </w:pPr>
          </w:p>
        </w:tc>
      </w:tr>
      <w:tr w14:paraId="4682D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0" w:hRule="atLeast"/>
        </w:trPr>
        <w:tc>
          <w:tcPr>
            <w:tcW w:w="428" w:type="dxa"/>
            <w:vMerge w:val="continue"/>
            <w:tcBorders>
              <w:top w:val="nil"/>
              <w:left w:val="single" w:color="000000" w:sz="6" w:space="0"/>
              <w:bottom w:val="nil"/>
            </w:tcBorders>
            <w:vAlign w:val="top"/>
          </w:tcPr>
          <w:p w14:paraId="609245A1">
            <w:pPr>
              <w:rPr>
                <w:rFonts w:ascii="Arial"/>
                <w:sz w:val="21"/>
              </w:rPr>
            </w:pPr>
          </w:p>
        </w:tc>
        <w:tc>
          <w:tcPr>
            <w:tcW w:w="113" w:type="dxa"/>
            <w:tcBorders>
              <w:top w:val="nil"/>
              <w:bottom w:val="nil"/>
            </w:tcBorders>
            <w:vAlign w:val="top"/>
          </w:tcPr>
          <w:p w14:paraId="100AD436">
            <w:pPr>
              <w:rPr>
                <w:rFonts w:ascii="Arial"/>
                <w:sz w:val="21"/>
              </w:rPr>
            </w:pPr>
          </w:p>
        </w:tc>
        <w:tc>
          <w:tcPr>
            <w:tcW w:w="596" w:type="dxa"/>
            <w:vMerge w:val="restart"/>
            <w:tcBorders>
              <w:bottom w:val="nil"/>
            </w:tcBorders>
            <w:textDirection w:val="tbRlV"/>
            <w:vAlign w:val="top"/>
          </w:tcPr>
          <w:p w14:paraId="5DCC4B0F">
            <w:pPr>
              <w:spacing w:before="198" w:line="217" w:lineRule="auto"/>
              <w:ind w:left="3730"/>
              <w:rPr>
                <w:rFonts w:ascii="宋体" w:hAnsi="宋体" w:eastAsia="宋体" w:cs="宋体"/>
                <w:sz w:val="20"/>
                <w:szCs w:val="20"/>
              </w:rPr>
            </w:pPr>
            <w:r>
              <w:rPr>
                <w:rFonts w:ascii="宋体" w:hAnsi="宋体" w:eastAsia="宋体" w:cs="宋体"/>
                <w:spacing w:val="8"/>
                <w:sz w:val="20"/>
                <w:szCs w:val="20"/>
              </w:rPr>
              <w:t>主</w:t>
            </w:r>
            <w:r>
              <w:rPr>
                <w:rFonts w:ascii="宋体" w:hAnsi="宋体" w:eastAsia="宋体" w:cs="宋体"/>
                <w:spacing w:val="101"/>
                <w:sz w:val="20"/>
                <w:szCs w:val="20"/>
              </w:rPr>
              <w:t xml:space="preserve"> </w:t>
            </w:r>
            <w:r>
              <w:rPr>
                <w:rFonts w:ascii="宋体" w:hAnsi="宋体" w:eastAsia="宋体" w:cs="宋体"/>
                <w:spacing w:val="8"/>
                <w:sz w:val="20"/>
                <w:szCs w:val="20"/>
              </w:rPr>
              <w:t>体</w:t>
            </w:r>
            <w:r>
              <w:rPr>
                <w:rFonts w:ascii="宋体" w:hAnsi="宋体" w:eastAsia="宋体" w:cs="宋体"/>
                <w:spacing w:val="99"/>
                <w:sz w:val="20"/>
                <w:szCs w:val="20"/>
              </w:rPr>
              <w:t xml:space="preserve"> </w:t>
            </w:r>
            <w:r>
              <w:rPr>
                <w:rFonts w:ascii="宋体" w:hAnsi="宋体" w:eastAsia="宋体" w:cs="宋体"/>
                <w:spacing w:val="8"/>
                <w:sz w:val="20"/>
                <w:szCs w:val="20"/>
              </w:rPr>
              <w:t>工</w:t>
            </w:r>
            <w:r>
              <w:rPr>
                <w:rFonts w:ascii="宋体" w:hAnsi="宋体" w:eastAsia="宋体" w:cs="宋体"/>
                <w:spacing w:val="99"/>
                <w:sz w:val="20"/>
                <w:szCs w:val="20"/>
              </w:rPr>
              <w:t xml:space="preserve"> </w:t>
            </w:r>
            <w:r>
              <w:rPr>
                <w:rFonts w:ascii="宋体" w:hAnsi="宋体" w:eastAsia="宋体" w:cs="宋体"/>
                <w:spacing w:val="8"/>
                <w:sz w:val="20"/>
                <w:szCs w:val="20"/>
              </w:rPr>
              <w:t>程</w:t>
            </w:r>
          </w:p>
        </w:tc>
        <w:tc>
          <w:tcPr>
            <w:tcW w:w="1379" w:type="dxa"/>
            <w:vAlign w:val="top"/>
          </w:tcPr>
          <w:p w14:paraId="621A2D92">
            <w:pPr>
              <w:spacing w:line="260" w:lineRule="auto"/>
              <w:rPr>
                <w:rFonts w:ascii="Arial"/>
                <w:sz w:val="21"/>
              </w:rPr>
            </w:pPr>
          </w:p>
          <w:p w14:paraId="1A6853D6">
            <w:pPr>
              <w:spacing w:line="260" w:lineRule="auto"/>
              <w:rPr>
                <w:rFonts w:ascii="Arial"/>
                <w:sz w:val="21"/>
              </w:rPr>
            </w:pPr>
          </w:p>
          <w:p w14:paraId="4CE47FD0">
            <w:pPr>
              <w:spacing w:line="261" w:lineRule="auto"/>
              <w:rPr>
                <w:rFonts w:ascii="Arial"/>
                <w:sz w:val="21"/>
              </w:rPr>
            </w:pPr>
          </w:p>
          <w:p w14:paraId="1A25942C">
            <w:pPr>
              <w:spacing w:before="65" w:line="228" w:lineRule="auto"/>
              <w:ind w:left="392"/>
              <w:rPr>
                <w:rFonts w:ascii="宋体" w:hAnsi="宋体" w:eastAsia="宋体" w:cs="宋体"/>
                <w:sz w:val="20"/>
                <w:szCs w:val="20"/>
              </w:rPr>
            </w:pPr>
            <w:r>
              <w:rPr>
                <w:rFonts w:ascii="Times New Roman" w:hAnsi="Times New Roman" w:eastAsia="Times New Roman" w:cs="Times New Roman"/>
                <w:sz w:val="20"/>
                <w:szCs w:val="20"/>
              </w:rPr>
              <w:t>1#</w:t>
            </w:r>
            <w:r>
              <w:rPr>
                <w:rFonts w:ascii="宋体" w:hAnsi="宋体" w:eastAsia="宋体" w:cs="宋体"/>
                <w:sz w:val="20"/>
                <w:szCs w:val="20"/>
              </w:rPr>
              <w:t>厂房</w:t>
            </w:r>
          </w:p>
        </w:tc>
        <w:tc>
          <w:tcPr>
            <w:tcW w:w="2514" w:type="dxa"/>
            <w:vAlign w:val="top"/>
          </w:tcPr>
          <w:p w14:paraId="3EDBECAD">
            <w:pPr>
              <w:spacing w:before="34" w:line="228" w:lineRule="auto"/>
              <w:ind w:left="157"/>
              <w:rPr>
                <w:rFonts w:ascii="Times New Roman" w:hAnsi="Times New Roman" w:eastAsia="Times New Roman" w:cs="Times New Roman"/>
                <w:sz w:val="20"/>
                <w:szCs w:val="20"/>
              </w:rPr>
            </w:pPr>
            <w:r>
              <w:rPr>
                <w:rFonts w:ascii="宋体" w:hAnsi="宋体" w:eastAsia="宋体" w:cs="宋体"/>
                <w:spacing w:val="10"/>
                <w:sz w:val="20"/>
                <w:szCs w:val="20"/>
              </w:rPr>
              <w:t>框架及门式钢架结构，</w:t>
            </w:r>
            <w:r>
              <w:rPr>
                <w:rFonts w:ascii="Times New Roman" w:hAnsi="Times New Roman" w:eastAsia="Times New Roman" w:cs="Times New Roman"/>
                <w:spacing w:val="10"/>
                <w:sz w:val="20"/>
                <w:szCs w:val="20"/>
              </w:rPr>
              <w:t>1</w:t>
            </w:r>
          </w:p>
          <w:p w14:paraId="110C887A">
            <w:pPr>
              <w:spacing w:before="160" w:line="228" w:lineRule="auto"/>
              <w:ind w:right="10"/>
              <w:jc w:val="right"/>
              <w:rPr>
                <w:rFonts w:ascii="宋体" w:hAnsi="宋体" w:eastAsia="宋体" w:cs="宋体"/>
                <w:sz w:val="20"/>
                <w:szCs w:val="20"/>
              </w:rPr>
            </w:pPr>
            <w:r>
              <w:rPr>
                <w:rFonts w:ascii="宋体" w:hAnsi="宋体" w:eastAsia="宋体" w:cs="宋体"/>
                <w:spacing w:val="-2"/>
                <w:sz w:val="20"/>
                <w:szCs w:val="20"/>
              </w:rPr>
              <w:t>栋</w:t>
            </w:r>
            <w:r>
              <w:rPr>
                <w:rFonts w:ascii="宋体" w:hAnsi="宋体" w:eastAsia="宋体" w:cs="宋体"/>
                <w:spacing w:val="-37"/>
                <w:sz w:val="20"/>
                <w:szCs w:val="20"/>
              </w:rPr>
              <w:t xml:space="preserve"> </w:t>
            </w:r>
            <w:r>
              <w:rPr>
                <w:rFonts w:ascii="Times New Roman" w:hAnsi="Times New Roman" w:eastAsia="Times New Roman" w:cs="Times New Roman"/>
                <w:spacing w:val="-2"/>
                <w:sz w:val="20"/>
                <w:szCs w:val="20"/>
              </w:rPr>
              <w:t xml:space="preserve">2 </w:t>
            </w:r>
            <w:r>
              <w:rPr>
                <w:rFonts w:ascii="宋体" w:hAnsi="宋体" w:eastAsia="宋体" w:cs="宋体"/>
                <w:spacing w:val="-2"/>
                <w:sz w:val="20"/>
                <w:szCs w:val="20"/>
              </w:rPr>
              <w:t>层，位于公司东北侧，</w:t>
            </w:r>
          </w:p>
          <w:p w14:paraId="05B9E3B6">
            <w:pPr>
              <w:spacing w:before="161" w:line="228" w:lineRule="auto"/>
              <w:ind w:left="144"/>
              <w:rPr>
                <w:rFonts w:ascii="宋体" w:hAnsi="宋体" w:eastAsia="宋体" w:cs="宋体"/>
                <w:sz w:val="20"/>
                <w:szCs w:val="20"/>
              </w:rPr>
            </w:pPr>
            <w:r>
              <w:rPr>
                <w:rFonts w:ascii="宋体" w:hAnsi="宋体" w:eastAsia="宋体" w:cs="宋体"/>
                <w:spacing w:val="1"/>
                <w:sz w:val="20"/>
                <w:szCs w:val="20"/>
              </w:rPr>
              <w:t>占地面积为</w:t>
            </w:r>
            <w:r>
              <w:rPr>
                <w:rFonts w:ascii="宋体" w:hAnsi="宋体" w:eastAsia="宋体" w:cs="宋体"/>
                <w:spacing w:val="-29"/>
                <w:sz w:val="20"/>
                <w:szCs w:val="20"/>
              </w:rPr>
              <w:t xml:space="preserve"> </w:t>
            </w:r>
            <w:r>
              <w:rPr>
                <w:rFonts w:ascii="Times New Roman" w:hAnsi="Times New Roman" w:eastAsia="Times New Roman" w:cs="Times New Roman"/>
                <w:spacing w:val="1"/>
                <w:sz w:val="20"/>
                <w:szCs w:val="20"/>
              </w:rPr>
              <w:t>3564.8m</w:t>
            </w:r>
            <w:r>
              <w:rPr>
                <w:rFonts w:ascii="Times New Roman" w:hAnsi="Times New Roman" w:eastAsia="Times New Roman" w:cs="Times New Roman"/>
                <w:spacing w:val="1"/>
                <w:position w:val="6"/>
                <w:sz w:val="13"/>
                <w:szCs w:val="13"/>
              </w:rPr>
              <w:t>2</w:t>
            </w:r>
            <w:r>
              <w:rPr>
                <w:rFonts w:ascii="宋体" w:hAnsi="宋体" w:eastAsia="宋体" w:cs="宋体"/>
                <w:spacing w:val="1"/>
                <w:sz w:val="20"/>
                <w:szCs w:val="20"/>
              </w:rPr>
              <w:t>，主</w:t>
            </w:r>
          </w:p>
          <w:p w14:paraId="61F098DB">
            <w:pPr>
              <w:spacing w:before="161" w:line="228" w:lineRule="auto"/>
              <w:ind w:left="211"/>
              <w:rPr>
                <w:rFonts w:ascii="宋体" w:hAnsi="宋体" w:eastAsia="宋体" w:cs="宋体"/>
                <w:sz w:val="20"/>
                <w:szCs w:val="20"/>
              </w:rPr>
            </w:pPr>
            <w:r>
              <w:rPr>
                <w:rFonts w:ascii="宋体" w:hAnsi="宋体" w:eastAsia="宋体" w:cs="宋体"/>
                <w:spacing w:val="8"/>
                <w:sz w:val="20"/>
                <w:szCs w:val="20"/>
              </w:rPr>
              <w:t>要用于免漆木门的加工</w:t>
            </w:r>
          </w:p>
          <w:p w14:paraId="5D553B82">
            <w:pPr>
              <w:spacing w:before="162" w:line="228" w:lineRule="auto"/>
              <w:ind w:left="947"/>
              <w:rPr>
                <w:rFonts w:ascii="宋体" w:hAnsi="宋体" w:eastAsia="宋体" w:cs="宋体"/>
                <w:sz w:val="20"/>
                <w:szCs w:val="20"/>
              </w:rPr>
            </w:pPr>
            <w:r>
              <w:rPr>
                <w:rFonts w:ascii="宋体" w:hAnsi="宋体" w:eastAsia="宋体" w:cs="宋体"/>
                <w:spacing w:val="2"/>
                <w:sz w:val="20"/>
                <w:szCs w:val="20"/>
              </w:rPr>
              <w:t>生产。</w:t>
            </w:r>
          </w:p>
        </w:tc>
        <w:tc>
          <w:tcPr>
            <w:tcW w:w="2213" w:type="dxa"/>
            <w:vAlign w:val="top"/>
          </w:tcPr>
          <w:p w14:paraId="75064115">
            <w:pPr>
              <w:spacing w:line="275" w:lineRule="auto"/>
              <w:rPr>
                <w:rFonts w:ascii="Arial"/>
                <w:sz w:val="21"/>
              </w:rPr>
            </w:pPr>
          </w:p>
          <w:p w14:paraId="186C100D">
            <w:pPr>
              <w:spacing w:line="276" w:lineRule="auto"/>
              <w:rPr>
                <w:rFonts w:ascii="Arial"/>
                <w:sz w:val="21"/>
              </w:rPr>
            </w:pPr>
          </w:p>
          <w:p w14:paraId="430ECDD6">
            <w:pPr>
              <w:spacing w:line="276" w:lineRule="auto"/>
              <w:rPr>
                <w:rFonts w:ascii="Arial"/>
                <w:sz w:val="21"/>
              </w:rPr>
            </w:pPr>
          </w:p>
          <w:p w14:paraId="62DB368A">
            <w:pPr>
              <w:spacing w:before="57"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1E812E63">
            <w:pPr>
              <w:spacing w:line="260" w:lineRule="auto"/>
              <w:rPr>
                <w:rFonts w:ascii="Arial"/>
                <w:sz w:val="21"/>
              </w:rPr>
            </w:pPr>
          </w:p>
          <w:p w14:paraId="3AE04CEB">
            <w:pPr>
              <w:spacing w:line="260" w:lineRule="auto"/>
              <w:rPr>
                <w:rFonts w:ascii="Arial"/>
                <w:sz w:val="21"/>
              </w:rPr>
            </w:pPr>
          </w:p>
          <w:p w14:paraId="2BFA69FE">
            <w:pPr>
              <w:spacing w:line="260" w:lineRule="auto"/>
              <w:rPr>
                <w:rFonts w:ascii="Arial"/>
                <w:sz w:val="21"/>
              </w:rPr>
            </w:pPr>
          </w:p>
          <w:p w14:paraId="430BEAC6">
            <w:pPr>
              <w:spacing w:before="65" w:line="229" w:lineRule="auto"/>
              <w:ind w:left="321"/>
              <w:rPr>
                <w:rFonts w:ascii="宋体" w:hAnsi="宋体" w:eastAsia="宋体" w:cs="宋体"/>
                <w:sz w:val="20"/>
                <w:szCs w:val="20"/>
              </w:rPr>
            </w:pPr>
            <w:r>
              <w:rPr>
                <w:rFonts w:ascii="宋体" w:hAnsi="宋体" w:eastAsia="宋体" w:cs="宋体"/>
                <w:spacing w:val="3"/>
                <w:sz w:val="20"/>
                <w:szCs w:val="20"/>
              </w:rPr>
              <w:t>已建，不变</w:t>
            </w:r>
          </w:p>
        </w:tc>
        <w:tc>
          <w:tcPr>
            <w:tcW w:w="195" w:type="dxa"/>
            <w:vMerge w:val="continue"/>
            <w:tcBorders>
              <w:top w:val="nil"/>
              <w:bottom w:val="nil"/>
              <w:right w:val="single" w:color="000000" w:sz="6" w:space="0"/>
            </w:tcBorders>
            <w:vAlign w:val="top"/>
          </w:tcPr>
          <w:p w14:paraId="3DFC0DC5">
            <w:pPr>
              <w:rPr>
                <w:rFonts w:ascii="Arial"/>
                <w:sz w:val="21"/>
              </w:rPr>
            </w:pPr>
          </w:p>
        </w:tc>
      </w:tr>
      <w:tr w14:paraId="61411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3" w:hRule="atLeast"/>
        </w:trPr>
        <w:tc>
          <w:tcPr>
            <w:tcW w:w="428" w:type="dxa"/>
            <w:vMerge w:val="continue"/>
            <w:tcBorders>
              <w:top w:val="nil"/>
              <w:left w:val="single" w:color="000000" w:sz="6" w:space="0"/>
              <w:bottom w:val="nil"/>
            </w:tcBorders>
            <w:vAlign w:val="top"/>
          </w:tcPr>
          <w:p w14:paraId="6F738889">
            <w:pPr>
              <w:rPr>
                <w:rFonts w:ascii="Arial"/>
                <w:sz w:val="21"/>
              </w:rPr>
            </w:pPr>
          </w:p>
        </w:tc>
        <w:tc>
          <w:tcPr>
            <w:tcW w:w="113" w:type="dxa"/>
            <w:tcBorders>
              <w:top w:val="nil"/>
              <w:bottom w:val="nil"/>
            </w:tcBorders>
            <w:vAlign w:val="top"/>
          </w:tcPr>
          <w:p w14:paraId="636B6CF7">
            <w:pPr>
              <w:rPr>
                <w:rFonts w:ascii="Arial"/>
                <w:sz w:val="21"/>
              </w:rPr>
            </w:pPr>
          </w:p>
        </w:tc>
        <w:tc>
          <w:tcPr>
            <w:tcW w:w="596" w:type="dxa"/>
            <w:vMerge w:val="continue"/>
            <w:tcBorders>
              <w:top w:val="nil"/>
              <w:bottom w:val="nil"/>
            </w:tcBorders>
            <w:textDirection w:val="tbRlV"/>
            <w:vAlign w:val="top"/>
          </w:tcPr>
          <w:p w14:paraId="3606C15E">
            <w:pPr>
              <w:rPr>
                <w:rFonts w:ascii="Arial"/>
                <w:sz w:val="21"/>
              </w:rPr>
            </w:pPr>
          </w:p>
        </w:tc>
        <w:tc>
          <w:tcPr>
            <w:tcW w:w="1379" w:type="dxa"/>
            <w:vAlign w:val="top"/>
          </w:tcPr>
          <w:p w14:paraId="3F10A878">
            <w:pPr>
              <w:spacing w:line="297" w:lineRule="auto"/>
              <w:rPr>
                <w:rFonts w:ascii="Arial"/>
                <w:sz w:val="21"/>
              </w:rPr>
            </w:pPr>
          </w:p>
          <w:p w14:paraId="5B403941">
            <w:pPr>
              <w:spacing w:line="298" w:lineRule="auto"/>
              <w:rPr>
                <w:rFonts w:ascii="Arial"/>
                <w:sz w:val="21"/>
              </w:rPr>
            </w:pPr>
          </w:p>
          <w:p w14:paraId="226A8226">
            <w:pPr>
              <w:spacing w:before="65" w:line="228" w:lineRule="auto"/>
              <w:ind w:left="376"/>
              <w:rPr>
                <w:rFonts w:ascii="宋体" w:hAnsi="宋体" w:eastAsia="宋体" w:cs="宋体"/>
                <w:sz w:val="20"/>
                <w:szCs w:val="20"/>
              </w:rPr>
            </w:pPr>
            <w:r>
              <w:rPr>
                <w:rFonts w:ascii="Times New Roman" w:hAnsi="Times New Roman" w:eastAsia="Times New Roman" w:cs="Times New Roman"/>
                <w:spacing w:val="4"/>
                <w:sz w:val="20"/>
                <w:szCs w:val="20"/>
              </w:rPr>
              <w:t>6#</w:t>
            </w:r>
            <w:r>
              <w:rPr>
                <w:rFonts w:ascii="宋体" w:hAnsi="宋体" w:eastAsia="宋体" w:cs="宋体"/>
                <w:spacing w:val="4"/>
                <w:sz w:val="20"/>
                <w:szCs w:val="20"/>
              </w:rPr>
              <w:t>厂房</w:t>
            </w:r>
          </w:p>
        </w:tc>
        <w:tc>
          <w:tcPr>
            <w:tcW w:w="2514" w:type="dxa"/>
            <w:vAlign w:val="top"/>
          </w:tcPr>
          <w:p w14:paraId="639F2C0E">
            <w:pPr>
              <w:spacing w:before="49" w:line="363" w:lineRule="auto"/>
              <w:ind w:left="110" w:right="107" w:firstLine="47"/>
              <w:jc w:val="both"/>
              <w:rPr>
                <w:rFonts w:ascii="宋体" w:hAnsi="宋体" w:eastAsia="宋体" w:cs="宋体"/>
                <w:sz w:val="20"/>
                <w:szCs w:val="20"/>
              </w:rPr>
            </w:pPr>
            <w:r>
              <w:rPr>
                <w:rFonts w:ascii="宋体" w:hAnsi="宋体" w:eastAsia="宋体" w:cs="宋体"/>
                <w:spacing w:val="8"/>
                <w:sz w:val="20"/>
                <w:szCs w:val="20"/>
              </w:rPr>
              <w:t>框架及门式钢架结构，</w:t>
            </w:r>
            <w:r>
              <w:rPr>
                <w:rFonts w:ascii="Times New Roman" w:hAnsi="Times New Roman" w:eastAsia="Times New Roman" w:cs="Times New Roman"/>
                <w:spacing w:val="8"/>
                <w:sz w:val="20"/>
                <w:szCs w:val="20"/>
              </w:rPr>
              <w:t>1</w:t>
            </w:r>
            <w:r>
              <w:rPr>
                <w:rFonts w:ascii="宋体" w:hAnsi="宋体" w:eastAsia="宋体" w:cs="宋体"/>
                <w:spacing w:val="5"/>
                <w:sz w:val="20"/>
                <w:szCs w:val="20"/>
              </w:rPr>
              <w:t>栋</w:t>
            </w:r>
            <w:r>
              <w:rPr>
                <w:rFonts w:ascii="宋体" w:hAnsi="宋体" w:eastAsia="宋体" w:cs="宋体"/>
                <w:spacing w:val="-20"/>
                <w:sz w:val="20"/>
                <w:szCs w:val="20"/>
              </w:rPr>
              <w:t xml:space="preserve">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层，位于公司中部，</w:t>
            </w:r>
            <w:r>
              <w:rPr>
                <w:rFonts w:ascii="宋体" w:hAnsi="宋体" w:eastAsia="宋体" w:cs="宋体"/>
                <w:spacing w:val="3"/>
                <w:sz w:val="20"/>
                <w:szCs w:val="20"/>
              </w:rPr>
              <w:t>占地面积为</w:t>
            </w:r>
            <w:r>
              <w:rPr>
                <w:rFonts w:ascii="宋体" w:hAnsi="宋体" w:eastAsia="宋体" w:cs="宋体"/>
                <w:spacing w:val="-26"/>
                <w:sz w:val="20"/>
                <w:szCs w:val="20"/>
              </w:rPr>
              <w:t xml:space="preserve"> </w:t>
            </w:r>
            <w:r>
              <w:rPr>
                <w:rFonts w:ascii="Times New Roman" w:hAnsi="Times New Roman" w:eastAsia="Times New Roman" w:cs="Times New Roman"/>
                <w:spacing w:val="3"/>
                <w:sz w:val="20"/>
                <w:szCs w:val="20"/>
              </w:rPr>
              <w:t>6498.8m</w:t>
            </w:r>
            <w:r>
              <w:rPr>
                <w:rFonts w:ascii="Times New Roman" w:hAnsi="Times New Roman" w:eastAsia="Times New Roman" w:cs="Times New Roman"/>
                <w:spacing w:val="3"/>
                <w:position w:val="6"/>
                <w:sz w:val="13"/>
                <w:szCs w:val="13"/>
              </w:rPr>
              <w:t>2</w:t>
            </w:r>
            <w:r>
              <w:rPr>
                <w:rFonts w:ascii="宋体" w:hAnsi="宋体" w:eastAsia="宋体" w:cs="宋体"/>
                <w:spacing w:val="3"/>
                <w:sz w:val="20"/>
                <w:szCs w:val="20"/>
              </w:rPr>
              <w:t>，主</w:t>
            </w:r>
            <w:r>
              <w:rPr>
                <w:rFonts w:ascii="宋体" w:hAnsi="宋体" w:eastAsia="宋体" w:cs="宋体"/>
                <w:spacing w:val="8"/>
                <w:sz w:val="20"/>
                <w:szCs w:val="20"/>
              </w:rPr>
              <w:t>要用于免漆木门的生产。</w:t>
            </w:r>
          </w:p>
        </w:tc>
        <w:tc>
          <w:tcPr>
            <w:tcW w:w="2213" w:type="dxa"/>
            <w:vAlign w:val="top"/>
          </w:tcPr>
          <w:p w14:paraId="6C0D024E">
            <w:pPr>
              <w:spacing w:line="321" w:lineRule="auto"/>
              <w:rPr>
                <w:rFonts w:ascii="Arial"/>
                <w:sz w:val="21"/>
              </w:rPr>
            </w:pPr>
          </w:p>
          <w:p w14:paraId="21F83F85">
            <w:pPr>
              <w:spacing w:line="322" w:lineRule="auto"/>
              <w:rPr>
                <w:rFonts w:ascii="Arial"/>
                <w:sz w:val="21"/>
              </w:rPr>
            </w:pPr>
          </w:p>
          <w:p w14:paraId="37D53667">
            <w:pPr>
              <w:spacing w:before="58"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11E3B545">
            <w:pPr>
              <w:spacing w:line="297" w:lineRule="auto"/>
              <w:rPr>
                <w:rFonts w:ascii="Arial"/>
                <w:sz w:val="21"/>
              </w:rPr>
            </w:pPr>
          </w:p>
          <w:p w14:paraId="663C87C5">
            <w:pPr>
              <w:spacing w:line="298" w:lineRule="auto"/>
              <w:rPr>
                <w:rFonts w:ascii="Arial"/>
                <w:sz w:val="21"/>
              </w:rPr>
            </w:pPr>
          </w:p>
          <w:p w14:paraId="39F3CA3C">
            <w:pPr>
              <w:spacing w:before="65" w:line="229" w:lineRule="auto"/>
              <w:ind w:left="321"/>
              <w:rPr>
                <w:rFonts w:ascii="宋体" w:hAnsi="宋体" w:eastAsia="宋体" w:cs="宋体"/>
                <w:sz w:val="20"/>
                <w:szCs w:val="20"/>
              </w:rPr>
            </w:pPr>
            <w:r>
              <w:rPr>
                <w:rFonts w:ascii="宋体" w:hAnsi="宋体" w:eastAsia="宋体" w:cs="宋体"/>
                <w:spacing w:val="3"/>
                <w:sz w:val="20"/>
                <w:szCs w:val="20"/>
              </w:rPr>
              <w:t>已建，不变</w:t>
            </w:r>
          </w:p>
        </w:tc>
        <w:tc>
          <w:tcPr>
            <w:tcW w:w="195" w:type="dxa"/>
            <w:vMerge w:val="continue"/>
            <w:tcBorders>
              <w:top w:val="nil"/>
              <w:bottom w:val="nil"/>
              <w:right w:val="single" w:color="000000" w:sz="6" w:space="0"/>
            </w:tcBorders>
            <w:vAlign w:val="top"/>
          </w:tcPr>
          <w:p w14:paraId="2BC2A7B8">
            <w:pPr>
              <w:rPr>
                <w:rFonts w:ascii="Arial"/>
                <w:sz w:val="21"/>
              </w:rPr>
            </w:pPr>
          </w:p>
        </w:tc>
      </w:tr>
      <w:tr w14:paraId="68C33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5" w:hRule="atLeast"/>
        </w:trPr>
        <w:tc>
          <w:tcPr>
            <w:tcW w:w="428" w:type="dxa"/>
            <w:vMerge w:val="continue"/>
            <w:tcBorders>
              <w:top w:val="nil"/>
              <w:left w:val="single" w:color="000000" w:sz="6" w:space="0"/>
              <w:bottom w:val="nil"/>
            </w:tcBorders>
            <w:vAlign w:val="top"/>
          </w:tcPr>
          <w:p w14:paraId="735C2042">
            <w:pPr>
              <w:rPr>
                <w:rFonts w:ascii="Arial"/>
                <w:sz w:val="21"/>
              </w:rPr>
            </w:pPr>
          </w:p>
        </w:tc>
        <w:tc>
          <w:tcPr>
            <w:tcW w:w="113" w:type="dxa"/>
            <w:tcBorders>
              <w:top w:val="nil"/>
              <w:bottom w:val="nil"/>
            </w:tcBorders>
            <w:vAlign w:val="top"/>
          </w:tcPr>
          <w:p w14:paraId="68974623">
            <w:pPr>
              <w:rPr>
                <w:rFonts w:ascii="Arial"/>
                <w:sz w:val="21"/>
              </w:rPr>
            </w:pPr>
          </w:p>
        </w:tc>
        <w:tc>
          <w:tcPr>
            <w:tcW w:w="596" w:type="dxa"/>
            <w:vMerge w:val="continue"/>
            <w:tcBorders>
              <w:top w:val="nil"/>
              <w:bottom w:val="nil"/>
            </w:tcBorders>
            <w:textDirection w:val="tbRlV"/>
            <w:vAlign w:val="top"/>
          </w:tcPr>
          <w:p w14:paraId="0B2812BE">
            <w:pPr>
              <w:rPr>
                <w:rFonts w:ascii="Arial"/>
                <w:sz w:val="21"/>
              </w:rPr>
            </w:pPr>
          </w:p>
        </w:tc>
        <w:tc>
          <w:tcPr>
            <w:tcW w:w="1379" w:type="dxa"/>
            <w:vAlign w:val="top"/>
          </w:tcPr>
          <w:p w14:paraId="44DD716D">
            <w:pPr>
              <w:spacing w:line="300" w:lineRule="auto"/>
              <w:rPr>
                <w:rFonts w:ascii="Arial"/>
                <w:sz w:val="21"/>
              </w:rPr>
            </w:pPr>
          </w:p>
          <w:p w14:paraId="32F85C4D">
            <w:pPr>
              <w:spacing w:line="301" w:lineRule="auto"/>
              <w:rPr>
                <w:rFonts w:ascii="Arial"/>
                <w:sz w:val="21"/>
              </w:rPr>
            </w:pPr>
          </w:p>
          <w:p w14:paraId="7B28953A">
            <w:pPr>
              <w:spacing w:before="65" w:line="228" w:lineRule="auto"/>
              <w:ind w:left="377"/>
              <w:rPr>
                <w:rFonts w:ascii="宋体" w:hAnsi="宋体" w:eastAsia="宋体" w:cs="宋体"/>
                <w:sz w:val="20"/>
                <w:szCs w:val="20"/>
              </w:rPr>
            </w:pPr>
            <w:r>
              <w:rPr>
                <w:rFonts w:ascii="Times New Roman" w:hAnsi="Times New Roman" w:eastAsia="Times New Roman" w:cs="Times New Roman"/>
                <w:spacing w:val="4"/>
                <w:sz w:val="20"/>
                <w:szCs w:val="20"/>
              </w:rPr>
              <w:t>5#</w:t>
            </w:r>
            <w:r>
              <w:rPr>
                <w:rFonts w:ascii="宋体" w:hAnsi="宋体" w:eastAsia="宋体" w:cs="宋体"/>
                <w:spacing w:val="4"/>
                <w:sz w:val="20"/>
                <w:szCs w:val="20"/>
              </w:rPr>
              <w:t>厂房</w:t>
            </w:r>
          </w:p>
        </w:tc>
        <w:tc>
          <w:tcPr>
            <w:tcW w:w="2514" w:type="dxa"/>
            <w:vAlign w:val="top"/>
          </w:tcPr>
          <w:p w14:paraId="0D5BE6AF">
            <w:pPr>
              <w:spacing w:before="57" w:line="228" w:lineRule="auto"/>
              <w:ind w:left="157"/>
              <w:rPr>
                <w:rFonts w:ascii="Times New Roman" w:hAnsi="Times New Roman" w:eastAsia="Times New Roman" w:cs="Times New Roman"/>
                <w:sz w:val="20"/>
                <w:szCs w:val="20"/>
              </w:rPr>
            </w:pPr>
            <w:r>
              <w:rPr>
                <w:rFonts w:ascii="宋体" w:hAnsi="宋体" w:eastAsia="宋体" w:cs="宋体"/>
                <w:spacing w:val="10"/>
                <w:sz w:val="20"/>
                <w:szCs w:val="20"/>
              </w:rPr>
              <w:t>框架及门式钢架结构，</w:t>
            </w:r>
            <w:r>
              <w:rPr>
                <w:rFonts w:ascii="Times New Roman" w:hAnsi="Times New Roman" w:eastAsia="Times New Roman" w:cs="Times New Roman"/>
                <w:spacing w:val="10"/>
                <w:sz w:val="20"/>
                <w:szCs w:val="20"/>
              </w:rPr>
              <w:t>1</w:t>
            </w:r>
          </w:p>
          <w:p w14:paraId="018C3150">
            <w:pPr>
              <w:spacing w:before="161" w:line="228" w:lineRule="auto"/>
              <w:ind w:left="110"/>
              <w:rPr>
                <w:rFonts w:ascii="宋体" w:hAnsi="宋体" w:eastAsia="宋体" w:cs="宋体"/>
                <w:sz w:val="20"/>
                <w:szCs w:val="20"/>
              </w:rPr>
            </w:pPr>
            <w:r>
              <w:rPr>
                <w:rFonts w:ascii="宋体" w:hAnsi="宋体" w:eastAsia="宋体" w:cs="宋体"/>
                <w:spacing w:val="5"/>
                <w:sz w:val="20"/>
                <w:szCs w:val="20"/>
              </w:rPr>
              <w:t>栋</w:t>
            </w:r>
            <w:r>
              <w:rPr>
                <w:rFonts w:ascii="宋体" w:hAnsi="宋体" w:eastAsia="宋体" w:cs="宋体"/>
                <w:spacing w:val="-22"/>
                <w:sz w:val="20"/>
                <w:szCs w:val="20"/>
              </w:rPr>
              <w:t xml:space="preserve">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层，位于公司南侧，</w:t>
            </w:r>
          </w:p>
          <w:p w14:paraId="7D1BC1E6">
            <w:pPr>
              <w:spacing w:before="164" w:line="228" w:lineRule="auto"/>
              <w:ind w:left="144"/>
              <w:rPr>
                <w:rFonts w:ascii="宋体" w:hAnsi="宋体" w:eastAsia="宋体" w:cs="宋体"/>
                <w:sz w:val="20"/>
                <w:szCs w:val="20"/>
              </w:rPr>
            </w:pPr>
            <w:r>
              <w:rPr>
                <w:rFonts w:ascii="宋体" w:hAnsi="宋体" w:eastAsia="宋体" w:cs="宋体"/>
                <w:spacing w:val="-2"/>
                <w:sz w:val="20"/>
                <w:szCs w:val="20"/>
              </w:rPr>
              <w:t>占地面积为</w:t>
            </w:r>
            <w:r>
              <w:rPr>
                <w:rFonts w:ascii="宋体" w:hAnsi="宋体" w:eastAsia="宋体" w:cs="宋体"/>
                <w:spacing w:val="-37"/>
                <w:sz w:val="20"/>
                <w:szCs w:val="20"/>
              </w:rPr>
              <w:t xml:space="preserve"> </w:t>
            </w:r>
            <w:r>
              <w:rPr>
                <w:rFonts w:ascii="Times New Roman" w:hAnsi="Times New Roman" w:eastAsia="Times New Roman" w:cs="Times New Roman"/>
                <w:spacing w:val="-2"/>
                <w:sz w:val="20"/>
                <w:szCs w:val="20"/>
              </w:rPr>
              <w:t>4000m</w:t>
            </w:r>
            <w:r>
              <w:rPr>
                <w:rFonts w:ascii="Times New Roman" w:hAnsi="Times New Roman" w:eastAsia="Times New Roman" w:cs="Times New Roman"/>
                <w:spacing w:val="-2"/>
                <w:position w:val="6"/>
                <w:sz w:val="13"/>
                <w:szCs w:val="13"/>
              </w:rPr>
              <w:t>2</w:t>
            </w:r>
            <w:r>
              <w:rPr>
                <w:rFonts w:ascii="宋体" w:hAnsi="宋体" w:eastAsia="宋体" w:cs="宋体"/>
                <w:spacing w:val="-2"/>
                <w:sz w:val="20"/>
                <w:szCs w:val="20"/>
              </w:rPr>
              <w:t>，主要</w:t>
            </w:r>
          </w:p>
          <w:p w14:paraId="1EF6D769">
            <w:pPr>
              <w:spacing w:before="160" w:line="228" w:lineRule="auto"/>
              <w:ind w:left="318"/>
              <w:rPr>
                <w:rFonts w:ascii="宋体" w:hAnsi="宋体" w:eastAsia="宋体" w:cs="宋体"/>
                <w:sz w:val="20"/>
                <w:szCs w:val="20"/>
              </w:rPr>
            </w:pPr>
            <w:r>
              <w:rPr>
                <w:rFonts w:ascii="宋体" w:hAnsi="宋体" w:eastAsia="宋体" w:cs="宋体"/>
                <w:spacing w:val="7"/>
                <w:sz w:val="20"/>
                <w:szCs w:val="20"/>
              </w:rPr>
              <w:t>用于浸渍纸的生产。</w:t>
            </w:r>
          </w:p>
        </w:tc>
        <w:tc>
          <w:tcPr>
            <w:tcW w:w="2213" w:type="dxa"/>
            <w:vAlign w:val="top"/>
          </w:tcPr>
          <w:p w14:paraId="436B108C">
            <w:pPr>
              <w:spacing w:line="324" w:lineRule="auto"/>
              <w:rPr>
                <w:rFonts w:ascii="Arial"/>
                <w:sz w:val="21"/>
              </w:rPr>
            </w:pPr>
          </w:p>
          <w:p w14:paraId="667B75E2">
            <w:pPr>
              <w:spacing w:line="325" w:lineRule="auto"/>
              <w:rPr>
                <w:rFonts w:ascii="Arial"/>
                <w:sz w:val="21"/>
              </w:rPr>
            </w:pPr>
          </w:p>
          <w:p w14:paraId="571BC417">
            <w:pPr>
              <w:spacing w:before="58"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51108593">
            <w:pPr>
              <w:spacing w:line="300" w:lineRule="auto"/>
              <w:rPr>
                <w:rFonts w:ascii="Arial"/>
                <w:sz w:val="21"/>
              </w:rPr>
            </w:pPr>
          </w:p>
          <w:p w14:paraId="35340515">
            <w:pPr>
              <w:spacing w:line="301" w:lineRule="auto"/>
              <w:rPr>
                <w:rFonts w:ascii="Arial"/>
                <w:sz w:val="21"/>
              </w:rPr>
            </w:pPr>
          </w:p>
          <w:p w14:paraId="7BCB5622">
            <w:pPr>
              <w:spacing w:before="65" w:line="229" w:lineRule="auto"/>
              <w:ind w:left="321"/>
              <w:rPr>
                <w:rFonts w:ascii="宋体" w:hAnsi="宋体" w:eastAsia="宋体" w:cs="宋体"/>
                <w:sz w:val="20"/>
                <w:szCs w:val="20"/>
              </w:rPr>
            </w:pPr>
            <w:r>
              <w:rPr>
                <w:rFonts w:ascii="宋体" w:hAnsi="宋体" w:eastAsia="宋体" w:cs="宋体"/>
                <w:spacing w:val="3"/>
                <w:sz w:val="20"/>
                <w:szCs w:val="20"/>
              </w:rPr>
              <w:t>已建，不变</w:t>
            </w:r>
          </w:p>
        </w:tc>
        <w:tc>
          <w:tcPr>
            <w:tcW w:w="195" w:type="dxa"/>
            <w:vMerge w:val="continue"/>
            <w:tcBorders>
              <w:top w:val="nil"/>
              <w:bottom w:val="nil"/>
              <w:right w:val="single" w:color="000000" w:sz="6" w:space="0"/>
            </w:tcBorders>
            <w:vAlign w:val="top"/>
          </w:tcPr>
          <w:p w14:paraId="33F9B0BA">
            <w:pPr>
              <w:rPr>
                <w:rFonts w:ascii="Arial"/>
                <w:sz w:val="21"/>
              </w:rPr>
            </w:pPr>
          </w:p>
        </w:tc>
      </w:tr>
      <w:tr w14:paraId="1865DB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4" w:hRule="atLeast"/>
        </w:trPr>
        <w:tc>
          <w:tcPr>
            <w:tcW w:w="428" w:type="dxa"/>
            <w:vMerge w:val="continue"/>
            <w:tcBorders>
              <w:top w:val="nil"/>
              <w:left w:val="single" w:color="000000" w:sz="6" w:space="0"/>
              <w:bottom w:val="nil"/>
            </w:tcBorders>
            <w:vAlign w:val="top"/>
          </w:tcPr>
          <w:p w14:paraId="67B6CB91">
            <w:pPr>
              <w:rPr>
                <w:rFonts w:ascii="Arial"/>
                <w:sz w:val="21"/>
              </w:rPr>
            </w:pPr>
          </w:p>
        </w:tc>
        <w:tc>
          <w:tcPr>
            <w:tcW w:w="113" w:type="dxa"/>
            <w:tcBorders>
              <w:top w:val="nil"/>
              <w:bottom w:val="nil"/>
            </w:tcBorders>
            <w:vAlign w:val="top"/>
          </w:tcPr>
          <w:p w14:paraId="42887873">
            <w:pPr>
              <w:rPr>
                <w:rFonts w:ascii="Arial"/>
                <w:sz w:val="21"/>
              </w:rPr>
            </w:pPr>
          </w:p>
        </w:tc>
        <w:tc>
          <w:tcPr>
            <w:tcW w:w="596" w:type="dxa"/>
            <w:vMerge w:val="continue"/>
            <w:tcBorders>
              <w:top w:val="nil"/>
              <w:bottom w:val="nil"/>
            </w:tcBorders>
            <w:textDirection w:val="tbRlV"/>
            <w:vAlign w:val="top"/>
          </w:tcPr>
          <w:p w14:paraId="597B7D17">
            <w:pPr>
              <w:rPr>
                <w:rFonts w:ascii="Arial"/>
                <w:sz w:val="21"/>
              </w:rPr>
            </w:pPr>
          </w:p>
        </w:tc>
        <w:tc>
          <w:tcPr>
            <w:tcW w:w="1379" w:type="dxa"/>
            <w:vAlign w:val="top"/>
          </w:tcPr>
          <w:p w14:paraId="790D83DD">
            <w:pPr>
              <w:spacing w:line="279" w:lineRule="auto"/>
              <w:rPr>
                <w:rFonts w:ascii="Arial"/>
                <w:sz w:val="21"/>
              </w:rPr>
            </w:pPr>
          </w:p>
          <w:p w14:paraId="2861B8E7">
            <w:pPr>
              <w:spacing w:line="279" w:lineRule="auto"/>
              <w:rPr>
                <w:rFonts w:ascii="Arial"/>
                <w:sz w:val="21"/>
              </w:rPr>
            </w:pPr>
          </w:p>
          <w:p w14:paraId="0635046B">
            <w:pPr>
              <w:spacing w:line="280" w:lineRule="auto"/>
              <w:rPr>
                <w:rFonts w:ascii="Arial"/>
                <w:sz w:val="21"/>
              </w:rPr>
            </w:pPr>
          </w:p>
          <w:p w14:paraId="7AD45A0E">
            <w:pPr>
              <w:spacing w:line="280" w:lineRule="auto"/>
              <w:rPr>
                <w:rFonts w:ascii="Arial"/>
                <w:sz w:val="21"/>
              </w:rPr>
            </w:pPr>
          </w:p>
          <w:p w14:paraId="21CBA7AE">
            <w:pPr>
              <w:spacing w:line="280" w:lineRule="auto"/>
              <w:rPr>
                <w:rFonts w:ascii="Arial"/>
                <w:sz w:val="21"/>
              </w:rPr>
            </w:pPr>
          </w:p>
          <w:p w14:paraId="5141D9E6">
            <w:pPr>
              <w:spacing w:before="65" w:line="228" w:lineRule="auto"/>
              <w:ind w:left="375"/>
              <w:rPr>
                <w:rFonts w:ascii="宋体" w:hAnsi="宋体" w:eastAsia="宋体" w:cs="宋体"/>
                <w:sz w:val="20"/>
                <w:szCs w:val="20"/>
              </w:rPr>
            </w:pPr>
            <w:r>
              <w:rPr>
                <w:rFonts w:ascii="Times New Roman" w:hAnsi="Times New Roman" w:eastAsia="Times New Roman" w:cs="Times New Roman"/>
                <w:spacing w:val="4"/>
                <w:sz w:val="20"/>
                <w:szCs w:val="20"/>
              </w:rPr>
              <w:t>7#</w:t>
            </w:r>
            <w:r>
              <w:rPr>
                <w:rFonts w:ascii="宋体" w:hAnsi="宋体" w:eastAsia="宋体" w:cs="宋体"/>
                <w:spacing w:val="4"/>
                <w:sz w:val="20"/>
                <w:szCs w:val="20"/>
              </w:rPr>
              <w:t>厂房</w:t>
            </w:r>
          </w:p>
        </w:tc>
        <w:tc>
          <w:tcPr>
            <w:tcW w:w="2514" w:type="dxa"/>
            <w:vAlign w:val="top"/>
          </w:tcPr>
          <w:p w14:paraId="275B699D">
            <w:pPr>
              <w:spacing w:line="292" w:lineRule="auto"/>
              <w:rPr>
                <w:rFonts w:ascii="Arial"/>
                <w:sz w:val="21"/>
              </w:rPr>
            </w:pPr>
          </w:p>
          <w:p w14:paraId="7DD94038">
            <w:pPr>
              <w:spacing w:line="292" w:lineRule="auto"/>
              <w:rPr>
                <w:rFonts w:ascii="Arial"/>
                <w:sz w:val="21"/>
              </w:rPr>
            </w:pPr>
          </w:p>
          <w:p w14:paraId="28A39B41">
            <w:pPr>
              <w:spacing w:before="65" w:line="228" w:lineRule="auto"/>
              <w:ind w:left="148"/>
              <w:rPr>
                <w:rFonts w:ascii="宋体" w:hAnsi="宋体" w:eastAsia="宋体" w:cs="宋体"/>
                <w:sz w:val="20"/>
                <w:szCs w:val="20"/>
              </w:rPr>
            </w:pP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栋</w:t>
            </w:r>
            <w:r>
              <w:rPr>
                <w:rFonts w:ascii="宋体" w:hAnsi="宋体" w:eastAsia="宋体" w:cs="宋体"/>
                <w:spacing w:val="-11"/>
                <w:sz w:val="20"/>
                <w:szCs w:val="20"/>
              </w:rPr>
              <w:t xml:space="preserve"> </w:t>
            </w: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层，框架及门式钢</w:t>
            </w:r>
          </w:p>
          <w:p w14:paraId="0801622E">
            <w:pPr>
              <w:spacing w:before="161" w:line="228" w:lineRule="auto"/>
              <w:ind w:left="111"/>
              <w:rPr>
                <w:rFonts w:ascii="宋体" w:hAnsi="宋体" w:eastAsia="宋体" w:cs="宋体"/>
                <w:sz w:val="20"/>
                <w:szCs w:val="20"/>
              </w:rPr>
            </w:pPr>
            <w:r>
              <w:rPr>
                <w:rFonts w:ascii="宋体" w:hAnsi="宋体" w:eastAsia="宋体" w:cs="宋体"/>
                <w:spacing w:val="8"/>
                <w:sz w:val="20"/>
                <w:szCs w:val="20"/>
              </w:rPr>
              <w:t>架结构，位于公司西侧，</w:t>
            </w:r>
          </w:p>
          <w:p w14:paraId="78062447">
            <w:pPr>
              <w:spacing w:before="164" w:line="228" w:lineRule="auto"/>
              <w:ind w:left="144"/>
              <w:rPr>
                <w:rFonts w:ascii="宋体" w:hAnsi="宋体" w:eastAsia="宋体" w:cs="宋体"/>
                <w:sz w:val="20"/>
                <w:szCs w:val="20"/>
              </w:rPr>
            </w:pPr>
            <w:r>
              <w:rPr>
                <w:rFonts w:ascii="宋体" w:hAnsi="宋体" w:eastAsia="宋体" w:cs="宋体"/>
                <w:spacing w:val="-2"/>
                <w:sz w:val="20"/>
                <w:szCs w:val="20"/>
              </w:rPr>
              <w:t>占地面积为</w:t>
            </w:r>
            <w:r>
              <w:rPr>
                <w:rFonts w:ascii="宋体" w:hAnsi="宋体" w:eastAsia="宋体" w:cs="宋体"/>
                <w:spacing w:val="-37"/>
                <w:sz w:val="20"/>
                <w:szCs w:val="20"/>
              </w:rPr>
              <w:t xml:space="preserve"> </w:t>
            </w:r>
            <w:r>
              <w:rPr>
                <w:rFonts w:ascii="Times New Roman" w:hAnsi="Times New Roman" w:eastAsia="Times New Roman" w:cs="Times New Roman"/>
                <w:spacing w:val="-2"/>
                <w:sz w:val="20"/>
                <w:szCs w:val="20"/>
              </w:rPr>
              <w:t>2820m</w:t>
            </w:r>
            <w:r>
              <w:rPr>
                <w:rFonts w:ascii="Times New Roman" w:hAnsi="Times New Roman" w:eastAsia="Times New Roman" w:cs="Times New Roman"/>
                <w:spacing w:val="-2"/>
                <w:position w:val="6"/>
                <w:sz w:val="13"/>
                <w:szCs w:val="13"/>
              </w:rPr>
              <w:t>2</w:t>
            </w:r>
            <w:r>
              <w:rPr>
                <w:rFonts w:ascii="宋体" w:hAnsi="宋体" w:eastAsia="宋体" w:cs="宋体"/>
                <w:spacing w:val="-2"/>
                <w:sz w:val="20"/>
                <w:szCs w:val="20"/>
              </w:rPr>
              <w:t>，用于</w:t>
            </w:r>
          </w:p>
          <w:p w14:paraId="517A8A54">
            <w:pPr>
              <w:spacing w:before="160" w:line="227" w:lineRule="auto"/>
              <w:ind w:left="211"/>
              <w:rPr>
                <w:rFonts w:ascii="宋体" w:hAnsi="宋体" w:eastAsia="宋体" w:cs="宋体"/>
                <w:sz w:val="20"/>
                <w:szCs w:val="20"/>
              </w:rPr>
            </w:pPr>
            <w:r>
              <w:rPr>
                <w:rFonts w:ascii="宋体" w:hAnsi="宋体" w:eastAsia="宋体" w:cs="宋体"/>
                <w:spacing w:val="8"/>
                <w:sz w:val="20"/>
                <w:szCs w:val="20"/>
              </w:rPr>
              <w:t>木板原材料及成品的暂</w:t>
            </w:r>
          </w:p>
          <w:p w14:paraId="55C870A9">
            <w:pPr>
              <w:spacing w:before="161" w:line="228" w:lineRule="auto"/>
              <w:ind w:left="1050"/>
              <w:rPr>
                <w:rFonts w:ascii="宋体" w:hAnsi="宋体" w:eastAsia="宋体" w:cs="宋体"/>
                <w:sz w:val="20"/>
                <w:szCs w:val="20"/>
              </w:rPr>
            </w:pPr>
            <w:r>
              <w:rPr>
                <w:rFonts w:ascii="宋体" w:hAnsi="宋体" w:eastAsia="宋体" w:cs="宋体"/>
                <w:sz w:val="20"/>
                <w:szCs w:val="20"/>
              </w:rPr>
              <w:t>存。</w:t>
            </w:r>
          </w:p>
        </w:tc>
        <w:tc>
          <w:tcPr>
            <w:tcW w:w="2213" w:type="dxa"/>
            <w:vAlign w:val="top"/>
          </w:tcPr>
          <w:p w14:paraId="730D7081">
            <w:pPr>
              <w:spacing w:before="41" w:line="228" w:lineRule="auto"/>
              <w:ind w:left="130"/>
              <w:rPr>
                <w:rFonts w:ascii="宋体" w:hAnsi="宋体" w:eastAsia="宋体" w:cs="宋体"/>
                <w:sz w:val="20"/>
                <w:szCs w:val="20"/>
              </w:rPr>
            </w:pP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栋</w:t>
            </w:r>
            <w:r>
              <w:rPr>
                <w:rFonts w:ascii="宋体" w:hAnsi="宋体" w:eastAsia="宋体" w:cs="宋体"/>
                <w:spacing w:val="-14"/>
                <w:sz w:val="20"/>
                <w:szCs w:val="20"/>
              </w:rPr>
              <w:t xml:space="preserve"> </w:t>
            </w:r>
            <w:r>
              <w:rPr>
                <w:rFonts w:ascii="Times New Roman" w:hAnsi="Times New Roman" w:eastAsia="Times New Roman" w:cs="Times New Roman"/>
                <w:spacing w:val="-2"/>
                <w:sz w:val="20"/>
                <w:szCs w:val="20"/>
              </w:rPr>
              <w:t>1</w:t>
            </w:r>
            <w:r>
              <w:rPr>
                <w:rFonts w:ascii="Times New Roman" w:hAnsi="Times New Roman" w:eastAsia="Times New Roman" w:cs="Times New Roman"/>
                <w:spacing w:val="9"/>
                <w:sz w:val="20"/>
                <w:szCs w:val="20"/>
              </w:rPr>
              <w:t xml:space="preserve"> </w:t>
            </w:r>
            <w:r>
              <w:rPr>
                <w:rFonts w:ascii="宋体" w:hAnsi="宋体" w:eastAsia="宋体" w:cs="宋体"/>
                <w:spacing w:val="-2"/>
                <w:sz w:val="20"/>
                <w:szCs w:val="20"/>
              </w:rPr>
              <w:t>层，框架及门式</w:t>
            </w:r>
          </w:p>
          <w:p w14:paraId="386E1D55">
            <w:pPr>
              <w:spacing w:before="161" w:line="228" w:lineRule="auto"/>
              <w:ind w:left="112"/>
              <w:rPr>
                <w:rFonts w:ascii="宋体" w:hAnsi="宋体" w:eastAsia="宋体" w:cs="宋体"/>
                <w:sz w:val="20"/>
                <w:szCs w:val="20"/>
              </w:rPr>
            </w:pPr>
            <w:r>
              <w:rPr>
                <w:rFonts w:ascii="宋体" w:hAnsi="宋体" w:eastAsia="宋体" w:cs="宋体"/>
                <w:spacing w:val="-1"/>
                <w:sz w:val="20"/>
                <w:szCs w:val="20"/>
              </w:rPr>
              <w:t>钢架结构，位于公司西</w:t>
            </w:r>
          </w:p>
          <w:p w14:paraId="27428F4B">
            <w:pPr>
              <w:spacing w:before="162" w:line="228" w:lineRule="auto"/>
              <w:ind w:left="376"/>
              <w:rPr>
                <w:rFonts w:ascii="宋体" w:hAnsi="宋体" w:eastAsia="宋体" w:cs="宋体"/>
                <w:sz w:val="20"/>
                <w:szCs w:val="20"/>
              </w:rPr>
            </w:pPr>
            <w:r>
              <w:rPr>
                <w:rFonts w:ascii="宋体" w:hAnsi="宋体" w:eastAsia="宋体" w:cs="宋体"/>
                <w:spacing w:val="1"/>
                <w:sz w:val="20"/>
                <w:szCs w:val="20"/>
              </w:rPr>
              <w:t>侧，</w:t>
            </w:r>
            <w:r>
              <w:rPr>
                <w:rFonts w:ascii="宋体" w:hAnsi="宋体" w:eastAsia="宋体" w:cs="宋体"/>
                <w:spacing w:val="-46"/>
                <w:sz w:val="20"/>
                <w:szCs w:val="20"/>
              </w:rPr>
              <w:t xml:space="preserve"> </w:t>
            </w:r>
            <w:r>
              <w:rPr>
                <w:rFonts w:ascii="宋体" w:hAnsi="宋体" w:eastAsia="宋体" w:cs="宋体"/>
                <w:spacing w:val="1"/>
                <w:sz w:val="20"/>
                <w:szCs w:val="20"/>
              </w:rPr>
              <w:t>占地面积为</w:t>
            </w:r>
          </w:p>
          <w:p w14:paraId="67B55617">
            <w:pPr>
              <w:spacing w:before="161" w:line="228" w:lineRule="auto"/>
              <w:ind w:left="155"/>
              <w:rPr>
                <w:rFonts w:ascii="宋体" w:hAnsi="宋体" w:eastAsia="宋体" w:cs="宋体"/>
                <w:sz w:val="20"/>
                <w:szCs w:val="20"/>
              </w:rPr>
            </w:pPr>
            <w:r>
              <w:rPr>
                <w:rFonts w:ascii="Times New Roman" w:hAnsi="Times New Roman" w:eastAsia="Times New Roman" w:cs="Times New Roman"/>
                <w:spacing w:val="4"/>
                <w:sz w:val="20"/>
                <w:szCs w:val="20"/>
              </w:rPr>
              <w:t>2820m</w:t>
            </w:r>
            <w:r>
              <w:rPr>
                <w:rFonts w:ascii="Times New Roman" w:hAnsi="Times New Roman" w:eastAsia="Times New Roman" w:cs="Times New Roman"/>
                <w:spacing w:val="4"/>
                <w:position w:val="6"/>
                <w:sz w:val="13"/>
                <w:szCs w:val="13"/>
              </w:rPr>
              <w:t>2</w:t>
            </w:r>
            <w:r>
              <w:rPr>
                <w:rFonts w:ascii="Times New Roman" w:hAnsi="Times New Roman" w:eastAsia="Times New Roman" w:cs="Times New Roman"/>
                <w:spacing w:val="1"/>
                <w:position w:val="6"/>
                <w:sz w:val="13"/>
                <w:szCs w:val="13"/>
              </w:rPr>
              <w:t xml:space="preserve"> </w:t>
            </w:r>
            <w:r>
              <w:rPr>
                <w:rFonts w:ascii="宋体" w:hAnsi="宋体" w:eastAsia="宋体" w:cs="宋体"/>
                <w:spacing w:val="4"/>
                <w:sz w:val="20"/>
                <w:szCs w:val="20"/>
              </w:rPr>
              <w:t>，用于塑料筐</w:t>
            </w:r>
          </w:p>
          <w:p w14:paraId="6B7B1FFB">
            <w:pPr>
              <w:spacing w:before="160" w:line="228" w:lineRule="auto"/>
              <w:ind w:left="131"/>
              <w:rPr>
                <w:rFonts w:ascii="宋体" w:hAnsi="宋体" w:eastAsia="宋体" w:cs="宋体"/>
                <w:sz w:val="20"/>
                <w:szCs w:val="20"/>
              </w:rPr>
            </w:pPr>
            <w:r>
              <w:rPr>
                <w:rFonts w:ascii="宋体" w:hAnsi="宋体" w:eastAsia="宋体" w:cs="宋体"/>
                <w:spacing w:val="-7"/>
                <w:sz w:val="20"/>
                <w:szCs w:val="20"/>
              </w:rPr>
              <w:t>的生产，设置有</w:t>
            </w:r>
            <w:r>
              <w:rPr>
                <w:rFonts w:ascii="宋体" w:hAnsi="宋体" w:eastAsia="宋体" w:cs="宋体"/>
                <w:spacing w:val="-36"/>
                <w:sz w:val="20"/>
                <w:szCs w:val="20"/>
              </w:rPr>
              <w:t xml:space="preserve"> </w:t>
            </w:r>
            <w:r>
              <w:rPr>
                <w:rFonts w:ascii="Times New Roman" w:hAnsi="Times New Roman" w:eastAsia="Times New Roman" w:cs="Times New Roman"/>
                <w:spacing w:val="-7"/>
                <w:sz w:val="20"/>
                <w:szCs w:val="20"/>
              </w:rPr>
              <w:t>4</w:t>
            </w:r>
            <w:r>
              <w:rPr>
                <w:rFonts w:ascii="Times New Roman" w:hAnsi="Times New Roman" w:eastAsia="Times New Roman" w:cs="Times New Roman"/>
                <w:spacing w:val="29"/>
                <w:sz w:val="20"/>
                <w:szCs w:val="20"/>
              </w:rPr>
              <w:t xml:space="preserve"> </w:t>
            </w:r>
            <w:r>
              <w:rPr>
                <w:rFonts w:ascii="宋体" w:hAnsi="宋体" w:eastAsia="宋体" w:cs="宋体"/>
                <w:spacing w:val="-7"/>
                <w:sz w:val="20"/>
                <w:szCs w:val="20"/>
              </w:rPr>
              <w:t>台注</w:t>
            </w:r>
          </w:p>
          <w:p w14:paraId="1481B2DE">
            <w:pPr>
              <w:spacing w:before="161" w:line="227" w:lineRule="auto"/>
              <w:ind w:left="278"/>
              <w:rPr>
                <w:rFonts w:ascii="宋体" w:hAnsi="宋体" w:eastAsia="宋体" w:cs="宋体"/>
                <w:sz w:val="20"/>
                <w:szCs w:val="20"/>
              </w:rPr>
            </w:pPr>
            <w:r>
              <w:rPr>
                <w:rFonts w:ascii="宋体" w:hAnsi="宋体" w:eastAsia="宋体" w:cs="宋体"/>
                <w:spacing w:val="3"/>
                <w:sz w:val="20"/>
                <w:szCs w:val="20"/>
              </w:rPr>
              <w:t>塑机及配套的</w:t>
            </w:r>
            <w:r>
              <w:rPr>
                <w:rFonts w:ascii="宋体" w:hAnsi="宋体" w:eastAsia="宋体" w:cs="宋体"/>
                <w:spacing w:val="-23"/>
                <w:sz w:val="20"/>
                <w:szCs w:val="20"/>
              </w:rPr>
              <w:t xml:space="preserve"> </w:t>
            </w:r>
            <w:r>
              <w:rPr>
                <w:rFonts w:ascii="宋体" w:hAnsi="宋体" w:eastAsia="宋体" w:cs="宋体"/>
                <w:spacing w:val="3"/>
                <w:sz w:val="20"/>
                <w:szCs w:val="20"/>
              </w:rPr>
              <w:t>1</w:t>
            </w:r>
            <w:r>
              <w:rPr>
                <w:rFonts w:ascii="宋体" w:hAnsi="宋体" w:eastAsia="宋体" w:cs="宋体"/>
                <w:spacing w:val="-22"/>
                <w:sz w:val="20"/>
                <w:szCs w:val="20"/>
              </w:rPr>
              <w:t xml:space="preserve"> </w:t>
            </w:r>
            <w:r>
              <w:rPr>
                <w:rFonts w:ascii="宋体" w:hAnsi="宋体" w:eastAsia="宋体" w:cs="宋体"/>
                <w:spacing w:val="3"/>
                <w:sz w:val="20"/>
                <w:szCs w:val="20"/>
              </w:rPr>
              <w:t>台</w:t>
            </w:r>
          </w:p>
          <w:p w14:paraId="050AA2C7">
            <w:pPr>
              <w:spacing w:before="165" w:line="228" w:lineRule="auto"/>
              <w:ind w:left="197"/>
              <w:rPr>
                <w:rFonts w:ascii="宋体" w:hAnsi="宋体" w:eastAsia="宋体" w:cs="宋体"/>
                <w:sz w:val="20"/>
                <w:szCs w:val="20"/>
              </w:rPr>
            </w:pPr>
            <w:r>
              <w:rPr>
                <w:rFonts w:ascii="宋体" w:hAnsi="宋体" w:eastAsia="宋体" w:cs="宋体"/>
                <w:spacing w:val="5"/>
                <w:sz w:val="20"/>
                <w:szCs w:val="20"/>
              </w:rPr>
              <w:t>60t/h</w:t>
            </w:r>
            <w:r>
              <w:rPr>
                <w:rFonts w:ascii="宋体" w:hAnsi="宋体" w:eastAsia="宋体" w:cs="宋体"/>
                <w:spacing w:val="-33"/>
                <w:sz w:val="20"/>
                <w:szCs w:val="20"/>
              </w:rPr>
              <w:t xml:space="preserve"> </w:t>
            </w:r>
            <w:r>
              <w:rPr>
                <w:rFonts w:ascii="宋体" w:hAnsi="宋体" w:eastAsia="宋体" w:cs="宋体"/>
                <w:spacing w:val="5"/>
                <w:sz w:val="20"/>
                <w:szCs w:val="20"/>
              </w:rPr>
              <w:t>冷却循环塔及</w:t>
            </w:r>
          </w:p>
          <w:p w14:paraId="3CAE56CE">
            <w:pPr>
              <w:spacing w:before="161" w:line="228" w:lineRule="auto"/>
              <w:ind w:right="13"/>
              <w:jc w:val="right"/>
              <w:rPr>
                <w:rFonts w:ascii="宋体" w:hAnsi="宋体" w:eastAsia="宋体" w:cs="宋体"/>
                <w:sz w:val="20"/>
                <w:szCs w:val="20"/>
              </w:rPr>
            </w:pPr>
            <w:r>
              <w:rPr>
                <w:rFonts w:ascii="宋体" w:hAnsi="宋体" w:eastAsia="宋体" w:cs="宋体"/>
                <w:spacing w:val="7"/>
                <w:sz w:val="20"/>
                <w:szCs w:val="20"/>
              </w:rPr>
              <w:t>原料存放区、成品区。</w:t>
            </w:r>
          </w:p>
        </w:tc>
        <w:tc>
          <w:tcPr>
            <w:tcW w:w="1626" w:type="dxa"/>
            <w:vAlign w:val="top"/>
          </w:tcPr>
          <w:p w14:paraId="1EFAEB2D">
            <w:pPr>
              <w:spacing w:line="248" w:lineRule="auto"/>
              <w:rPr>
                <w:rFonts w:ascii="Arial"/>
                <w:sz w:val="21"/>
              </w:rPr>
            </w:pPr>
          </w:p>
          <w:p w14:paraId="502D5DE2">
            <w:pPr>
              <w:spacing w:line="248" w:lineRule="auto"/>
              <w:rPr>
                <w:rFonts w:ascii="Arial"/>
                <w:sz w:val="21"/>
              </w:rPr>
            </w:pPr>
          </w:p>
          <w:p w14:paraId="4D8EE25A">
            <w:pPr>
              <w:spacing w:line="248" w:lineRule="auto"/>
              <w:rPr>
                <w:rFonts w:ascii="Arial"/>
                <w:sz w:val="21"/>
              </w:rPr>
            </w:pPr>
          </w:p>
          <w:p w14:paraId="5FFFB40C">
            <w:pPr>
              <w:spacing w:line="248" w:lineRule="auto"/>
              <w:rPr>
                <w:rFonts w:ascii="Arial"/>
                <w:sz w:val="21"/>
              </w:rPr>
            </w:pPr>
          </w:p>
          <w:p w14:paraId="582B3744">
            <w:pPr>
              <w:spacing w:before="65" w:line="227" w:lineRule="auto"/>
              <w:ind w:left="141"/>
              <w:rPr>
                <w:rFonts w:ascii="宋体" w:hAnsi="宋体" w:eastAsia="宋体" w:cs="宋体"/>
                <w:sz w:val="20"/>
                <w:szCs w:val="20"/>
              </w:rPr>
            </w:pPr>
            <w:r>
              <w:rPr>
                <w:rFonts w:ascii="宋体" w:hAnsi="宋体" w:eastAsia="宋体" w:cs="宋体"/>
                <w:spacing w:val="-4"/>
                <w:sz w:val="20"/>
                <w:szCs w:val="20"/>
              </w:rPr>
              <w:t>已建，本次扩建</w:t>
            </w:r>
          </w:p>
          <w:p w14:paraId="5E836E72">
            <w:pPr>
              <w:spacing w:before="161" w:line="228" w:lineRule="auto"/>
              <w:ind w:left="194"/>
              <w:rPr>
                <w:rFonts w:ascii="宋体" w:hAnsi="宋体" w:eastAsia="宋体" w:cs="宋体"/>
                <w:sz w:val="20"/>
                <w:szCs w:val="20"/>
              </w:rPr>
            </w:pPr>
            <w:r>
              <w:rPr>
                <w:rFonts w:ascii="宋体" w:hAnsi="宋体" w:eastAsia="宋体" w:cs="宋体"/>
                <w:spacing w:val="8"/>
                <w:sz w:val="20"/>
                <w:szCs w:val="20"/>
              </w:rPr>
              <w:t>生产线设置于</w:t>
            </w:r>
          </w:p>
          <w:p w14:paraId="2993C250">
            <w:pPr>
              <w:spacing w:before="161" w:line="228" w:lineRule="auto"/>
              <w:ind w:left="509"/>
              <w:rPr>
                <w:rFonts w:ascii="宋体" w:hAnsi="宋体" w:eastAsia="宋体" w:cs="宋体"/>
                <w:sz w:val="20"/>
                <w:szCs w:val="20"/>
              </w:rPr>
            </w:pPr>
            <w:r>
              <w:rPr>
                <w:rFonts w:ascii="Times New Roman" w:hAnsi="Times New Roman" w:eastAsia="Times New Roman" w:cs="Times New Roman"/>
                <w:spacing w:val="4"/>
                <w:sz w:val="20"/>
                <w:szCs w:val="20"/>
              </w:rPr>
              <w:t>7#</w:t>
            </w:r>
            <w:r>
              <w:rPr>
                <w:rFonts w:ascii="宋体" w:hAnsi="宋体" w:eastAsia="宋体" w:cs="宋体"/>
                <w:spacing w:val="4"/>
                <w:sz w:val="20"/>
                <w:szCs w:val="20"/>
              </w:rPr>
              <w:t>厂房</w:t>
            </w:r>
          </w:p>
        </w:tc>
        <w:tc>
          <w:tcPr>
            <w:tcW w:w="195" w:type="dxa"/>
            <w:vMerge w:val="continue"/>
            <w:tcBorders>
              <w:top w:val="nil"/>
              <w:bottom w:val="nil"/>
              <w:right w:val="single" w:color="000000" w:sz="6" w:space="0"/>
            </w:tcBorders>
            <w:vAlign w:val="top"/>
          </w:tcPr>
          <w:p w14:paraId="5CB34989">
            <w:pPr>
              <w:rPr>
                <w:rFonts w:ascii="Arial"/>
                <w:sz w:val="21"/>
              </w:rPr>
            </w:pPr>
          </w:p>
        </w:tc>
      </w:tr>
      <w:tr w14:paraId="702CB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428" w:type="dxa"/>
            <w:vMerge w:val="continue"/>
            <w:tcBorders>
              <w:top w:val="nil"/>
              <w:left w:val="single" w:color="000000" w:sz="6" w:space="0"/>
              <w:bottom w:val="single" w:color="000000" w:sz="6" w:space="0"/>
            </w:tcBorders>
            <w:vAlign w:val="top"/>
          </w:tcPr>
          <w:p w14:paraId="0689927C">
            <w:pPr>
              <w:rPr>
                <w:rFonts w:ascii="Arial"/>
                <w:sz w:val="21"/>
              </w:rPr>
            </w:pPr>
          </w:p>
        </w:tc>
        <w:tc>
          <w:tcPr>
            <w:tcW w:w="113" w:type="dxa"/>
            <w:tcBorders>
              <w:top w:val="nil"/>
              <w:bottom w:val="single" w:color="000000" w:sz="6" w:space="0"/>
            </w:tcBorders>
            <w:vAlign w:val="top"/>
          </w:tcPr>
          <w:p w14:paraId="61AAF285">
            <w:pPr>
              <w:rPr>
                <w:rFonts w:ascii="Arial"/>
                <w:sz w:val="21"/>
              </w:rPr>
            </w:pPr>
          </w:p>
        </w:tc>
        <w:tc>
          <w:tcPr>
            <w:tcW w:w="596" w:type="dxa"/>
            <w:vMerge w:val="continue"/>
            <w:tcBorders>
              <w:top w:val="nil"/>
              <w:bottom w:val="single" w:color="000000" w:sz="6" w:space="0"/>
            </w:tcBorders>
            <w:textDirection w:val="tbRlV"/>
            <w:vAlign w:val="top"/>
          </w:tcPr>
          <w:p w14:paraId="01173CC2">
            <w:pPr>
              <w:rPr>
                <w:rFonts w:ascii="Arial"/>
                <w:sz w:val="21"/>
              </w:rPr>
            </w:pPr>
          </w:p>
        </w:tc>
        <w:tc>
          <w:tcPr>
            <w:tcW w:w="1379" w:type="dxa"/>
            <w:tcBorders>
              <w:bottom w:val="single" w:color="000000" w:sz="6" w:space="0"/>
            </w:tcBorders>
            <w:vAlign w:val="top"/>
          </w:tcPr>
          <w:p w14:paraId="1E6E73C4">
            <w:pPr>
              <w:spacing w:before="51" w:line="228" w:lineRule="auto"/>
              <w:ind w:left="370"/>
              <w:rPr>
                <w:rFonts w:ascii="宋体" w:hAnsi="宋体" w:eastAsia="宋体" w:cs="宋体"/>
                <w:sz w:val="20"/>
                <w:szCs w:val="20"/>
              </w:rPr>
            </w:pPr>
            <w:r>
              <w:rPr>
                <w:rFonts w:ascii="Times New Roman" w:hAnsi="Times New Roman" w:eastAsia="Times New Roman" w:cs="Times New Roman"/>
                <w:spacing w:val="5"/>
                <w:sz w:val="20"/>
                <w:szCs w:val="20"/>
              </w:rPr>
              <w:t>4#</w:t>
            </w:r>
            <w:r>
              <w:rPr>
                <w:rFonts w:ascii="宋体" w:hAnsi="宋体" w:eastAsia="宋体" w:cs="宋体"/>
                <w:spacing w:val="5"/>
                <w:sz w:val="20"/>
                <w:szCs w:val="20"/>
              </w:rPr>
              <w:t>厂房</w:t>
            </w:r>
          </w:p>
        </w:tc>
        <w:tc>
          <w:tcPr>
            <w:tcW w:w="2514" w:type="dxa"/>
            <w:tcBorders>
              <w:bottom w:val="single" w:color="000000" w:sz="6" w:space="0"/>
            </w:tcBorders>
            <w:vAlign w:val="top"/>
          </w:tcPr>
          <w:p w14:paraId="05E2EE06">
            <w:pPr>
              <w:spacing w:before="50" w:line="228" w:lineRule="auto"/>
              <w:ind w:left="157"/>
              <w:rPr>
                <w:rFonts w:ascii="Times New Roman" w:hAnsi="Times New Roman" w:eastAsia="Times New Roman" w:cs="Times New Roman"/>
                <w:sz w:val="20"/>
                <w:szCs w:val="20"/>
              </w:rPr>
            </w:pPr>
            <w:r>
              <w:rPr>
                <w:rFonts w:ascii="宋体" w:hAnsi="宋体" w:eastAsia="宋体" w:cs="宋体"/>
                <w:spacing w:val="8"/>
                <w:sz w:val="20"/>
                <w:szCs w:val="20"/>
              </w:rPr>
              <w:t>框架及门式钢架结构，</w:t>
            </w:r>
            <w:r>
              <w:rPr>
                <w:rFonts w:ascii="Times New Roman" w:hAnsi="Times New Roman" w:eastAsia="Times New Roman" w:cs="Times New Roman"/>
                <w:spacing w:val="8"/>
                <w:sz w:val="20"/>
                <w:szCs w:val="20"/>
              </w:rPr>
              <w:t>2</w:t>
            </w:r>
          </w:p>
        </w:tc>
        <w:tc>
          <w:tcPr>
            <w:tcW w:w="2213" w:type="dxa"/>
            <w:tcBorders>
              <w:bottom w:val="single" w:color="000000" w:sz="6" w:space="0"/>
            </w:tcBorders>
            <w:vAlign w:val="top"/>
          </w:tcPr>
          <w:p w14:paraId="78628EDF">
            <w:pPr>
              <w:spacing w:before="90"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tcBorders>
              <w:bottom w:val="single" w:color="000000" w:sz="6" w:space="0"/>
            </w:tcBorders>
            <w:vAlign w:val="top"/>
          </w:tcPr>
          <w:p w14:paraId="44F1F30C">
            <w:pPr>
              <w:spacing w:before="51" w:line="229" w:lineRule="auto"/>
              <w:ind w:left="321"/>
              <w:rPr>
                <w:rFonts w:ascii="宋体" w:hAnsi="宋体" w:eastAsia="宋体" w:cs="宋体"/>
                <w:sz w:val="20"/>
                <w:szCs w:val="20"/>
              </w:rPr>
            </w:pPr>
            <w:r>
              <w:rPr>
                <w:rFonts w:ascii="宋体" w:hAnsi="宋体" w:eastAsia="宋体" w:cs="宋体"/>
                <w:spacing w:val="3"/>
                <w:sz w:val="20"/>
                <w:szCs w:val="20"/>
              </w:rPr>
              <w:t>已建，不变</w:t>
            </w:r>
          </w:p>
        </w:tc>
        <w:tc>
          <w:tcPr>
            <w:tcW w:w="195" w:type="dxa"/>
            <w:vMerge w:val="continue"/>
            <w:tcBorders>
              <w:top w:val="nil"/>
              <w:bottom w:val="single" w:color="000000" w:sz="6" w:space="0"/>
              <w:right w:val="single" w:color="000000" w:sz="6" w:space="0"/>
            </w:tcBorders>
            <w:vAlign w:val="top"/>
          </w:tcPr>
          <w:p w14:paraId="4DFCECD0">
            <w:pPr>
              <w:rPr>
                <w:rFonts w:ascii="Arial"/>
                <w:sz w:val="21"/>
              </w:rPr>
            </w:pPr>
          </w:p>
        </w:tc>
      </w:tr>
    </w:tbl>
    <w:p w14:paraId="20D89A05">
      <w:pPr>
        <w:pStyle w:val="2"/>
      </w:pPr>
    </w:p>
    <w:p w14:paraId="5F972A04">
      <w:pPr>
        <w:sectPr>
          <w:footerReference r:id="rId48" w:type="default"/>
          <w:pgSz w:w="11906" w:h="16839"/>
          <w:pgMar w:top="400" w:right="1413" w:bottom="1329" w:left="1413" w:header="0" w:footer="1113" w:gutter="0"/>
          <w:cols w:space="720" w:num="1"/>
        </w:sectPr>
      </w:pPr>
    </w:p>
    <w:p w14:paraId="3777E29A">
      <w:pPr>
        <w:spacing w:before="19"/>
      </w:pPr>
    </w:p>
    <w:p w14:paraId="7E1E6811">
      <w:pPr>
        <w:spacing w:before="19"/>
      </w:pPr>
    </w:p>
    <w:p w14:paraId="7F48F523">
      <w:pPr>
        <w:spacing w:before="19"/>
      </w:pPr>
    </w:p>
    <w:p w14:paraId="120B801D">
      <w:pPr>
        <w:spacing w:before="18"/>
      </w:pPr>
    </w:p>
    <w:p w14:paraId="67A46350">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596"/>
        <w:gridCol w:w="1379"/>
        <w:gridCol w:w="2514"/>
        <w:gridCol w:w="2213"/>
        <w:gridCol w:w="1626"/>
        <w:gridCol w:w="195"/>
      </w:tblGrid>
      <w:tr w14:paraId="3BCCA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3" w:hRule="atLeast"/>
        </w:trPr>
        <w:tc>
          <w:tcPr>
            <w:tcW w:w="428" w:type="dxa"/>
            <w:vMerge w:val="restart"/>
            <w:tcBorders>
              <w:top w:val="single" w:color="000000" w:sz="6" w:space="0"/>
              <w:left w:val="single" w:color="000000" w:sz="6" w:space="0"/>
              <w:bottom w:val="nil"/>
            </w:tcBorders>
            <w:vAlign w:val="top"/>
          </w:tcPr>
          <w:p w14:paraId="26B5B8F8">
            <w:pPr>
              <w:rPr>
                <w:rFonts w:ascii="Arial"/>
                <w:sz w:val="21"/>
              </w:rPr>
            </w:pPr>
          </w:p>
        </w:tc>
        <w:tc>
          <w:tcPr>
            <w:tcW w:w="113" w:type="dxa"/>
            <w:tcBorders>
              <w:top w:val="single" w:color="000000" w:sz="6" w:space="0"/>
              <w:bottom w:val="nil"/>
            </w:tcBorders>
            <w:vAlign w:val="top"/>
          </w:tcPr>
          <w:p w14:paraId="7F938D9D">
            <w:pPr>
              <w:rPr>
                <w:rFonts w:ascii="Arial"/>
                <w:sz w:val="21"/>
              </w:rPr>
            </w:pPr>
          </w:p>
        </w:tc>
        <w:tc>
          <w:tcPr>
            <w:tcW w:w="596" w:type="dxa"/>
            <w:vMerge w:val="restart"/>
            <w:tcBorders>
              <w:top w:val="single" w:color="000000" w:sz="6" w:space="0"/>
              <w:bottom w:val="nil"/>
            </w:tcBorders>
            <w:vAlign w:val="top"/>
          </w:tcPr>
          <w:p w14:paraId="525DB8D6">
            <w:pPr>
              <w:rPr>
                <w:rFonts w:ascii="Arial"/>
                <w:sz w:val="21"/>
              </w:rPr>
            </w:pPr>
          </w:p>
        </w:tc>
        <w:tc>
          <w:tcPr>
            <w:tcW w:w="1379" w:type="dxa"/>
            <w:tcBorders>
              <w:top w:val="single" w:color="000000" w:sz="6" w:space="0"/>
            </w:tcBorders>
            <w:vAlign w:val="top"/>
          </w:tcPr>
          <w:p w14:paraId="165F123C">
            <w:pPr>
              <w:rPr>
                <w:rFonts w:ascii="Arial"/>
                <w:sz w:val="21"/>
              </w:rPr>
            </w:pPr>
          </w:p>
        </w:tc>
        <w:tc>
          <w:tcPr>
            <w:tcW w:w="2514" w:type="dxa"/>
            <w:tcBorders>
              <w:top w:val="single" w:color="000000" w:sz="6" w:space="0"/>
            </w:tcBorders>
            <w:vAlign w:val="top"/>
          </w:tcPr>
          <w:p w14:paraId="59B1AA9D">
            <w:pPr>
              <w:spacing w:before="46" w:line="365" w:lineRule="auto"/>
              <w:ind w:left="105" w:right="129" w:firstLine="211"/>
              <w:jc w:val="right"/>
              <w:rPr>
                <w:rFonts w:ascii="宋体" w:hAnsi="宋体" w:eastAsia="宋体" w:cs="宋体"/>
                <w:sz w:val="20"/>
                <w:szCs w:val="20"/>
              </w:rPr>
            </w:pPr>
            <w:r>
              <w:rPr>
                <w:rFonts w:ascii="宋体" w:hAnsi="宋体" w:eastAsia="宋体" w:cs="宋体"/>
                <w:spacing w:val="3"/>
                <w:sz w:val="20"/>
                <w:szCs w:val="20"/>
              </w:rPr>
              <w:t>层，</w:t>
            </w:r>
            <w:r>
              <w:rPr>
                <w:rFonts w:ascii="宋体" w:hAnsi="宋体" w:eastAsia="宋体" w:cs="宋体"/>
                <w:spacing w:val="-48"/>
                <w:sz w:val="20"/>
                <w:szCs w:val="20"/>
              </w:rPr>
              <w:t xml:space="preserve"> </w:t>
            </w:r>
            <w:r>
              <w:rPr>
                <w:rFonts w:ascii="宋体" w:hAnsi="宋体" w:eastAsia="宋体" w:cs="宋体"/>
                <w:spacing w:val="3"/>
                <w:sz w:val="20"/>
                <w:szCs w:val="20"/>
              </w:rPr>
              <w:t>占地面积分别为</w:t>
            </w:r>
            <w:r>
              <w:rPr>
                <w:rFonts w:ascii="宋体" w:hAnsi="宋体" w:eastAsia="宋体" w:cs="宋体"/>
                <w:sz w:val="20"/>
                <w:szCs w:val="20"/>
              </w:rPr>
              <w:t xml:space="preserve"> </w:t>
            </w:r>
            <w:r>
              <w:rPr>
                <w:rFonts w:ascii="Times New Roman" w:hAnsi="Times New Roman" w:eastAsia="Times New Roman" w:cs="Times New Roman"/>
                <w:spacing w:val="2"/>
                <w:sz w:val="20"/>
                <w:szCs w:val="20"/>
              </w:rPr>
              <w:t>4000m</w:t>
            </w:r>
            <w:r>
              <w:rPr>
                <w:rFonts w:ascii="Times New Roman" w:hAnsi="Times New Roman" w:eastAsia="Times New Roman" w:cs="Times New Roman"/>
                <w:spacing w:val="2"/>
                <w:position w:val="6"/>
                <w:sz w:val="13"/>
                <w:szCs w:val="13"/>
              </w:rPr>
              <w:t>2</w:t>
            </w:r>
            <w:r>
              <w:rPr>
                <w:rFonts w:ascii="Times New Roman" w:hAnsi="Times New Roman" w:eastAsia="Times New Roman" w:cs="Times New Roman"/>
                <w:spacing w:val="-9"/>
                <w:position w:val="6"/>
                <w:sz w:val="13"/>
                <w:szCs w:val="13"/>
              </w:rPr>
              <w:t xml:space="preserve"> </w:t>
            </w:r>
            <w:r>
              <w:rPr>
                <w:rFonts w:ascii="宋体" w:hAnsi="宋体" w:eastAsia="宋体" w:cs="宋体"/>
                <w:spacing w:val="2"/>
                <w:sz w:val="20"/>
                <w:szCs w:val="20"/>
              </w:rPr>
              <w:t>、位于公司中部，</w:t>
            </w:r>
            <w:r>
              <w:rPr>
                <w:rFonts w:ascii="宋体" w:hAnsi="宋体" w:eastAsia="宋体" w:cs="宋体"/>
                <w:spacing w:val="8"/>
                <w:sz w:val="20"/>
                <w:szCs w:val="20"/>
              </w:rPr>
              <w:t>主要用于家具的生产</w:t>
            </w:r>
          </w:p>
        </w:tc>
        <w:tc>
          <w:tcPr>
            <w:tcW w:w="2213" w:type="dxa"/>
            <w:tcBorders>
              <w:top w:val="single" w:color="000000" w:sz="6" w:space="0"/>
            </w:tcBorders>
            <w:vAlign w:val="top"/>
          </w:tcPr>
          <w:p w14:paraId="2D932FB2">
            <w:pPr>
              <w:rPr>
                <w:rFonts w:ascii="Arial"/>
                <w:sz w:val="21"/>
              </w:rPr>
            </w:pPr>
          </w:p>
        </w:tc>
        <w:tc>
          <w:tcPr>
            <w:tcW w:w="1626" w:type="dxa"/>
            <w:tcBorders>
              <w:top w:val="single" w:color="000000" w:sz="6" w:space="0"/>
            </w:tcBorders>
            <w:vAlign w:val="top"/>
          </w:tcPr>
          <w:p w14:paraId="6517DCB1">
            <w:pPr>
              <w:rPr>
                <w:rFonts w:ascii="Arial"/>
                <w:sz w:val="21"/>
              </w:rPr>
            </w:pPr>
          </w:p>
        </w:tc>
        <w:tc>
          <w:tcPr>
            <w:tcW w:w="195" w:type="dxa"/>
            <w:vMerge w:val="restart"/>
            <w:tcBorders>
              <w:top w:val="single" w:color="000000" w:sz="6" w:space="0"/>
              <w:bottom w:val="nil"/>
              <w:right w:val="single" w:color="000000" w:sz="6" w:space="0"/>
            </w:tcBorders>
            <w:vAlign w:val="top"/>
          </w:tcPr>
          <w:p w14:paraId="6698D497">
            <w:pPr>
              <w:rPr>
                <w:rFonts w:ascii="Arial"/>
                <w:sz w:val="21"/>
              </w:rPr>
            </w:pPr>
          </w:p>
        </w:tc>
      </w:tr>
      <w:tr w14:paraId="27B5E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2" w:hRule="atLeast"/>
        </w:trPr>
        <w:tc>
          <w:tcPr>
            <w:tcW w:w="428" w:type="dxa"/>
            <w:vMerge w:val="continue"/>
            <w:tcBorders>
              <w:top w:val="nil"/>
              <w:left w:val="single" w:color="000000" w:sz="6" w:space="0"/>
              <w:bottom w:val="nil"/>
            </w:tcBorders>
            <w:vAlign w:val="top"/>
          </w:tcPr>
          <w:p w14:paraId="1EBD9D35">
            <w:pPr>
              <w:rPr>
                <w:rFonts w:ascii="Arial"/>
                <w:sz w:val="21"/>
              </w:rPr>
            </w:pPr>
          </w:p>
        </w:tc>
        <w:tc>
          <w:tcPr>
            <w:tcW w:w="113" w:type="dxa"/>
            <w:tcBorders>
              <w:top w:val="nil"/>
              <w:bottom w:val="nil"/>
            </w:tcBorders>
            <w:vAlign w:val="top"/>
          </w:tcPr>
          <w:p w14:paraId="4E59BFB6">
            <w:pPr>
              <w:rPr>
                <w:rFonts w:ascii="Arial"/>
                <w:sz w:val="21"/>
              </w:rPr>
            </w:pPr>
          </w:p>
        </w:tc>
        <w:tc>
          <w:tcPr>
            <w:tcW w:w="596" w:type="dxa"/>
            <w:vMerge w:val="continue"/>
            <w:tcBorders>
              <w:top w:val="nil"/>
              <w:bottom w:val="nil"/>
            </w:tcBorders>
            <w:vAlign w:val="top"/>
          </w:tcPr>
          <w:p w14:paraId="5AA5A09B">
            <w:pPr>
              <w:rPr>
                <w:rFonts w:ascii="Arial"/>
                <w:sz w:val="21"/>
              </w:rPr>
            </w:pPr>
          </w:p>
        </w:tc>
        <w:tc>
          <w:tcPr>
            <w:tcW w:w="1379" w:type="dxa"/>
            <w:vAlign w:val="top"/>
          </w:tcPr>
          <w:p w14:paraId="1BD2B419">
            <w:pPr>
              <w:spacing w:line="288" w:lineRule="auto"/>
              <w:rPr>
                <w:rFonts w:ascii="Arial"/>
                <w:sz w:val="21"/>
              </w:rPr>
            </w:pPr>
          </w:p>
          <w:p w14:paraId="68C870BD">
            <w:pPr>
              <w:spacing w:line="288" w:lineRule="auto"/>
              <w:rPr>
                <w:rFonts w:ascii="Arial"/>
                <w:sz w:val="21"/>
              </w:rPr>
            </w:pPr>
          </w:p>
          <w:p w14:paraId="681790D8">
            <w:pPr>
              <w:spacing w:before="65" w:line="228" w:lineRule="auto"/>
              <w:ind w:left="371"/>
              <w:rPr>
                <w:rFonts w:ascii="宋体" w:hAnsi="宋体" w:eastAsia="宋体" w:cs="宋体"/>
                <w:sz w:val="20"/>
                <w:szCs w:val="20"/>
              </w:rPr>
            </w:pPr>
            <w:r>
              <w:rPr>
                <w:rFonts w:ascii="Times New Roman" w:hAnsi="Times New Roman" w:eastAsia="Times New Roman" w:cs="Times New Roman"/>
                <w:spacing w:val="5"/>
                <w:sz w:val="20"/>
                <w:szCs w:val="20"/>
              </w:rPr>
              <w:t>2#</w:t>
            </w:r>
            <w:r>
              <w:rPr>
                <w:rFonts w:ascii="宋体" w:hAnsi="宋体" w:eastAsia="宋体" w:cs="宋体"/>
                <w:spacing w:val="5"/>
                <w:sz w:val="20"/>
                <w:szCs w:val="20"/>
              </w:rPr>
              <w:t>厂房</w:t>
            </w:r>
          </w:p>
        </w:tc>
        <w:tc>
          <w:tcPr>
            <w:tcW w:w="2514" w:type="dxa"/>
            <w:vAlign w:val="top"/>
          </w:tcPr>
          <w:p w14:paraId="72EE8A41">
            <w:pPr>
              <w:spacing w:before="32" w:line="228" w:lineRule="auto"/>
              <w:ind w:left="157"/>
              <w:rPr>
                <w:rFonts w:ascii="Times New Roman" w:hAnsi="Times New Roman" w:eastAsia="Times New Roman" w:cs="Times New Roman"/>
                <w:sz w:val="20"/>
                <w:szCs w:val="20"/>
              </w:rPr>
            </w:pPr>
            <w:r>
              <w:rPr>
                <w:rFonts w:ascii="宋体" w:hAnsi="宋体" w:eastAsia="宋体" w:cs="宋体"/>
                <w:spacing w:val="8"/>
                <w:sz w:val="20"/>
                <w:szCs w:val="20"/>
              </w:rPr>
              <w:t>框架及门式钢架结构，</w:t>
            </w:r>
            <w:r>
              <w:rPr>
                <w:rFonts w:ascii="Times New Roman" w:hAnsi="Times New Roman" w:eastAsia="Times New Roman" w:cs="Times New Roman"/>
                <w:spacing w:val="8"/>
                <w:sz w:val="20"/>
                <w:szCs w:val="20"/>
              </w:rPr>
              <w:t>2</w:t>
            </w:r>
          </w:p>
          <w:p w14:paraId="3FC161EF">
            <w:pPr>
              <w:spacing w:before="160" w:line="228" w:lineRule="auto"/>
              <w:ind w:left="316"/>
              <w:rPr>
                <w:rFonts w:ascii="宋体" w:hAnsi="宋体" w:eastAsia="宋体" w:cs="宋体"/>
                <w:sz w:val="20"/>
                <w:szCs w:val="20"/>
              </w:rPr>
            </w:pPr>
            <w:r>
              <w:rPr>
                <w:rFonts w:ascii="宋体" w:hAnsi="宋体" w:eastAsia="宋体" w:cs="宋体"/>
                <w:spacing w:val="3"/>
                <w:sz w:val="20"/>
                <w:szCs w:val="20"/>
              </w:rPr>
              <w:t>层，</w:t>
            </w:r>
            <w:r>
              <w:rPr>
                <w:rFonts w:ascii="宋体" w:hAnsi="宋体" w:eastAsia="宋体" w:cs="宋体"/>
                <w:spacing w:val="-48"/>
                <w:sz w:val="20"/>
                <w:szCs w:val="20"/>
              </w:rPr>
              <w:t xml:space="preserve"> </w:t>
            </w:r>
            <w:r>
              <w:rPr>
                <w:rFonts w:ascii="宋体" w:hAnsi="宋体" w:eastAsia="宋体" w:cs="宋体"/>
                <w:spacing w:val="3"/>
                <w:sz w:val="20"/>
                <w:szCs w:val="20"/>
              </w:rPr>
              <w:t>占地面积分别为</w:t>
            </w:r>
          </w:p>
          <w:p w14:paraId="7FB8065D">
            <w:pPr>
              <w:spacing w:before="163" w:line="228" w:lineRule="auto"/>
              <w:ind w:left="105"/>
              <w:rPr>
                <w:rFonts w:ascii="宋体" w:hAnsi="宋体" w:eastAsia="宋体" w:cs="宋体"/>
                <w:sz w:val="20"/>
                <w:szCs w:val="20"/>
              </w:rPr>
            </w:pPr>
            <w:r>
              <w:rPr>
                <w:rFonts w:ascii="Times New Roman" w:hAnsi="Times New Roman" w:eastAsia="Times New Roman" w:cs="Times New Roman"/>
                <w:spacing w:val="5"/>
                <w:sz w:val="20"/>
                <w:szCs w:val="20"/>
              </w:rPr>
              <w:t>4000m</w:t>
            </w:r>
            <w:r>
              <w:rPr>
                <w:rFonts w:ascii="Times New Roman" w:hAnsi="Times New Roman" w:eastAsia="Times New Roman" w:cs="Times New Roman"/>
                <w:spacing w:val="5"/>
                <w:position w:val="6"/>
                <w:sz w:val="13"/>
                <w:szCs w:val="13"/>
              </w:rPr>
              <w:t>2</w:t>
            </w:r>
            <w:r>
              <w:rPr>
                <w:rFonts w:ascii="Times New Roman" w:hAnsi="Times New Roman" w:eastAsia="Times New Roman" w:cs="Times New Roman"/>
                <w:spacing w:val="-11"/>
                <w:position w:val="6"/>
                <w:sz w:val="13"/>
                <w:szCs w:val="13"/>
              </w:rPr>
              <w:t xml:space="preserve"> </w:t>
            </w:r>
            <w:r>
              <w:rPr>
                <w:rFonts w:ascii="宋体" w:hAnsi="宋体" w:eastAsia="宋体" w:cs="宋体"/>
                <w:spacing w:val="5"/>
                <w:sz w:val="20"/>
                <w:szCs w:val="20"/>
              </w:rPr>
              <w:t>、位于公司北侧，</w:t>
            </w:r>
          </w:p>
          <w:p w14:paraId="12ECDBB3">
            <w:pPr>
              <w:spacing w:before="161" w:line="228" w:lineRule="auto"/>
              <w:ind w:left="737"/>
              <w:rPr>
                <w:rFonts w:ascii="宋体" w:hAnsi="宋体" w:eastAsia="宋体" w:cs="宋体"/>
                <w:sz w:val="20"/>
                <w:szCs w:val="20"/>
              </w:rPr>
            </w:pPr>
            <w:r>
              <w:rPr>
                <w:rFonts w:ascii="宋体" w:hAnsi="宋体" w:eastAsia="宋体" w:cs="宋体"/>
                <w:spacing w:val="5"/>
                <w:sz w:val="20"/>
                <w:szCs w:val="20"/>
              </w:rPr>
              <w:t>作为仓库。</w:t>
            </w:r>
          </w:p>
        </w:tc>
        <w:tc>
          <w:tcPr>
            <w:tcW w:w="2213" w:type="dxa"/>
            <w:vAlign w:val="top"/>
          </w:tcPr>
          <w:p w14:paraId="504091E6">
            <w:pPr>
              <w:spacing w:line="312" w:lineRule="auto"/>
              <w:rPr>
                <w:rFonts w:ascii="Arial"/>
                <w:sz w:val="21"/>
              </w:rPr>
            </w:pPr>
          </w:p>
          <w:p w14:paraId="571F233E">
            <w:pPr>
              <w:spacing w:line="313" w:lineRule="auto"/>
              <w:rPr>
                <w:rFonts w:ascii="Arial"/>
                <w:sz w:val="21"/>
              </w:rPr>
            </w:pPr>
          </w:p>
          <w:p w14:paraId="4D6F3E5D">
            <w:pPr>
              <w:spacing w:before="57"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786F6E04">
            <w:pPr>
              <w:spacing w:line="288" w:lineRule="auto"/>
              <w:rPr>
                <w:rFonts w:ascii="Arial"/>
                <w:sz w:val="21"/>
              </w:rPr>
            </w:pPr>
          </w:p>
          <w:p w14:paraId="01E8CAFE">
            <w:pPr>
              <w:spacing w:line="288" w:lineRule="auto"/>
              <w:rPr>
                <w:rFonts w:ascii="Arial"/>
                <w:sz w:val="21"/>
              </w:rPr>
            </w:pPr>
          </w:p>
          <w:p w14:paraId="69D6686D">
            <w:pPr>
              <w:spacing w:before="65" w:line="229" w:lineRule="auto"/>
              <w:ind w:left="321"/>
              <w:rPr>
                <w:rFonts w:ascii="宋体" w:hAnsi="宋体" w:eastAsia="宋体" w:cs="宋体"/>
                <w:sz w:val="20"/>
                <w:szCs w:val="20"/>
              </w:rPr>
            </w:pPr>
            <w:r>
              <w:rPr>
                <w:rFonts w:ascii="宋体" w:hAnsi="宋体" w:eastAsia="宋体" w:cs="宋体"/>
                <w:spacing w:val="3"/>
                <w:sz w:val="20"/>
                <w:szCs w:val="20"/>
              </w:rPr>
              <w:t>已建，不变</w:t>
            </w:r>
          </w:p>
        </w:tc>
        <w:tc>
          <w:tcPr>
            <w:tcW w:w="195" w:type="dxa"/>
            <w:vMerge w:val="continue"/>
            <w:tcBorders>
              <w:top w:val="nil"/>
              <w:bottom w:val="nil"/>
              <w:right w:val="single" w:color="000000" w:sz="6" w:space="0"/>
            </w:tcBorders>
            <w:vAlign w:val="top"/>
          </w:tcPr>
          <w:p w14:paraId="0D1C20F9">
            <w:pPr>
              <w:rPr>
                <w:rFonts w:ascii="Arial"/>
                <w:sz w:val="21"/>
              </w:rPr>
            </w:pPr>
          </w:p>
        </w:tc>
      </w:tr>
      <w:tr w14:paraId="586B8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3" w:hRule="atLeast"/>
        </w:trPr>
        <w:tc>
          <w:tcPr>
            <w:tcW w:w="428" w:type="dxa"/>
            <w:vMerge w:val="continue"/>
            <w:tcBorders>
              <w:top w:val="nil"/>
              <w:left w:val="single" w:color="000000" w:sz="6" w:space="0"/>
              <w:bottom w:val="nil"/>
            </w:tcBorders>
            <w:vAlign w:val="top"/>
          </w:tcPr>
          <w:p w14:paraId="12529A88">
            <w:pPr>
              <w:rPr>
                <w:rFonts w:ascii="Arial"/>
                <w:sz w:val="21"/>
              </w:rPr>
            </w:pPr>
          </w:p>
        </w:tc>
        <w:tc>
          <w:tcPr>
            <w:tcW w:w="113" w:type="dxa"/>
            <w:tcBorders>
              <w:top w:val="nil"/>
              <w:bottom w:val="nil"/>
            </w:tcBorders>
            <w:vAlign w:val="top"/>
          </w:tcPr>
          <w:p w14:paraId="148A76D1">
            <w:pPr>
              <w:rPr>
                <w:rFonts w:ascii="Arial"/>
                <w:sz w:val="21"/>
              </w:rPr>
            </w:pPr>
          </w:p>
        </w:tc>
        <w:tc>
          <w:tcPr>
            <w:tcW w:w="596" w:type="dxa"/>
            <w:vMerge w:val="continue"/>
            <w:tcBorders>
              <w:top w:val="nil"/>
              <w:bottom w:val="nil"/>
            </w:tcBorders>
            <w:vAlign w:val="top"/>
          </w:tcPr>
          <w:p w14:paraId="2A168884">
            <w:pPr>
              <w:rPr>
                <w:rFonts w:ascii="Arial"/>
                <w:sz w:val="21"/>
              </w:rPr>
            </w:pPr>
          </w:p>
        </w:tc>
        <w:tc>
          <w:tcPr>
            <w:tcW w:w="1379" w:type="dxa"/>
            <w:vAlign w:val="top"/>
          </w:tcPr>
          <w:p w14:paraId="2A61B0AC">
            <w:pPr>
              <w:spacing w:line="296" w:lineRule="auto"/>
              <w:rPr>
                <w:rFonts w:ascii="Arial"/>
                <w:sz w:val="21"/>
              </w:rPr>
            </w:pPr>
          </w:p>
          <w:p w14:paraId="1A04BE89">
            <w:pPr>
              <w:spacing w:line="297" w:lineRule="auto"/>
              <w:rPr>
                <w:rFonts w:ascii="Arial"/>
                <w:sz w:val="21"/>
              </w:rPr>
            </w:pPr>
          </w:p>
          <w:p w14:paraId="3EF20E35">
            <w:pPr>
              <w:spacing w:before="65" w:line="228" w:lineRule="auto"/>
              <w:ind w:left="376"/>
              <w:rPr>
                <w:rFonts w:ascii="宋体" w:hAnsi="宋体" w:eastAsia="宋体" w:cs="宋体"/>
                <w:sz w:val="20"/>
                <w:szCs w:val="20"/>
              </w:rPr>
            </w:pPr>
            <w:r>
              <w:rPr>
                <w:rFonts w:ascii="Times New Roman" w:hAnsi="Times New Roman" w:eastAsia="Times New Roman" w:cs="Times New Roman"/>
                <w:spacing w:val="4"/>
                <w:sz w:val="20"/>
                <w:szCs w:val="20"/>
              </w:rPr>
              <w:t>3#</w:t>
            </w:r>
            <w:r>
              <w:rPr>
                <w:rFonts w:ascii="宋体" w:hAnsi="宋体" w:eastAsia="宋体" w:cs="宋体"/>
                <w:spacing w:val="4"/>
                <w:sz w:val="20"/>
                <w:szCs w:val="20"/>
              </w:rPr>
              <w:t>厂房</w:t>
            </w:r>
          </w:p>
        </w:tc>
        <w:tc>
          <w:tcPr>
            <w:tcW w:w="2514" w:type="dxa"/>
            <w:vAlign w:val="top"/>
          </w:tcPr>
          <w:p w14:paraId="226B27EB">
            <w:pPr>
              <w:spacing w:before="49" w:line="228" w:lineRule="auto"/>
              <w:ind w:left="157"/>
              <w:rPr>
                <w:rFonts w:ascii="Times New Roman" w:hAnsi="Times New Roman" w:eastAsia="Times New Roman" w:cs="Times New Roman"/>
                <w:sz w:val="20"/>
                <w:szCs w:val="20"/>
              </w:rPr>
            </w:pPr>
            <w:r>
              <w:rPr>
                <w:rFonts w:ascii="宋体" w:hAnsi="宋体" w:eastAsia="宋体" w:cs="宋体"/>
                <w:spacing w:val="8"/>
                <w:sz w:val="20"/>
                <w:szCs w:val="20"/>
              </w:rPr>
              <w:t>框架及门式钢架结构，</w:t>
            </w:r>
            <w:r>
              <w:rPr>
                <w:rFonts w:ascii="Times New Roman" w:hAnsi="Times New Roman" w:eastAsia="Times New Roman" w:cs="Times New Roman"/>
                <w:spacing w:val="8"/>
                <w:sz w:val="20"/>
                <w:szCs w:val="20"/>
              </w:rPr>
              <w:t>2</w:t>
            </w:r>
          </w:p>
          <w:p w14:paraId="36852D4D">
            <w:pPr>
              <w:spacing w:before="160" w:line="228" w:lineRule="auto"/>
              <w:ind w:left="316"/>
              <w:rPr>
                <w:rFonts w:ascii="宋体" w:hAnsi="宋体" w:eastAsia="宋体" w:cs="宋体"/>
                <w:sz w:val="20"/>
                <w:szCs w:val="20"/>
              </w:rPr>
            </w:pPr>
            <w:r>
              <w:rPr>
                <w:rFonts w:ascii="宋体" w:hAnsi="宋体" w:eastAsia="宋体" w:cs="宋体"/>
                <w:spacing w:val="3"/>
                <w:sz w:val="20"/>
                <w:szCs w:val="20"/>
              </w:rPr>
              <w:t>层，</w:t>
            </w:r>
            <w:r>
              <w:rPr>
                <w:rFonts w:ascii="宋体" w:hAnsi="宋体" w:eastAsia="宋体" w:cs="宋体"/>
                <w:spacing w:val="-48"/>
                <w:sz w:val="20"/>
                <w:szCs w:val="20"/>
              </w:rPr>
              <w:t xml:space="preserve"> </w:t>
            </w:r>
            <w:r>
              <w:rPr>
                <w:rFonts w:ascii="宋体" w:hAnsi="宋体" w:eastAsia="宋体" w:cs="宋体"/>
                <w:spacing w:val="3"/>
                <w:sz w:val="20"/>
                <w:szCs w:val="20"/>
              </w:rPr>
              <w:t>占地面积分别为</w:t>
            </w:r>
          </w:p>
          <w:p w14:paraId="5482E332">
            <w:pPr>
              <w:spacing w:before="163" w:line="228" w:lineRule="auto"/>
              <w:ind w:right="13"/>
              <w:jc w:val="right"/>
              <w:rPr>
                <w:rFonts w:ascii="宋体" w:hAnsi="宋体" w:eastAsia="宋体" w:cs="宋体"/>
                <w:sz w:val="20"/>
                <w:szCs w:val="20"/>
              </w:rPr>
            </w:pPr>
            <w:r>
              <w:rPr>
                <w:rFonts w:ascii="Times New Roman" w:hAnsi="Times New Roman" w:eastAsia="Times New Roman" w:cs="Times New Roman"/>
                <w:sz w:val="20"/>
                <w:szCs w:val="20"/>
              </w:rPr>
              <w:t>3564.8m</w:t>
            </w:r>
            <w:r>
              <w:rPr>
                <w:rFonts w:ascii="Times New Roman" w:hAnsi="Times New Roman" w:eastAsia="Times New Roman" w:cs="Times New Roman"/>
                <w:position w:val="6"/>
                <w:sz w:val="13"/>
                <w:szCs w:val="13"/>
              </w:rPr>
              <w:t>2</w:t>
            </w:r>
            <w:r>
              <w:rPr>
                <w:rFonts w:ascii="宋体" w:hAnsi="宋体" w:eastAsia="宋体" w:cs="宋体"/>
                <w:sz w:val="20"/>
                <w:szCs w:val="20"/>
              </w:rPr>
              <w:t>、位于公司北侧，</w:t>
            </w:r>
          </w:p>
          <w:p w14:paraId="7835300D">
            <w:pPr>
              <w:spacing w:before="160" w:line="228" w:lineRule="auto"/>
              <w:ind w:left="737"/>
              <w:rPr>
                <w:rFonts w:ascii="宋体" w:hAnsi="宋体" w:eastAsia="宋体" w:cs="宋体"/>
                <w:sz w:val="20"/>
                <w:szCs w:val="20"/>
              </w:rPr>
            </w:pPr>
            <w:r>
              <w:rPr>
                <w:rFonts w:ascii="宋体" w:hAnsi="宋体" w:eastAsia="宋体" w:cs="宋体"/>
                <w:spacing w:val="5"/>
                <w:sz w:val="20"/>
                <w:szCs w:val="20"/>
              </w:rPr>
              <w:t>作为仓库。</w:t>
            </w:r>
          </w:p>
        </w:tc>
        <w:tc>
          <w:tcPr>
            <w:tcW w:w="2213" w:type="dxa"/>
            <w:vAlign w:val="top"/>
          </w:tcPr>
          <w:p w14:paraId="1133F8A1">
            <w:pPr>
              <w:spacing w:line="320" w:lineRule="auto"/>
              <w:rPr>
                <w:rFonts w:ascii="Arial"/>
                <w:sz w:val="21"/>
              </w:rPr>
            </w:pPr>
          </w:p>
          <w:p w14:paraId="1F31DAEF">
            <w:pPr>
              <w:spacing w:line="321" w:lineRule="auto"/>
              <w:rPr>
                <w:rFonts w:ascii="Arial"/>
                <w:sz w:val="21"/>
              </w:rPr>
            </w:pPr>
          </w:p>
          <w:p w14:paraId="7373B708">
            <w:pPr>
              <w:spacing w:before="58"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487D1C99">
            <w:pPr>
              <w:spacing w:line="296" w:lineRule="auto"/>
              <w:rPr>
                <w:rFonts w:ascii="Arial"/>
                <w:sz w:val="21"/>
              </w:rPr>
            </w:pPr>
          </w:p>
          <w:p w14:paraId="6B6DB859">
            <w:pPr>
              <w:spacing w:line="297" w:lineRule="auto"/>
              <w:rPr>
                <w:rFonts w:ascii="Arial"/>
                <w:sz w:val="21"/>
              </w:rPr>
            </w:pPr>
          </w:p>
          <w:p w14:paraId="265F5993">
            <w:pPr>
              <w:spacing w:before="65" w:line="229" w:lineRule="auto"/>
              <w:ind w:left="321"/>
              <w:rPr>
                <w:rFonts w:ascii="宋体" w:hAnsi="宋体" w:eastAsia="宋体" w:cs="宋体"/>
                <w:sz w:val="20"/>
                <w:szCs w:val="20"/>
              </w:rPr>
            </w:pPr>
            <w:r>
              <w:rPr>
                <w:rFonts w:ascii="宋体" w:hAnsi="宋体" w:eastAsia="宋体" w:cs="宋体"/>
                <w:spacing w:val="3"/>
                <w:sz w:val="20"/>
                <w:szCs w:val="20"/>
              </w:rPr>
              <w:t>已建，不变</w:t>
            </w:r>
          </w:p>
        </w:tc>
        <w:tc>
          <w:tcPr>
            <w:tcW w:w="195" w:type="dxa"/>
            <w:vMerge w:val="continue"/>
            <w:tcBorders>
              <w:top w:val="nil"/>
              <w:bottom w:val="nil"/>
              <w:right w:val="single" w:color="000000" w:sz="6" w:space="0"/>
            </w:tcBorders>
            <w:vAlign w:val="top"/>
          </w:tcPr>
          <w:p w14:paraId="20D6CA54">
            <w:pPr>
              <w:rPr>
                <w:rFonts w:ascii="Arial"/>
                <w:sz w:val="21"/>
              </w:rPr>
            </w:pPr>
          </w:p>
        </w:tc>
      </w:tr>
      <w:tr w14:paraId="10FB4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3" w:hRule="atLeast"/>
        </w:trPr>
        <w:tc>
          <w:tcPr>
            <w:tcW w:w="428" w:type="dxa"/>
            <w:vMerge w:val="continue"/>
            <w:tcBorders>
              <w:top w:val="nil"/>
              <w:left w:val="single" w:color="000000" w:sz="6" w:space="0"/>
              <w:bottom w:val="nil"/>
            </w:tcBorders>
            <w:vAlign w:val="top"/>
          </w:tcPr>
          <w:p w14:paraId="323425CE">
            <w:pPr>
              <w:rPr>
                <w:rFonts w:ascii="Arial"/>
                <w:sz w:val="21"/>
              </w:rPr>
            </w:pPr>
          </w:p>
        </w:tc>
        <w:tc>
          <w:tcPr>
            <w:tcW w:w="113" w:type="dxa"/>
            <w:tcBorders>
              <w:top w:val="nil"/>
              <w:bottom w:val="nil"/>
            </w:tcBorders>
            <w:vAlign w:val="top"/>
          </w:tcPr>
          <w:p w14:paraId="0CE0373A">
            <w:pPr>
              <w:rPr>
                <w:rFonts w:ascii="Arial"/>
                <w:sz w:val="21"/>
              </w:rPr>
            </w:pPr>
          </w:p>
        </w:tc>
        <w:tc>
          <w:tcPr>
            <w:tcW w:w="596" w:type="dxa"/>
            <w:vMerge w:val="continue"/>
            <w:tcBorders>
              <w:top w:val="nil"/>
              <w:bottom w:val="nil"/>
            </w:tcBorders>
            <w:vAlign w:val="top"/>
          </w:tcPr>
          <w:p w14:paraId="2C2E50DA">
            <w:pPr>
              <w:rPr>
                <w:rFonts w:ascii="Arial"/>
                <w:sz w:val="21"/>
              </w:rPr>
            </w:pPr>
          </w:p>
        </w:tc>
        <w:tc>
          <w:tcPr>
            <w:tcW w:w="1379" w:type="dxa"/>
            <w:vAlign w:val="top"/>
          </w:tcPr>
          <w:p w14:paraId="35CD36C4">
            <w:pPr>
              <w:spacing w:line="294" w:lineRule="auto"/>
              <w:rPr>
                <w:rFonts w:ascii="Arial"/>
                <w:sz w:val="21"/>
              </w:rPr>
            </w:pPr>
          </w:p>
          <w:p w14:paraId="68887EA1">
            <w:pPr>
              <w:spacing w:line="294" w:lineRule="auto"/>
              <w:rPr>
                <w:rFonts w:ascii="Arial"/>
                <w:sz w:val="21"/>
              </w:rPr>
            </w:pPr>
          </w:p>
          <w:p w14:paraId="1830407D">
            <w:pPr>
              <w:spacing w:before="65" w:line="228" w:lineRule="auto"/>
              <w:ind w:left="167"/>
              <w:rPr>
                <w:rFonts w:ascii="宋体" w:hAnsi="宋体" w:eastAsia="宋体" w:cs="宋体"/>
                <w:sz w:val="20"/>
                <w:szCs w:val="20"/>
              </w:rPr>
            </w:pPr>
            <w:r>
              <w:rPr>
                <w:rFonts w:ascii="宋体" w:hAnsi="宋体" w:eastAsia="宋体" w:cs="宋体"/>
                <w:spacing w:val="7"/>
                <w:sz w:val="20"/>
                <w:szCs w:val="20"/>
              </w:rPr>
              <w:t>综合办公楼</w:t>
            </w:r>
          </w:p>
        </w:tc>
        <w:tc>
          <w:tcPr>
            <w:tcW w:w="2514" w:type="dxa"/>
            <w:vAlign w:val="top"/>
          </w:tcPr>
          <w:p w14:paraId="1B694D02">
            <w:pPr>
              <w:spacing w:before="46" w:line="366" w:lineRule="auto"/>
              <w:ind w:left="110" w:right="148" w:firstLine="48"/>
              <w:jc w:val="both"/>
              <w:rPr>
                <w:rFonts w:ascii="宋体" w:hAnsi="宋体" w:eastAsia="宋体" w:cs="宋体"/>
                <w:sz w:val="20"/>
                <w:szCs w:val="20"/>
              </w:rPr>
            </w:pPr>
            <w:r>
              <w:rPr>
                <w:rFonts w:ascii="宋体" w:hAnsi="宋体" w:eastAsia="宋体" w:cs="宋体"/>
                <w:spacing w:val="7"/>
                <w:sz w:val="20"/>
                <w:szCs w:val="20"/>
              </w:rPr>
              <w:t>新建综合办公楼，</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栋</w:t>
            </w:r>
            <w:r>
              <w:rPr>
                <w:rFonts w:ascii="宋体" w:hAnsi="宋体" w:eastAsia="宋体" w:cs="宋体"/>
                <w:spacing w:val="-40"/>
                <w:sz w:val="20"/>
                <w:szCs w:val="20"/>
              </w:rPr>
              <w:t xml:space="preserve"> </w:t>
            </w:r>
            <w:r>
              <w:rPr>
                <w:rFonts w:ascii="Times New Roman" w:hAnsi="Times New Roman" w:eastAsia="Times New Roman" w:cs="Times New Roman"/>
                <w:spacing w:val="7"/>
                <w:sz w:val="20"/>
                <w:szCs w:val="20"/>
              </w:rPr>
              <w:t>4</w:t>
            </w:r>
            <w:r>
              <w:rPr>
                <w:rFonts w:ascii="宋体" w:hAnsi="宋体" w:eastAsia="宋体" w:cs="宋体"/>
                <w:spacing w:val="4"/>
                <w:sz w:val="20"/>
                <w:szCs w:val="20"/>
              </w:rPr>
              <w:t>层，位于项目的东北侧，</w:t>
            </w:r>
            <w:r>
              <w:rPr>
                <w:rFonts w:ascii="宋体" w:hAnsi="宋体" w:eastAsia="宋体" w:cs="宋体"/>
                <w:spacing w:val="14"/>
                <w:sz w:val="20"/>
                <w:szCs w:val="20"/>
              </w:rPr>
              <w:t>砖混结构，</w:t>
            </w:r>
            <w:r>
              <w:rPr>
                <w:rFonts w:ascii="宋体" w:hAnsi="宋体" w:eastAsia="宋体" w:cs="宋体"/>
                <w:spacing w:val="-51"/>
                <w:sz w:val="20"/>
                <w:szCs w:val="20"/>
              </w:rPr>
              <w:t xml:space="preserve"> </w:t>
            </w:r>
            <w:r>
              <w:rPr>
                <w:rFonts w:ascii="宋体" w:hAnsi="宋体" w:eastAsia="宋体" w:cs="宋体"/>
                <w:spacing w:val="14"/>
                <w:sz w:val="20"/>
                <w:szCs w:val="20"/>
              </w:rPr>
              <w:t>占地面积为</w:t>
            </w:r>
            <w:r>
              <w:rPr>
                <w:rFonts w:ascii="Times New Roman" w:hAnsi="Times New Roman" w:eastAsia="Times New Roman" w:cs="Times New Roman"/>
                <w:spacing w:val="3"/>
                <w:sz w:val="20"/>
                <w:szCs w:val="20"/>
              </w:rPr>
              <w:t>823.28m</w:t>
            </w:r>
            <w:r>
              <w:rPr>
                <w:rFonts w:ascii="Times New Roman" w:hAnsi="Times New Roman" w:eastAsia="Times New Roman" w:cs="Times New Roman"/>
                <w:spacing w:val="3"/>
                <w:position w:val="6"/>
                <w:sz w:val="13"/>
                <w:szCs w:val="13"/>
              </w:rPr>
              <w:t>2</w:t>
            </w:r>
            <w:r>
              <w:rPr>
                <w:rFonts w:ascii="Times New Roman" w:hAnsi="Times New Roman" w:eastAsia="Times New Roman" w:cs="Times New Roman"/>
                <w:spacing w:val="-5"/>
                <w:position w:val="6"/>
                <w:sz w:val="13"/>
                <w:szCs w:val="13"/>
              </w:rPr>
              <w:t xml:space="preserve"> </w:t>
            </w:r>
            <w:r>
              <w:rPr>
                <w:rFonts w:ascii="宋体" w:hAnsi="宋体" w:eastAsia="宋体" w:cs="宋体"/>
                <w:spacing w:val="3"/>
                <w:sz w:val="20"/>
                <w:szCs w:val="20"/>
              </w:rPr>
              <w:t>，用于办公等。</w:t>
            </w:r>
          </w:p>
        </w:tc>
        <w:tc>
          <w:tcPr>
            <w:tcW w:w="2213" w:type="dxa"/>
            <w:vAlign w:val="top"/>
          </w:tcPr>
          <w:p w14:paraId="1AED6458">
            <w:pPr>
              <w:spacing w:line="318" w:lineRule="auto"/>
              <w:rPr>
                <w:rFonts w:ascii="Arial"/>
                <w:sz w:val="21"/>
              </w:rPr>
            </w:pPr>
          </w:p>
          <w:p w14:paraId="15E77FBC">
            <w:pPr>
              <w:spacing w:line="319" w:lineRule="auto"/>
              <w:rPr>
                <w:rFonts w:ascii="Arial"/>
                <w:sz w:val="21"/>
              </w:rPr>
            </w:pPr>
          </w:p>
          <w:p w14:paraId="747B9062">
            <w:pPr>
              <w:spacing w:before="58"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25EF7D41">
            <w:pPr>
              <w:spacing w:line="294" w:lineRule="auto"/>
              <w:rPr>
                <w:rFonts w:ascii="Arial"/>
                <w:sz w:val="21"/>
              </w:rPr>
            </w:pPr>
          </w:p>
          <w:p w14:paraId="08849952">
            <w:pPr>
              <w:spacing w:line="295" w:lineRule="auto"/>
              <w:rPr>
                <w:rFonts w:ascii="Arial"/>
                <w:sz w:val="21"/>
              </w:rPr>
            </w:pPr>
          </w:p>
          <w:p w14:paraId="120E8660">
            <w:pPr>
              <w:spacing w:before="65" w:line="229" w:lineRule="auto"/>
              <w:ind w:left="321"/>
              <w:rPr>
                <w:rFonts w:ascii="宋体" w:hAnsi="宋体" w:eastAsia="宋体" w:cs="宋体"/>
                <w:sz w:val="20"/>
                <w:szCs w:val="20"/>
              </w:rPr>
            </w:pPr>
            <w:r>
              <w:rPr>
                <w:rFonts w:ascii="宋体" w:hAnsi="宋体" w:eastAsia="宋体" w:cs="宋体"/>
                <w:spacing w:val="3"/>
                <w:sz w:val="20"/>
                <w:szCs w:val="20"/>
              </w:rPr>
              <w:t>已建，不变</w:t>
            </w:r>
          </w:p>
        </w:tc>
        <w:tc>
          <w:tcPr>
            <w:tcW w:w="195" w:type="dxa"/>
            <w:vMerge w:val="continue"/>
            <w:tcBorders>
              <w:top w:val="nil"/>
              <w:bottom w:val="nil"/>
              <w:right w:val="single" w:color="000000" w:sz="6" w:space="0"/>
            </w:tcBorders>
            <w:vAlign w:val="top"/>
          </w:tcPr>
          <w:p w14:paraId="2C96851F">
            <w:pPr>
              <w:rPr>
                <w:rFonts w:ascii="Arial"/>
                <w:sz w:val="21"/>
              </w:rPr>
            </w:pPr>
          </w:p>
        </w:tc>
      </w:tr>
      <w:tr w14:paraId="59BA8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2" w:hRule="atLeast"/>
        </w:trPr>
        <w:tc>
          <w:tcPr>
            <w:tcW w:w="428" w:type="dxa"/>
            <w:vMerge w:val="continue"/>
            <w:tcBorders>
              <w:top w:val="nil"/>
              <w:left w:val="single" w:color="000000" w:sz="6" w:space="0"/>
              <w:bottom w:val="nil"/>
            </w:tcBorders>
            <w:vAlign w:val="top"/>
          </w:tcPr>
          <w:p w14:paraId="11B01CD2">
            <w:pPr>
              <w:rPr>
                <w:rFonts w:ascii="Arial"/>
                <w:sz w:val="21"/>
              </w:rPr>
            </w:pPr>
          </w:p>
        </w:tc>
        <w:tc>
          <w:tcPr>
            <w:tcW w:w="113" w:type="dxa"/>
            <w:tcBorders>
              <w:top w:val="nil"/>
              <w:bottom w:val="nil"/>
            </w:tcBorders>
            <w:vAlign w:val="top"/>
          </w:tcPr>
          <w:p w14:paraId="0A21D580">
            <w:pPr>
              <w:rPr>
                <w:rFonts w:ascii="Arial"/>
                <w:sz w:val="21"/>
              </w:rPr>
            </w:pPr>
          </w:p>
        </w:tc>
        <w:tc>
          <w:tcPr>
            <w:tcW w:w="596" w:type="dxa"/>
            <w:vMerge w:val="continue"/>
            <w:tcBorders>
              <w:top w:val="nil"/>
              <w:bottom w:val="nil"/>
            </w:tcBorders>
            <w:vAlign w:val="top"/>
          </w:tcPr>
          <w:p w14:paraId="0C81A748">
            <w:pPr>
              <w:rPr>
                <w:rFonts w:ascii="Arial"/>
                <w:sz w:val="21"/>
              </w:rPr>
            </w:pPr>
          </w:p>
        </w:tc>
        <w:tc>
          <w:tcPr>
            <w:tcW w:w="1379" w:type="dxa"/>
            <w:vAlign w:val="top"/>
          </w:tcPr>
          <w:p w14:paraId="6BB950DD">
            <w:pPr>
              <w:spacing w:line="292" w:lineRule="auto"/>
              <w:rPr>
                <w:rFonts w:ascii="Arial"/>
                <w:sz w:val="21"/>
              </w:rPr>
            </w:pPr>
          </w:p>
          <w:p w14:paraId="57E9716B">
            <w:pPr>
              <w:spacing w:line="293" w:lineRule="auto"/>
              <w:rPr>
                <w:rFonts w:ascii="Arial"/>
                <w:sz w:val="21"/>
              </w:rPr>
            </w:pPr>
          </w:p>
          <w:p w14:paraId="6199BDEC">
            <w:pPr>
              <w:spacing w:before="65" w:line="228" w:lineRule="auto"/>
              <w:ind w:left="376"/>
              <w:rPr>
                <w:rFonts w:ascii="宋体" w:hAnsi="宋体" w:eastAsia="宋体" w:cs="宋体"/>
                <w:sz w:val="20"/>
                <w:szCs w:val="20"/>
              </w:rPr>
            </w:pPr>
            <w:r>
              <w:rPr>
                <w:rFonts w:ascii="宋体" w:hAnsi="宋体" w:eastAsia="宋体" w:cs="宋体"/>
                <w:spacing w:val="6"/>
                <w:sz w:val="20"/>
                <w:szCs w:val="20"/>
              </w:rPr>
              <w:t>倒班室</w:t>
            </w:r>
          </w:p>
        </w:tc>
        <w:tc>
          <w:tcPr>
            <w:tcW w:w="2514" w:type="dxa"/>
            <w:vAlign w:val="top"/>
          </w:tcPr>
          <w:p w14:paraId="4816FE37">
            <w:pPr>
              <w:spacing w:before="41" w:line="228" w:lineRule="auto"/>
              <w:ind w:left="132"/>
              <w:rPr>
                <w:rFonts w:ascii="宋体" w:hAnsi="宋体" w:eastAsia="宋体" w:cs="宋体"/>
                <w:sz w:val="20"/>
                <w:szCs w:val="20"/>
              </w:rPr>
            </w:pPr>
            <w:r>
              <w:rPr>
                <w:rFonts w:ascii="宋体" w:hAnsi="宋体" w:eastAsia="宋体" w:cs="宋体"/>
                <w:spacing w:val="4"/>
                <w:sz w:val="20"/>
                <w:szCs w:val="20"/>
              </w:rPr>
              <w:t>新建倒班室，</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栋</w:t>
            </w:r>
            <w:r>
              <w:rPr>
                <w:rFonts w:ascii="宋体" w:hAnsi="宋体" w:eastAsia="宋体" w:cs="宋体"/>
                <w:spacing w:val="-17"/>
                <w:sz w:val="20"/>
                <w:szCs w:val="20"/>
              </w:rPr>
              <w:t xml:space="preserve">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层，</w:t>
            </w:r>
          </w:p>
          <w:p w14:paraId="7FF23AEE">
            <w:pPr>
              <w:spacing w:before="161" w:line="228" w:lineRule="auto"/>
              <w:ind w:left="211"/>
              <w:rPr>
                <w:rFonts w:ascii="宋体" w:hAnsi="宋体" w:eastAsia="宋体" w:cs="宋体"/>
                <w:sz w:val="20"/>
                <w:szCs w:val="20"/>
              </w:rPr>
            </w:pPr>
            <w:r>
              <w:rPr>
                <w:rFonts w:ascii="宋体" w:hAnsi="宋体" w:eastAsia="宋体" w:cs="宋体"/>
                <w:spacing w:val="8"/>
                <w:sz w:val="20"/>
                <w:szCs w:val="20"/>
              </w:rPr>
              <w:t>砖混结构，位于项目西</w:t>
            </w:r>
          </w:p>
          <w:p w14:paraId="50AEC070">
            <w:pPr>
              <w:spacing w:before="162" w:line="228" w:lineRule="auto"/>
              <w:ind w:left="118"/>
              <w:rPr>
                <w:rFonts w:ascii="宋体" w:hAnsi="宋体" w:eastAsia="宋体" w:cs="宋体"/>
                <w:sz w:val="20"/>
                <w:szCs w:val="20"/>
              </w:rPr>
            </w:pPr>
            <w:r>
              <w:rPr>
                <w:rFonts w:ascii="宋体" w:hAnsi="宋体" w:eastAsia="宋体" w:cs="宋体"/>
                <w:spacing w:val="2"/>
                <w:sz w:val="20"/>
                <w:szCs w:val="20"/>
              </w:rPr>
              <w:t>侧，</w:t>
            </w:r>
            <w:r>
              <w:rPr>
                <w:rFonts w:ascii="宋体" w:hAnsi="宋体" w:eastAsia="宋体" w:cs="宋体"/>
                <w:spacing w:val="-41"/>
                <w:sz w:val="20"/>
                <w:szCs w:val="20"/>
              </w:rPr>
              <w:t xml:space="preserve"> </w:t>
            </w:r>
            <w:r>
              <w:rPr>
                <w:rFonts w:ascii="宋体" w:hAnsi="宋体" w:eastAsia="宋体" w:cs="宋体"/>
                <w:spacing w:val="2"/>
                <w:sz w:val="20"/>
                <w:szCs w:val="20"/>
              </w:rPr>
              <w:t>占地面积为</w:t>
            </w:r>
            <w:r>
              <w:rPr>
                <w:rFonts w:ascii="宋体" w:hAnsi="宋体" w:eastAsia="宋体" w:cs="宋体"/>
                <w:spacing w:val="-43"/>
                <w:sz w:val="20"/>
                <w:szCs w:val="20"/>
              </w:rPr>
              <w:t xml:space="preserve"> </w:t>
            </w:r>
            <w:r>
              <w:rPr>
                <w:rFonts w:ascii="Times New Roman" w:hAnsi="Times New Roman" w:eastAsia="Times New Roman" w:cs="Times New Roman"/>
                <w:spacing w:val="2"/>
                <w:sz w:val="20"/>
                <w:szCs w:val="20"/>
              </w:rPr>
              <w:t>200m</w:t>
            </w:r>
            <w:r>
              <w:rPr>
                <w:rFonts w:ascii="Times New Roman" w:hAnsi="Times New Roman" w:eastAsia="Times New Roman" w:cs="Times New Roman"/>
                <w:spacing w:val="2"/>
                <w:position w:val="6"/>
                <w:sz w:val="13"/>
                <w:szCs w:val="13"/>
              </w:rPr>
              <w:t>2</w:t>
            </w:r>
            <w:r>
              <w:rPr>
                <w:rFonts w:ascii="宋体" w:hAnsi="宋体" w:eastAsia="宋体" w:cs="宋体"/>
                <w:spacing w:val="2"/>
                <w:sz w:val="20"/>
                <w:szCs w:val="20"/>
              </w:rPr>
              <w:t>，</w:t>
            </w:r>
          </w:p>
          <w:p w14:paraId="5E1398E9">
            <w:pPr>
              <w:spacing w:before="161" w:line="228" w:lineRule="auto"/>
              <w:ind w:left="318"/>
              <w:rPr>
                <w:rFonts w:ascii="宋体" w:hAnsi="宋体" w:eastAsia="宋体" w:cs="宋体"/>
                <w:sz w:val="20"/>
                <w:szCs w:val="20"/>
              </w:rPr>
            </w:pPr>
            <w:r>
              <w:rPr>
                <w:rFonts w:ascii="宋体" w:hAnsi="宋体" w:eastAsia="宋体" w:cs="宋体"/>
                <w:spacing w:val="7"/>
                <w:sz w:val="20"/>
                <w:szCs w:val="20"/>
              </w:rPr>
              <w:t>用于员工倒班休息。</w:t>
            </w:r>
          </w:p>
        </w:tc>
        <w:tc>
          <w:tcPr>
            <w:tcW w:w="2213" w:type="dxa"/>
            <w:vAlign w:val="top"/>
          </w:tcPr>
          <w:p w14:paraId="294919C8">
            <w:pPr>
              <w:spacing w:line="316" w:lineRule="auto"/>
              <w:rPr>
                <w:rFonts w:ascii="Arial"/>
                <w:sz w:val="21"/>
              </w:rPr>
            </w:pPr>
          </w:p>
          <w:p w14:paraId="555A1D69">
            <w:pPr>
              <w:spacing w:line="317" w:lineRule="auto"/>
              <w:rPr>
                <w:rFonts w:ascii="Arial"/>
                <w:sz w:val="21"/>
              </w:rPr>
            </w:pPr>
          </w:p>
          <w:p w14:paraId="3CEB5CDB">
            <w:pPr>
              <w:spacing w:before="58"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1D4AADF2">
            <w:pPr>
              <w:spacing w:line="292" w:lineRule="auto"/>
              <w:rPr>
                <w:rFonts w:ascii="Arial"/>
                <w:sz w:val="21"/>
              </w:rPr>
            </w:pPr>
          </w:p>
          <w:p w14:paraId="29BDE52F">
            <w:pPr>
              <w:spacing w:line="293" w:lineRule="auto"/>
              <w:rPr>
                <w:rFonts w:ascii="Arial"/>
                <w:sz w:val="21"/>
              </w:rPr>
            </w:pPr>
          </w:p>
          <w:p w14:paraId="2F0EA42A">
            <w:pPr>
              <w:spacing w:before="65" w:line="229" w:lineRule="auto"/>
              <w:ind w:left="321"/>
              <w:rPr>
                <w:rFonts w:ascii="宋体" w:hAnsi="宋体" w:eastAsia="宋体" w:cs="宋体"/>
                <w:sz w:val="20"/>
                <w:szCs w:val="20"/>
              </w:rPr>
            </w:pPr>
            <w:r>
              <w:rPr>
                <w:rFonts w:ascii="宋体" w:hAnsi="宋体" w:eastAsia="宋体" w:cs="宋体"/>
                <w:spacing w:val="3"/>
                <w:sz w:val="20"/>
                <w:szCs w:val="20"/>
              </w:rPr>
              <w:t>已建，不变</w:t>
            </w:r>
          </w:p>
        </w:tc>
        <w:tc>
          <w:tcPr>
            <w:tcW w:w="195" w:type="dxa"/>
            <w:vMerge w:val="continue"/>
            <w:tcBorders>
              <w:top w:val="nil"/>
              <w:bottom w:val="nil"/>
              <w:right w:val="single" w:color="000000" w:sz="6" w:space="0"/>
            </w:tcBorders>
            <w:vAlign w:val="top"/>
          </w:tcPr>
          <w:p w14:paraId="06883EE0">
            <w:pPr>
              <w:rPr>
                <w:rFonts w:ascii="Arial"/>
                <w:sz w:val="21"/>
              </w:rPr>
            </w:pPr>
          </w:p>
        </w:tc>
      </w:tr>
      <w:tr w14:paraId="1D8E3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428" w:type="dxa"/>
            <w:vMerge w:val="continue"/>
            <w:tcBorders>
              <w:top w:val="nil"/>
              <w:left w:val="single" w:color="000000" w:sz="6" w:space="0"/>
              <w:bottom w:val="nil"/>
            </w:tcBorders>
            <w:vAlign w:val="top"/>
          </w:tcPr>
          <w:p w14:paraId="7A2AF225">
            <w:pPr>
              <w:rPr>
                <w:rFonts w:ascii="Arial"/>
                <w:sz w:val="21"/>
              </w:rPr>
            </w:pPr>
          </w:p>
        </w:tc>
        <w:tc>
          <w:tcPr>
            <w:tcW w:w="113" w:type="dxa"/>
            <w:tcBorders>
              <w:top w:val="nil"/>
              <w:bottom w:val="nil"/>
            </w:tcBorders>
            <w:vAlign w:val="top"/>
          </w:tcPr>
          <w:p w14:paraId="36080CE5">
            <w:pPr>
              <w:rPr>
                <w:rFonts w:ascii="Arial"/>
                <w:sz w:val="21"/>
              </w:rPr>
            </w:pPr>
          </w:p>
        </w:tc>
        <w:tc>
          <w:tcPr>
            <w:tcW w:w="596" w:type="dxa"/>
            <w:vMerge w:val="continue"/>
            <w:tcBorders>
              <w:top w:val="nil"/>
              <w:bottom w:val="nil"/>
            </w:tcBorders>
            <w:vAlign w:val="top"/>
          </w:tcPr>
          <w:p w14:paraId="5C5F4567">
            <w:pPr>
              <w:rPr>
                <w:rFonts w:ascii="Arial"/>
                <w:sz w:val="21"/>
              </w:rPr>
            </w:pPr>
          </w:p>
        </w:tc>
        <w:tc>
          <w:tcPr>
            <w:tcW w:w="1379" w:type="dxa"/>
            <w:vAlign w:val="top"/>
          </w:tcPr>
          <w:p w14:paraId="729FAB56">
            <w:pPr>
              <w:spacing w:line="398" w:lineRule="auto"/>
              <w:rPr>
                <w:rFonts w:ascii="Arial"/>
                <w:sz w:val="21"/>
              </w:rPr>
            </w:pPr>
          </w:p>
          <w:p w14:paraId="5D39FEB9">
            <w:pPr>
              <w:spacing w:before="65" w:line="231" w:lineRule="auto"/>
              <w:ind w:left="485"/>
              <w:rPr>
                <w:rFonts w:ascii="宋体" w:hAnsi="宋体" w:eastAsia="宋体" w:cs="宋体"/>
                <w:sz w:val="20"/>
                <w:szCs w:val="20"/>
              </w:rPr>
            </w:pPr>
            <w:r>
              <w:rPr>
                <w:rFonts w:ascii="宋体" w:hAnsi="宋体" w:eastAsia="宋体" w:cs="宋体"/>
                <w:spacing w:val="1"/>
                <w:sz w:val="20"/>
                <w:szCs w:val="20"/>
              </w:rPr>
              <w:t>公厕</w:t>
            </w:r>
          </w:p>
        </w:tc>
        <w:tc>
          <w:tcPr>
            <w:tcW w:w="2514" w:type="dxa"/>
            <w:vAlign w:val="top"/>
          </w:tcPr>
          <w:p w14:paraId="3D02D630">
            <w:pPr>
              <w:spacing w:before="58" w:line="228" w:lineRule="auto"/>
              <w:ind w:left="132"/>
              <w:rPr>
                <w:rFonts w:ascii="宋体" w:hAnsi="宋体" w:eastAsia="宋体" w:cs="宋体"/>
                <w:sz w:val="20"/>
                <w:szCs w:val="20"/>
              </w:rPr>
            </w:pPr>
            <w:r>
              <w:rPr>
                <w:rFonts w:ascii="宋体" w:hAnsi="宋体" w:eastAsia="宋体" w:cs="宋体"/>
                <w:spacing w:val="4"/>
                <w:sz w:val="20"/>
                <w:szCs w:val="20"/>
              </w:rPr>
              <w:t>新建公厕，</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栋</w:t>
            </w:r>
            <w:r>
              <w:rPr>
                <w:rFonts w:ascii="宋体" w:hAnsi="宋体" w:eastAsia="宋体" w:cs="宋体"/>
                <w:spacing w:val="-14"/>
                <w:sz w:val="20"/>
                <w:szCs w:val="20"/>
              </w:rPr>
              <w:t xml:space="preserve"> </w:t>
            </w:r>
            <w:r>
              <w:rPr>
                <w:rFonts w:ascii="Times New Roman" w:hAnsi="Times New Roman" w:eastAsia="Times New Roman" w:cs="Times New Roman"/>
                <w:spacing w:val="4"/>
                <w:sz w:val="20"/>
                <w:szCs w:val="20"/>
              </w:rPr>
              <w:t>1</w:t>
            </w:r>
            <w:r>
              <w:rPr>
                <w:rFonts w:ascii="Times New Roman" w:hAnsi="Times New Roman" w:eastAsia="Times New Roman" w:cs="Times New Roman"/>
                <w:spacing w:val="12"/>
                <w:sz w:val="20"/>
                <w:szCs w:val="20"/>
              </w:rPr>
              <w:t xml:space="preserve"> </w:t>
            </w:r>
            <w:r>
              <w:rPr>
                <w:rFonts w:ascii="宋体" w:hAnsi="宋体" w:eastAsia="宋体" w:cs="宋体"/>
                <w:spacing w:val="4"/>
                <w:sz w:val="20"/>
                <w:szCs w:val="20"/>
              </w:rPr>
              <w:t>层，位</w:t>
            </w:r>
          </w:p>
          <w:p w14:paraId="72E53DA2">
            <w:pPr>
              <w:spacing w:before="160" w:line="228" w:lineRule="auto"/>
              <w:ind w:left="113"/>
              <w:rPr>
                <w:rFonts w:ascii="宋体" w:hAnsi="宋体" w:eastAsia="宋体" w:cs="宋体"/>
                <w:sz w:val="20"/>
                <w:szCs w:val="20"/>
              </w:rPr>
            </w:pPr>
            <w:r>
              <w:rPr>
                <w:rFonts w:ascii="宋体" w:hAnsi="宋体" w:eastAsia="宋体" w:cs="宋体"/>
                <w:spacing w:val="4"/>
                <w:sz w:val="20"/>
                <w:szCs w:val="20"/>
              </w:rPr>
              <w:t>于倒班房西侧，</w:t>
            </w:r>
            <w:r>
              <w:rPr>
                <w:rFonts w:ascii="宋体" w:hAnsi="宋体" w:eastAsia="宋体" w:cs="宋体"/>
                <w:spacing w:val="-58"/>
                <w:sz w:val="20"/>
                <w:szCs w:val="20"/>
              </w:rPr>
              <w:t xml:space="preserve"> </w:t>
            </w:r>
            <w:r>
              <w:rPr>
                <w:rFonts w:ascii="宋体" w:hAnsi="宋体" w:eastAsia="宋体" w:cs="宋体"/>
                <w:spacing w:val="4"/>
                <w:sz w:val="20"/>
                <w:szCs w:val="20"/>
              </w:rPr>
              <w:t>占地面积</w:t>
            </w:r>
          </w:p>
          <w:p w14:paraId="421C5185">
            <w:pPr>
              <w:spacing w:before="163" w:line="233" w:lineRule="auto"/>
              <w:ind w:left="808"/>
              <w:rPr>
                <w:rFonts w:ascii="宋体" w:hAnsi="宋体" w:eastAsia="宋体" w:cs="宋体"/>
                <w:sz w:val="20"/>
                <w:szCs w:val="20"/>
              </w:rPr>
            </w:pPr>
            <w:r>
              <w:rPr>
                <w:rFonts w:ascii="宋体" w:hAnsi="宋体" w:eastAsia="宋体" w:cs="宋体"/>
                <w:sz w:val="20"/>
                <w:szCs w:val="20"/>
              </w:rPr>
              <w:t>约</w:t>
            </w:r>
            <w:r>
              <w:rPr>
                <w:rFonts w:ascii="宋体" w:hAnsi="宋体" w:eastAsia="宋体" w:cs="宋体"/>
                <w:spacing w:val="-33"/>
                <w:sz w:val="20"/>
                <w:szCs w:val="20"/>
              </w:rPr>
              <w:t xml:space="preserve"> </w:t>
            </w:r>
            <w:r>
              <w:rPr>
                <w:rFonts w:ascii="Times New Roman" w:hAnsi="Times New Roman" w:eastAsia="Times New Roman" w:cs="Times New Roman"/>
                <w:sz w:val="20"/>
                <w:szCs w:val="20"/>
              </w:rPr>
              <w:t>50m</w:t>
            </w:r>
            <w:r>
              <w:rPr>
                <w:rFonts w:ascii="Times New Roman" w:hAnsi="Times New Roman" w:eastAsia="Times New Roman" w:cs="Times New Roman"/>
                <w:position w:val="6"/>
                <w:sz w:val="13"/>
                <w:szCs w:val="13"/>
              </w:rPr>
              <w:t>2</w:t>
            </w:r>
            <w:r>
              <w:rPr>
                <w:rFonts w:ascii="宋体" w:hAnsi="宋体" w:eastAsia="宋体" w:cs="宋体"/>
                <w:sz w:val="20"/>
                <w:szCs w:val="20"/>
              </w:rPr>
              <w:t>。</w:t>
            </w:r>
          </w:p>
        </w:tc>
        <w:tc>
          <w:tcPr>
            <w:tcW w:w="2213" w:type="dxa"/>
            <w:vAlign w:val="top"/>
          </w:tcPr>
          <w:p w14:paraId="4151145D">
            <w:pPr>
              <w:spacing w:line="448" w:lineRule="auto"/>
              <w:rPr>
                <w:rFonts w:ascii="Arial"/>
                <w:sz w:val="21"/>
              </w:rPr>
            </w:pPr>
          </w:p>
          <w:p w14:paraId="4E2299E8">
            <w:pPr>
              <w:spacing w:before="57"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7A1CC064">
            <w:pPr>
              <w:spacing w:line="399" w:lineRule="auto"/>
              <w:rPr>
                <w:rFonts w:ascii="Arial"/>
                <w:sz w:val="21"/>
              </w:rPr>
            </w:pPr>
          </w:p>
          <w:p w14:paraId="57188FBC">
            <w:pPr>
              <w:spacing w:before="65" w:line="229" w:lineRule="auto"/>
              <w:ind w:left="321"/>
              <w:rPr>
                <w:rFonts w:ascii="宋体" w:hAnsi="宋体" w:eastAsia="宋体" w:cs="宋体"/>
                <w:sz w:val="20"/>
                <w:szCs w:val="20"/>
              </w:rPr>
            </w:pPr>
            <w:r>
              <w:rPr>
                <w:rFonts w:ascii="宋体" w:hAnsi="宋体" w:eastAsia="宋体" w:cs="宋体"/>
                <w:spacing w:val="3"/>
                <w:sz w:val="20"/>
                <w:szCs w:val="20"/>
              </w:rPr>
              <w:t>已建，不变</w:t>
            </w:r>
          </w:p>
        </w:tc>
        <w:tc>
          <w:tcPr>
            <w:tcW w:w="195" w:type="dxa"/>
            <w:vMerge w:val="continue"/>
            <w:tcBorders>
              <w:top w:val="nil"/>
              <w:bottom w:val="nil"/>
              <w:right w:val="single" w:color="000000" w:sz="6" w:space="0"/>
            </w:tcBorders>
            <w:vAlign w:val="top"/>
          </w:tcPr>
          <w:p w14:paraId="0F062BAD">
            <w:pPr>
              <w:rPr>
                <w:rFonts w:ascii="Arial"/>
                <w:sz w:val="21"/>
              </w:rPr>
            </w:pPr>
          </w:p>
        </w:tc>
      </w:tr>
      <w:tr w14:paraId="5AA6A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6" w:hRule="atLeast"/>
        </w:trPr>
        <w:tc>
          <w:tcPr>
            <w:tcW w:w="428" w:type="dxa"/>
            <w:vMerge w:val="continue"/>
            <w:tcBorders>
              <w:top w:val="nil"/>
              <w:left w:val="single" w:color="000000" w:sz="6" w:space="0"/>
              <w:bottom w:val="nil"/>
            </w:tcBorders>
            <w:vAlign w:val="top"/>
          </w:tcPr>
          <w:p w14:paraId="4643075F">
            <w:pPr>
              <w:rPr>
                <w:rFonts w:ascii="Arial"/>
                <w:sz w:val="21"/>
              </w:rPr>
            </w:pPr>
          </w:p>
        </w:tc>
        <w:tc>
          <w:tcPr>
            <w:tcW w:w="113" w:type="dxa"/>
            <w:tcBorders>
              <w:top w:val="nil"/>
              <w:bottom w:val="nil"/>
            </w:tcBorders>
            <w:vAlign w:val="top"/>
          </w:tcPr>
          <w:p w14:paraId="4384EFB2">
            <w:pPr>
              <w:rPr>
                <w:rFonts w:ascii="Arial"/>
                <w:sz w:val="21"/>
              </w:rPr>
            </w:pPr>
          </w:p>
        </w:tc>
        <w:tc>
          <w:tcPr>
            <w:tcW w:w="596" w:type="dxa"/>
            <w:vMerge w:val="continue"/>
            <w:tcBorders>
              <w:top w:val="nil"/>
            </w:tcBorders>
            <w:vAlign w:val="top"/>
          </w:tcPr>
          <w:p w14:paraId="4BFC2794">
            <w:pPr>
              <w:rPr>
                <w:rFonts w:ascii="Arial"/>
                <w:sz w:val="21"/>
              </w:rPr>
            </w:pPr>
          </w:p>
        </w:tc>
        <w:tc>
          <w:tcPr>
            <w:tcW w:w="1379" w:type="dxa"/>
            <w:vAlign w:val="top"/>
          </w:tcPr>
          <w:p w14:paraId="3EDDA92E">
            <w:pPr>
              <w:spacing w:line="397" w:lineRule="auto"/>
              <w:rPr>
                <w:rFonts w:ascii="Arial"/>
                <w:sz w:val="21"/>
              </w:rPr>
            </w:pPr>
          </w:p>
          <w:p w14:paraId="218F11E2">
            <w:pPr>
              <w:spacing w:before="65" w:line="228" w:lineRule="auto"/>
              <w:ind w:left="188"/>
              <w:rPr>
                <w:rFonts w:ascii="宋体" w:hAnsi="宋体" w:eastAsia="宋体" w:cs="宋体"/>
                <w:sz w:val="20"/>
                <w:szCs w:val="20"/>
              </w:rPr>
            </w:pPr>
            <w:r>
              <w:rPr>
                <w:rFonts w:ascii="宋体" w:hAnsi="宋体" w:eastAsia="宋体" w:cs="宋体"/>
                <w:spacing w:val="3"/>
                <w:sz w:val="20"/>
                <w:szCs w:val="20"/>
              </w:rPr>
              <w:t>门卫值班室</w:t>
            </w:r>
          </w:p>
        </w:tc>
        <w:tc>
          <w:tcPr>
            <w:tcW w:w="2514" w:type="dxa"/>
            <w:vAlign w:val="top"/>
          </w:tcPr>
          <w:p w14:paraId="1FAC7899">
            <w:pPr>
              <w:spacing w:before="57" w:line="228" w:lineRule="auto"/>
              <w:ind w:left="159"/>
              <w:rPr>
                <w:rFonts w:ascii="Times New Roman" w:hAnsi="Times New Roman" w:eastAsia="Times New Roman" w:cs="Times New Roman"/>
                <w:sz w:val="20"/>
                <w:szCs w:val="20"/>
              </w:rPr>
            </w:pPr>
            <w:r>
              <w:rPr>
                <w:rFonts w:ascii="宋体" w:hAnsi="宋体" w:eastAsia="宋体" w:cs="宋体"/>
                <w:spacing w:val="7"/>
                <w:sz w:val="20"/>
                <w:szCs w:val="20"/>
              </w:rPr>
              <w:t>新建门卫值班室，</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栋</w:t>
            </w:r>
            <w:r>
              <w:rPr>
                <w:rFonts w:ascii="宋体" w:hAnsi="宋体" w:eastAsia="宋体" w:cs="宋体"/>
                <w:spacing w:val="-20"/>
                <w:sz w:val="20"/>
                <w:szCs w:val="20"/>
              </w:rPr>
              <w:t xml:space="preserve"> </w:t>
            </w:r>
            <w:r>
              <w:rPr>
                <w:rFonts w:ascii="Times New Roman" w:hAnsi="Times New Roman" w:eastAsia="Times New Roman" w:cs="Times New Roman"/>
                <w:spacing w:val="7"/>
                <w:sz w:val="20"/>
                <w:szCs w:val="20"/>
              </w:rPr>
              <w:t>1</w:t>
            </w:r>
          </w:p>
          <w:p w14:paraId="5F2239B9">
            <w:pPr>
              <w:spacing w:before="160" w:line="228" w:lineRule="auto"/>
              <w:ind w:left="110"/>
              <w:rPr>
                <w:rFonts w:ascii="宋体" w:hAnsi="宋体" w:eastAsia="宋体" w:cs="宋体"/>
                <w:sz w:val="20"/>
                <w:szCs w:val="20"/>
              </w:rPr>
            </w:pPr>
            <w:r>
              <w:rPr>
                <w:rFonts w:ascii="宋体" w:hAnsi="宋体" w:eastAsia="宋体" w:cs="宋体"/>
                <w:spacing w:val="-1"/>
                <w:sz w:val="20"/>
                <w:szCs w:val="20"/>
              </w:rPr>
              <w:t>层，占地面积约</w:t>
            </w:r>
            <w:r>
              <w:rPr>
                <w:rFonts w:ascii="宋体" w:hAnsi="宋体" w:eastAsia="宋体" w:cs="宋体"/>
                <w:spacing w:val="-18"/>
                <w:sz w:val="20"/>
                <w:szCs w:val="20"/>
              </w:rPr>
              <w:t xml:space="preserve"> </w:t>
            </w:r>
            <w:r>
              <w:rPr>
                <w:rFonts w:ascii="Times New Roman" w:hAnsi="Times New Roman" w:eastAsia="Times New Roman" w:cs="Times New Roman"/>
                <w:spacing w:val="-1"/>
                <w:sz w:val="20"/>
                <w:szCs w:val="20"/>
              </w:rPr>
              <w:t>10m</w:t>
            </w:r>
            <w:r>
              <w:rPr>
                <w:rFonts w:ascii="Times New Roman" w:hAnsi="Times New Roman" w:eastAsia="Times New Roman" w:cs="Times New Roman"/>
                <w:spacing w:val="-1"/>
                <w:position w:val="6"/>
                <w:sz w:val="13"/>
                <w:szCs w:val="13"/>
              </w:rPr>
              <w:t>2</w:t>
            </w:r>
            <w:r>
              <w:rPr>
                <w:rFonts w:ascii="宋体" w:hAnsi="宋体" w:eastAsia="宋体" w:cs="宋体"/>
                <w:spacing w:val="-1"/>
                <w:sz w:val="20"/>
                <w:szCs w:val="20"/>
              </w:rPr>
              <w:t>，位</w:t>
            </w:r>
          </w:p>
          <w:p w14:paraId="6EEEC885">
            <w:pPr>
              <w:spacing w:before="163" w:line="228" w:lineRule="auto"/>
              <w:ind w:left="320"/>
              <w:rPr>
                <w:rFonts w:ascii="宋体" w:hAnsi="宋体" w:eastAsia="宋体" w:cs="宋体"/>
                <w:sz w:val="20"/>
                <w:szCs w:val="20"/>
              </w:rPr>
            </w:pPr>
            <w:r>
              <w:rPr>
                <w:rFonts w:ascii="宋体" w:hAnsi="宋体" w:eastAsia="宋体" w:cs="宋体"/>
                <w:spacing w:val="7"/>
                <w:sz w:val="20"/>
                <w:szCs w:val="20"/>
              </w:rPr>
              <w:t>于项目区东侧入口。</w:t>
            </w:r>
          </w:p>
        </w:tc>
        <w:tc>
          <w:tcPr>
            <w:tcW w:w="2213" w:type="dxa"/>
            <w:vAlign w:val="top"/>
          </w:tcPr>
          <w:p w14:paraId="36AD1C70">
            <w:pPr>
              <w:spacing w:line="447" w:lineRule="auto"/>
              <w:rPr>
                <w:rFonts w:ascii="Arial"/>
                <w:sz w:val="21"/>
              </w:rPr>
            </w:pPr>
          </w:p>
          <w:p w14:paraId="61A0DACF">
            <w:pPr>
              <w:spacing w:before="57"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3E3B14A9">
            <w:pPr>
              <w:spacing w:line="398" w:lineRule="auto"/>
              <w:rPr>
                <w:rFonts w:ascii="Arial"/>
                <w:sz w:val="21"/>
              </w:rPr>
            </w:pPr>
          </w:p>
          <w:p w14:paraId="0F055D15">
            <w:pPr>
              <w:spacing w:before="65" w:line="229" w:lineRule="auto"/>
              <w:ind w:left="321"/>
              <w:rPr>
                <w:rFonts w:ascii="宋体" w:hAnsi="宋体" w:eastAsia="宋体" w:cs="宋体"/>
                <w:sz w:val="20"/>
                <w:szCs w:val="20"/>
              </w:rPr>
            </w:pPr>
            <w:r>
              <w:rPr>
                <w:rFonts w:ascii="宋体" w:hAnsi="宋体" w:eastAsia="宋体" w:cs="宋体"/>
                <w:spacing w:val="3"/>
                <w:sz w:val="20"/>
                <w:szCs w:val="20"/>
              </w:rPr>
              <w:t>已建，不变</w:t>
            </w:r>
          </w:p>
        </w:tc>
        <w:tc>
          <w:tcPr>
            <w:tcW w:w="195" w:type="dxa"/>
            <w:vMerge w:val="continue"/>
            <w:tcBorders>
              <w:top w:val="nil"/>
              <w:bottom w:val="nil"/>
              <w:right w:val="single" w:color="000000" w:sz="6" w:space="0"/>
            </w:tcBorders>
            <w:vAlign w:val="top"/>
          </w:tcPr>
          <w:p w14:paraId="48046ECD">
            <w:pPr>
              <w:rPr>
                <w:rFonts w:ascii="Arial"/>
                <w:sz w:val="21"/>
              </w:rPr>
            </w:pPr>
          </w:p>
        </w:tc>
      </w:tr>
      <w:tr w14:paraId="16F7B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9" w:hRule="atLeast"/>
        </w:trPr>
        <w:tc>
          <w:tcPr>
            <w:tcW w:w="428" w:type="dxa"/>
            <w:vMerge w:val="continue"/>
            <w:tcBorders>
              <w:top w:val="nil"/>
              <w:left w:val="single" w:color="000000" w:sz="6" w:space="0"/>
              <w:bottom w:val="nil"/>
            </w:tcBorders>
            <w:vAlign w:val="top"/>
          </w:tcPr>
          <w:p w14:paraId="5AC1A3F3">
            <w:pPr>
              <w:rPr>
                <w:rFonts w:ascii="Arial"/>
                <w:sz w:val="21"/>
              </w:rPr>
            </w:pPr>
          </w:p>
        </w:tc>
        <w:tc>
          <w:tcPr>
            <w:tcW w:w="113" w:type="dxa"/>
            <w:tcBorders>
              <w:top w:val="nil"/>
              <w:bottom w:val="nil"/>
            </w:tcBorders>
            <w:vAlign w:val="top"/>
          </w:tcPr>
          <w:p w14:paraId="2F6F065A">
            <w:pPr>
              <w:rPr>
                <w:rFonts w:ascii="Arial"/>
                <w:sz w:val="21"/>
              </w:rPr>
            </w:pPr>
          </w:p>
        </w:tc>
        <w:tc>
          <w:tcPr>
            <w:tcW w:w="596" w:type="dxa"/>
            <w:vMerge w:val="restart"/>
            <w:tcBorders>
              <w:bottom w:val="nil"/>
            </w:tcBorders>
            <w:textDirection w:val="tbRlV"/>
            <w:vAlign w:val="top"/>
          </w:tcPr>
          <w:p w14:paraId="4427E070">
            <w:pPr>
              <w:spacing w:before="198" w:line="217" w:lineRule="auto"/>
              <w:ind w:left="659"/>
              <w:rPr>
                <w:rFonts w:ascii="宋体" w:hAnsi="宋体" w:eastAsia="宋体" w:cs="宋体"/>
                <w:sz w:val="20"/>
                <w:szCs w:val="20"/>
              </w:rPr>
            </w:pPr>
            <w:r>
              <w:rPr>
                <w:rFonts w:ascii="宋体" w:hAnsi="宋体" w:eastAsia="宋体" w:cs="宋体"/>
                <w:spacing w:val="8"/>
                <w:sz w:val="20"/>
                <w:szCs w:val="20"/>
              </w:rPr>
              <w:t>公</w:t>
            </w:r>
            <w:r>
              <w:rPr>
                <w:rFonts w:ascii="宋体" w:hAnsi="宋体" w:eastAsia="宋体" w:cs="宋体"/>
                <w:spacing w:val="101"/>
                <w:sz w:val="20"/>
                <w:szCs w:val="20"/>
              </w:rPr>
              <w:t xml:space="preserve"> </w:t>
            </w:r>
            <w:r>
              <w:rPr>
                <w:rFonts w:ascii="宋体" w:hAnsi="宋体" w:eastAsia="宋体" w:cs="宋体"/>
                <w:spacing w:val="8"/>
                <w:sz w:val="20"/>
                <w:szCs w:val="20"/>
              </w:rPr>
              <w:t>用</w:t>
            </w:r>
            <w:r>
              <w:rPr>
                <w:rFonts w:ascii="宋体" w:hAnsi="宋体" w:eastAsia="宋体" w:cs="宋体"/>
                <w:spacing w:val="99"/>
                <w:sz w:val="20"/>
                <w:szCs w:val="20"/>
              </w:rPr>
              <w:t xml:space="preserve"> </w:t>
            </w:r>
            <w:r>
              <w:rPr>
                <w:rFonts w:ascii="宋体" w:hAnsi="宋体" w:eastAsia="宋体" w:cs="宋体"/>
                <w:spacing w:val="8"/>
                <w:sz w:val="20"/>
                <w:szCs w:val="20"/>
              </w:rPr>
              <w:t>工</w:t>
            </w:r>
            <w:r>
              <w:rPr>
                <w:rFonts w:ascii="宋体" w:hAnsi="宋体" w:eastAsia="宋体" w:cs="宋体"/>
                <w:spacing w:val="99"/>
                <w:sz w:val="20"/>
                <w:szCs w:val="20"/>
              </w:rPr>
              <w:t xml:space="preserve"> </w:t>
            </w:r>
            <w:r>
              <w:rPr>
                <w:rFonts w:ascii="宋体" w:hAnsi="宋体" w:eastAsia="宋体" w:cs="宋体"/>
                <w:spacing w:val="8"/>
                <w:sz w:val="20"/>
                <w:szCs w:val="20"/>
              </w:rPr>
              <w:t>程</w:t>
            </w:r>
          </w:p>
        </w:tc>
        <w:tc>
          <w:tcPr>
            <w:tcW w:w="1379" w:type="dxa"/>
            <w:vAlign w:val="top"/>
          </w:tcPr>
          <w:p w14:paraId="651045B3">
            <w:pPr>
              <w:spacing w:line="383" w:lineRule="auto"/>
              <w:rPr>
                <w:rFonts w:ascii="Arial"/>
                <w:sz w:val="21"/>
              </w:rPr>
            </w:pPr>
          </w:p>
          <w:p w14:paraId="33FE6928">
            <w:pPr>
              <w:spacing w:before="65" w:line="227" w:lineRule="auto"/>
              <w:ind w:left="478"/>
              <w:rPr>
                <w:rFonts w:ascii="宋体" w:hAnsi="宋体" w:eastAsia="宋体" w:cs="宋体"/>
                <w:sz w:val="20"/>
                <w:szCs w:val="20"/>
              </w:rPr>
            </w:pPr>
            <w:r>
              <w:rPr>
                <w:rFonts w:ascii="宋体" w:hAnsi="宋体" w:eastAsia="宋体" w:cs="宋体"/>
                <w:spacing w:val="4"/>
                <w:sz w:val="20"/>
                <w:szCs w:val="20"/>
              </w:rPr>
              <w:t>供水</w:t>
            </w:r>
          </w:p>
        </w:tc>
        <w:tc>
          <w:tcPr>
            <w:tcW w:w="2514" w:type="dxa"/>
            <w:vAlign w:val="top"/>
          </w:tcPr>
          <w:p w14:paraId="43BCFA10">
            <w:pPr>
              <w:spacing w:before="42" w:line="228" w:lineRule="auto"/>
              <w:ind w:left="213"/>
              <w:rPr>
                <w:rFonts w:ascii="宋体" w:hAnsi="宋体" w:eastAsia="宋体" w:cs="宋体"/>
                <w:sz w:val="20"/>
                <w:szCs w:val="20"/>
              </w:rPr>
            </w:pPr>
            <w:r>
              <w:rPr>
                <w:rFonts w:ascii="宋体" w:hAnsi="宋体" w:eastAsia="宋体" w:cs="宋体"/>
                <w:spacing w:val="8"/>
                <w:sz w:val="20"/>
                <w:szCs w:val="20"/>
              </w:rPr>
              <w:t>厂区生产和生活用水水</w:t>
            </w:r>
          </w:p>
          <w:p w14:paraId="4DC23420">
            <w:pPr>
              <w:spacing w:before="161" w:line="227" w:lineRule="auto"/>
              <w:ind w:left="210"/>
              <w:rPr>
                <w:rFonts w:ascii="宋体" w:hAnsi="宋体" w:eastAsia="宋体" w:cs="宋体"/>
                <w:sz w:val="20"/>
                <w:szCs w:val="20"/>
              </w:rPr>
            </w:pPr>
            <w:r>
              <w:rPr>
                <w:rFonts w:ascii="宋体" w:hAnsi="宋体" w:eastAsia="宋体" w:cs="宋体"/>
                <w:spacing w:val="9"/>
                <w:sz w:val="20"/>
                <w:szCs w:val="20"/>
              </w:rPr>
              <w:t>源由园区自来水供水管</w:t>
            </w:r>
          </w:p>
          <w:p w14:paraId="7336282E">
            <w:pPr>
              <w:spacing w:before="161" w:line="228" w:lineRule="auto"/>
              <w:ind w:left="630"/>
              <w:rPr>
                <w:rFonts w:ascii="宋体" w:hAnsi="宋体" w:eastAsia="宋体" w:cs="宋体"/>
                <w:sz w:val="20"/>
                <w:szCs w:val="20"/>
              </w:rPr>
            </w:pPr>
            <w:r>
              <w:rPr>
                <w:rFonts w:ascii="宋体" w:hAnsi="宋体" w:eastAsia="宋体" w:cs="宋体"/>
                <w:spacing w:val="8"/>
                <w:sz w:val="20"/>
                <w:szCs w:val="20"/>
              </w:rPr>
              <w:t>道引水至厂区</w:t>
            </w:r>
          </w:p>
        </w:tc>
        <w:tc>
          <w:tcPr>
            <w:tcW w:w="2213" w:type="dxa"/>
            <w:vAlign w:val="top"/>
          </w:tcPr>
          <w:p w14:paraId="372DF64A">
            <w:pPr>
              <w:spacing w:line="429" w:lineRule="auto"/>
              <w:rPr>
                <w:rFonts w:ascii="Arial"/>
                <w:sz w:val="21"/>
              </w:rPr>
            </w:pPr>
          </w:p>
          <w:p w14:paraId="5091E0EF">
            <w:pPr>
              <w:spacing w:before="58"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0D9448A6">
            <w:pPr>
              <w:spacing w:line="383" w:lineRule="auto"/>
              <w:rPr>
                <w:rFonts w:ascii="Arial"/>
                <w:sz w:val="21"/>
              </w:rPr>
            </w:pPr>
          </w:p>
          <w:p w14:paraId="3A9C17C8">
            <w:pPr>
              <w:spacing w:before="65" w:line="229" w:lineRule="auto"/>
              <w:ind w:left="613"/>
              <w:rPr>
                <w:rFonts w:ascii="宋体" w:hAnsi="宋体" w:eastAsia="宋体" w:cs="宋体"/>
                <w:sz w:val="20"/>
                <w:szCs w:val="20"/>
              </w:rPr>
            </w:pPr>
            <w:r>
              <w:rPr>
                <w:rFonts w:ascii="宋体" w:hAnsi="宋体" w:eastAsia="宋体" w:cs="宋体"/>
                <w:spacing w:val="4"/>
                <w:sz w:val="20"/>
                <w:szCs w:val="20"/>
              </w:rPr>
              <w:t>沿用</w:t>
            </w:r>
          </w:p>
        </w:tc>
        <w:tc>
          <w:tcPr>
            <w:tcW w:w="195" w:type="dxa"/>
            <w:vMerge w:val="continue"/>
            <w:tcBorders>
              <w:top w:val="nil"/>
              <w:bottom w:val="nil"/>
              <w:right w:val="single" w:color="000000" w:sz="6" w:space="0"/>
            </w:tcBorders>
            <w:vAlign w:val="top"/>
          </w:tcPr>
          <w:p w14:paraId="54DB27D3">
            <w:pPr>
              <w:rPr>
                <w:rFonts w:ascii="Arial"/>
                <w:sz w:val="21"/>
              </w:rPr>
            </w:pPr>
          </w:p>
        </w:tc>
      </w:tr>
      <w:tr w14:paraId="74F14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0" w:hRule="atLeast"/>
        </w:trPr>
        <w:tc>
          <w:tcPr>
            <w:tcW w:w="428" w:type="dxa"/>
            <w:vMerge w:val="continue"/>
            <w:tcBorders>
              <w:top w:val="nil"/>
              <w:left w:val="single" w:color="000000" w:sz="6" w:space="0"/>
              <w:bottom w:val="single" w:color="000000" w:sz="6" w:space="0"/>
            </w:tcBorders>
            <w:vAlign w:val="top"/>
          </w:tcPr>
          <w:p w14:paraId="1A5D36B1">
            <w:pPr>
              <w:rPr>
                <w:rFonts w:ascii="Arial"/>
                <w:sz w:val="21"/>
              </w:rPr>
            </w:pPr>
          </w:p>
        </w:tc>
        <w:tc>
          <w:tcPr>
            <w:tcW w:w="113" w:type="dxa"/>
            <w:tcBorders>
              <w:top w:val="nil"/>
              <w:bottom w:val="single" w:color="000000" w:sz="6" w:space="0"/>
            </w:tcBorders>
            <w:vAlign w:val="top"/>
          </w:tcPr>
          <w:p w14:paraId="6B5310BB">
            <w:pPr>
              <w:rPr>
                <w:rFonts w:ascii="Arial"/>
                <w:sz w:val="21"/>
              </w:rPr>
            </w:pPr>
          </w:p>
        </w:tc>
        <w:tc>
          <w:tcPr>
            <w:tcW w:w="596" w:type="dxa"/>
            <w:vMerge w:val="continue"/>
            <w:tcBorders>
              <w:top w:val="nil"/>
              <w:bottom w:val="single" w:color="000000" w:sz="6" w:space="0"/>
            </w:tcBorders>
            <w:textDirection w:val="tbRlV"/>
            <w:vAlign w:val="top"/>
          </w:tcPr>
          <w:p w14:paraId="37C21323">
            <w:pPr>
              <w:rPr>
                <w:rFonts w:ascii="Arial"/>
                <w:sz w:val="21"/>
              </w:rPr>
            </w:pPr>
          </w:p>
        </w:tc>
        <w:tc>
          <w:tcPr>
            <w:tcW w:w="1379" w:type="dxa"/>
            <w:tcBorders>
              <w:bottom w:val="single" w:color="000000" w:sz="6" w:space="0"/>
            </w:tcBorders>
            <w:vAlign w:val="top"/>
          </w:tcPr>
          <w:p w14:paraId="640449C0">
            <w:pPr>
              <w:spacing w:line="298" w:lineRule="auto"/>
              <w:rPr>
                <w:rFonts w:ascii="Arial"/>
                <w:sz w:val="21"/>
              </w:rPr>
            </w:pPr>
          </w:p>
          <w:p w14:paraId="3ECEDA7D">
            <w:pPr>
              <w:spacing w:line="299" w:lineRule="auto"/>
              <w:rPr>
                <w:rFonts w:ascii="Arial"/>
                <w:sz w:val="21"/>
              </w:rPr>
            </w:pPr>
          </w:p>
          <w:p w14:paraId="13C7F9EB">
            <w:pPr>
              <w:spacing w:before="65" w:line="227" w:lineRule="auto"/>
              <w:ind w:left="478"/>
              <w:rPr>
                <w:rFonts w:ascii="宋体" w:hAnsi="宋体" w:eastAsia="宋体" w:cs="宋体"/>
                <w:sz w:val="20"/>
                <w:szCs w:val="20"/>
              </w:rPr>
            </w:pPr>
            <w:r>
              <w:rPr>
                <w:rFonts w:ascii="宋体" w:hAnsi="宋体" w:eastAsia="宋体" w:cs="宋体"/>
                <w:spacing w:val="4"/>
                <w:sz w:val="20"/>
                <w:szCs w:val="20"/>
              </w:rPr>
              <w:t>供电</w:t>
            </w:r>
          </w:p>
        </w:tc>
        <w:tc>
          <w:tcPr>
            <w:tcW w:w="2514" w:type="dxa"/>
            <w:tcBorders>
              <w:bottom w:val="single" w:color="000000" w:sz="6" w:space="0"/>
            </w:tcBorders>
            <w:vAlign w:val="top"/>
          </w:tcPr>
          <w:p w14:paraId="4EECB3FD">
            <w:pPr>
              <w:spacing w:before="55" w:line="368" w:lineRule="auto"/>
              <w:ind w:left="110" w:right="105" w:firstLine="101"/>
              <w:jc w:val="both"/>
              <w:rPr>
                <w:rFonts w:ascii="宋体" w:hAnsi="宋体" w:eastAsia="宋体" w:cs="宋体"/>
                <w:sz w:val="20"/>
                <w:szCs w:val="20"/>
              </w:rPr>
            </w:pPr>
            <w:r>
              <w:rPr>
                <w:rFonts w:ascii="宋体" w:hAnsi="宋体" w:eastAsia="宋体" w:cs="宋体"/>
                <w:spacing w:val="8"/>
                <w:sz w:val="20"/>
                <w:szCs w:val="20"/>
              </w:rPr>
              <w:t>本项目用电由园区统一</w:t>
            </w:r>
            <w:r>
              <w:rPr>
                <w:rFonts w:ascii="宋体" w:hAnsi="宋体" w:eastAsia="宋体" w:cs="宋体"/>
                <w:spacing w:val="-1"/>
                <w:sz w:val="20"/>
                <w:szCs w:val="20"/>
              </w:rPr>
              <w:t>供给，生产用电通过</w:t>
            </w:r>
            <w:r>
              <w:rPr>
                <w:rFonts w:ascii="宋体" w:hAnsi="宋体" w:eastAsia="宋体" w:cs="宋体"/>
                <w:spacing w:val="-40"/>
                <w:sz w:val="20"/>
                <w:szCs w:val="20"/>
              </w:rPr>
              <w:t xml:space="preserve"> </w:t>
            </w:r>
            <w:r>
              <w:rPr>
                <w:rFonts w:ascii="Times New Roman" w:hAnsi="Times New Roman" w:eastAsia="Times New Roman" w:cs="Times New Roman"/>
                <w:spacing w:val="-1"/>
                <w:sz w:val="20"/>
                <w:szCs w:val="20"/>
              </w:rPr>
              <w:t>35kV</w:t>
            </w:r>
            <w:r>
              <w:rPr>
                <w:rFonts w:ascii="宋体" w:hAnsi="宋体" w:eastAsia="宋体" w:cs="宋体"/>
                <w:spacing w:val="8"/>
                <w:sz w:val="20"/>
                <w:szCs w:val="20"/>
              </w:rPr>
              <w:t>金所变电站供到厂区，再</w:t>
            </w:r>
            <w:r>
              <w:rPr>
                <w:rFonts w:ascii="宋体" w:hAnsi="宋体" w:eastAsia="宋体" w:cs="宋体"/>
                <w:spacing w:val="19"/>
                <w:sz w:val="20"/>
                <w:szCs w:val="20"/>
              </w:rPr>
              <w:t>通过项目区配电室将电</w:t>
            </w:r>
          </w:p>
        </w:tc>
        <w:tc>
          <w:tcPr>
            <w:tcW w:w="2213" w:type="dxa"/>
            <w:tcBorders>
              <w:bottom w:val="single" w:color="000000" w:sz="6" w:space="0"/>
            </w:tcBorders>
            <w:vAlign w:val="top"/>
          </w:tcPr>
          <w:p w14:paraId="7BB19C95">
            <w:pPr>
              <w:spacing w:line="322" w:lineRule="auto"/>
              <w:rPr>
                <w:rFonts w:ascii="Arial"/>
                <w:sz w:val="21"/>
              </w:rPr>
            </w:pPr>
          </w:p>
          <w:p w14:paraId="680FB3A6">
            <w:pPr>
              <w:spacing w:line="322" w:lineRule="auto"/>
              <w:rPr>
                <w:rFonts w:ascii="Arial"/>
                <w:sz w:val="21"/>
              </w:rPr>
            </w:pPr>
          </w:p>
          <w:p w14:paraId="22F15B67">
            <w:pPr>
              <w:spacing w:before="57"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tcBorders>
              <w:bottom w:val="single" w:color="000000" w:sz="6" w:space="0"/>
            </w:tcBorders>
            <w:vAlign w:val="top"/>
          </w:tcPr>
          <w:p w14:paraId="2CD23CAF">
            <w:pPr>
              <w:spacing w:line="299" w:lineRule="auto"/>
              <w:rPr>
                <w:rFonts w:ascii="Arial"/>
                <w:sz w:val="21"/>
              </w:rPr>
            </w:pPr>
          </w:p>
          <w:p w14:paraId="4D24CDC6">
            <w:pPr>
              <w:spacing w:line="299" w:lineRule="auto"/>
              <w:rPr>
                <w:rFonts w:ascii="Arial"/>
                <w:sz w:val="21"/>
              </w:rPr>
            </w:pPr>
          </w:p>
          <w:p w14:paraId="6F92ACE7">
            <w:pPr>
              <w:spacing w:before="65" w:line="229" w:lineRule="auto"/>
              <w:ind w:left="613"/>
              <w:rPr>
                <w:rFonts w:ascii="宋体" w:hAnsi="宋体" w:eastAsia="宋体" w:cs="宋体"/>
                <w:sz w:val="20"/>
                <w:szCs w:val="20"/>
              </w:rPr>
            </w:pPr>
            <w:r>
              <w:rPr>
                <w:rFonts w:ascii="宋体" w:hAnsi="宋体" w:eastAsia="宋体" w:cs="宋体"/>
                <w:spacing w:val="4"/>
                <w:sz w:val="20"/>
                <w:szCs w:val="20"/>
              </w:rPr>
              <w:t>沿用</w:t>
            </w:r>
          </w:p>
        </w:tc>
        <w:tc>
          <w:tcPr>
            <w:tcW w:w="195" w:type="dxa"/>
            <w:vMerge w:val="continue"/>
            <w:tcBorders>
              <w:top w:val="nil"/>
              <w:bottom w:val="single" w:color="000000" w:sz="6" w:space="0"/>
              <w:right w:val="single" w:color="000000" w:sz="6" w:space="0"/>
            </w:tcBorders>
            <w:vAlign w:val="top"/>
          </w:tcPr>
          <w:p w14:paraId="77556430">
            <w:pPr>
              <w:rPr>
                <w:rFonts w:ascii="Arial"/>
                <w:sz w:val="21"/>
              </w:rPr>
            </w:pPr>
          </w:p>
        </w:tc>
      </w:tr>
    </w:tbl>
    <w:p w14:paraId="02E39D3D">
      <w:pPr>
        <w:pStyle w:val="2"/>
      </w:pPr>
    </w:p>
    <w:p w14:paraId="2EE96675">
      <w:pPr>
        <w:sectPr>
          <w:footerReference r:id="rId49" w:type="default"/>
          <w:pgSz w:w="11906" w:h="16839"/>
          <w:pgMar w:top="400" w:right="1413" w:bottom="1329" w:left="1413" w:header="0" w:footer="1113" w:gutter="0"/>
          <w:cols w:space="720" w:num="1"/>
        </w:sectPr>
      </w:pPr>
    </w:p>
    <w:p w14:paraId="1E7A3FB3">
      <w:pPr>
        <w:spacing w:before="19"/>
      </w:pPr>
    </w:p>
    <w:p w14:paraId="2DDC5183">
      <w:pPr>
        <w:spacing w:before="19"/>
      </w:pPr>
    </w:p>
    <w:p w14:paraId="094E802A">
      <w:pPr>
        <w:spacing w:before="19"/>
      </w:pPr>
    </w:p>
    <w:p w14:paraId="6BA37F3E">
      <w:pPr>
        <w:spacing w:before="18"/>
      </w:pPr>
    </w:p>
    <w:p w14:paraId="3B2ADE56">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596"/>
        <w:gridCol w:w="661"/>
        <w:gridCol w:w="718"/>
        <w:gridCol w:w="2514"/>
        <w:gridCol w:w="2213"/>
        <w:gridCol w:w="1626"/>
        <w:gridCol w:w="195"/>
      </w:tblGrid>
      <w:tr w14:paraId="06DE2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428" w:type="dxa"/>
            <w:vMerge w:val="restart"/>
            <w:tcBorders>
              <w:top w:val="single" w:color="000000" w:sz="6" w:space="0"/>
              <w:left w:val="single" w:color="000000" w:sz="6" w:space="0"/>
              <w:bottom w:val="nil"/>
            </w:tcBorders>
            <w:vAlign w:val="top"/>
          </w:tcPr>
          <w:p w14:paraId="1AD09741">
            <w:pPr>
              <w:rPr>
                <w:rFonts w:ascii="Arial"/>
                <w:sz w:val="21"/>
              </w:rPr>
            </w:pPr>
          </w:p>
        </w:tc>
        <w:tc>
          <w:tcPr>
            <w:tcW w:w="113" w:type="dxa"/>
            <w:tcBorders>
              <w:top w:val="single" w:color="000000" w:sz="6" w:space="0"/>
              <w:bottom w:val="nil"/>
            </w:tcBorders>
            <w:vAlign w:val="top"/>
          </w:tcPr>
          <w:p w14:paraId="49BDF7AC">
            <w:pPr>
              <w:rPr>
                <w:rFonts w:ascii="Arial"/>
                <w:sz w:val="21"/>
              </w:rPr>
            </w:pPr>
          </w:p>
        </w:tc>
        <w:tc>
          <w:tcPr>
            <w:tcW w:w="596" w:type="dxa"/>
            <w:vMerge w:val="restart"/>
            <w:tcBorders>
              <w:top w:val="single" w:color="000000" w:sz="6" w:space="0"/>
              <w:bottom w:val="nil"/>
            </w:tcBorders>
            <w:vAlign w:val="top"/>
          </w:tcPr>
          <w:p w14:paraId="13C1F793">
            <w:pPr>
              <w:rPr>
                <w:rFonts w:ascii="Arial"/>
                <w:sz w:val="21"/>
              </w:rPr>
            </w:pPr>
          </w:p>
        </w:tc>
        <w:tc>
          <w:tcPr>
            <w:tcW w:w="1379" w:type="dxa"/>
            <w:gridSpan w:val="2"/>
            <w:tcBorders>
              <w:top w:val="single" w:color="000000" w:sz="6" w:space="0"/>
            </w:tcBorders>
            <w:vAlign w:val="top"/>
          </w:tcPr>
          <w:p w14:paraId="702963CA">
            <w:pPr>
              <w:rPr>
                <w:rFonts w:ascii="Arial"/>
                <w:sz w:val="21"/>
              </w:rPr>
            </w:pPr>
          </w:p>
        </w:tc>
        <w:tc>
          <w:tcPr>
            <w:tcW w:w="2514" w:type="dxa"/>
            <w:tcBorders>
              <w:top w:val="single" w:color="000000" w:sz="6" w:space="0"/>
            </w:tcBorders>
            <w:vAlign w:val="top"/>
          </w:tcPr>
          <w:p w14:paraId="7A18785F">
            <w:pPr>
              <w:spacing w:before="46" w:line="227" w:lineRule="auto"/>
              <w:ind w:left="419"/>
              <w:rPr>
                <w:rFonts w:ascii="宋体" w:hAnsi="宋体" w:eastAsia="宋体" w:cs="宋体"/>
                <w:sz w:val="20"/>
                <w:szCs w:val="20"/>
              </w:rPr>
            </w:pPr>
            <w:r>
              <w:rPr>
                <w:rFonts w:ascii="宋体" w:hAnsi="宋体" w:eastAsia="宋体" w:cs="宋体"/>
                <w:spacing w:val="7"/>
                <w:sz w:val="20"/>
                <w:szCs w:val="20"/>
              </w:rPr>
              <w:t>供到各生产车间。</w:t>
            </w:r>
          </w:p>
        </w:tc>
        <w:tc>
          <w:tcPr>
            <w:tcW w:w="2213" w:type="dxa"/>
            <w:tcBorders>
              <w:top w:val="single" w:color="000000" w:sz="6" w:space="0"/>
            </w:tcBorders>
            <w:vAlign w:val="top"/>
          </w:tcPr>
          <w:p w14:paraId="59E94735">
            <w:pPr>
              <w:rPr>
                <w:rFonts w:ascii="Arial"/>
                <w:sz w:val="21"/>
              </w:rPr>
            </w:pPr>
          </w:p>
        </w:tc>
        <w:tc>
          <w:tcPr>
            <w:tcW w:w="1626" w:type="dxa"/>
            <w:tcBorders>
              <w:top w:val="single" w:color="000000" w:sz="6" w:space="0"/>
            </w:tcBorders>
            <w:vAlign w:val="top"/>
          </w:tcPr>
          <w:p w14:paraId="6630F518">
            <w:pPr>
              <w:rPr>
                <w:rFonts w:ascii="Arial"/>
                <w:sz w:val="21"/>
              </w:rPr>
            </w:pPr>
          </w:p>
        </w:tc>
        <w:tc>
          <w:tcPr>
            <w:tcW w:w="195" w:type="dxa"/>
            <w:vMerge w:val="restart"/>
            <w:tcBorders>
              <w:top w:val="single" w:color="000000" w:sz="6" w:space="0"/>
              <w:bottom w:val="nil"/>
              <w:right w:val="single" w:color="000000" w:sz="6" w:space="0"/>
            </w:tcBorders>
            <w:vAlign w:val="top"/>
          </w:tcPr>
          <w:p w14:paraId="194127D4">
            <w:pPr>
              <w:rPr>
                <w:rFonts w:ascii="Arial"/>
                <w:sz w:val="21"/>
              </w:rPr>
            </w:pPr>
          </w:p>
        </w:tc>
      </w:tr>
      <w:tr w14:paraId="0E9B8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2" w:hRule="atLeast"/>
        </w:trPr>
        <w:tc>
          <w:tcPr>
            <w:tcW w:w="428" w:type="dxa"/>
            <w:vMerge w:val="continue"/>
            <w:tcBorders>
              <w:top w:val="nil"/>
              <w:left w:val="single" w:color="000000" w:sz="6" w:space="0"/>
              <w:bottom w:val="nil"/>
            </w:tcBorders>
            <w:vAlign w:val="top"/>
          </w:tcPr>
          <w:p w14:paraId="5810B0DF">
            <w:pPr>
              <w:rPr>
                <w:rFonts w:ascii="Arial"/>
                <w:sz w:val="21"/>
              </w:rPr>
            </w:pPr>
          </w:p>
        </w:tc>
        <w:tc>
          <w:tcPr>
            <w:tcW w:w="113" w:type="dxa"/>
            <w:tcBorders>
              <w:top w:val="nil"/>
              <w:bottom w:val="nil"/>
            </w:tcBorders>
            <w:vAlign w:val="top"/>
          </w:tcPr>
          <w:p w14:paraId="15518B6A">
            <w:pPr>
              <w:rPr>
                <w:rFonts w:ascii="Arial"/>
                <w:sz w:val="21"/>
              </w:rPr>
            </w:pPr>
          </w:p>
        </w:tc>
        <w:tc>
          <w:tcPr>
            <w:tcW w:w="596" w:type="dxa"/>
            <w:vMerge w:val="continue"/>
            <w:tcBorders>
              <w:top w:val="nil"/>
              <w:bottom w:val="nil"/>
            </w:tcBorders>
            <w:vAlign w:val="top"/>
          </w:tcPr>
          <w:p w14:paraId="7D957B56">
            <w:pPr>
              <w:rPr>
                <w:rFonts w:ascii="Arial"/>
                <w:sz w:val="21"/>
              </w:rPr>
            </w:pPr>
          </w:p>
        </w:tc>
        <w:tc>
          <w:tcPr>
            <w:tcW w:w="1379" w:type="dxa"/>
            <w:gridSpan w:val="2"/>
            <w:vAlign w:val="top"/>
          </w:tcPr>
          <w:p w14:paraId="64DD037A">
            <w:pPr>
              <w:spacing w:line="247" w:lineRule="auto"/>
              <w:rPr>
                <w:rFonts w:ascii="Arial"/>
                <w:sz w:val="21"/>
              </w:rPr>
            </w:pPr>
          </w:p>
          <w:p w14:paraId="375F6CC0">
            <w:pPr>
              <w:spacing w:line="247" w:lineRule="auto"/>
              <w:rPr>
                <w:rFonts w:ascii="Arial"/>
                <w:sz w:val="21"/>
              </w:rPr>
            </w:pPr>
          </w:p>
          <w:p w14:paraId="5FC0B1CD">
            <w:pPr>
              <w:spacing w:line="247" w:lineRule="auto"/>
              <w:rPr>
                <w:rFonts w:ascii="Arial"/>
                <w:sz w:val="21"/>
              </w:rPr>
            </w:pPr>
          </w:p>
          <w:p w14:paraId="3EDD3865">
            <w:pPr>
              <w:spacing w:line="247" w:lineRule="auto"/>
              <w:rPr>
                <w:rFonts w:ascii="Arial"/>
                <w:sz w:val="21"/>
              </w:rPr>
            </w:pPr>
          </w:p>
          <w:p w14:paraId="69E187B3">
            <w:pPr>
              <w:spacing w:line="247" w:lineRule="auto"/>
              <w:rPr>
                <w:rFonts w:ascii="Arial"/>
                <w:sz w:val="21"/>
              </w:rPr>
            </w:pPr>
          </w:p>
          <w:p w14:paraId="2F2351CE">
            <w:pPr>
              <w:spacing w:line="247" w:lineRule="auto"/>
              <w:rPr>
                <w:rFonts w:ascii="Arial"/>
                <w:sz w:val="21"/>
              </w:rPr>
            </w:pPr>
          </w:p>
          <w:p w14:paraId="249BBF2A">
            <w:pPr>
              <w:spacing w:line="247" w:lineRule="auto"/>
              <w:rPr>
                <w:rFonts w:ascii="Arial"/>
                <w:sz w:val="21"/>
              </w:rPr>
            </w:pPr>
          </w:p>
          <w:p w14:paraId="1485D1FF">
            <w:pPr>
              <w:spacing w:line="247" w:lineRule="auto"/>
              <w:rPr>
                <w:rFonts w:ascii="Arial"/>
                <w:sz w:val="21"/>
              </w:rPr>
            </w:pPr>
          </w:p>
          <w:p w14:paraId="0D6E0B64">
            <w:pPr>
              <w:spacing w:line="248" w:lineRule="auto"/>
              <w:rPr>
                <w:rFonts w:ascii="Arial"/>
                <w:sz w:val="21"/>
              </w:rPr>
            </w:pPr>
          </w:p>
          <w:p w14:paraId="5C6C14A0">
            <w:pPr>
              <w:spacing w:line="248" w:lineRule="auto"/>
              <w:rPr>
                <w:rFonts w:ascii="Arial"/>
                <w:sz w:val="21"/>
              </w:rPr>
            </w:pPr>
          </w:p>
          <w:p w14:paraId="4E11C80F">
            <w:pPr>
              <w:spacing w:line="248" w:lineRule="auto"/>
              <w:rPr>
                <w:rFonts w:ascii="Arial"/>
                <w:sz w:val="21"/>
              </w:rPr>
            </w:pPr>
          </w:p>
          <w:p w14:paraId="668336EA">
            <w:pPr>
              <w:spacing w:line="248" w:lineRule="auto"/>
              <w:rPr>
                <w:rFonts w:ascii="Arial"/>
                <w:sz w:val="21"/>
              </w:rPr>
            </w:pPr>
          </w:p>
          <w:p w14:paraId="156CB1C5">
            <w:pPr>
              <w:spacing w:line="248" w:lineRule="auto"/>
              <w:rPr>
                <w:rFonts w:ascii="Arial"/>
                <w:sz w:val="21"/>
              </w:rPr>
            </w:pPr>
          </w:p>
          <w:p w14:paraId="0CBD232F">
            <w:pPr>
              <w:spacing w:before="65" w:line="228" w:lineRule="auto"/>
              <w:ind w:left="478"/>
              <w:rPr>
                <w:rFonts w:ascii="宋体" w:hAnsi="宋体" w:eastAsia="宋体" w:cs="宋体"/>
                <w:sz w:val="20"/>
                <w:szCs w:val="20"/>
              </w:rPr>
            </w:pPr>
            <w:r>
              <w:rPr>
                <w:rFonts w:ascii="宋体" w:hAnsi="宋体" w:eastAsia="宋体" w:cs="宋体"/>
                <w:spacing w:val="4"/>
                <w:sz w:val="20"/>
                <w:szCs w:val="20"/>
              </w:rPr>
              <w:t>排水</w:t>
            </w:r>
          </w:p>
        </w:tc>
        <w:tc>
          <w:tcPr>
            <w:tcW w:w="2514" w:type="dxa"/>
            <w:vAlign w:val="top"/>
          </w:tcPr>
          <w:p w14:paraId="0696D55F">
            <w:pPr>
              <w:spacing w:line="278" w:lineRule="auto"/>
              <w:rPr>
                <w:rFonts w:ascii="Arial"/>
                <w:sz w:val="21"/>
              </w:rPr>
            </w:pPr>
          </w:p>
          <w:p w14:paraId="16107C6E">
            <w:pPr>
              <w:spacing w:line="279" w:lineRule="auto"/>
              <w:rPr>
                <w:rFonts w:ascii="Arial"/>
                <w:sz w:val="21"/>
              </w:rPr>
            </w:pPr>
          </w:p>
          <w:p w14:paraId="15C696F9">
            <w:pPr>
              <w:spacing w:line="279" w:lineRule="auto"/>
              <w:rPr>
                <w:rFonts w:ascii="Arial"/>
                <w:sz w:val="21"/>
              </w:rPr>
            </w:pPr>
          </w:p>
          <w:p w14:paraId="2B20542F">
            <w:pPr>
              <w:spacing w:line="279" w:lineRule="auto"/>
              <w:rPr>
                <w:rFonts w:ascii="Arial"/>
                <w:sz w:val="21"/>
              </w:rPr>
            </w:pPr>
          </w:p>
          <w:p w14:paraId="1DAF6E0B">
            <w:pPr>
              <w:spacing w:line="279" w:lineRule="auto"/>
              <w:rPr>
                <w:rFonts w:ascii="Arial"/>
                <w:sz w:val="21"/>
              </w:rPr>
            </w:pPr>
          </w:p>
          <w:p w14:paraId="3C19E930">
            <w:pPr>
              <w:spacing w:before="65" w:line="377" w:lineRule="auto"/>
              <w:ind w:left="112" w:right="107" w:firstLine="101"/>
              <w:rPr>
                <w:rFonts w:ascii="宋体" w:hAnsi="宋体" w:eastAsia="宋体" w:cs="宋体"/>
                <w:sz w:val="20"/>
                <w:szCs w:val="20"/>
              </w:rPr>
            </w:pPr>
            <w:r>
              <w:rPr>
                <w:rFonts w:ascii="宋体" w:hAnsi="宋体" w:eastAsia="宋体" w:cs="宋体"/>
                <w:spacing w:val="8"/>
                <w:sz w:val="20"/>
                <w:szCs w:val="20"/>
              </w:rPr>
              <w:t>厂区主要排水为员工生活污水，员工生活污水经</w:t>
            </w:r>
            <w:r>
              <w:rPr>
                <w:rFonts w:ascii="宋体" w:hAnsi="宋体" w:eastAsia="宋体" w:cs="宋体"/>
                <w:spacing w:val="18"/>
                <w:sz w:val="20"/>
                <w:szCs w:val="20"/>
              </w:rPr>
              <w:t>化粪池预处理后再经自建一体化污水处理设施</w:t>
            </w:r>
            <w:r>
              <w:rPr>
                <w:rFonts w:ascii="宋体" w:hAnsi="宋体" w:eastAsia="宋体" w:cs="宋体"/>
                <w:spacing w:val="8"/>
                <w:sz w:val="20"/>
                <w:szCs w:val="20"/>
              </w:rPr>
              <w:t>处理达到《城市污水再生</w:t>
            </w:r>
            <w:r>
              <w:rPr>
                <w:rFonts w:ascii="宋体" w:hAnsi="宋体" w:eastAsia="宋体" w:cs="宋体"/>
                <w:spacing w:val="11"/>
                <w:sz w:val="20"/>
                <w:szCs w:val="20"/>
              </w:rPr>
              <w:t>利用 城市杂用水水质》</w:t>
            </w:r>
            <w:r>
              <w:rPr>
                <w:rFonts w:ascii="宋体" w:hAnsi="宋体" w:eastAsia="宋体" w:cs="宋体"/>
                <w:spacing w:val="4"/>
                <w:sz w:val="20"/>
                <w:szCs w:val="20"/>
              </w:rPr>
              <w:t xml:space="preserve"> </w:t>
            </w:r>
            <w:r>
              <w:rPr>
                <w:rFonts w:ascii="宋体" w:hAnsi="宋体" w:eastAsia="宋体" w:cs="宋体"/>
                <w:spacing w:val="-1"/>
                <w:sz w:val="20"/>
                <w:szCs w:val="20"/>
              </w:rPr>
              <w:t>（</w:t>
            </w:r>
            <w:r>
              <w:rPr>
                <w:rFonts w:ascii="Times New Roman" w:hAnsi="Times New Roman" w:eastAsia="Times New Roman" w:cs="Times New Roman"/>
                <w:spacing w:val="-1"/>
                <w:sz w:val="20"/>
                <w:szCs w:val="20"/>
              </w:rPr>
              <w:t>GB/T</w:t>
            </w:r>
            <w:r>
              <w:rPr>
                <w:rFonts w:ascii="Times New Roman" w:hAnsi="Times New Roman" w:eastAsia="Times New Roman" w:cs="Times New Roman"/>
                <w:spacing w:val="34"/>
                <w:sz w:val="20"/>
                <w:szCs w:val="20"/>
              </w:rPr>
              <w:t xml:space="preserve"> </w:t>
            </w:r>
            <w:r>
              <w:rPr>
                <w:rFonts w:ascii="Times New Roman" w:hAnsi="Times New Roman" w:eastAsia="Times New Roman" w:cs="Times New Roman"/>
                <w:spacing w:val="-1"/>
                <w:sz w:val="20"/>
                <w:szCs w:val="20"/>
              </w:rPr>
              <w:t>18920-2020</w:t>
            </w:r>
            <w:r>
              <w:rPr>
                <w:rFonts w:ascii="宋体" w:hAnsi="宋体" w:eastAsia="宋体" w:cs="宋体"/>
                <w:spacing w:val="-1"/>
                <w:sz w:val="20"/>
                <w:szCs w:val="20"/>
              </w:rPr>
              <w:t>）标准</w:t>
            </w:r>
            <w:r>
              <w:rPr>
                <w:rFonts w:ascii="宋体" w:hAnsi="宋体" w:eastAsia="宋体" w:cs="宋体"/>
                <w:spacing w:val="8"/>
                <w:sz w:val="20"/>
                <w:szCs w:val="20"/>
              </w:rPr>
              <w:t>后，晴天回用作为绿化浇灌，雨天储存于蓄水池中</w:t>
            </w:r>
            <w:r>
              <w:rPr>
                <w:rFonts w:ascii="宋体" w:hAnsi="宋体" w:eastAsia="宋体" w:cs="宋体"/>
                <w:spacing w:val="7"/>
                <w:sz w:val="20"/>
                <w:szCs w:val="20"/>
              </w:rPr>
              <w:t>待晴天再回用绿化浇灌。</w:t>
            </w:r>
          </w:p>
        </w:tc>
        <w:tc>
          <w:tcPr>
            <w:tcW w:w="2213" w:type="dxa"/>
            <w:vAlign w:val="top"/>
          </w:tcPr>
          <w:p w14:paraId="0A884D23">
            <w:pPr>
              <w:spacing w:line="246" w:lineRule="auto"/>
              <w:rPr>
                <w:rFonts w:ascii="Arial"/>
                <w:sz w:val="21"/>
              </w:rPr>
            </w:pPr>
          </w:p>
          <w:p w14:paraId="23447E2B">
            <w:pPr>
              <w:spacing w:line="246" w:lineRule="auto"/>
              <w:rPr>
                <w:rFonts w:ascii="Arial"/>
                <w:sz w:val="21"/>
              </w:rPr>
            </w:pPr>
          </w:p>
          <w:p w14:paraId="3203CF7A">
            <w:pPr>
              <w:spacing w:line="246" w:lineRule="auto"/>
              <w:rPr>
                <w:rFonts w:ascii="Arial"/>
                <w:sz w:val="21"/>
              </w:rPr>
            </w:pPr>
          </w:p>
          <w:p w14:paraId="7A43182A">
            <w:pPr>
              <w:spacing w:line="246" w:lineRule="auto"/>
              <w:rPr>
                <w:rFonts w:ascii="Arial"/>
                <w:sz w:val="21"/>
              </w:rPr>
            </w:pPr>
          </w:p>
          <w:p w14:paraId="31E7D46C">
            <w:pPr>
              <w:spacing w:before="65" w:line="227" w:lineRule="auto"/>
              <w:ind w:left="169"/>
              <w:rPr>
                <w:rFonts w:ascii="宋体" w:hAnsi="宋体" w:eastAsia="宋体" w:cs="宋体"/>
                <w:sz w:val="20"/>
                <w:szCs w:val="20"/>
              </w:rPr>
            </w:pPr>
            <w:r>
              <w:rPr>
                <w:rFonts w:ascii="宋体" w:hAnsi="宋体" w:eastAsia="宋体" w:cs="宋体"/>
                <w:spacing w:val="8"/>
                <w:sz w:val="20"/>
                <w:szCs w:val="20"/>
              </w:rPr>
              <w:t>本项目无生产废水产</w:t>
            </w:r>
          </w:p>
          <w:p w14:paraId="5847A629">
            <w:pPr>
              <w:spacing w:before="161" w:line="228" w:lineRule="auto"/>
              <w:ind w:left="115"/>
              <w:rPr>
                <w:rFonts w:ascii="宋体" w:hAnsi="宋体" w:eastAsia="宋体" w:cs="宋体"/>
                <w:sz w:val="20"/>
                <w:szCs w:val="20"/>
              </w:rPr>
            </w:pPr>
            <w:r>
              <w:rPr>
                <w:rFonts w:ascii="宋体" w:hAnsi="宋体" w:eastAsia="宋体" w:cs="宋体"/>
                <w:spacing w:val="-2"/>
                <w:sz w:val="20"/>
                <w:szCs w:val="20"/>
              </w:rPr>
              <w:t>生，生活污水由厂区已</w:t>
            </w:r>
          </w:p>
          <w:p w14:paraId="63550C60">
            <w:pPr>
              <w:spacing w:before="161" w:line="228" w:lineRule="auto"/>
              <w:ind w:left="217"/>
              <w:rPr>
                <w:rFonts w:ascii="宋体" w:hAnsi="宋体" w:eastAsia="宋体" w:cs="宋体"/>
                <w:sz w:val="20"/>
                <w:szCs w:val="20"/>
              </w:rPr>
            </w:pPr>
            <w:r>
              <w:rPr>
                <w:rFonts w:ascii="宋体" w:hAnsi="宋体" w:eastAsia="宋体" w:cs="宋体"/>
                <w:spacing w:val="7"/>
                <w:sz w:val="20"/>
                <w:szCs w:val="20"/>
              </w:rPr>
              <w:t>建化粪池</w:t>
            </w:r>
            <w:r>
              <w:rPr>
                <w:rFonts w:ascii="Times New Roman" w:hAnsi="Times New Roman" w:eastAsia="Times New Roman" w:cs="Times New Roman"/>
                <w:spacing w:val="7"/>
                <w:sz w:val="20"/>
                <w:szCs w:val="20"/>
              </w:rPr>
              <w:t>+</w:t>
            </w:r>
            <w:r>
              <w:rPr>
                <w:rFonts w:ascii="宋体" w:hAnsi="宋体" w:eastAsia="宋体" w:cs="宋体"/>
                <w:spacing w:val="7"/>
                <w:sz w:val="20"/>
                <w:szCs w:val="20"/>
              </w:rPr>
              <w:t>一体化污</w:t>
            </w:r>
          </w:p>
          <w:p w14:paraId="3AD8A592">
            <w:pPr>
              <w:spacing w:before="160" w:line="228" w:lineRule="auto"/>
              <w:ind w:left="171"/>
              <w:rPr>
                <w:rFonts w:ascii="宋体" w:hAnsi="宋体" w:eastAsia="宋体" w:cs="宋体"/>
                <w:sz w:val="20"/>
                <w:szCs w:val="20"/>
              </w:rPr>
            </w:pPr>
            <w:r>
              <w:rPr>
                <w:rFonts w:ascii="宋体" w:hAnsi="宋体" w:eastAsia="宋体" w:cs="宋体"/>
                <w:spacing w:val="8"/>
                <w:sz w:val="20"/>
                <w:szCs w:val="20"/>
              </w:rPr>
              <w:t>水处理设施处理达到</w:t>
            </w:r>
          </w:p>
          <w:p w14:paraId="608DDC52">
            <w:pPr>
              <w:spacing w:before="163" w:line="228" w:lineRule="auto"/>
              <w:ind w:left="174"/>
              <w:rPr>
                <w:rFonts w:ascii="宋体" w:hAnsi="宋体" w:eastAsia="宋体" w:cs="宋体"/>
                <w:sz w:val="20"/>
                <w:szCs w:val="20"/>
              </w:rPr>
            </w:pPr>
            <w:r>
              <w:rPr>
                <w:rFonts w:ascii="宋体" w:hAnsi="宋体" w:eastAsia="宋体" w:cs="宋体"/>
                <w:spacing w:val="8"/>
                <w:sz w:val="20"/>
                <w:szCs w:val="20"/>
              </w:rPr>
              <w:t>《城市污水再生利用</w:t>
            </w:r>
          </w:p>
          <w:p w14:paraId="1F220932">
            <w:pPr>
              <w:spacing w:before="161" w:line="228" w:lineRule="auto"/>
              <w:ind w:left="274"/>
              <w:rPr>
                <w:rFonts w:ascii="宋体" w:hAnsi="宋体" w:eastAsia="宋体" w:cs="宋体"/>
                <w:sz w:val="20"/>
                <w:szCs w:val="20"/>
              </w:rPr>
            </w:pPr>
            <w:r>
              <w:rPr>
                <w:rFonts w:ascii="宋体" w:hAnsi="宋体" w:eastAsia="宋体" w:cs="宋体"/>
                <w:spacing w:val="7"/>
                <w:sz w:val="20"/>
                <w:szCs w:val="20"/>
              </w:rPr>
              <w:t>城市杂用水水质》</w:t>
            </w:r>
          </w:p>
          <w:p w14:paraId="29E9C367">
            <w:pPr>
              <w:spacing w:before="161"/>
              <w:ind w:left="140"/>
              <w:rPr>
                <w:rFonts w:ascii="宋体" w:hAnsi="宋体" w:eastAsia="宋体" w:cs="宋体"/>
                <w:sz w:val="20"/>
                <w:szCs w:val="20"/>
              </w:rPr>
            </w:pPr>
            <w:r>
              <w:rPr>
                <w:rFonts w:ascii="宋体" w:hAnsi="宋体" w:eastAsia="宋体" w:cs="宋体"/>
                <w:spacing w:val="2"/>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/T</w:t>
            </w:r>
            <w:r>
              <w:rPr>
                <w:rFonts w:ascii="Times New Roman" w:hAnsi="Times New Roman" w:eastAsia="Times New Roman" w:cs="Times New Roman"/>
                <w:spacing w:val="33"/>
                <w:w w:val="101"/>
                <w:sz w:val="20"/>
                <w:szCs w:val="20"/>
              </w:rPr>
              <w:t xml:space="preserve"> </w:t>
            </w:r>
            <w:r>
              <w:rPr>
                <w:rFonts w:ascii="Times New Roman" w:hAnsi="Times New Roman" w:eastAsia="Times New Roman" w:cs="Times New Roman"/>
                <w:spacing w:val="2"/>
                <w:sz w:val="20"/>
                <w:szCs w:val="20"/>
              </w:rPr>
              <w:t>18920-2020</w:t>
            </w:r>
            <w:r>
              <w:rPr>
                <w:rFonts w:ascii="宋体" w:hAnsi="宋体" w:eastAsia="宋体" w:cs="宋体"/>
                <w:spacing w:val="2"/>
                <w:sz w:val="20"/>
                <w:szCs w:val="20"/>
              </w:rPr>
              <w:t>）</w:t>
            </w:r>
          </w:p>
          <w:p w14:paraId="472A359F">
            <w:pPr>
              <w:spacing w:before="149" w:line="228" w:lineRule="auto"/>
              <w:ind w:left="114"/>
              <w:rPr>
                <w:rFonts w:ascii="宋体" w:hAnsi="宋体" w:eastAsia="宋体" w:cs="宋体"/>
                <w:sz w:val="20"/>
                <w:szCs w:val="20"/>
              </w:rPr>
            </w:pPr>
            <w:r>
              <w:rPr>
                <w:rFonts w:ascii="宋体" w:hAnsi="宋体" w:eastAsia="宋体" w:cs="宋体"/>
                <w:spacing w:val="-1"/>
                <w:sz w:val="20"/>
                <w:szCs w:val="20"/>
              </w:rPr>
              <w:t>标准后，晴天回用作为</w:t>
            </w:r>
          </w:p>
          <w:p w14:paraId="5B7ABC27">
            <w:pPr>
              <w:spacing w:before="163" w:line="228" w:lineRule="auto"/>
              <w:ind w:left="115"/>
              <w:rPr>
                <w:rFonts w:ascii="宋体" w:hAnsi="宋体" w:eastAsia="宋体" w:cs="宋体"/>
                <w:sz w:val="20"/>
                <w:szCs w:val="20"/>
              </w:rPr>
            </w:pPr>
            <w:r>
              <w:rPr>
                <w:rFonts w:ascii="宋体" w:hAnsi="宋体" w:eastAsia="宋体" w:cs="宋体"/>
                <w:spacing w:val="-2"/>
                <w:sz w:val="20"/>
                <w:szCs w:val="20"/>
              </w:rPr>
              <w:t>绿化浇灌，雨天储存于</w:t>
            </w:r>
          </w:p>
          <w:p w14:paraId="4D6BDBF2">
            <w:pPr>
              <w:spacing w:before="161" w:line="228" w:lineRule="auto"/>
              <w:ind w:left="178"/>
              <w:rPr>
                <w:rFonts w:ascii="宋体" w:hAnsi="宋体" w:eastAsia="宋体" w:cs="宋体"/>
                <w:sz w:val="20"/>
                <w:szCs w:val="20"/>
              </w:rPr>
            </w:pPr>
            <w:r>
              <w:rPr>
                <w:rFonts w:ascii="宋体" w:hAnsi="宋体" w:eastAsia="宋体" w:cs="宋体"/>
                <w:spacing w:val="7"/>
                <w:sz w:val="20"/>
                <w:szCs w:val="20"/>
              </w:rPr>
              <w:t>蓄水池中待晴天再回</w:t>
            </w:r>
          </w:p>
          <w:p w14:paraId="4A591912">
            <w:pPr>
              <w:spacing w:before="161" w:line="228" w:lineRule="auto"/>
              <w:ind w:left="115"/>
              <w:rPr>
                <w:rFonts w:ascii="宋体" w:hAnsi="宋体" w:eastAsia="宋体" w:cs="宋体"/>
                <w:sz w:val="20"/>
                <w:szCs w:val="20"/>
              </w:rPr>
            </w:pPr>
            <w:r>
              <w:rPr>
                <w:rFonts w:ascii="宋体" w:hAnsi="宋体" w:eastAsia="宋体" w:cs="宋体"/>
                <w:spacing w:val="-2"/>
                <w:sz w:val="20"/>
                <w:szCs w:val="20"/>
              </w:rPr>
              <w:t>用绿化浇灌。项目无生</w:t>
            </w:r>
          </w:p>
          <w:p w14:paraId="44303B5F">
            <w:pPr>
              <w:spacing w:before="161" w:line="228" w:lineRule="auto"/>
              <w:ind w:left="797"/>
              <w:rPr>
                <w:rFonts w:ascii="宋体" w:hAnsi="宋体" w:eastAsia="宋体" w:cs="宋体"/>
                <w:sz w:val="20"/>
                <w:szCs w:val="20"/>
              </w:rPr>
            </w:pPr>
            <w:r>
              <w:rPr>
                <w:rFonts w:ascii="宋体" w:hAnsi="宋体" w:eastAsia="宋体" w:cs="宋体"/>
                <w:spacing w:val="6"/>
                <w:sz w:val="20"/>
                <w:szCs w:val="20"/>
              </w:rPr>
              <w:t>产废水</w:t>
            </w:r>
          </w:p>
        </w:tc>
        <w:tc>
          <w:tcPr>
            <w:tcW w:w="1626" w:type="dxa"/>
            <w:vAlign w:val="top"/>
          </w:tcPr>
          <w:p w14:paraId="263F36D6">
            <w:pPr>
              <w:spacing w:before="35" w:line="227" w:lineRule="auto"/>
              <w:ind w:left="193"/>
              <w:rPr>
                <w:rFonts w:ascii="宋体" w:hAnsi="宋体" w:eastAsia="宋体" w:cs="宋体"/>
                <w:sz w:val="20"/>
                <w:szCs w:val="20"/>
              </w:rPr>
            </w:pPr>
            <w:r>
              <w:rPr>
                <w:rFonts w:ascii="宋体" w:hAnsi="宋体" w:eastAsia="宋体" w:cs="宋体"/>
                <w:spacing w:val="8"/>
                <w:sz w:val="20"/>
                <w:szCs w:val="20"/>
              </w:rPr>
              <w:t>本次扩建增加</w:t>
            </w:r>
          </w:p>
          <w:p w14:paraId="512612CC">
            <w:pPr>
              <w:spacing w:before="161" w:line="228" w:lineRule="auto"/>
              <w:ind w:left="120"/>
              <w:rPr>
                <w:rFonts w:ascii="宋体" w:hAnsi="宋体" w:eastAsia="宋体" w:cs="宋体"/>
                <w:sz w:val="20"/>
                <w:szCs w:val="20"/>
              </w:rPr>
            </w:pPr>
            <w:r>
              <w:rPr>
                <w:rFonts w:ascii="宋体" w:hAnsi="宋体" w:eastAsia="宋体" w:cs="宋体"/>
                <w:spacing w:val="-1"/>
                <w:sz w:val="20"/>
                <w:szCs w:val="20"/>
              </w:rPr>
              <w:t>生活污水，无生</w:t>
            </w:r>
          </w:p>
          <w:p w14:paraId="05C921CE">
            <w:pPr>
              <w:spacing w:before="161" w:line="228" w:lineRule="auto"/>
              <w:ind w:left="118"/>
              <w:rPr>
                <w:rFonts w:ascii="宋体" w:hAnsi="宋体" w:eastAsia="宋体" w:cs="宋体"/>
                <w:sz w:val="20"/>
                <w:szCs w:val="20"/>
              </w:rPr>
            </w:pPr>
            <w:r>
              <w:rPr>
                <w:rFonts w:ascii="宋体" w:hAnsi="宋体" w:eastAsia="宋体" w:cs="宋体"/>
                <w:sz w:val="20"/>
                <w:szCs w:val="20"/>
              </w:rPr>
              <w:t>产废水，生活污</w:t>
            </w:r>
          </w:p>
          <w:p w14:paraId="0849ED3B">
            <w:pPr>
              <w:spacing w:before="160" w:line="228" w:lineRule="auto"/>
              <w:ind w:left="195"/>
              <w:rPr>
                <w:rFonts w:ascii="宋体" w:hAnsi="宋体" w:eastAsia="宋体" w:cs="宋体"/>
                <w:sz w:val="20"/>
                <w:szCs w:val="20"/>
              </w:rPr>
            </w:pPr>
            <w:r>
              <w:rPr>
                <w:rFonts w:ascii="宋体" w:hAnsi="宋体" w:eastAsia="宋体" w:cs="宋体"/>
                <w:spacing w:val="7"/>
                <w:sz w:val="20"/>
                <w:szCs w:val="20"/>
              </w:rPr>
              <w:t>水由厂区已建</w:t>
            </w:r>
          </w:p>
          <w:p w14:paraId="2CF3AB5A">
            <w:pPr>
              <w:spacing w:before="163" w:line="228" w:lineRule="auto"/>
              <w:ind w:left="136"/>
              <w:rPr>
                <w:rFonts w:ascii="宋体" w:hAnsi="宋体" w:eastAsia="宋体" w:cs="宋体"/>
                <w:sz w:val="20"/>
                <w:szCs w:val="20"/>
              </w:rPr>
            </w:pPr>
            <w:r>
              <w:rPr>
                <w:rFonts w:ascii="宋体" w:hAnsi="宋体" w:eastAsia="宋体" w:cs="宋体"/>
                <w:spacing w:val="7"/>
                <w:sz w:val="20"/>
                <w:szCs w:val="20"/>
              </w:rPr>
              <w:t>化粪池</w:t>
            </w:r>
            <w:r>
              <w:rPr>
                <w:rFonts w:ascii="Times New Roman" w:hAnsi="Times New Roman" w:eastAsia="Times New Roman" w:cs="Times New Roman"/>
                <w:spacing w:val="7"/>
                <w:sz w:val="20"/>
                <w:szCs w:val="20"/>
              </w:rPr>
              <w:t>+</w:t>
            </w:r>
            <w:r>
              <w:rPr>
                <w:rFonts w:ascii="宋体" w:hAnsi="宋体" w:eastAsia="宋体" w:cs="宋体"/>
                <w:spacing w:val="7"/>
                <w:sz w:val="20"/>
                <w:szCs w:val="20"/>
              </w:rPr>
              <w:t>一体化</w:t>
            </w:r>
          </w:p>
          <w:p w14:paraId="53180D11">
            <w:pPr>
              <w:spacing w:before="161" w:line="228" w:lineRule="auto"/>
              <w:ind w:left="194"/>
              <w:rPr>
                <w:rFonts w:ascii="宋体" w:hAnsi="宋体" w:eastAsia="宋体" w:cs="宋体"/>
                <w:sz w:val="20"/>
                <w:szCs w:val="20"/>
              </w:rPr>
            </w:pPr>
            <w:r>
              <w:rPr>
                <w:rFonts w:ascii="宋体" w:hAnsi="宋体" w:eastAsia="宋体" w:cs="宋体"/>
                <w:spacing w:val="7"/>
                <w:sz w:val="20"/>
                <w:szCs w:val="20"/>
              </w:rPr>
              <w:t>污水处理设施</w:t>
            </w:r>
          </w:p>
          <w:p w14:paraId="0E8EFC76">
            <w:pPr>
              <w:spacing w:before="161" w:line="228" w:lineRule="auto"/>
              <w:ind w:left="122"/>
              <w:rPr>
                <w:rFonts w:ascii="宋体" w:hAnsi="宋体" w:eastAsia="宋体" w:cs="宋体"/>
                <w:sz w:val="20"/>
                <w:szCs w:val="20"/>
              </w:rPr>
            </w:pPr>
            <w:r>
              <w:rPr>
                <w:rFonts w:ascii="宋体" w:hAnsi="宋体" w:eastAsia="宋体" w:cs="宋体"/>
                <w:spacing w:val="-1"/>
                <w:sz w:val="20"/>
                <w:szCs w:val="20"/>
              </w:rPr>
              <w:t>处理达到《城市</w:t>
            </w:r>
          </w:p>
          <w:p w14:paraId="2653D3D8">
            <w:pPr>
              <w:spacing w:before="161" w:line="228" w:lineRule="auto"/>
              <w:ind w:left="194"/>
              <w:rPr>
                <w:rFonts w:ascii="宋体" w:hAnsi="宋体" w:eastAsia="宋体" w:cs="宋体"/>
                <w:sz w:val="20"/>
                <w:szCs w:val="20"/>
              </w:rPr>
            </w:pPr>
            <w:r>
              <w:rPr>
                <w:rFonts w:ascii="宋体" w:hAnsi="宋体" w:eastAsia="宋体" w:cs="宋体"/>
                <w:spacing w:val="7"/>
                <w:sz w:val="20"/>
                <w:szCs w:val="20"/>
              </w:rPr>
              <w:t>污水再生利用</w:t>
            </w:r>
          </w:p>
          <w:p w14:paraId="175856A5">
            <w:pPr>
              <w:spacing w:before="164" w:line="228" w:lineRule="auto"/>
              <w:ind w:left="192"/>
              <w:rPr>
                <w:rFonts w:ascii="宋体" w:hAnsi="宋体" w:eastAsia="宋体" w:cs="宋体"/>
                <w:sz w:val="20"/>
                <w:szCs w:val="20"/>
              </w:rPr>
            </w:pPr>
            <w:r>
              <w:rPr>
                <w:rFonts w:ascii="宋体" w:hAnsi="宋体" w:eastAsia="宋体" w:cs="宋体"/>
                <w:spacing w:val="8"/>
                <w:sz w:val="20"/>
                <w:szCs w:val="20"/>
              </w:rPr>
              <w:t>城市杂用水水</w:t>
            </w:r>
          </w:p>
          <w:p w14:paraId="42C5C943">
            <w:pPr>
              <w:spacing w:before="161" w:line="228" w:lineRule="auto"/>
              <w:ind w:left="270"/>
              <w:rPr>
                <w:rFonts w:ascii="Times New Roman" w:hAnsi="Times New Roman" w:eastAsia="Times New Roman" w:cs="Times New Roman"/>
                <w:sz w:val="20"/>
                <w:szCs w:val="20"/>
              </w:rPr>
            </w:pPr>
            <w:r>
              <w:rPr>
                <w:rFonts w:ascii="宋体" w:hAnsi="宋体" w:eastAsia="宋体" w:cs="宋体"/>
                <w:spacing w:val="7"/>
                <w:sz w:val="20"/>
                <w:szCs w:val="20"/>
              </w:rPr>
              <w:t>质》（</w:t>
            </w:r>
            <w:r>
              <w:rPr>
                <w:rFonts w:ascii="Times New Roman" w:hAnsi="Times New Roman" w:eastAsia="Times New Roman" w:cs="Times New Roman"/>
                <w:sz w:val="20"/>
                <w:szCs w:val="20"/>
              </w:rPr>
              <w:t>GB</w:t>
            </w:r>
            <w:r>
              <w:rPr>
                <w:rFonts w:ascii="Times New Roman" w:hAnsi="Times New Roman" w:eastAsia="Times New Roman" w:cs="Times New Roman"/>
                <w:spacing w:val="7"/>
                <w:sz w:val="20"/>
                <w:szCs w:val="20"/>
              </w:rPr>
              <w:t>/T</w:t>
            </w:r>
          </w:p>
          <w:p w14:paraId="44B53A77">
            <w:pPr>
              <w:spacing w:before="161" w:line="228" w:lineRule="auto"/>
              <w:ind w:left="134"/>
              <w:rPr>
                <w:rFonts w:ascii="宋体" w:hAnsi="宋体" w:eastAsia="宋体" w:cs="宋体"/>
                <w:sz w:val="20"/>
                <w:szCs w:val="20"/>
              </w:rPr>
            </w:pPr>
            <w:r>
              <w:rPr>
                <w:rFonts w:ascii="Times New Roman" w:hAnsi="Times New Roman" w:eastAsia="Times New Roman" w:cs="Times New Roman"/>
                <w:spacing w:val="1"/>
                <w:sz w:val="20"/>
                <w:szCs w:val="20"/>
              </w:rPr>
              <w:t>18920-2020</w:t>
            </w:r>
            <w:r>
              <w:rPr>
                <w:rFonts w:ascii="宋体" w:hAnsi="宋体" w:eastAsia="宋体" w:cs="宋体"/>
                <w:spacing w:val="1"/>
                <w:sz w:val="20"/>
                <w:szCs w:val="20"/>
              </w:rPr>
              <w:t>）标</w:t>
            </w:r>
          </w:p>
          <w:p w14:paraId="015AF4A6">
            <w:pPr>
              <w:spacing w:before="161" w:line="228" w:lineRule="auto"/>
              <w:ind w:left="120"/>
              <w:rPr>
                <w:rFonts w:ascii="宋体" w:hAnsi="宋体" w:eastAsia="宋体" w:cs="宋体"/>
                <w:sz w:val="20"/>
                <w:szCs w:val="20"/>
              </w:rPr>
            </w:pPr>
            <w:r>
              <w:rPr>
                <w:rFonts w:ascii="宋体" w:hAnsi="宋体" w:eastAsia="宋体" w:cs="宋体"/>
                <w:spacing w:val="-1"/>
                <w:sz w:val="20"/>
                <w:szCs w:val="20"/>
              </w:rPr>
              <w:t>准后，晴天回用</w:t>
            </w:r>
          </w:p>
          <w:p w14:paraId="2C2C6911">
            <w:pPr>
              <w:spacing w:before="161" w:line="228" w:lineRule="auto"/>
              <w:ind w:left="119"/>
              <w:rPr>
                <w:rFonts w:ascii="宋体" w:hAnsi="宋体" w:eastAsia="宋体" w:cs="宋体"/>
                <w:sz w:val="20"/>
                <w:szCs w:val="20"/>
              </w:rPr>
            </w:pPr>
            <w:r>
              <w:rPr>
                <w:rFonts w:ascii="宋体" w:hAnsi="宋体" w:eastAsia="宋体" w:cs="宋体"/>
                <w:spacing w:val="6"/>
                <w:sz w:val="20"/>
                <w:szCs w:val="20"/>
              </w:rPr>
              <w:t>作为绿化浇灌，</w:t>
            </w:r>
          </w:p>
          <w:p w14:paraId="61079432">
            <w:pPr>
              <w:spacing w:before="161" w:line="228" w:lineRule="auto"/>
              <w:ind w:left="201"/>
              <w:rPr>
                <w:rFonts w:ascii="宋体" w:hAnsi="宋体" w:eastAsia="宋体" w:cs="宋体"/>
                <w:sz w:val="20"/>
                <w:szCs w:val="20"/>
              </w:rPr>
            </w:pPr>
            <w:r>
              <w:rPr>
                <w:rFonts w:ascii="宋体" w:hAnsi="宋体" w:eastAsia="宋体" w:cs="宋体"/>
                <w:spacing w:val="6"/>
                <w:sz w:val="20"/>
                <w:szCs w:val="20"/>
              </w:rPr>
              <w:t>雨天储存于蓄</w:t>
            </w:r>
          </w:p>
          <w:p w14:paraId="66659346">
            <w:pPr>
              <w:spacing w:before="163" w:line="228" w:lineRule="auto"/>
              <w:ind w:left="195"/>
              <w:rPr>
                <w:rFonts w:ascii="宋体" w:hAnsi="宋体" w:eastAsia="宋体" w:cs="宋体"/>
                <w:sz w:val="20"/>
                <w:szCs w:val="20"/>
              </w:rPr>
            </w:pPr>
            <w:r>
              <w:rPr>
                <w:rFonts w:ascii="宋体" w:hAnsi="宋体" w:eastAsia="宋体" w:cs="宋体"/>
                <w:spacing w:val="7"/>
                <w:sz w:val="20"/>
                <w:szCs w:val="20"/>
              </w:rPr>
              <w:t>水池中待晴天</w:t>
            </w:r>
          </w:p>
          <w:p w14:paraId="11140CD3">
            <w:pPr>
              <w:spacing w:before="162" w:line="228" w:lineRule="auto"/>
              <w:ind w:left="194"/>
              <w:rPr>
                <w:rFonts w:ascii="宋体" w:hAnsi="宋体" w:eastAsia="宋体" w:cs="宋体"/>
                <w:sz w:val="20"/>
                <w:szCs w:val="20"/>
              </w:rPr>
            </w:pPr>
            <w:r>
              <w:rPr>
                <w:rFonts w:ascii="宋体" w:hAnsi="宋体" w:eastAsia="宋体" w:cs="宋体"/>
                <w:spacing w:val="7"/>
                <w:sz w:val="20"/>
                <w:szCs w:val="20"/>
              </w:rPr>
              <w:t>再回用绿化浇</w:t>
            </w:r>
          </w:p>
          <w:p w14:paraId="26CF4295">
            <w:pPr>
              <w:spacing w:before="160" w:line="228" w:lineRule="auto"/>
              <w:ind w:left="615"/>
              <w:rPr>
                <w:rFonts w:ascii="宋体" w:hAnsi="宋体" w:eastAsia="宋体" w:cs="宋体"/>
                <w:sz w:val="20"/>
                <w:szCs w:val="20"/>
              </w:rPr>
            </w:pPr>
            <w:r>
              <w:rPr>
                <w:rFonts w:ascii="宋体" w:hAnsi="宋体" w:eastAsia="宋体" w:cs="宋体"/>
                <w:spacing w:val="-1"/>
                <w:sz w:val="20"/>
                <w:szCs w:val="20"/>
              </w:rPr>
              <w:t>灌。</w:t>
            </w:r>
          </w:p>
        </w:tc>
        <w:tc>
          <w:tcPr>
            <w:tcW w:w="195" w:type="dxa"/>
            <w:vMerge w:val="continue"/>
            <w:tcBorders>
              <w:top w:val="nil"/>
              <w:bottom w:val="nil"/>
              <w:right w:val="single" w:color="000000" w:sz="6" w:space="0"/>
            </w:tcBorders>
            <w:vAlign w:val="top"/>
          </w:tcPr>
          <w:p w14:paraId="231A18CF">
            <w:pPr>
              <w:rPr>
                <w:rFonts w:ascii="Arial"/>
                <w:sz w:val="21"/>
              </w:rPr>
            </w:pPr>
          </w:p>
        </w:tc>
      </w:tr>
      <w:tr w14:paraId="377DA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3" w:hRule="atLeast"/>
        </w:trPr>
        <w:tc>
          <w:tcPr>
            <w:tcW w:w="428" w:type="dxa"/>
            <w:vMerge w:val="continue"/>
            <w:tcBorders>
              <w:top w:val="nil"/>
              <w:left w:val="single" w:color="000000" w:sz="6" w:space="0"/>
              <w:bottom w:val="nil"/>
            </w:tcBorders>
            <w:vAlign w:val="top"/>
          </w:tcPr>
          <w:p w14:paraId="4E193788">
            <w:pPr>
              <w:rPr>
                <w:rFonts w:ascii="Arial"/>
                <w:sz w:val="21"/>
              </w:rPr>
            </w:pPr>
          </w:p>
        </w:tc>
        <w:tc>
          <w:tcPr>
            <w:tcW w:w="113" w:type="dxa"/>
            <w:tcBorders>
              <w:top w:val="nil"/>
              <w:bottom w:val="nil"/>
            </w:tcBorders>
            <w:vAlign w:val="top"/>
          </w:tcPr>
          <w:p w14:paraId="684622BC">
            <w:pPr>
              <w:rPr>
                <w:rFonts w:ascii="Arial"/>
                <w:sz w:val="21"/>
              </w:rPr>
            </w:pPr>
          </w:p>
        </w:tc>
        <w:tc>
          <w:tcPr>
            <w:tcW w:w="596" w:type="dxa"/>
            <w:vMerge w:val="continue"/>
            <w:tcBorders>
              <w:top w:val="nil"/>
            </w:tcBorders>
            <w:vAlign w:val="top"/>
          </w:tcPr>
          <w:p w14:paraId="421853A6">
            <w:pPr>
              <w:rPr>
                <w:rFonts w:ascii="Arial"/>
                <w:sz w:val="21"/>
              </w:rPr>
            </w:pPr>
          </w:p>
        </w:tc>
        <w:tc>
          <w:tcPr>
            <w:tcW w:w="1379" w:type="dxa"/>
            <w:gridSpan w:val="2"/>
            <w:vAlign w:val="top"/>
          </w:tcPr>
          <w:p w14:paraId="715E8B34">
            <w:pPr>
              <w:spacing w:line="394" w:lineRule="auto"/>
              <w:rPr>
                <w:rFonts w:ascii="Arial"/>
                <w:sz w:val="21"/>
              </w:rPr>
            </w:pPr>
          </w:p>
          <w:p w14:paraId="0BA8A326">
            <w:pPr>
              <w:spacing w:before="65" w:line="228" w:lineRule="auto"/>
              <w:ind w:left="379"/>
              <w:rPr>
                <w:rFonts w:ascii="宋体" w:hAnsi="宋体" w:eastAsia="宋体" w:cs="宋体"/>
                <w:sz w:val="20"/>
                <w:szCs w:val="20"/>
              </w:rPr>
            </w:pPr>
            <w:r>
              <w:rPr>
                <w:rFonts w:ascii="宋体" w:hAnsi="宋体" w:eastAsia="宋体" w:cs="宋体"/>
                <w:spacing w:val="5"/>
                <w:sz w:val="20"/>
                <w:szCs w:val="20"/>
              </w:rPr>
              <w:t>天然气</w:t>
            </w:r>
          </w:p>
        </w:tc>
        <w:tc>
          <w:tcPr>
            <w:tcW w:w="2514" w:type="dxa"/>
            <w:vAlign w:val="top"/>
          </w:tcPr>
          <w:p w14:paraId="2419F393">
            <w:pPr>
              <w:spacing w:before="53" w:line="363" w:lineRule="auto"/>
              <w:ind w:left="109" w:right="107" w:firstLine="126"/>
              <w:jc w:val="both"/>
              <w:rPr>
                <w:rFonts w:ascii="宋体" w:hAnsi="宋体" w:eastAsia="宋体" w:cs="宋体"/>
                <w:sz w:val="20"/>
                <w:szCs w:val="20"/>
              </w:rPr>
            </w:pPr>
            <w:r>
              <w:rPr>
                <w:rFonts w:ascii="宋体" w:hAnsi="宋体" w:eastAsia="宋体" w:cs="宋体"/>
                <w:spacing w:val="6"/>
                <w:sz w:val="20"/>
                <w:szCs w:val="20"/>
              </w:rPr>
              <w:t>由寻甸中石油昆仑燃气</w:t>
            </w:r>
            <w:r>
              <w:rPr>
                <w:rFonts w:ascii="宋体" w:hAnsi="宋体" w:eastAsia="宋体" w:cs="宋体"/>
                <w:spacing w:val="8"/>
                <w:sz w:val="20"/>
                <w:szCs w:val="20"/>
              </w:rPr>
              <w:t>有限公司提供，天然气管道已接入园区，并通气。</w:t>
            </w:r>
          </w:p>
        </w:tc>
        <w:tc>
          <w:tcPr>
            <w:tcW w:w="2213" w:type="dxa"/>
            <w:vAlign w:val="top"/>
          </w:tcPr>
          <w:p w14:paraId="2CA87672">
            <w:pPr>
              <w:spacing w:line="394" w:lineRule="auto"/>
              <w:rPr>
                <w:rFonts w:ascii="Arial"/>
                <w:sz w:val="21"/>
              </w:rPr>
            </w:pPr>
          </w:p>
          <w:p w14:paraId="6E6AC29F">
            <w:pPr>
              <w:spacing w:before="65" w:line="227" w:lineRule="auto"/>
              <w:ind w:left="169"/>
              <w:rPr>
                <w:rFonts w:ascii="宋体" w:hAnsi="宋体" w:eastAsia="宋体" w:cs="宋体"/>
                <w:sz w:val="20"/>
                <w:szCs w:val="20"/>
              </w:rPr>
            </w:pPr>
            <w:r>
              <w:rPr>
                <w:rFonts w:ascii="宋体" w:hAnsi="宋体" w:eastAsia="宋体" w:cs="宋体"/>
                <w:spacing w:val="8"/>
                <w:sz w:val="20"/>
                <w:szCs w:val="20"/>
              </w:rPr>
              <w:t>本项目不使用天然气</w:t>
            </w:r>
          </w:p>
        </w:tc>
        <w:tc>
          <w:tcPr>
            <w:tcW w:w="1626" w:type="dxa"/>
            <w:vAlign w:val="top"/>
          </w:tcPr>
          <w:p w14:paraId="51BB2979">
            <w:pPr>
              <w:spacing w:line="394" w:lineRule="auto"/>
              <w:rPr>
                <w:rFonts w:ascii="Arial"/>
                <w:sz w:val="21"/>
              </w:rPr>
            </w:pPr>
          </w:p>
          <w:p w14:paraId="012ADDFF">
            <w:pPr>
              <w:spacing w:before="65" w:line="229" w:lineRule="auto"/>
              <w:ind w:left="321"/>
              <w:rPr>
                <w:rFonts w:ascii="宋体" w:hAnsi="宋体" w:eastAsia="宋体" w:cs="宋体"/>
                <w:sz w:val="20"/>
                <w:szCs w:val="20"/>
              </w:rPr>
            </w:pPr>
            <w:r>
              <w:rPr>
                <w:rFonts w:ascii="宋体" w:hAnsi="宋体" w:eastAsia="宋体" w:cs="宋体"/>
                <w:spacing w:val="3"/>
                <w:sz w:val="20"/>
                <w:szCs w:val="20"/>
              </w:rPr>
              <w:t>已建，不变</w:t>
            </w:r>
          </w:p>
        </w:tc>
        <w:tc>
          <w:tcPr>
            <w:tcW w:w="195" w:type="dxa"/>
            <w:vMerge w:val="continue"/>
            <w:tcBorders>
              <w:top w:val="nil"/>
              <w:bottom w:val="nil"/>
              <w:right w:val="single" w:color="000000" w:sz="6" w:space="0"/>
            </w:tcBorders>
            <w:vAlign w:val="top"/>
          </w:tcPr>
          <w:p w14:paraId="5AB4F757">
            <w:pPr>
              <w:rPr>
                <w:rFonts w:ascii="Arial"/>
                <w:sz w:val="21"/>
              </w:rPr>
            </w:pPr>
          </w:p>
        </w:tc>
      </w:tr>
      <w:tr w14:paraId="3A517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0" w:hRule="atLeast"/>
        </w:trPr>
        <w:tc>
          <w:tcPr>
            <w:tcW w:w="428" w:type="dxa"/>
            <w:vMerge w:val="continue"/>
            <w:tcBorders>
              <w:top w:val="nil"/>
              <w:left w:val="single" w:color="000000" w:sz="6" w:space="0"/>
              <w:bottom w:val="nil"/>
            </w:tcBorders>
            <w:vAlign w:val="top"/>
          </w:tcPr>
          <w:p w14:paraId="4B719ECC">
            <w:pPr>
              <w:rPr>
                <w:rFonts w:ascii="Arial"/>
                <w:sz w:val="21"/>
              </w:rPr>
            </w:pPr>
          </w:p>
        </w:tc>
        <w:tc>
          <w:tcPr>
            <w:tcW w:w="113" w:type="dxa"/>
            <w:tcBorders>
              <w:top w:val="nil"/>
              <w:bottom w:val="nil"/>
            </w:tcBorders>
            <w:vAlign w:val="top"/>
          </w:tcPr>
          <w:p w14:paraId="23BE1942">
            <w:pPr>
              <w:rPr>
                <w:rFonts w:ascii="Arial"/>
                <w:sz w:val="21"/>
              </w:rPr>
            </w:pPr>
          </w:p>
        </w:tc>
        <w:tc>
          <w:tcPr>
            <w:tcW w:w="596" w:type="dxa"/>
            <w:vMerge w:val="restart"/>
            <w:tcBorders>
              <w:bottom w:val="nil"/>
            </w:tcBorders>
            <w:textDirection w:val="tbRlV"/>
            <w:vAlign w:val="top"/>
          </w:tcPr>
          <w:p w14:paraId="7F109B05">
            <w:pPr>
              <w:spacing w:before="198" w:line="217" w:lineRule="auto"/>
              <w:ind w:left="860"/>
              <w:rPr>
                <w:rFonts w:ascii="宋体" w:hAnsi="宋体" w:eastAsia="宋体" w:cs="宋体"/>
                <w:sz w:val="20"/>
                <w:szCs w:val="20"/>
              </w:rPr>
            </w:pPr>
            <w:r>
              <w:rPr>
                <w:rFonts w:ascii="宋体" w:hAnsi="宋体" w:eastAsia="宋体" w:cs="宋体"/>
                <w:spacing w:val="8"/>
                <w:sz w:val="20"/>
                <w:szCs w:val="20"/>
              </w:rPr>
              <w:t>辅</w:t>
            </w:r>
            <w:r>
              <w:rPr>
                <w:rFonts w:ascii="宋体" w:hAnsi="宋体" w:eastAsia="宋体" w:cs="宋体"/>
                <w:spacing w:val="101"/>
                <w:sz w:val="20"/>
                <w:szCs w:val="20"/>
              </w:rPr>
              <w:t xml:space="preserve"> </w:t>
            </w:r>
            <w:r>
              <w:rPr>
                <w:rFonts w:ascii="宋体" w:hAnsi="宋体" w:eastAsia="宋体" w:cs="宋体"/>
                <w:spacing w:val="8"/>
                <w:sz w:val="20"/>
                <w:szCs w:val="20"/>
              </w:rPr>
              <w:t>助</w:t>
            </w:r>
            <w:r>
              <w:rPr>
                <w:rFonts w:ascii="宋体" w:hAnsi="宋体" w:eastAsia="宋体" w:cs="宋体"/>
                <w:sz w:val="20"/>
                <w:szCs w:val="20"/>
              </w:rPr>
              <w:t xml:space="preserve">  </w:t>
            </w:r>
            <w:r>
              <w:rPr>
                <w:rFonts w:ascii="宋体" w:hAnsi="宋体" w:eastAsia="宋体" w:cs="宋体"/>
                <w:spacing w:val="8"/>
                <w:sz w:val="20"/>
                <w:szCs w:val="20"/>
              </w:rPr>
              <w:t>工</w:t>
            </w:r>
            <w:r>
              <w:rPr>
                <w:rFonts w:ascii="宋体" w:hAnsi="宋体" w:eastAsia="宋体" w:cs="宋体"/>
                <w:spacing w:val="101"/>
                <w:sz w:val="20"/>
                <w:szCs w:val="20"/>
              </w:rPr>
              <w:t xml:space="preserve"> </w:t>
            </w:r>
            <w:r>
              <w:rPr>
                <w:rFonts w:ascii="宋体" w:hAnsi="宋体" w:eastAsia="宋体" w:cs="宋体"/>
                <w:spacing w:val="8"/>
                <w:sz w:val="20"/>
                <w:szCs w:val="20"/>
              </w:rPr>
              <w:t>程</w:t>
            </w:r>
          </w:p>
        </w:tc>
        <w:tc>
          <w:tcPr>
            <w:tcW w:w="1379" w:type="dxa"/>
            <w:gridSpan w:val="2"/>
            <w:vAlign w:val="top"/>
          </w:tcPr>
          <w:p w14:paraId="0124993E">
            <w:pPr>
              <w:spacing w:line="247" w:lineRule="auto"/>
              <w:rPr>
                <w:rFonts w:ascii="Arial"/>
                <w:sz w:val="21"/>
              </w:rPr>
            </w:pPr>
          </w:p>
          <w:p w14:paraId="59B3D43E">
            <w:pPr>
              <w:spacing w:line="247" w:lineRule="auto"/>
              <w:rPr>
                <w:rFonts w:ascii="Arial"/>
                <w:sz w:val="21"/>
              </w:rPr>
            </w:pPr>
          </w:p>
          <w:p w14:paraId="706321AA">
            <w:pPr>
              <w:spacing w:line="248" w:lineRule="auto"/>
              <w:rPr>
                <w:rFonts w:ascii="Arial"/>
                <w:sz w:val="21"/>
              </w:rPr>
            </w:pPr>
          </w:p>
          <w:p w14:paraId="29427A8D">
            <w:pPr>
              <w:spacing w:line="248" w:lineRule="auto"/>
              <w:rPr>
                <w:rFonts w:ascii="Arial"/>
                <w:sz w:val="21"/>
              </w:rPr>
            </w:pPr>
          </w:p>
          <w:p w14:paraId="32A302F5">
            <w:pPr>
              <w:spacing w:before="65" w:line="228" w:lineRule="auto"/>
              <w:ind w:left="274"/>
              <w:rPr>
                <w:rFonts w:ascii="宋体" w:hAnsi="宋体" w:eastAsia="宋体" w:cs="宋体"/>
                <w:sz w:val="20"/>
                <w:szCs w:val="20"/>
              </w:rPr>
            </w:pPr>
            <w:r>
              <w:rPr>
                <w:rFonts w:ascii="宋体" w:hAnsi="宋体" w:eastAsia="宋体" w:cs="宋体"/>
                <w:spacing w:val="6"/>
                <w:sz w:val="20"/>
                <w:szCs w:val="20"/>
              </w:rPr>
              <w:t>消防水池</w:t>
            </w:r>
          </w:p>
        </w:tc>
        <w:tc>
          <w:tcPr>
            <w:tcW w:w="2514" w:type="dxa"/>
            <w:vAlign w:val="top"/>
          </w:tcPr>
          <w:p w14:paraId="2DE512A1">
            <w:pPr>
              <w:spacing w:before="39" w:line="228" w:lineRule="auto"/>
              <w:ind w:left="110"/>
              <w:rPr>
                <w:rFonts w:ascii="宋体" w:hAnsi="宋体" w:eastAsia="宋体" w:cs="宋体"/>
                <w:sz w:val="20"/>
                <w:szCs w:val="20"/>
              </w:rPr>
            </w:pPr>
            <w:r>
              <w:rPr>
                <w:rFonts w:ascii="宋体" w:hAnsi="宋体" w:eastAsia="宋体" w:cs="宋体"/>
                <w:spacing w:val="8"/>
                <w:sz w:val="20"/>
                <w:szCs w:val="20"/>
              </w:rPr>
              <w:t>位于公司西北侧，项目建</w:t>
            </w:r>
          </w:p>
          <w:p w14:paraId="723E1372">
            <w:pPr>
              <w:spacing w:before="160" w:line="228" w:lineRule="auto"/>
              <w:ind w:left="112"/>
              <w:rPr>
                <w:rFonts w:ascii="宋体" w:hAnsi="宋体" w:eastAsia="宋体" w:cs="宋体"/>
                <w:sz w:val="20"/>
                <w:szCs w:val="20"/>
              </w:rPr>
            </w:pPr>
            <w:r>
              <w:rPr>
                <w:rFonts w:ascii="宋体" w:hAnsi="宋体" w:eastAsia="宋体" w:cs="宋体"/>
                <w:spacing w:val="8"/>
                <w:sz w:val="20"/>
                <w:szCs w:val="20"/>
              </w:rPr>
              <w:t>筑均配备灭火器，消防水</w:t>
            </w:r>
          </w:p>
          <w:p w14:paraId="4B82897E">
            <w:pPr>
              <w:spacing w:before="163" w:line="228" w:lineRule="auto"/>
              <w:ind w:left="109"/>
              <w:rPr>
                <w:rFonts w:ascii="宋体" w:hAnsi="宋体" w:eastAsia="宋体" w:cs="宋体"/>
                <w:sz w:val="20"/>
                <w:szCs w:val="20"/>
              </w:rPr>
            </w:pPr>
            <w:r>
              <w:rPr>
                <w:rFonts w:ascii="宋体" w:hAnsi="宋体" w:eastAsia="宋体" w:cs="宋体"/>
                <w:spacing w:val="8"/>
                <w:sz w:val="20"/>
                <w:szCs w:val="20"/>
              </w:rPr>
              <w:t>源为市政管网水，水量水</w:t>
            </w:r>
          </w:p>
          <w:p w14:paraId="1511E635">
            <w:pPr>
              <w:spacing w:before="160" w:line="228" w:lineRule="auto"/>
              <w:ind w:left="111"/>
              <w:rPr>
                <w:rFonts w:ascii="宋体" w:hAnsi="宋体" w:eastAsia="宋体" w:cs="宋体"/>
                <w:sz w:val="20"/>
                <w:szCs w:val="20"/>
              </w:rPr>
            </w:pPr>
            <w:r>
              <w:rPr>
                <w:rFonts w:ascii="宋体" w:hAnsi="宋体" w:eastAsia="宋体" w:cs="宋体"/>
                <w:spacing w:val="8"/>
                <w:sz w:val="20"/>
                <w:szCs w:val="20"/>
              </w:rPr>
              <w:t>压能满足消防要求。项目</w:t>
            </w:r>
          </w:p>
          <w:p w14:paraId="18381310">
            <w:pPr>
              <w:spacing w:before="161" w:line="228" w:lineRule="auto"/>
              <w:ind w:left="113"/>
              <w:rPr>
                <w:rFonts w:ascii="宋体" w:hAnsi="宋体" w:eastAsia="宋体" w:cs="宋体"/>
                <w:sz w:val="20"/>
                <w:szCs w:val="20"/>
              </w:rPr>
            </w:pPr>
            <w:r>
              <w:rPr>
                <w:rFonts w:ascii="宋体" w:hAnsi="宋体" w:eastAsia="宋体" w:cs="宋体"/>
                <w:spacing w:val="7"/>
                <w:sz w:val="20"/>
                <w:szCs w:val="20"/>
              </w:rPr>
              <w:t>设置地下消防水池，消防</w:t>
            </w:r>
          </w:p>
          <w:p w14:paraId="76BB0EDE">
            <w:pPr>
              <w:spacing w:before="161" w:line="228" w:lineRule="auto"/>
              <w:ind w:left="386"/>
              <w:rPr>
                <w:rFonts w:ascii="宋体" w:hAnsi="宋体" w:eastAsia="宋体" w:cs="宋体"/>
                <w:sz w:val="20"/>
                <w:szCs w:val="20"/>
              </w:rPr>
            </w:pPr>
            <w:r>
              <w:rPr>
                <w:rFonts w:ascii="宋体" w:hAnsi="宋体" w:eastAsia="宋体" w:cs="宋体"/>
                <w:spacing w:val="4"/>
                <w:sz w:val="20"/>
                <w:szCs w:val="20"/>
              </w:rPr>
              <w:t>水池容积为</w:t>
            </w:r>
            <w:r>
              <w:rPr>
                <w:rFonts w:ascii="宋体" w:hAnsi="宋体" w:eastAsia="宋体" w:cs="宋体"/>
                <w:spacing w:val="-31"/>
                <w:sz w:val="20"/>
                <w:szCs w:val="20"/>
              </w:rPr>
              <w:t xml:space="preserve"> </w:t>
            </w:r>
            <w:r>
              <w:rPr>
                <w:rFonts w:ascii="Times New Roman" w:hAnsi="Times New Roman" w:eastAsia="Times New Roman" w:cs="Times New Roman"/>
                <w:spacing w:val="4"/>
                <w:sz w:val="20"/>
                <w:szCs w:val="20"/>
              </w:rPr>
              <w:t>50m</w:t>
            </w:r>
            <w:r>
              <w:rPr>
                <w:rFonts w:ascii="Times New Roman" w:hAnsi="Times New Roman" w:eastAsia="Times New Roman" w:cs="Times New Roman"/>
                <w:spacing w:val="4"/>
                <w:position w:val="6"/>
                <w:sz w:val="13"/>
                <w:szCs w:val="13"/>
              </w:rPr>
              <w:t>3</w:t>
            </w:r>
            <w:r>
              <w:rPr>
                <w:rFonts w:ascii="宋体" w:hAnsi="宋体" w:eastAsia="宋体" w:cs="宋体"/>
                <w:spacing w:val="4"/>
                <w:sz w:val="20"/>
                <w:szCs w:val="20"/>
              </w:rPr>
              <w:t>。</w:t>
            </w:r>
          </w:p>
        </w:tc>
        <w:tc>
          <w:tcPr>
            <w:tcW w:w="2213" w:type="dxa"/>
            <w:vAlign w:val="top"/>
          </w:tcPr>
          <w:p w14:paraId="5CD029EB">
            <w:pPr>
              <w:spacing w:line="259" w:lineRule="auto"/>
              <w:rPr>
                <w:rFonts w:ascii="Arial"/>
                <w:sz w:val="21"/>
              </w:rPr>
            </w:pPr>
          </w:p>
          <w:p w14:paraId="5982232C">
            <w:pPr>
              <w:spacing w:line="259" w:lineRule="auto"/>
              <w:rPr>
                <w:rFonts w:ascii="Arial"/>
                <w:sz w:val="21"/>
              </w:rPr>
            </w:pPr>
          </w:p>
          <w:p w14:paraId="40DF07EF">
            <w:pPr>
              <w:spacing w:line="259" w:lineRule="auto"/>
              <w:rPr>
                <w:rFonts w:ascii="Arial"/>
                <w:sz w:val="21"/>
              </w:rPr>
            </w:pPr>
          </w:p>
          <w:p w14:paraId="39A0E19D">
            <w:pPr>
              <w:spacing w:line="260" w:lineRule="auto"/>
              <w:rPr>
                <w:rFonts w:ascii="Arial"/>
                <w:sz w:val="21"/>
              </w:rPr>
            </w:pPr>
          </w:p>
          <w:p w14:paraId="0772E254">
            <w:pPr>
              <w:spacing w:before="57"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75D94A0E">
            <w:pPr>
              <w:spacing w:line="247" w:lineRule="auto"/>
              <w:rPr>
                <w:rFonts w:ascii="Arial"/>
                <w:sz w:val="21"/>
              </w:rPr>
            </w:pPr>
          </w:p>
          <w:p w14:paraId="2F356CB6">
            <w:pPr>
              <w:spacing w:line="247" w:lineRule="auto"/>
              <w:rPr>
                <w:rFonts w:ascii="Arial"/>
                <w:sz w:val="21"/>
              </w:rPr>
            </w:pPr>
          </w:p>
          <w:p w14:paraId="0CDF9DAF">
            <w:pPr>
              <w:spacing w:line="248" w:lineRule="auto"/>
              <w:rPr>
                <w:rFonts w:ascii="Arial"/>
                <w:sz w:val="21"/>
              </w:rPr>
            </w:pPr>
          </w:p>
          <w:p w14:paraId="52059A2E">
            <w:pPr>
              <w:spacing w:line="248" w:lineRule="auto"/>
              <w:rPr>
                <w:rFonts w:ascii="Arial"/>
                <w:sz w:val="21"/>
              </w:rPr>
            </w:pPr>
          </w:p>
          <w:p w14:paraId="3A8F12D4">
            <w:pPr>
              <w:spacing w:before="65" w:line="229" w:lineRule="auto"/>
              <w:ind w:left="613"/>
              <w:rPr>
                <w:rFonts w:ascii="宋体" w:hAnsi="宋体" w:eastAsia="宋体" w:cs="宋体"/>
                <w:sz w:val="20"/>
                <w:szCs w:val="20"/>
              </w:rPr>
            </w:pPr>
            <w:r>
              <w:rPr>
                <w:rFonts w:ascii="宋体" w:hAnsi="宋体" w:eastAsia="宋体" w:cs="宋体"/>
                <w:spacing w:val="4"/>
                <w:sz w:val="20"/>
                <w:szCs w:val="20"/>
              </w:rPr>
              <w:t>沿用</w:t>
            </w:r>
          </w:p>
        </w:tc>
        <w:tc>
          <w:tcPr>
            <w:tcW w:w="195" w:type="dxa"/>
            <w:vMerge w:val="continue"/>
            <w:tcBorders>
              <w:top w:val="nil"/>
              <w:bottom w:val="nil"/>
              <w:right w:val="single" w:color="000000" w:sz="6" w:space="0"/>
            </w:tcBorders>
            <w:vAlign w:val="top"/>
          </w:tcPr>
          <w:p w14:paraId="7B41CD9D">
            <w:pPr>
              <w:rPr>
                <w:rFonts w:ascii="Arial"/>
                <w:sz w:val="21"/>
              </w:rPr>
            </w:pPr>
          </w:p>
        </w:tc>
      </w:tr>
      <w:tr w14:paraId="33EC1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428" w:type="dxa"/>
            <w:vMerge w:val="continue"/>
            <w:tcBorders>
              <w:top w:val="nil"/>
              <w:left w:val="single" w:color="000000" w:sz="6" w:space="0"/>
              <w:bottom w:val="nil"/>
            </w:tcBorders>
            <w:vAlign w:val="top"/>
          </w:tcPr>
          <w:p w14:paraId="30B7FF03">
            <w:pPr>
              <w:rPr>
                <w:rFonts w:ascii="Arial"/>
                <w:sz w:val="21"/>
              </w:rPr>
            </w:pPr>
          </w:p>
        </w:tc>
        <w:tc>
          <w:tcPr>
            <w:tcW w:w="113" w:type="dxa"/>
            <w:tcBorders>
              <w:top w:val="nil"/>
              <w:bottom w:val="nil"/>
            </w:tcBorders>
            <w:vAlign w:val="top"/>
          </w:tcPr>
          <w:p w14:paraId="2702EE3E">
            <w:pPr>
              <w:rPr>
                <w:rFonts w:ascii="Arial"/>
                <w:sz w:val="21"/>
              </w:rPr>
            </w:pPr>
          </w:p>
        </w:tc>
        <w:tc>
          <w:tcPr>
            <w:tcW w:w="596" w:type="dxa"/>
            <w:vMerge w:val="continue"/>
            <w:tcBorders>
              <w:top w:val="nil"/>
            </w:tcBorders>
            <w:textDirection w:val="tbRlV"/>
            <w:vAlign w:val="top"/>
          </w:tcPr>
          <w:p w14:paraId="1DC7406C">
            <w:pPr>
              <w:rPr>
                <w:rFonts w:ascii="Arial"/>
                <w:sz w:val="21"/>
              </w:rPr>
            </w:pPr>
          </w:p>
        </w:tc>
        <w:tc>
          <w:tcPr>
            <w:tcW w:w="1379" w:type="dxa"/>
            <w:gridSpan w:val="2"/>
            <w:vAlign w:val="top"/>
          </w:tcPr>
          <w:p w14:paraId="3D3ED36E">
            <w:pPr>
              <w:spacing w:before="251" w:line="231" w:lineRule="auto"/>
              <w:ind w:left="375"/>
              <w:rPr>
                <w:rFonts w:ascii="宋体" w:hAnsi="宋体" w:eastAsia="宋体" w:cs="宋体"/>
                <w:sz w:val="20"/>
                <w:szCs w:val="20"/>
              </w:rPr>
            </w:pPr>
            <w:r>
              <w:rPr>
                <w:rFonts w:ascii="宋体" w:hAnsi="宋体" w:eastAsia="宋体" w:cs="宋体"/>
                <w:spacing w:val="6"/>
                <w:sz w:val="20"/>
                <w:szCs w:val="20"/>
              </w:rPr>
              <w:t>配电室</w:t>
            </w:r>
          </w:p>
        </w:tc>
        <w:tc>
          <w:tcPr>
            <w:tcW w:w="2514" w:type="dxa"/>
            <w:vAlign w:val="top"/>
          </w:tcPr>
          <w:p w14:paraId="2F4B4F11">
            <w:pPr>
              <w:spacing w:before="46" w:line="228" w:lineRule="auto"/>
              <w:ind w:left="110"/>
              <w:rPr>
                <w:rFonts w:ascii="宋体" w:hAnsi="宋体" w:eastAsia="宋体" w:cs="宋体"/>
                <w:sz w:val="20"/>
                <w:szCs w:val="20"/>
              </w:rPr>
            </w:pPr>
            <w:r>
              <w:rPr>
                <w:rFonts w:ascii="宋体" w:hAnsi="宋体" w:eastAsia="宋体" w:cs="宋体"/>
                <w:spacing w:val="4"/>
                <w:sz w:val="20"/>
                <w:szCs w:val="20"/>
              </w:rPr>
              <w:t>位于项目区东北侧，</w:t>
            </w:r>
            <w:r>
              <w:rPr>
                <w:rFonts w:ascii="宋体" w:hAnsi="宋体" w:eastAsia="宋体" w:cs="宋体"/>
                <w:spacing w:val="-54"/>
                <w:sz w:val="20"/>
                <w:szCs w:val="20"/>
              </w:rPr>
              <w:t xml:space="preserve"> </w:t>
            </w:r>
            <w:r>
              <w:rPr>
                <w:rFonts w:ascii="宋体" w:hAnsi="宋体" w:eastAsia="宋体" w:cs="宋体"/>
                <w:spacing w:val="4"/>
                <w:sz w:val="20"/>
                <w:szCs w:val="20"/>
              </w:rPr>
              <w:t>占地</w:t>
            </w:r>
          </w:p>
          <w:p w14:paraId="744F8126">
            <w:pPr>
              <w:spacing w:before="161" w:line="228" w:lineRule="auto"/>
              <w:ind w:left="699"/>
              <w:rPr>
                <w:rFonts w:ascii="宋体" w:hAnsi="宋体" w:eastAsia="宋体" w:cs="宋体"/>
                <w:sz w:val="20"/>
                <w:szCs w:val="20"/>
              </w:rPr>
            </w:pPr>
            <w:r>
              <w:rPr>
                <w:rFonts w:ascii="宋体" w:hAnsi="宋体" w:eastAsia="宋体" w:cs="宋体"/>
                <w:spacing w:val="3"/>
                <w:sz w:val="20"/>
                <w:szCs w:val="20"/>
              </w:rPr>
              <w:t>面积</w:t>
            </w:r>
            <w:r>
              <w:rPr>
                <w:rFonts w:ascii="宋体" w:hAnsi="宋体" w:eastAsia="宋体" w:cs="宋体"/>
                <w:spacing w:val="-39"/>
                <w:sz w:val="20"/>
                <w:szCs w:val="20"/>
              </w:rPr>
              <w:t xml:space="preserve"> </w:t>
            </w:r>
            <w:r>
              <w:rPr>
                <w:rFonts w:ascii="Times New Roman" w:hAnsi="Times New Roman" w:eastAsia="Times New Roman" w:cs="Times New Roman"/>
                <w:spacing w:val="3"/>
                <w:sz w:val="20"/>
                <w:szCs w:val="20"/>
              </w:rPr>
              <w:t>20m</w:t>
            </w:r>
            <w:r>
              <w:rPr>
                <w:rFonts w:ascii="Times New Roman" w:hAnsi="Times New Roman" w:eastAsia="Times New Roman" w:cs="Times New Roman"/>
                <w:spacing w:val="3"/>
                <w:position w:val="6"/>
                <w:sz w:val="13"/>
                <w:szCs w:val="13"/>
              </w:rPr>
              <w:t>2</w:t>
            </w:r>
            <w:r>
              <w:rPr>
                <w:rFonts w:ascii="宋体" w:hAnsi="宋体" w:eastAsia="宋体" w:cs="宋体"/>
                <w:spacing w:val="3"/>
                <w:sz w:val="20"/>
                <w:szCs w:val="20"/>
              </w:rPr>
              <w:t>。</w:t>
            </w:r>
          </w:p>
        </w:tc>
        <w:tc>
          <w:tcPr>
            <w:tcW w:w="2213" w:type="dxa"/>
            <w:vAlign w:val="top"/>
          </w:tcPr>
          <w:p w14:paraId="1B5D843A">
            <w:pPr>
              <w:spacing w:before="290"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48F79946">
            <w:pPr>
              <w:spacing w:before="250" w:line="229" w:lineRule="auto"/>
              <w:ind w:left="613"/>
              <w:rPr>
                <w:rFonts w:ascii="宋体" w:hAnsi="宋体" w:eastAsia="宋体" w:cs="宋体"/>
                <w:sz w:val="20"/>
                <w:szCs w:val="20"/>
              </w:rPr>
            </w:pPr>
            <w:r>
              <w:rPr>
                <w:rFonts w:ascii="宋体" w:hAnsi="宋体" w:eastAsia="宋体" w:cs="宋体"/>
                <w:spacing w:val="4"/>
                <w:sz w:val="20"/>
                <w:szCs w:val="20"/>
              </w:rPr>
              <w:t>沿用</w:t>
            </w:r>
          </w:p>
        </w:tc>
        <w:tc>
          <w:tcPr>
            <w:tcW w:w="195" w:type="dxa"/>
            <w:vMerge w:val="continue"/>
            <w:tcBorders>
              <w:top w:val="nil"/>
              <w:bottom w:val="nil"/>
              <w:right w:val="single" w:color="000000" w:sz="6" w:space="0"/>
            </w:tcBorders>
            <w:vAlign w:val="top"/>
          </w:tcPr>
          <w:p w14:paraId="604E88AE">
            <w:pPr>
              <w:rPr>
                <w:rFonts w:ascii="Arial"/>
                <w:sz w:val="21"/>
              </w:rPr>
            </w:pPr>
          </w:p>
        </w:tc>
      </w:tr>
      <w:tr w14:paraId="7A9B0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2" w:hRule="atLeast"/>
        </w:trPr>
        <w:tc>
          <w:tcPr>
            <w:tcW w:w="428" w:type="dxa"/>
            <w:vMerge w:val="continue"/>
            <w:tcBorders>
              <w:top w:val="nil"/>
              <w:left w:val="single" w:color="000000" w:sz="6" w:space="0"/>
              <w:bottom w:val="single" w:color="000000" w:sz="6" w:space="0"/>
            </w:tcBorders>
            <w:vAlign w:val="top"/>
          </w:tcPr>
          <w:p w14:paraId="1A6460B0">
            <w:pPr>
              <w:rPr>
                <w:rFonts w:ascii="Arial"/>
                <w:sz w:val="21"/>
              </w:rPr>
            </w:pPr>
          </w:p>
        </w:tc>
        <w:tc>
          <w:tcPr>
            <w:tcW w:w="113" w:type="dxa"/>
            <w:tcBorders>
              <w:top w:val="nil"/>
              <w:bottom w:val="single" w:color="000000" w:sz="6" w:space="0"/>
            </w:tcBorders>
            <w:vAlign w:val="top"/>
          </w:tcPr>
          <w:p w14:paraId="7D256582">
            <w:pPr>
              <w:rPr>
                <w:rFonts w:ascii="Arial"/>
                <w:sz w:val="21"/>
              </w:rPr>
            </w:pPr>
          </w:p>
        </w:tc>
        <w:tc>
          <w:tcPr>
            <w:tcW w:w="596" w:type="dxa"/>
            <w:tcBorders>
              <w:bottom w:val="single" w:color="000000" w:sz="6" w:space="0"/>
            </w:tcBorders>
            <w:textDirection w:val="tbRlV"/>
            <w:vAlign w:val="top"/>
          </w:tcPr>
          <w:p w14:paraId="410AB4D2">
            <w:pPr>
              <w:spacing w:before="198" w:line="216" w:lineRule="auto"/>
              <w:ind w:left="43"/>
              <w:rPr>
                <w:rFonts w:ascii="宋体" w:hAnsi="宋体" w:eastAsia="宋体" w:cs="宋体"/>
                <w:sz w:val="20"/>
                <w:szCs w:val="20"/>
              </w:rPr>
            </w:pPr>
            <w:r>
              <w:rPr>
                <w:rFonts w:ascii="宋体" w:hAnsi="宋体" w:eastAsia="宋体" w:cs="宋体"/>
                <w:spacing w:val="8"/>
                <w:sz w:val="20"/>
                <w:szCs w:val="20"/>
              </w:rPr>
              <w:t>环</w:t>
            </w:r>
            <w:r>
              <w:rPr>
                <w:rFonts w:ascii="宋体" w:hAnsi="宋体" w:eastAsia="宋体" w:cs="宋体"/>
                <w:spacing w:val="100"/>
                <w:sz w:val="20"/>
                <w:szCs w:val="20"/>
              </w:rPr>
              <w:t xml:space="preserve"> </w:t>
            </w:r>
            <w:r>
              <w:rPr>
                <w:rFonts w:ascii="宋体" w:hAnsi="宋体" w:eastAsia="宋体" w:cs="宋体"/>
                <w:spacing w:val="8"/>
                <w:sz w:val="20"/>
                <w:szCs w:val="20"/>
              </w:rPr>
              <w:t>保</w:t>
            </w:r>
            <w:r>
              <w:rPr>
                <w:rFonts w:ascii="宋体" w:hAnsi="宋体" w:eastAsia="宋体" w:cs="宋体"/>
                <w:spacing w:val="1"/>
                <w:sz w:val="20"/>
                <w:szCs w:val="20"/>
              </w:rPr>
              <w:t xml:space="preserve">  </w:t>
            </w:r>
            <w:r>
              <w:rPr>
                <w:rFonts w:ascii="宋体" w:hAnsi="宋体" w:eastAsia="宋体" w:cs="宋体"/>
                <w:spacing w:val="8"/>
                <w:sz w:val="20"/>
                <w:szCs w:val="20"/>
              </w:rPr>
              <w:t>工</w:t>
            </w:r>
          </w:p>
        </w:tc>
        <w:tc>
          <w:tcPr>
            <w:tcW w:w="661" w:type="dxa"/>
            <w:tcBorders>
              <w:bottom w:val="single" w:color="000000" w:sz="6" w:space="0"/>
            </w:tcBorders>
            <w:vAlign w:val="top"/>
          </w:tcPr>
          <w:p w14:paraId="7641235C">
            <w:pPr>
              <w:spacing w:before="43" w:line="228" w:lineRule="auto"/>
              <w:ind w:left="120"/>
              <w:rPr>
                <w:rFonts w:ascii="宋体" w:hAnsi="宋体" w:eastAsia="宋体" w:cs="宋体"/>
                <w:sz w:val="20"/>
                <w:szCs w:val="20"/>
              </w:rPr>
            </w:pPr>
            <w:r>
              <w:rPr>
                <w:rFonts w:ascii="宋体" w:hAnsi="宋体" w:eastAsia="宋体" w:cs="宋体"/>
                <w:spacing w:val="5"/>
                <w:sz w:val="20"/>
                <w:szCs w:val="20"/>
              </w:rPr>
              <w:t>废水</w:t>
            </w:r>
          </w:p>
          <w:p w14:paraId="466ADFCD">
            <w:pPr>
              <w:spacing w:before="161" w:line="233" w:lineRule="auto"/>
              <w:ind w:left="126"/>
              <w:rPr>
                <w:rFonts w:ascii="宋体" w:hAnsi="宋体" w:eastAsia="宋体" w:cs="宋体"/>
                <w:sz w:val="20"/>
                <w:szCs w:val="20"/>
              </w:rPr>
            </w:pPr>
            <w:r>
              <w:rPr>
                <w:rFonts w:ascii="宋体" w:hAnsi="宋体" w:eastAsia="宋体" w:cs="宋体"/>
                <w:spacing w:val="2"/>
                <w:sz w:val="20"/>
                <w:szCs w:val="20"/>
              </w:rPr>
              <w:t>治理</w:t>
            </w:r>
          </w:p>
          <w:p w14:paraId="3E68C8F4">
            <w:pPr>
              <w:spacing w:before="158" w:line="228" w:lineRule="auto"/>
              <w:ind w:left="121"/>
              <w:rPr>
                <w:rFonts w:ascii="宋体" w:hAnsi="宋体" w:eastAsia="宋体" w:cs="宋体"/>
                <w:sz w:val="20"/>
                <w:szCs w:val="20"/>
              </w:rPr>
            </w:pPr>
            <w:r>
              <w:rPr>
                <w:rFonts w:ascii="宋体" w:hAnsi="宋体" w:eastAsia="宋体" w:cs="宋体"/>
                <w:spacing w:val="4"/>
                <w:sz w:val="20"/>
                <w:szCs w:val="20"/>
              </w:rPr>
              <w:t>措施</w:t>
            </w:r>
          </w:p>
        </w:tc>
        <w:tc>
          <w:tcPr>
            <w:tcW w:w="718" w:type="dxa"/>
            <w:tcBorders>
              <w:bottom w:val="single" w:color="000000" w:sz="6" w:space="0"/>
            </w:tcBorders>
            <w:vAlign w:val="top"/>
          </w:tcPr>
          <w:p w14:paraId="645485A8">
            <w:pPr>
              <w:spacing w:before="246" w:line="383" w:lineRule="auto"/>
              <w:ind w:left="253" w:right="154" w:hanging="104"/>
              <w:rPr>
                <w:rFonts w:ascii="宋体" w:hAnsi="宋体" w:eastAsia="宋体" w:cs="宋体"/>
                <w:sz w:val="20"/>
                <w:szCs w:val="20"/>
              </w:rPr>
            </w:pPr>
            <w:r>
              <w:rPr>
                <w:rFonts w:ascii="宋体" w:hAnsi="宋体" w:eastAsia="宋体" w:cs="宋体"/>
                <w:spacing w:val="4"/>
                <w:sz w:val="20"/>
                <w:szCs w:val="20"/>
              </w:rPr>
              <w:t>化粪</w:t>
            </w:r>
            <w:r>
              <w:rPr>
                <w:rFonts w:ascii="宋体" w:hAnsi="宋体" w:eastAsia="宋体" w:cs="宋体"/>
                <w:sz w:val="20"/>
                <w:szCs w:val="20"/>
              </w:rPr>
              <w:t>池</w:t>
            </w:r>
          </w:p>
        </w:tc>
        <w:tc>
          <w:tcPr>
            <w:tcW w:w="2514" w:type="dxa"/>
            <w:tcBorders>
              <w:bottom w:val="single" w:color="000000" w:sz="6" w:space="0"/>
            </w:tcBorders>
            <w:vAlign w:val="top"/>
          </w:tcPr>
          <w:p w14:paraId="40585059">
            <w:pPr>
              <w:spacing w:before="43" w:line="228" w:lineRule="auto"/>
              <w:ind w:left="148"/>
              <w:rPr>
                <w:rFonts w:ascii="宋体" w:hAnsi="宋体" w:eastAsia="宋体" w:cs="宋体"/>
                <w:sz w:val="20"/>
                <w:szCs w:val="20"/>
              </w:rPr>
            </w:pP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个，位于倒班房南侧，</w:t>
            </w:r>
          </w:p>
          <w:p w14:paraId="48065EB8">
            <w:pPr>
              <w:spacing w:before="161" w:line="228" w:lineRule="auto"/>
              <w:ind w:left="122"/>
              <w:rPr>
                <w:rFonts w:ascii="宋体" w:hAnsi="宋体" w:eastAsia="宋体" w:cs="宋体"/>
                <w:sz w:val="20"/>
                <w:szCs w:val="20"/>
              </w:rPr>
            </w:pPr>
            <w:r>
              <w:rPr>
                <w:rFonts w:ascii="宋体" w:hAnsi="宋体" w:eastAsia="宋体" w:cs="宋体"/>
                <w:spacing w:val="5"/>
                <w:sz w:val="20"/>
                <w:szCs w:val="20"/>
              </w:rPr>
              <w:t>容积为</w:t>
            </w:r>
            <w:r>
              <w:rPr>
                <w:rFonts w:ascii="宋体" w:hAnsi="宋体" w:eastAsia="宋体" w:cs="宋体"/>
                <w:spacing w:val="-41"/>
                <w:sz w:val="20"/>
                <w:szCs w:val="20"/>
              </w:rPr>
              <w:t xml:space="preserve"> </w:t>
            </w:r>
            <w:r>
              <w:rPr>
                <w:rFonts w:ascii="Times New Roman" w:hAnsi="Times New Roman" w:eastAsia="Times New Roman" w:cs="Times New Roman"/>
                <w:spacing w:val="5"/>
                <w:sz w:val="20"/>
                <w:szCs w:val="20"/>
              </w:rPr>
              <w:t>4m</w:t>
            </w:r>
            <w:r>
              <w:rPr>
                <w:rFonts w:ascii="Times New Roman" w:hAnsi="Times New Roman" w:eastAsia="Times New Roman" w:cs="Times New Roman"/>
                <w:spacing w:val="5"/>
                <w:position w:val="6"/>
                <w:sz w:val="13"/>
                <w:szCs w:val="13"/>
              </w:rPr>
              <w:t>3</w:t>
            </w:r>
            <w:r>
              <w:rPr>
                <w:rFonts w:ascii="Times New Roman" w:hAnsi="Times New Roman" w:eastAsia="Times New Roman" w:cs="Times New Roman"/>
                <w:spacing w:val="-9"/>
                <w:position w:val="6"/>
                <w:sz w:val="13"/>
                <w:szCs w:val="13"/>
              </w:rPr>
              <w:t xml:space="preserve"> </w:t>
            </w:r>
            <w:r>
              <w:rPr>
                <w:rFonts w:ascii="宋体" w:hAnsi="宋体" w:eastAsia="宋体" w:cs="宋体"/>
                <w:spacing w:val="5"/>
                <w:sz w:val="20"/>
                <w:szCs w:val="20"/>
              </w:rPr>
              <w:t>，对生活废水</w:t>
            </w:r>
          </w:p>
          <w:p w14:paraId="3D3C2AE8">
            <w:pPr>
              <w:spacing w:before="164" w:line="228" w:lineRule="auto"/>
              <w:ind w:left="629"/>
              <w:rPr>
                <w:rFonts w:ascii="宋体" w:hAnsi="宋体" w:eastAsia="宋体" w:cs="宋体"/>
                <w:sz w:val="20"/>
                <w:szCs w:val="20"/>
              </w:rPr>
            </w:pPr>
            <w:r>
              <w:rPr>
                <w:rFonts w:ascii="宋体" w:hAnsi="宋体" w:eastAsia="宋体" w:cs="宋体"/>
                <w:spacing w:val="7"/>
                <w:sz w:val="20"/>
                <w:szCs w:val="20"/>
              </w:rPr>
              <w:t>进行预处理。</w:t>
            </w:r>
          </w:p>
        </w:tc>
        <w:tc>
          <w:tcPr>
            <w:tcW w:w="2213" w:type="dxa"/>
            <w:tcBorders>
              <w:bottom w:val="single" w:color="000000" w:sz="6" w:space="0"/>
            </w:tcBorders>
            <w:vAlign w:val="top"/>
          </w:tcPr>
          <w:p w14:paraId="14D9D588">
            <w:pPr>
              <w:spacing w:line="384" w:lineRule="auto"/>
              <w:rPr>
                <w:rFonts w:ascii="Arial"/>
                <w:sz w:val="21"/>
              </w:rPr>
            </w:pPr>
          </w:p>
          <w:p w14:paraId="6D75574E">
            <w:pPr>
              <w:spacing w:before="65" w:line="227" w:lineRule="auto"/>
              <w:ind w:left="905"/>
              <w:rPr>
                <w:rFonts w:ascii="宋体" w:hAnsi="宋体" w:eastAsia="宋体" w:cs="宋体"/>
                <w:sz w:val="20"/>
                <w:szCs w:val="20"/>
              </w:rPr>
            </w:pPr>
            <w:r>
              <w:rPr>
                <w:rFonts w:ascii="宋体" w:hAnsi="宋体" w:eastAsia="宋体" w:cs="宋体"/>
                <w:spacing w:val="3"/>
                <w:sz w:val="20"/>
                <w:szCs w:val="20"/>
              </w:rPr>
              <w:t>依托</w:t>
            </w:r>
          </w:p>
        </w:tc>
        <w:tc>
          <w:tcPr>
            <w:tcW w:w="1626" w:type="dxa"/>
            <w:tcBorders>
              <w:bottom w:val="single" w:color="000000" w:sz="6" w:space="0"/>
            </w:tcBorders>
            <w:vAlign w:val="top"/>
          </w:tcPr>
          <w:p w14:paraId="2F12F9A1">
            <w:pPr>
              <w:spacing w:line="384" w:lineRule="auto"/>
              <w:rPr>
                <w:rFonts w:ascii="Arial"/>
                <w:sz w:val="21"/>
              </w:rPr>
            </w:pPr>
          </w:p>
          <w:p w14:paraId="1B384C29">
            <w:pPr>
              <w:spacing w:before="65" w:line="229" w:lineRule="auto"/>
              <w:ind w:left="613"/>
              <w:rPr>
                <w:rFonts w:ascii="宋体" w:hAnsi="宋体" w:eastAsia="宋体" w:cs="宋体"/>
                <w:sz w:val="20"/>
                <w:szCs w:val="20"/>
              </w:rPr>
            </w:pPr>
            <w:r>
              <w:rPr>
                <w:rFonts w:ascii="宋体" w:hAnsi="宋体" w:eastAsia="宋体" w:cs="宋体"/>
                <w:spacing w:val="4"/>
                <w:sz w:val="20"/>
                <w:szCs w:val="20"/>
              </w:rPr>
              <w:t>沿用</w:t>
            </w:r>
          </w:p>
        </w:tc>
        <w:tc>
          <w:tcPr>
            <w:tcW w:w="195" w:type="dxa"/>
            <w:vMerge w:val="continue"/>
            <w:tcBorders>
              <w:top w:val="nil"/>
              <w:bottom w:val="single" w:color="000000" w:sz="6" w:space="0"/>
              <w:right w:val="single" w:color="000000" w:sz="6" w:space="0"/>
            </w:tcBorders>
            <w:vAlign w:val="top"/>
          </w:tcPr>
          <w:p w14:paraId="17CD6B71">
            <w:pPr>
              <w:rPr>
                <w:rFonts w:ascii="Arial"/>
                <w:sz w:val="21"/>
              </w:rPr>
            </w:pPr>
          </w:p>
        </w:tc>
      </w:tr>
    </w:tbl>
    <w:p w14:paraId="50F10992">
      <w:pPr>
        <w:pStyle w:val="2"/>
      </w:pPr>
    </w:p>
    <w:p w14:paraId="6F4E51DA">
      <w:pPr>
        <w:sectPr>
          <w:footerReference r:id="rId50" w:type="default"/>
          <w:pgSz w:w="11906" w:h="16839"/>
          <w:pgMar w:top="400" w:right="1413" w:bottom="1329" w:left="1413" w:header="0" w:footer="1113" w:gutter="0"/>
          <w:cols w:space="720" w:num="1"/>
        </w:sectPr>
      </w:pPr>
    </w:p>
    <w:p w14:paraId="1791FDD7">
      <w:pPr>
        <w:spacing w:before="19"/>
      </w:pPr>
    </w:p>
    <w:p w14:paraId="3C015A76">
      <w:pPr>
        <w:spacing w:before="19"/>
      </w:pPr>
    </w:p>
    <w:p w14:paraId="3CEA1518">
      <w:pPr>
        <w:spacing w:before="19"/>
      </w:pPr>
    </w:p>
    <w:p w14:paraId="0E68ECD8">
      <w:pPr>
        <w:spacing w:before="18"/>
      </w:pPr>
    </w:p>
    <w:p w14:paraId="458AF9E3">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596"/>
        <w:gridCol w:w="661"/>
        <w:gridCol w:w="718"/>
        <w:gridCol w:w="2514"/>
        <w:gridCol w:w="2213"/>
        <w:gridCol w:w="1626"/>
        <w:gridCol w:w="195"/>
      </w:tblGrid>
      <w:tr w14:paraId="460C6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1" w:hRule="atLeast"/>
        </w:trPr>
        <w:tc>
          <w:tcPr>
            <w:tcW w:w="428" w:type="dxa"/>
            <w:vMerge w:val="restart"/>
            <w:tcBorders>
              <w:top w:val="single" w:color="000000" w:sz="6" w:space="0"/>
              <w:left w:val="single" w:color="000000" w:sz="6" w:space="0"/>
              <w:bottom w:val="nil"/>
            </w:tcBorders>
            <w:vAlign w:val="top"/>
          </w:tcPr>
          <w:p w14:paraId="131DB22E">
            <w:pPr>
              <w:rPr>
                <w:rFonts w:ascii="Arial"/>
                <w:sz w:val="21"/>
              </w:rPr>
            </w:pPr>
          </w:p>
        </w:tc>
        <w:tc>
          <w:tcPr>
            <w:tcW w:w="113" w:type="dxa"/>
            <w:tcBorders>
              <w:top w:val="single" w:color="000000" w:sz="6" w:space="0"/>
              <w:bottom w:val="nil"/>
            </w:tcBorders>
            <w:vAlign w:val="top"/>
          </w:tcPr>
          <w:p w14:paraId="267E91E0">
            <w:pPr>
              <w:rPr>
                <w:rFonts w:ascii="Arial"/>
                <w:sz w:val="21"/>
              </w:rPr>
            </w:pPr>
          </w:p>
        </w:tc>
        <w:tc>
          <w:tcPr>
            <w:tcW w:w="596" w:type="dxa"/>
            <w:vMerge w:val="restart"/>
            <w:tcBorders>
              <w:top w:val="single" w:color="000000" w:sz="6" w:space="0"/>
              <w:bottom w:val="nil"/>
            </w:tcBorders>
            <w:vAlign w:val="top"/>
          </w:tcPr>
          <w:p w14:paraId="6DF4EA73">
            <w:pPr>
              <w:spacing w:before="47" w:line="228" w:lineRule="auto"/>
              <w:ind w:left="190"/>
              <w:rPr>
                <w:rFonts w:ascii="宋体" w:hAnsi="宋体" w:eastAsia="宋体" w:cs="宋体"/>
                <w:sz w:val="20"/>
                <w:szCs w:val="20"/>
              </w:rPr>
            </w:pPr>
            <w:r>
              <w:rPr>
                <w:rFonts w:ascii="宋体" w:hAnsi="宋体" w:eastAsia="宋体" w:cs="宋体"/>
                <w:spacing w:val="1"/>
                <w:sz w:val="20"/>
                <w:szCs w:val="20"/>
              </w:rPr>
              <w:t>程</w:t>
            </w:r>
          </w:p>
        </w:tc>
        <w:tc>
          <w:tcPr>
            <w:tcW w:w="661" w:type="dxa"/>
            <w:vMerge w:val="restart"/>
            <w:tcBorders>
              <w:top w:val="single" w:color="000000" w:sz="6" w:space="0"/>
              <w:bottom w:val="nil"/>
            </w:tcBorders>
            <w:vAlign w:val="top"/>
          </w:tcPr>
          <w:p w14:paraId="69FE46F4">
            <w:pPr>
              <w:rPr>
                <w:rFonts w:ascii="Arial"/>
                <w:sz w:val="21"/>
              </w:rPr>
            </w:pPr>
          </w:p>
        </w:tc>
        <w:tc>
          <w:tcPr>
            <w:tcW w:w="718" w:type="dxa"/>
            <w:tcBorders>
              <w:top w:val="single" w:color="000000" w:sz="6" w:space="0"/>
            </w:tcBorders>
            <w:vAlign w:val="top"/>
          </w:tcPr>
          <w:p w14:paraId="3A06F67A">
            <w:pPr>
              <w:spacing w:before="251" w:line="229" w:lineRule="auto"/>
              <w:ind w:left="152"/>
              <w:rPr>
                <w:rFonts w:ascii="宋体" w:hAnsi="宋体" w:eastAsia="宋体" w:cs="宋体"/>
                <w:sz w:val="20"/>
                <w:szCs w:val="20"/>
              </w:rPr>
            </w:pPr>
            <w:r>
              <w:rPr>
                <w:rFonts w:ascii="宋体" w:hAnsi="宋体" w:eastAsia="宋体" w:cs="宋体"/>
                <w:spacing w:val="3"/>
                <w:sz w:val="20"/>
                <w:szCs w:val="20"/>
              </w:rPr>
              <w:t>一体</w:t>
            </w:r>
          </w:p>
          <w:p w14:paraId="0CC3D8A4">
            <w:pPr>
              <w:spacing w:before="159" w:line="229" w:lineRule="auto"/>
              <w:ind w:left="149"/>
              <w:rPr>
                <w:rFonts w:ascii="宋体" w:hAnsi="宋体" w:eastAsia="宋体" w:cs="宋体"/>
                <w:sz w:val="20"/>
                <w:szCs w:val="20"/>
              </w:rPr>
            </w:pPr>
            <w:r>
              <w:rPr>
                <w:rFonts w:ascii="宋体" w:hAnsi="宋体" w:eastAsia="宋体" w:cs="宋体"/>
                <w:spacing w:val="4"/>
                <w:sz w:val="20"/>
                <w:szCs w:val="20"/>
              </w:rPr>
              <w:t>化污</w:t>
            </w:r>
          </w:p>
          <w:p w14:paraId="75E6108F">
            <w:pPr>
              <w:spacing w:before="159" w:line="228" w:lineRule="auto"/>
              <w:ind w:left="151"/>
              <w:rPr>
                <w:rFonts w:ascii="宋体" w:hAnsi="宋体" w:eastAsia="宋体" w:cs="宋体"/>
                <w:sz w:val="20"/>
                <w:szCs w:val="20"/>
              </w:rPr>
            </w:pPr>
            <w:r>
              <w:rPr>
                <w:rFonts w:ascii="宋体" w:hAnsi="宋体" w:eastAsia="宋体" w:cs="宋体"/>
                <w:spacing w:val="3"/>
                <w:sz w:val="20"/>
                <w:szCs w:val="20"/>
              </w:rPr>
              <w:t>水处</w:t>
            </w:r>
          </w:p>
          <w:p w14:paraId="0115755E">
            <w:pPr>
              <w:spacing w:before="160" w:line="382" w:lineRule="auto"/>
              <w:ind w:left="253" w:right="154" w:hanging="102"/>
              <w:rPr>
                <w:rFonts w:ascii="宋体" w:hAnsi="宋体" w:eastAsia="宋体" w:cs="宋体"/>
                <w:sz w:val="20"/>
                <w:szCs w:val="20"/>
              </w:rPr>
            </w:pPr>
            <w:r>
              <w:rPr>
                <w:rFonts w:ascii="宋体" w:hAnsi="宋体" w:eastAsia="宋体" w:cs="宋体"/>
                <w:spacing w:val="3"/>
                <w:sz w:val="20"/>
                <w:szCs w:val="20"/>
              </w:rPr>
              <w:t>理设</w:t>
            </w:r>
            <w:r>
              <w:rPr>
                <w:rFonts w:ascii="宋体" w:hAnsi="宋体" w:eastAsia="宋体" w:cs="宋体"/>
                <w:spacing w:val="1"/>
                <w:sz w:val="20"/>
                <w:szCs w:val="20"/>
              </w:rPr>
              <w:t>施</w:t>
            </w:r>
          </w:p>
        </w:tc>
        <w:tc>
          <w:tcPr>
            <w:tcW w:w="2514" w:type="dxa"/>
            <w:tcBorders>
              <w:top w:val="single" w:color="000000" w:sz="6" w:space="0"/>
            </w:tcBorders>
            <w:vAlign w:val="top"/>
          </w:tcPr>
          <w:p w14:paraId="26AB065A">
            <w:pPr>
              <w:spacing w:before="48" w:line="368" w:lineRule="auto"/>
              <w:ind w:left="112" w:right="107" w:firstLine="20"/>
              <w:jc w:val="both"/>
              <w:rPr>
                <w:rFonts w:ascii="宋体" w:hAnsi="宋体" w:eastAsia="宋体" w:cs="宋体"/>
                <w:sz w:val="20"/>
                <w:szCs w:val="20"/>
              </w:rPr>
            </w:pP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个，处理规模</w:t>
            </w:r>
            <w:r>
              <w:rPr>
                <w:rFonts w:ascii="宋体" w:hAnsi="宋体" w:eastAsia="宋体" w:cs="宋体"/>
                <w:spacing w:val="-16"/>
                <w:sz w:val="20"/>
                <w:szCs w:val="20"/>
              </w:rPr>
              <w:t xml:space="preserve"> </w:t>
            </w:r>
            <w:r>
              <w:rPr>
                <w:rFonts w:ascii="Times New Roman" w:hAnsi="Times New Roman" w:eastAsia="Times New Roman" w:cs="Times New Roman"/>
                <w:spacing w:val="2"/>
                <w:sz w:val="20"/>
                <w:szCs w:val="20"/>
              </w:rPr>
              <w:t>10m</w:t>
            </w:r>
            <w:r>
              <w:rPr>
                <w:rFonts w:ascii="Times New Roman" w:hAnsi="Times New Roman" w:eastAsia="Times New Roman" w:cs="Times New Roman"/>
                <w:spacing w:val="2"/>
                <w:position w:val="6"/>
                <w:sz w:val="13"/>
                <w:szCs w:val="13"/>
              </w:rPr>
              <w:t>3</w:t>
            </w:r>
            <w:r>
              <w:rPr>
                <w:rFonts w:ascii="Times New Roman" w:hAnsi="Times New Roman" w:eastAsia="Times New Roman" w:cs="Times New Roman"/>
                <w:spacing w:val="2"/>
                <w:sz w:val="20"/>
                <w:szCs w:val="20"/>
              </w:rPr>
              <w:t>/d</w:t>
            </w:r>
            <w:r>
              <w:rPr>
                <w:rFonts w:ascii="Times New Roman" w:hAnsi="Times New Roman" w:eastAsia="Times New Roman" w:cs="Times New Roman"/>
                <w:spacing w:val="-24"/>
                <w:sz w:val="20"/>
                <w:szCs w:val="20"/>
              </w:rPr>
              <w:t xml:space="preserve"> </w:t>
            </w:r>
            <w:r>
              <w:rPr>
                <w:rFonts w:ascii="宋体" w:hAnsi="宋体" w:eastAsia="宋体" w:cs="宋体"/>
                <w:spacing w:val="2"/>
                <w:sz w:val="20"/>
                <w:szCs w:val="20"/>
              </w:rPr>
              <w:t>，</w:t>
            </w:r>
            <w:r>
              <w:rPr>
                <w:rFonts w:ascii="宋体" w:hAnsi="宋体" w:eastAsia="宋体" w:cs="宋体"/>
                <w:spacing w:val="18"/>
                <w:sz w:val="20"/>
                <w:szCs w:val="20"/>
              </w:rPr>
              <w:t>对化粪池预处理后的生</w:t>
            </w:r>
            <w:r>
              <w:rPr>
                <w:rFonts w:ascii="宋体" w:hAnsi="宋体" w:eastAsia="宋体" w:cs="宋体"/>
                <w:spacing w:val="8"/>
                <w:sz w:val="20"/>
                <w:szCs w:val="20"/>
              </w:rPr>
              <w:t>活污水进一步处理，达标</w:t>
            </w:r>
            <w:r>
              <w:rPr>
                <w:rFonts w:ascii="宋体" w:hAnsi="宋体" w:eastAsia="宋体" w:cs="宋体"/>
                <w:spacing w:val="18"/>
                <w:sz w:val="20"/>
                <w:szCs w:val="20"/>
              </w:rPr>
              <w:t>后晴天回用作为绿化浇</w:t>
            </w:r>
            <w:r>
              <w:rPr>
                <w:rFonts w:ascii="宋体" w:hAnsi="宋体" w:eastAsia="宋体" w:cs="宋体"/>
                <w:spacing w:val="8"/>
                <w:sz w:val="20"/>
                <w:szCs w:val="20"/>
              </w:rPr>
              <w:t>灌、道路洒水，雨天暂存</w:t>
            </w:r>
            <w:r>
              <w:rPr>
                <w:rFonts w:ascii="宋体" w:hAnsi="宋体" w:eastAsia="宋体" w:cs="宋体"/>
                <w:spacing w:val="7"/>
                <w:sz w:val="20"/>
                <w:szCs w:val="20"/>
              </w:rPr>
              <w:t>于项目内设置的蓄水池。</w:t>
            </w:r>
          </w:p>
        </w:tc>
        <w:tc>
          <w:tcPr>
            <w:tcW w:w="2213" w:type="dxa"/>
            <w:tcBorders>
              <w:top w:val="single" w:color="000000" w:sz="6" w:space="0"/>
            </w:tcBorders>
            <w:vAlign w:val="top"/>
          </w:tcPr>
          <w:p w14:paraId="7AE828A4">
            <w:pPr>
              <w:spacing w:line="248" w:lineRule="auto"/>
              <w:rPr>
                <w:rFonts w:ascii="Arial"/>
                <w:sz w:val="21"/>
              </w:rPr>
            </w:pPr>
          </w:p>
          <w:p w14:paraId="3BA60F5B">
            <w:pPr>
              <w:spacing w:line="249" w:lineRule="auto"/>
              <w:rPr>
                <w:rFonts w:ascii="Arial"/>
                <w:sz w:val="21"/>
              </w:rPr>
            </w:pPr>
          </w:p>
          <w:p w14:paraId="6ED5476F">
            <w:pPr>
              <w:spacing w:line="249" w:lineRule="auto"/>
              <w:rPr>
                <w:rFonts w:ascii="Arial"/>
                <w:sz w:val="21"/>
              </w:rPr>
            </w:pPr>
          </w:p>
          <w:p w14:paraId="3B40BB00">
            <w:pPr>
              <w:spacing w:line="249" w:lineRule="auto"/>
              <w:rPr>
                <w:rFonts w:ascii="Arial"/>
                <w:sz w:val="21"/>
              </w:rPr>
            </w:pPr>
          </w:p>
          <w:p w14:paraId="76CA2A3D">
            <w:pPr>
              <w:spacing w:before="65" w:line="227" w:lineRule="auto"/>
              <w:ind w:left="905"/>
              <w:rPr>
                <w:rFonts w:ascii="宋体" w:hAnsi="宋体" w:eastAsia="宋体" w:cs="宋体"/>
                <w:sz w:val="20"/>
                <w:szCs w:val="20"/>
              </w:rPr>
            </w:pPr>
            <w:r>
              <w:rPr>
                <w:rFonts w:ascii="宋体" w:hAnsi="宋体" w:eastAsia="宋体" w:cs="宋体"/>
                <w:spacing w:val="3"/>
                <w:sz w:val="20"/>
                <w:szCs w:val="20"/>
              </w:rPr>
              <w:t>依托</w:t>
            </w:r>
          </w:p>
        </w:tc>
        <w:tc>
          <w:tcPr>
            <w:tcW w:w="1626" w:type="dxa"/>
            <w:tcBorders>
              <w:top w:val="single" w:color="000000" w:sz="6" w:space="0"/>
            </w:tcBorders>
            <w:vAlign w:val="top"/>
          </w:tcPr>
          <w:p w14:paraId="6BB617C5">
            <w:pPr>
              <w:spacing w:line="249" w:lineRule="auto"/>
              <w:rPr>
                <w:rFonts w:ascii="Arial"/>
                <w:sz w:val="21"/>
              </w:rPr>
            </w:pPr>
          </w:p>
          <w:p w14:paraId="758C8D9A">
            <w:pPr>
              <w:spacing w:line="249" w:lineRule="auto"/>
              <w:rPr>
                <w:rFonts w:ascii="Arial"/>
                <w:sz w:val="21"/>
              </w:rPr>
            </w:pPr>
          </w:p>
          <w:p w14:paraId="66F5C8B1">
            <w:pPr>
              <w:spacing w:line="249" w:lineRule="auto"/>
              <w:rPr>
                <w:rFonts w:ascii="Arial"/>
                <w:sz w:val="21"/>
              </w:rPr>
            </w:pPr>
          </w:p>
          <w:p w14:paraId="5A7FC7BA">
            <w:pPr>
              <w:spacing w:line="249" w:lineRule="auto"/>
              <w:rPr>
                <w:rFonts w:ascii="Arial"/>
                <w:sz w:val="21"/>
              </w:rPr>
            </w:pPr>
          </w:p>
          <w:p w14:paraId="1EA6B95D">
            <w:pPr>
              <w:spacing w:before="65" w:line="229" w:lineRule="auto"/>
              <w:ind w:left="613"/>
              <w:rPr>
                <w:rFonts w:ascii="宋体" w:hAnsi="宋体" w:eastAsia="宋体" w:cs="宋体"/>
                <w:sz w:val="20"/>
                <w:szCs w:val="20"/>
              </w:rPr>
            </w:pPr>
            <w:r>
              <w:rPr>
                <w:rFonts w:ascii="宋体" w:hAnsi="宋体" w:eastAsia="宋体" w:cs="宋体"/>
                <w:spacing w:val="4"/>
                <w:sz w:val="20"/>
                <w:szCs w:val="20"/>
              </w:rPr>
              <w:t>沿用</w:t>
            </w:r>
          </w:p>
        </w:tc>
        <w:tc>
          <w:tcPr>
            <w:tcW w:w="195" w:type="dxa"/>
            <w:vMerge w:val="restart"/>
            <w:tcBorders>
              <w:top w:val="single" w:color="000000" w:sz="6" w:space="0"/>
              <w:bottom w:val="nil"/>
              <w:right w:val="single" w:color="000000" w:sz="6" w:space="0"/>
            </w:tcBorders>
            <w:vAlign w:val="top"/>
          </w:tcPr>
          <w:p w14:paraId="06B184D3">
            <w:pPr>
              <w:rPr>
                <w:rFonts w:ascii="Arial"/>
                <w:sz w:val="21"/>
              </w:rPr>
            </w:pPr>
          </w:p>
        </w:tc>
      </w:tr>
      <w:tr w14:paraId="71082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4" w:hRule="atLeast"/>
        </w:trPr>
        <w:tc>
          <w:tcPr>
            <w:tcW w:w="428" w:type="dxa"/>
            <w:vMerge w:val="continue"/>
            <w:tcBorders>
              <w:top w:val="nil"/>
              <w:left w:val="single" w:color="000000" w:sz="6" w:space="0"/>
              <w:bottom w:val="nil"/>
            </w:tcBorders>
            <w:vAlign w:val="top"/>
          </w:tcPr>
          <w:p w14:paraId="4EA94CE0">
            <w:pPr>
              <w:rPr>
                <w:rFonts w:ascii="Arial"/>
                <w:sz w:val="21"/>
              </w:rPr>
            </w:pPr>
          </w:p>
        </w:tc>
        <w:tc>
          <w:tcPr>
            <w:tcW w:w="113" w:type="dxa"/>
            <w:tcBorders>
              <w:top w:val="nil"/>
              <w:bottom w:val="nil"/>
            </w:tcBorders>
            <w:vAlign w:val="top"/>
          </w:tcPr>
          <w:p w14:paraId="732344EB">
            <w:pPr>
              <w:rPr>
                <w:rFonts w:ascii="Arial"/>
                <w:sz w:val="21"/>
              </w:rPr>
            </w:pPr>
          </w:p>
        </w:tc>
        <w:tc>
          <w:tcPr>
            <w:tcW w:w="596" w:type="dxa"/>
            <w:vMerge w:val="continue"/>
            <w:tcBorders>
              <w:top w:val="nil"/>
              <w:bottom w:val="nil"/>
            </w:tcBorders>
            <w:vAlign w:val="top"/>
          </w:tcPr>
          <w:p w14:paraId="2B601DA3">
            <w:pPr>
              <w:rPr>
                <w:rFonts w:ascii="Arial"/>
                <w:sz w:val="21"/>
              </w:rPr>
            </w:pPr>
          </w:p>
        </w:tc>
        <w:tc>
          <w:tcPr>
            <w:tcW w:w="661" w:type="dxa"/>
            <w:vMerge w:val="continue"/>
            <w:tcBorders>
              <w:top w:val="nil"/>
            </w:tcBorders>
            <w:vAlign w:val="top"/>
          </w:tcPr>
          <w:p w14:paraId="05126D94">
            <w:pPr>
              <w:rPr>
                <w:rFonts w:ascii="Arial"/>
                <w:sz w:val="21"/>
              </w:rPr>
            </w:pPr>
          </w:p>
        </w:tc>
        <w:tc>
          <w:tcPr>
            <w:tcW w:w="718" w:type="dxa"/>
            <w:vAlign w:val="top"/>
          </w:tcPr>
          <w:p w14:paraId="73A4F51B">
            <w:pPr>
              <w:spacing w:line="296" w:lineRule="auto"/>
              <w:rPr>
                <w:rFonts w:ascii="Arial"/>
                <w:sz w:val="21"/>
              </w:rPr>
            </w:pPr>
          </w:p>
          <w:p w14:paraId="331B93B1">
            <w:pPr>
              <w:spacing w:line="297" w:lineRule="auto"/>
              <w:rPr>
                <w:rFonts w:ascii="Arial"/>
                <w:sz w:val="21"/>
              </w:rPr>
            </w:pPr>
          </w:p>
          <w:p w14:paraId="4A64F1B7">
            <w:pPr>
              <w:spacing w:before="65" w:line="383" w:lineRule="auto"/>
              <w:ind w:left="254" w:right="154" w:hanging="96"/>
              <w:rPr>
                <w:rFonts w:ascii="宋体" w:hAnsi="宋体" w:eastAsia="宋体" w:cs="宋体"/>
                <w:sz w:val="20"/>
                <w:szCs w:val="20"/>
              </w:rPr>
            </w:pPr>
            <w:r>
              <w:rPr>
                <w:rFonts w:ascii="宋体" w:hAnsi="宋体" w:eastAsia="宋体" w:cs="宋体"/>
                <w:sz w:val="20"/>
                <w:szCs w:val="20"/>
              </w:rPr>
              <w:t>蓄水池</w:t>
            </w:r>
          </w:p>
        </w:tc>
        <w:tc>
          <w:tcPr>
            <w:tcW w:w="2514" w:type="dxa"/>
            <w:vAlign w:val="top"/>
          </w:tcPr>
          <w:p w14:paraId="1F75B73F">
            <w:pPr>
              <w:spacing w:before="50" w:line="228" w:lineRule="auto"/>
              <w:ind w:left="148"/>
              <w:rPr>
                <w:rFonts w:ascii="宋体" w:hAnsi="宋体" w:eastAsia="宋体" w:cs="宋体"/>
                <w:sz w:val="20"/>
                <w:szCs w:val="20"/>
              </w:rPr>
            </w:pP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个，位于项目西北侧，</w:t>
            </w:r>
          </w:p>
          <w:p w14:paraId="74678099">
            <w:pPr>
              <w:spacing w:before="161" w:line="228" w:lineRule="auto"/>
              <w:ind w:left="112"/>
              <w:rPr>
                <w:rFonts w:ascii="宋体" w:hAnsi="宋体" w:eastAsia="宋体" w:cs="宋体"/>
                <w:sz w:val="20"/>
                <w:szCs w:val="20"/>
              </w:rPr>
            </w:pPr>
            <w:r>
              <w:rPr>
                <w:rFonts w:ascii="宋体" w:hAnsi="宋体" w:eastAsia="宋体" w:cs="宋体"/>
                <w:spacing w:val="-1"/>
                <w:sz w:val="20"/>
                <w:szCs w:val="20"/>
              </w:rPr>
              <w:t>容积为</w:t>
            </w:r>
            <w:r>
              <w:rPr>
                <w:rFonts w:ascii="宋体" w:hAnsi="宋体" w:eastAsia="宋体" w:cs="宋体"/>
                <w:spacing w:val="-20"/>
                <w:sz w:val="20"/>
                <w:szCs w:val="20"/>
              </w:rPr>
              <w:t xml:space="preserve"> </w:t>
            </w:r>
            <w:r>
              <w:rPr>
                <w:rFonts w:ascii="Times New Roman" w:hAnsi="Times New Roman" w:eastAsia="Times New Roman" w:cs="Times New Roman"/>
                <w:spacing w:val="-1"/>
                <w:sz w:val="20"/>
                <w:szCs w:val="20"/>
              </w:rPr>
              <w:t>10m</w:t>
            </w:r>
            <w:r>
              <w:rPr>
                <w:rFonts w:ascii="Times New Roman" w:hAnsi="Times New Roman" w:eastAsia="Times New Roman" w:cs="Times New Roman"/>
                <w:spacing w:val="-1"/>
                <w:position w:val="6"/>
                <w:sz w:val="13"/>
                <w:szCs w:val="13"/>
              </w:rPr>
              <w:t>3</w:t>
            </w:r>
            <w:r>
              <w:rPr>
                <w:rFonts w:ascii="宋体" w:hAnsi="宋体" w:eastAsia="宋体" w:cs="宋体"/>
                <w:spacing w:val="-1"/>
                <w:sz w:val="20"/>
                <w:szCs w:val="20"/>
              </w:rPr>
              <w:t>，晴天用于补</w:t>
            </w:r>
          </w:p>
          <w:p w14:paraId="3F6B8EEA">
            <w:pPr>
              <w:spacing w:before="162" w:line="228" w:lineRule="auto"/>
              <w:ind w:left="111"/>
              <w:rPr>
                <w:rFonts w:ascii="宋体" w:hAnsi="宋体" w:eastAsia="宋体" w:cs="宋体"/>
                <w:sz w:val="20"/>
                <w:szCs w:val="20"/>
              </w:rPr>
            </w:pPr>
            <w:r>
              <w:rPr>
                <w:rFonts w:ascii="宋体" w:hAnsi="宋体" w:eastAsia="宋体" w:cs="宋体"/>
                <w:spacing w:val="8"/>
                <w:sz w:val="20"/>
                <w:szCs w:val="20"/>
              </w:rPr>
              <w:t>给绿化浇灌用水，雨天用</w:t>
            </w:r>
          </w:p>
          <w:p w14:paraId="0D337124">
            <w:pPr>
              <w:spacing w:before="161" w:line="228" w:lineRule="auto"/>
              <w:ind w:left="214"/>
              <w:rPr>
                <w:rFonts w:ascii="宋体" w:hAnsi="宋体" w:eastAsia="宋体" w:cs="宋体"/>
                <w:sz w:val="20"/>
                <w:szCs w:val="20"/>
              </w:rPr>
            </w:pPr>
            <w:r>
              <w:rPr>
                <w:rFonts w:ascii="宋体" w:hAnsi="宋体" w:eastAsia="宋体" w:cs="宋体"/>
                <w:spacing w:val="8"/>
                <w:sz w:val="20"/>
                <w:szCs w:val="20"/>
              </w:rPr>
              <w:t>于储存一体化污水设施</w:t>
            </w:r>
          </w:p>
          <w:p w14:paraId="7188484F">
            <w:pPr>
              <w:spacing w:before="161" w:line="228" w:lineRule="auto"/>
              <w:ind w:left="320"/>
              <w:rPr>
                <w:rFonts w:ascii="宋体" w:hAnsi="宋体" w:eastAsia="宋体" w:cs="宋体"/>
                <w:sz w:val="20"/>
                <w:szCs w:val="20"/>
              </w:rPr>
            </w:pPr>
            <w:r>
              <w:rPr>
                <w:rFonts w:ascii="宋体" w:hAnsi="宋体" w:eastAsia="宋体" w:cs="宋体"/>
                <w:spacing w:val="7"/>
                <w:sz w:val="20"/>
                <w:szCs w:val="20"/>
              </w:rPr>
              <w:t>处理后的生活污水。</w:t>
            </w:r>
          </w:p>
        </w:tc>
        <w:tc>
          <w:tcPr>
            <w:tcW w:w="2213" w:type="dxa"/>
            <w:vAlign w:val="top"/>
          </w:tcPr>
          <w:p w14:paraId="5BA587DB">
            <w:pPr>
              <w:spacing w:line="281" w:lineRule="auto"/>
              <w:rPr>
                <w:rFonts w:ascii="Arial"/>
                <w:sz w:val="21"/>
              </w:rPr>
            </w:pPr>
          </w:p>
          <w:p w14:paraId="07B5B76C">
            <w:pPr>
              <w:spacing w:line="281" w:lineRule="auto"/>
              <w:rPr>
                <w:rFonts w:ascii="Arial"/>
                <w:sz w:val="21"/>
              </w:rPr>
            </w:pPr>
          </w:p>
          <w:p w14:paraId="5073EBBD">
            <w:pPr>
              <w:spacing w:line="281" w:lineRule="auto"/>
              <w:rPr>
                <w:rFonts w:ascii="Arial"/>
                <w:sz w:val="21"/>
              </w:rPr>
            </w:pPr>
          </w:p>
          <w:p w14:paraId="0964AA2A">
            <w:pPr>
              <w:spacing w:before="58"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496FB4C3">
            <w:pPr>
              <w:spacing w:line="265" w:lineRule="auto"/>
              <w:rPr>
                <w:rFonts w:ascii="Arial"/>
                <w:sz w:val="21"/>
              </w:rPr>
            </w:pPr>
          </w:p>
          <w:p w14:paraId="5709EE52">
            <w:pPr>
              <w:spacing w:line="266" w:lineRule="auto"/>
              <w:rPr>
                <w:rFonts w:ascii="Arial"/>
                <w:sz w:val="21"/>
              </w:rPr>
            </w:pPr>
          </w:p>
          <w:p w14:paraId="7256F390">
            <w:pPr>
              <w:spacing w:line="266" w:lineRule="auto"/>
              <w:rPr>
                <w:rFonts w:ascii="Arial"/>
                <w:sz w:val="21"/>
              </w:rPr>
            </w:pPr>
          </w:p>
          <w:p w14:paraId="032ACA72">
            <w:pPr>
              <w:spacing w:before="65" w:line="229" w:lineRule="auto"/>
              <w:ind w:left="321"/>
              <w:rPr>
                <w:rFonts w:ascii="宋体" w:hAnsi="宋体" w:eastAsia="宋体" w:cs="宋体"/>
                <w:sz w:val="20"/>
                <w:szCs w:val="20"/>
              </w:rPr>
            </w:pPr>
            <w:r>
              <w:rPr>
                <w:rFonts w:ascii="宋体" w:hAnsi="宋体" w:eastAsia="宋体" w:cs="宋体"/>
                <w:spacing w:val="3"/>
                <w:sz w:val="20"/>
                <w:szCs w:val="20"/>
              </w:rPr>
              <w:t>已建，不变</w:t>
            </w:r>
          </w:p>
        </w:tc>
        <w:tc>
          <w:tcPr>
            <w:tcW w:w="195" w:type="dxa"/>
            <w:vMerge w:val="continue"/>
            <w:tcBorders>
              <w:top w:val="nil"/>
              <w:bottom w:val="nil"/>
              <w:right w:val="single" w:color="000000" w:sz="6" w:space="0"/>
            </w:tcBorders>
            <w:vAlign w:val="top"/>
          </w:tcPr>
          <w:p w14:paraId="4829C586">
            <w:pPr>
              <w:rPr>
                <w:rFonts w:ascii="Arial"/>
                <w:sz w:val="21"/>
              </w:rPr>
            </w:pPr>
          </w:p>
        </w:tc>
      </w:tr>
      <w:tr w14:paraId="45308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2" w:hRule="atLeast"/>
        </w:trPr>
        <w:tc>
          <w:tcPr>
            <w:tcW w:w="428" w:type="dxa"/>
            <w:vMerge w:val="continue"/>
            <w:tcBorders>
              <w:top w:val="nil"/>
              <w:left w:val="single" w:color="000000" w:sz="6" w:space="0"/>
              <w:bottom w:val="nil"/>
            </w:tcBorders>
            <w:vAlign w:val="top"/>
          </w:tcPr>
          <w:p w14:paraId="463904B4">
            <w:pPr>
              <w:rPr>
                <w:rFonts w:ascii="Arial"/>
                <w:sz w:val="21"/>
              </w:rPr>
            </w:pPr>
          </w:p>
        </w:tc>
        <w:tc>
          <w:tcPr>
            <w:tcW w:w="113" w:type="dxa"/>
            <w:tcBorders>
              <w:top w:val="nil"/>
              <w:bottom w:val="nil"/>
            </w:tcBorders>
            <w:vAlign w:val="top"/>
          </w:tcPr>
          <w:p w14:paraId="76296B74">
            <w:pPr>
              <w:rPr>
                <w:rFonts w:ascii="Arial"/>
                <w:sz w:val="21"/>
              </w:rPr>
            </w:pPr>
          </w:p>
        </w:tc>
        <w:tc>
          <w:tcPr>
            <w:tcW w:w="596" w:type="dxa"/>
            <w:vMerge w:val="continue"/>
            <w:tcBorders>
              <w:top w:val="nil"/>
              <w:bottom w:val="nil"/>
            </w:tcBorders>
            <w:vAlign w:val="top"/>
          </w:tcPr>
          <w:p w14:paraId="4EE5A8FE">
            <w:pPr>
              <w:rPr>
                <w:rFonts w:ascii="Arial"/>
                <w:sz w:val="21"/>
              </w:rPr>
            </w:pPr>
          </w:p>
        </w:tc>
        <w:tc>
          <w:tcPr>
            <w:tcW w:w="661" w:type="dxa"/>
            <w:vMerge w:val="restart"/>
            <w:tcBorders>
              <w:bottom w:val="nil"/>
            </w:tcBorders>
            <w:vAlign w:val="top"/>
          </w:tcPr>
          <w:p w14:paraId="13CFF58C">
            <w:pPr>
              <w:spacing w:line="243" w:lineRule="auto"/>
              <w:rPr>
                <w:rFonts w:ascii="Arial"/>
                <w:sz w:val="21"/>
              </w:rPr>
            </w:pPr>
          </w:p>
          <w:p w14:paraId="7B23376D">
            <w:pPr>
              <w:spacing w:line="243" w:lineRule="auto"/>
              <w:rPr>
                <w:rFonts w:ascii="Arial"/>
                <w:sz w:val="21"/>
              </w:rPr>
            </w:pPr>
          </w:p>
          <w:p w14:paraId="34E1AD3A">
            <w:pPr>
              <w:spacing w:line="243" w:lineRule="auto"/>
              <w:rPr>
                <w:rFonts w:ascii="Arial"/>
                <w:sz w:val="21"/>
              </w:rPr>
            </w:pPr>
          </w:p>
          <w:p w14:paraId="06BFBDEB">
            <w:pPr>
              <w:spacing w:line="243" w:lineRule="auto"/>
              <w:rPr>
                <w:rFonts w:ascii="Arial"/>
                <w:sz w:val="21"/>
              </w:rPr>
            </w:pPr>
          </w:p>
          <w:p w14:paraId="39ABF524">
            <w:pPr>
              <w:spacing w:line="243" w:lineRule="auto"/>
              <w:rPr>
                <w:rFonts w:ascii="Arial"/>
                <w:sz w:val="21"/>
              </w:rPr>
            </w:pPr>
          </w:p>
          <w:p w14:paraId="28722755">
            <w:pPr>
              <w:spacing w:line="243" w:lineRule="auto"/>
              <w:rPr>
                <w:rFonts w:ascii="Arial"/>
                <w:sz w:val="21"/>
              </w:rPr>
            </w:pPr>
          </w:p>
          <w:p w14:paraId="52BB7672">
            <w:pPr>
              <w:spacing w:line="243" w:lineRule="auto"/>
              <w:rPr>
                <w:rFonts w:ascii="Arial"/>
                <w:sz w:val="21"/>
              </w:rPr>
            </w:pPr>
          </w:p>
          <w:p w14:paraId="26D64674">
            <w:pPr>
              <w:spacing w:line="243" w:lineRule="auto"/>
              <w:rPr>
                <w:rFonts w:ascii="Arial"/>
                <w:sz w:val="21"/>
              </w:rPr>
            </w:pPr>
          </w:p>
          <w:p w14:paraId="7B6ED4DA">
            <w:pPr>
              <w:spacing w:line="243" w:lineRule="auto"/>
              <w:rPr>
                <w:rFonts w:ascii="Arial"/>
                <w:sz w:val="21"/>
              </w:rPr>
            </w:pPr>
          </w:p>
          <w:p w14:paraId="3012D9A3">
            <w:pPr>
              <w:spacing w:line="243" w:lineRule="auto"/>
              <w:rPr>
                <w:rFonts w:ascii="Arial"/>
                <w:sz w:val="21"/>
              </w:rPr>
            </w:pPr>
          </w:p>
          <w:p w14:paraId="6E2BB471">
            <w:pPr>
              <w:spacing w:line="243" w:lineRule="auto"/>
              <w:rPr>
                <w:rFonts w:ascii="Arial"/>
                <w:sz w:val="21"/>
              </w:rPr>
            </w:pPr>
          </w:p>
          <w:p w14:paraId="091D02C1">
            <w:pPr>
              <w:spacing w:line="243" w:lineRule="auto"/>
              <w:rPr>
                <w:rFonts w:ascii="Arial"/>
                <w:sz w:val="21"/>
              </w:rPr>
            </w:pPr>
          </w:p>
          <w:p w14:paraId="64B9E71F">
            <w:pPr>
              <w:spacing w:line="243" w:lineRule="auto"/>
              <w:rPr>
                <w:rFonts w:ascii="Arial"/>
                <w:sz w:val="21"/>
              </w:rPr>
            </w:pPr>
          </w:p>
          <w:p w14:paraId="6313AD2C">
            <w:pPr>
              <w:spacing w:line="244" w:lineRule="auto"/>
              <w:rPr>
                <w:rFonts w:ascii="Arial"/>
                <w:sz w:val="21"/>
              </w:rPr>
            </w:pPr>
          </w:p>
          <w:p w14:paraId="6B695993">
            <w:pPr>
              <w:spacing w:line="244" w:lineRule="auto"/>
              <w:rPr>
                <w:rFonts w:ascii="Arial"/>
                <w:sz w:val="21"/>
              </w:rPr>
            </w:pPr>
          </w:p>
          <w:p w14:paraId="328755F1">
            <w:pPr>
              <w:spacing w:before="65" w:line="378" w:lineRule="auto"/>
              <w:ind w:left="120" w:right="125"/>
              <w:jc w:val="both"/>
              <w:rPr>
                <w:rFonts w:ascii="宋体" w:hAnsi="宋体" w:eastAsia="宋体" w:cs="宋体"/>
                <w:sz w:val="20"/>
                <w:szCs w:val="20"/>
              </w:rPr>
            </w:pPr>
            <w:r>
              <w:rPr>
                <w:rFonts w:ascii="宋体" w:hAnsi="宋体" w:eastAsia="宋体" w:cs="宋体"/>
                <w:spacing w:val="5"/>
                <w:sz w:val="20"/>
                <w:szCs w:val="20"/>
              </w:rPr>
              <w:t>废气</w:t>
            </w:r>
            <w:r>
              <w:rPr>
                <w:rFonts w:ascii="宋体" w:hAnsi="宋体" w:eastAsia="宋体" w:cs="宋体"/>
                <w:spacing w:val="4"/>
                <w:sz w:val="20"/>
                <w:szCs w:val="20"/>
              </w:rPr>
              <w:t>治理措施</w:t>
            </w:r>
          </w:p>
        </w:tc>
        <w:tc>
          <w:tcPr>
            <w:tcW w:w="718" w:type="dxa"/>
            <w:vAlign w:val="top"/>
          </w:tcPr>
          <w:p w14:paraId="7F9A9759">
            <w:pPr>
              <w:spacing w:line="385" w:lineRule="auto"/>
              <w:rPr>
                <w:rFonts w:ascii="Arial"/>
                <w:sz w:val="21"/>
              </w:rPr>
            </w:pPr>
          </w:p>
          <w:p w14:paraId="1BFC6E45">
            <w:pPr>
              <w:spacing w:before="65" w:line="378" w:lineRule="auto"/>
              <w:ind w:left="148" w:right="154" w:firstLine="5"/>
              <w:jc w:val="both"/>
              <w:rPr>
                <w:rFonts w:ascii="宋体" w:hAnsi="宋体" w:eastAsia="宋体" w:cs="宋体"/>
                <w:sz w:val="20"/>
                <w:szCs w:val="20"/>
              </w:rPr>
            </w:pPr>
            <w:r>
              <w:rPr>
                <w:rFonts w:ascii="宋体" w:hAnsi="宋体" w:eastAsia="宋体" w:cs="宋体"/>
                <w:spacing w:val="2"/>
                <w:sz w:val="20"/>
                <w:szCs w:val="20"/>
              </w:rPr>
              <w:t>免漆</w:t>
            </w:r>
            <w:r>
              <w:rPr>
                <w:rFonts w:ascii="宋体" w:hAnsi="宋体" w:eastAsia="宋体" w:cs="宋体"/>
                <w:spacing w:val="5"/>
                <w:sz w:val="20"/>
                <w:szCs w:val="20"/>
              </w:rPr>
              <w:t>木门生产废气</w:t>
            </w:r>
          </w:p>
        </w:tc>
        <w:tc>
          <w:tcPr>
            <w:tcW w:w="2514" w:type="dxa"/>
            <w:vAlign w:val="top"/>
          </w:tcPr>
          <w:p w14:paraId="32993E55">
            <w:pPr>
              <w:spacing w:before="46" w:line="367" w:lineRule="auto"/>
              <w:ind w:left="112" w:right="107" w:firstLine="2"/>
              <w:jc w:val="both"/>
              <w:rPr>
                <w:rFonts w:ascii="宋体" w:hAnsi="宋体" w:eastAsia="宋体" w:cs="宋体"/>
                <w:sz w:val="20"/>
                <w:szCs w:val="20"/>
              </w:rPr>
            </w:pPr>
            <w:r>
              <w:rPr>
                <w:rFonts w:ascii="宋体" w:hAnsi="宋体" w:eastAsia="宋体" w:cs="宋体"/>
                <w:spacing w:val="7"/>
                <w:sz w:val="20"/>
                <w:szCs w:val="20"/>
              </w:rPr>
              <w:t>免漆木门开料、打磨、雕</w:t>
            </w:r>
            <w:r>
              <w:rPr>
                <w:rFonts w:ascii="宋体" w:hAnsi="宋体" w:eastAsia="宋体" w:cs="宋体"/>
                <w:spacing w:val="18"/>
                <w:sz w:val="20"/>
                <w:szCs w:val="20"/>
              </w:rPr>
              <w:t>刻等产生粉尘的工序位</w:t>
            </w:r>
            <w:r>
              <w:rPr>
                <w:rFonts w:ascii="宋体" w:hAnsi="宋体" w:eastAsia="宋体" w:cs="宋体"/>
                <w:spacing w:val="2"/>
                <w:sz w:val="20"/>
                <w:szCs w:val="20"/>
              </w:rPr>
              <w:t>于</w:t>
            </w:r>
            <w:r>
              <w:rPr>
                <w:rFonts w:ascii="宋体" w:hAnsi="宋体" w:eastAsia="宋体" w:cs="宋体"/>
                <w:spacing w:val="-37"/>
                <w:sz w:val="20"/>
                <w:szCs w:val="20"/>
              </w:rPr>
              <w:t xml:space="preserve"> </w:t>
            </w:r>
            <w:r>
              <w:rPr>
                <w:rFonts w:ascii="Times New Roman" w:hAnsi="Times New Roman" w:eastAsia="Times New Roman" w:cs="Times New Roman"/>
                <w:spacing w:val="2"/>
                <w:sz w:val="20"/>
                <w:szCs w:val="20"/>
              </w:rPr>
              <w:t>2#</w:t>
            </w:r>
            <w:r>
              <w:rPr>
                <w:rFonts w:ascii="宋体" w:hAnsi="宋体" w:eastAsia="宋体" w:cs="宋体"/>
                <w:spacing w:val="2"/>
                <w:sz w:val="20"/>
                <w:szCs w:val="20"/>
              </w:rPr>
              <w:t>厂房，粉尘经集气罩</w:t>
            </w:r>
            <w:r>
              <w:rPr>
                <w:rFonts w:ascii="Times New Roman" w:hAnsi="Times New Roman" w:eastAsia="Times New Roman" w:cs="Times New Roman"/>
                <w:spacing w:val="9"/>
                <w:sz w:val="20"/>
                <w:szCs w:val="20"/>
              </w:rPr>
              <w:t>/</w:t>
            </w:r>
            <w:r>
              <w:rPr>
                <w:rFonts w:ascii="宋体" w:hAnsi="宋体" w:eastAsia="宋体" w:cs="宋体"/>
                <w:spacing w:val="9"/>
                <w:sz w:val="20"/>
                <w:szCs w:val="20"/>
              </w:rPr>
              <w:t>吸尘管收集</w:t>
            </w:r>
            <w:r>
              <w:rPr>
                <w:rFonts w:ascii="Times New Roman" w:hAnsi="Times New Roman" w:eastAsia="Times New Roman" w:cs="Times New Roman"/>
                <w:spacing w:val="9"/>
                <w:sz w:val="20"/>
                <w:szCs w:val="20"/>
              </w:rPr>
              <w:t>+</w:t>
            </w:r>
            <w:r>
              <w:rPr>
                <w:rFonts w:ascii="宋体" w:hAnsi="宋体" w:eastAsia="宋体" w:cs="宋体"/>
                <w:spacing w:val="9"/>
                <w:sz w:val="20"/>
                <w:szCs w:val="20"/>
              </w:rPr>
              <w:t>布袋除尘器</w:t>
            </w:r>
            <w:r>
              <w:rPr>
                <w:rFonts w:ascii="宋体" w:hAnsi="宋体" w:eastAsia="宋体" w:cs="宋体"/>
                <w:spacing w:val="4"/>
                <w:sz w:val="20"/>
                <w:szCs w:val="20"/>
              </w:rPr>
              <w:t>除尘后通过</w:t>
            </w:r>
            <w:r>
              <w:rPr>
                <w:rFonts w:ascii="宋体" w:hAnsi="宋体" w:eastAsia="宋体" w:cs="宋体"/>
                <w:spacing w:val="-30"/>
                <w:sz w:val="20"/>
                <w:szCs w:val="20"/>
              </w:rPr>
              <w:t xml:space="preserve">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根</w:t>
            </w:r>
            <w:r>
              <w:rPr>
                <w:rFonts w:ascii="宋体" w:hAnsi="宋体" w:eastAsia="宋体" w:cs="宋体"/>
                <w:spacing w:val="-40"/>
                <w:sz w:val="20"/>
                <w:szCs w:val="20"/>
              </w:rPr>
              <w:t xml:space="preserve"> </w:t>
            </w:r>
            <w:r>
              <w:rPr>
                <w:rFonts w:ascii="Times New Roman" w:hAnsi="Times New Roman" w:eastAsia="Times New Roman" w:cs="Times New Roman"/>
                <w:spacing w:val="4"/>
                <w:sz w:val="20"/>
                <w:szCs w:val="20"/>
              </w:rPr>
              <w:t>15m</w:t>
            </w:r>
            <w:r>
              <w:rPr>
                <w:rFonts w:ascii="宋体" w:hAnsi="宋体" w:eastAsia="宋体" w:cs="宋体"/>
                <w:spacing w:val="4"/>
                <w:sz w:val="20"/>
                <w:szCs w:val="20"/>
              </w:rPr>
              <w:t>高的</w:t>
            </w:r>
            <w:r>
              <w:rPr>
                <w:rFonts w:ascii="宋体" w:hAnsi="宋体" w:eastAsia="宋体" w:cs="宋体"/>
                <w:spacing w:val="7"/>
                <w:sz w:val="20"/>
                <w:szCs w:val="20"/>
              </w:rPr>
              <w:t>排气筒外排（</w:t>
            </w:r>
            <w:r>
              <w:rPr>
                <w:rFonts w:ascii="Times New Roman" w:hAnsi="Times New Roman" w:eastAsia="Times New Roman" w:cs="Times New Roman"/>
                <w:sz w:val="20"/>
                <w:szCs w:val="20"/>
              </w:rPr>
              <w:t>DA</w:t>
            </w:r>
            <w:r>
              <w:rPr>
                <w:rFonts w:ascii="Times New Roman" w:hAnsi="Times New Roman" w:eastAsia="Times New Roman" w:cs="Times New Roman"/>
                <w:spacing w:val="7"/>
                <w:sz w:val="20"/>
                <w:szCs w:val="20"/>
              </w:rPr>
              <w:t>004</w:t>
            </w:r>
            <w:r>
              <w:rPr>
                <w:rFonts w:ascii="宋体" w:hAnsi="宋体" w:eastAsia="宋体" w:cs="宋体"/>
                <w:spacing w:val="7"/>
                <w:sz w:val="20"/>
                <w:szCs w:val="20"/>
              </w:rPr>
              <w:t>）。</w:t>
            </w:r>
          </w:p>
        </w:tc>
        <w:tc>
          <w:tcPr>
            <w:tcW w:w="2213" w:type="dxa"/>
            <w:vAlign w:val="top"/>
          </w:tcPr>
          <w:p w14:paraId="4287165A">
            <w:pPr>
              <w:spacing w:line="260" w:lineRule="auto"/>
              <w:rPr>
                <w:rFonts w:ascii="Arial"/>
                <w:sz w:val="21"/>
              </w:rPr>
            </w:pPr>
          </w:p>
          <w:p w14:paraId="3B7AE61B">
            <w:pPr>
              <w:spacing w:line="260" w:lineRule="auto"/>
              <w:rPr>
                <w:rFonts w:ascii="Arial"/>
                <w:sz w:val="21"/>
              </w:rPr>
            </w:pPr>
          </w:p>
          <w:p w14:paraId="6F98CE02">
            <w:pPr>
              <w:spacing w:line="260" w:lineRule="auto"/>
              <w:rPr>
                <w:rFonts w:ascii="Arial"/>
                <w:sz w:val="21"/>
              </w:rPr>
            </w:pPr>
          </w:p>
          <w:p w14:paraId="3E74250F">
            <w:pPr>
              <w:spacing w:line="261" w:lineRule="auto"/>
              <w:rPr>
                <w:rFonts w:ascii="Arial"/>
                <w:sz w:val="21"/>
              </w:rPr>
            </w:pPr>
          </w:p>
          <w:p w14:paraId="388847F1">
            <w:pPr>
              <w:spacing w:before="58"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3BD607CF">
            <w:pPr>
              <w:spacing w:line="248" w:lineRule="auto"/>
              <w:rPr>
                <w:rFonts w:ascii="Arial"/>
                <w:sz w:val="21"/>
              </w:rPr>
            </w:pPr>
          </w:p>
          <w:p w14:paraId="1BABBB2C">
            <w:pPr>
              <w:spacing w:line="249" w:lineRule="auto"/>
              <w:rPr>
                <w:rFonts w:ascii="Arial"/>
                <w:sz w:val="21"/>
              </w:rPr>
            </w:pPr>
          </w:p>
          <w:p w14:paraId="6EA8EA75">
            <w:pPr>
              <w:spacing w:line="249" w:lineRule="auto"/>
              <w:rPr>
                <w:rFonts w:ascii="Arial"/>
                <w:sz w:val="21"/>
              </w:rPr>
            </w:pPr>
          </w:p>
          <w:p w14:paraId="6EF93664">
            <w:pPr>
              <w:spacing w:line="249" w:lineRule="auto"/>
              <w:rPr>
                <w:rFonts w:ascii="Arial"/>
                <w:sz w:val="21"/>
              </w:rPr>
            </w:pPr>
          </w:p>
          <w:p w14:paraId="21F78F3B">
            <w:pPr>
              <w:spacing w:before="65" w:line="229" w:lineRule="auto"/>
              <w:ind w:left="426"/>
              <w:rPr>
                <w:rFonts w:ascii="宋体" w:hAnsi="宋体" w:eastAsia="宋体" w:cs="宋体"/>
                <w:sz w:val="20"/>
                <w:szCs w:val="20"/>
              </w:rPr>
            </w:pPr>
            <w:r>
              <w:rPr>
                <w:rFonts w:ascii="宋体" w:hAnsi="宋体" w:eastAsia="宋体" w:cs="宋体"/>
                <w:spacing w:val="1"/>
                <w:sz w:val="20"/>
                <w:szCs w:val="20"/>
              </w:rPr>
              <w:t>已建不变</w:t>
            </w:r>
          </w:p>
        </w:tc>
        <w:tc>
          <w:tcPr>
            <w:tcW w:w="195" w:type="dxa"/>
            <w:vMerge w:val="continue"/>
            <w:tcBorders>
              <w:top w:val="nil"/>
              <w:bottom w:val="nil"/>
              <w:right w:val="single" w:color="000000" w:sz="6" w:space="0"/>
            </w:tcBorders>
            <w:vAlign w:val="top"/>
          </w:tcPr>
          <w:p w14:paraId="60B3B1EE">
            <w:pPr>
              <w:rPr>
                <w:rFonts w:ascii="Arial"/>
                <w:sz w:val="21"/>
              </w:rPr>
            </w:pPr>
          </w:p>
        </w:tc>
      </w:tr>
      <w:tr w14:paraId="3C6CA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2" w:hRule="atLeast"/>
        </w:trPr>
        <w:tc>
          <w:tcPr>
            <w:tcW w:w="428" w:type="dxa"/>
            <w:vMerge w:val="continue"/>
            <w:tcBorders>
              <w:top w:val="nil"/>
              <w:left w:val="single" w:color="000000" w:sz="6" w:space="0"/>
              <w:bottom w:val="nil"/>
            </w:tcBorders>
            <w:vAlign w:val="top"/>
          </w:tcPr>
          <w:p w14:paraId="4EF0DC35">
            <w:pPr>
              <w:rPr>
                <w:rFonts w:ascii="Arial"/>
                <w:sz w:val="21"/>
              </w:rPr>
            </w:pPr>
          </w:p>
        </w:tc>
        <w:tc>
          <w:tcPr>
            <w:tcW w:w="113" w:type="dxa"/>
            <w:tcBorders>
              <w:top w:val="nil"/>
              <w:bottom w:val="nil"/>
            </w:tcBorders>
            <w:vAlign w:val="top"/>
          </w:tcPr>
          <w:p w14:paraId="3D6D2A59">
            <w:pPr>
              <w:rPr>
                <w:rFonts w:ascii="Arial"/>
                <w:sz w:val="21"/>
              </w:rPr>
            </w:pPr>
          </w:p>
        </w:tc>
        <w:tc>
          <w:tcPr>
            <w:tcW w:w="596" w:type="dxa"/>
            <w:vMerge w:val="continue"/>
            <w:tcBorders>
              <w:top w:val="nil"/>
              <w:bottom w:val="nil"/>
            </w:tcBorders>
            <w:vAlign w:val="top"/>
          </w:tcPr>
          <w:p w14:paraId="15BD3F39">
            <w:pPr>
              <w:rPr>
                <w:rFonts w:ascii="Arial"/>
                <w:sz w:val="21"/>
              </w:rPr>
            </w:pPr>
          </w:p>
        </w:tc>
        <w:tc>
          <w:tcPr>
            <w:tcW w:w="661" w:type="dxa"/>
            <w:vMerge w:val="continue"/>
            <w:tcBorders>
              <w:top w:val="nil"/>
              <w:bottom w:val="nil"/>
            </w:tcBorders>
            <w:vAlign w:val="top"/>
          </w:tcPr>
          <w:p w14:paraId="6F1C62C1">
            <w:pPr>
              <w:rPr>
                <w:rFonts w:ascii="Arial"/>
                <w:sz w:val="21"/>
              </w:rPr>
            </w:pPr>
          </w:p>
        </w:tc>
        <w:tc>
          <w:tcPr>
            <w:tcW w:w="718" w:type="dxa"/>
            <w:vAlign w:val="top"/>
          </w:tcPr>
          <w:p w14:paraId="06F2773B">
            <w:pPr>
              <w:spacing w:line="398" w:lineRule="auto"/>
              <w:rPr>
                <w:rFonts w:ascii="Arial"/>
                <w:sz w:val="21"/>
              </w:rPr>
            </w:pPr>
          </w:p>
          <w:p w14:paraId="3ADBA785">
            <w:pPr>
              <w:spacing w:before="65" w:line="378" w:lineRule="auto"/>
              <w:ind w:left="148" w:right="154" w:firstLine="2"/>
              <w:jc w:val="both"/>
              <w:rPr>
                <w:rFonts w:ascii="宋体" w:hAnsi="宋体" w:eastAsia="宋体" w:cs="宋体"/>
                <w:sz w:val="20"/>
                <w:szCs w:val="20"/>
              </w:rPr>
            </w:pPr>
            <w:r>
              <w:rPr>
                <w:rFonts w:ascii="宋体" w:hAnsi="宋体" w:eastAsia="宋体" w:cs="宋体"/>
                <w:spacing w:val="3"/>
                <w:sz w:val="20"/>
                <w:szCs w:val="20"/>
              </w:rPr>
              <w:t>家具</w:t>
            </w:r>
            <w:r>
              <w:rPr>
                <w:rFonts w:ascii="宋体" w:hAnsi="宋体" w:eastAsia="宋体" w:cs="宋体"/>
                <w:spacing w:val="5"/>
                <w:sz w:val="20"/>
                <w:szCs w:val="20"/>
              </w:rPr>
              <w:t>生产粉尘</w:t>
            </w:r>
          </w:p>
        </w:tc>
        <w:tc>
          <w:tcPr>
            <w:tcW w:w="2514" w:type="dxa"/>
            <w:vAlign w:val="top"/>
          </w:tcPr>
          <w:p w14:paraId="711D65B0">
            <w:pPr>
              <w:spacing w:before="59" w:line="228" w:lineRule="auto"/>
              <w:ind w:left="212"/>
              <w:rPr>
                <w:rFonts w:ascii="宋体" w:hAnsi="宋体" w:eastAsia="宋体" w:cs="宋体"/>
                <w:sz w:val="20"/>
                <w:szCs w:val="20"/>
              </w:rPr>
            </w:pPr>
            <w:r>
              <w:rPr>
                <w:rFonts w:ascii="宋体" w:hAnsi="宋体" w:eastAsia="宋体" w:cs="宋体"/>
                <w:spacing w:val="8"/>
                <w:sz w:val="20"/>
                <w:szCs w:val="20"/>
              </w:rPr>
              <w:t>家具生产线产生的粉尘</w:t>
            </w:r>
          </w:p>
          <w:p w14:paraId="5DD7BB23">
            <w:pPr>
              <w:spacing w:before="161" w:line="228" w:lineRule="auto"/>
              <w:ind w:left="124"/>
              <w:rPr>
                <w:rFonts w:ascii="Times New Roman" w:hAnsi="Times New Roman" w:eastAsia="Times New Roman" w:cs="Times New Roman"/>
                <w:sz w:val="20"/>
                <w:szCs w:val="20"/>
              </w:rPr>
            </w:pPr>
            <w:r>
              <w:rPr>
                <w:rFonts w:ascii="宋体" w:hAnsi="宋体" w:eastAsia="宋体" w:cs="宋体"/>
                <w:spacing w:val="8"/>
                <w:sz w:val="20"/>
                <w:szCs w:val="20"/>
              </w:rPr>
              <w:t>经集气罩</w:t>
            </w:r>
            <w:r>
              <w:rPr>
                <w:rFonts w:ascii="Times New Roman" w:hAnsi="Times New Roman" w:eastAsia="Times New Roman" w:cs="Times New Roman"/>
                <w:spacing w:val="8"/>
                <w:sz w:val="20"/>
                <w:szCs w:val="20"/>
              </w:rPr>
              <w:t>/</w:t>
            </w:r>
            <w:r>
              <w:rPr>
                <w:rFonts w:ascii="宋体" w:hAnsi="宋体" w:eastAsia="宋体" w:cs="宋体"/>
                <w:spacing w:val="8"/>
                <w:sz w:val="20"/>
                <w:szCs w:val="20"/>
              </w:rPr>
              <w:t>吸尘管收集后</w:t>
            </w:r>
            <w:r>
              <w:rPr>
                <w:rFonts w:ascii="Times New Roman" w:hAnsi="Times New Roman" w:eastAsia="Times New Roman" w:cs="Times New Roman"/>
                <w:spacing w:val="8"/>
                <w:sz w:val="20"/>
                <w:szCs w:val="20"/>
              </w:rPr>
              <w:t>+</w:t>
            </w:r>
          </w:p>
          <w:p w14:paraId="25D713BE">
            <w:pPr>
              <w:spacing w:before="161" w:line="227" w:lineRule="auto"/>
              <w:ind w:left="211"/>
              <w:rPr>
                <w:rFonts w:ascii="宋体" w:hAnsi="宋体" w:eastAsia="宋体" w:cs="宋体"/>
                <w:sz w:val="20"/>
                <w:szCs w:val="20"/>
              </w:rPr>
            </w:pPr>
            <w:r>
              <w:rPr>
                <w:rFonts w:ascii="宋体" w:hAnsi="宋体" w:eastAsia="宋体" w:cs="宋体"/>
                <w:spacing w:val="8"/>
                <w:sz w:val="20"/>
                <w:szCs w:val="20"/>
              </w:rPr>
              <w:t>布袋除尘器进行处理后</w:t>
            </w:r>
          </w:p>
          <w:p w14:paraId="58D9009E">
            <w:pPr>
              <w:spacing w:before="161" w:line="228" w:lineRule="auto"/>
              <w:ind w:left="110"/>
              <w:rPr>
                <w:rFonts w:ascii="宋体" w:hAnsi="宋体" w:eastAsia="宋体" w:cs="宋体"/>
                <w:sz w:val="20"/>
                <w:szCs w:val="20"/>
              </w:rPr>
            </w:pPr>
            <w:r>
              <w:rPr>
                <w:rFonts w:ascii="宋体" w:hAnsi="宋体" w:eastAsia="宋体" w:cs="宋体"/>
                <w:spacing w:val="4"/>
                <w:sz w:val="20"/>
                <w:szCs w:val="20"/>
              </w:rPr>
              <w:t>通过</w:t>
            </w:r>
            <w:r>
              <w:rPr>
                <w:rFonts w:ascii="宋体" w:hAnsi="宋体" w:eastAsia="宋体" w:cs="宋体"/>
                <w:spacing w:val="-31"/>
                <w:sz w:val="20"/>
                <w:szCs w:val="20"/>
              </w:rPr>
              <w:t xml:space="preserve">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根</w:t>
            </w:r>
            <w:r>
              <w:rPr>
                <w:rFonts w:ascii="宋体" w:hAnsi="宋体" w:eastAsia="宋体" w:cs="宋体"/>
                <w:spacing w:val="-37"/>
                <w:sz w:val="20"/>
                <w:szCs w:val="20"/>
              </w:rPr>
              <w:t xml:space="preserve"> </w:t>
            </w:r>
            <w:r>
              <w:rPr>
                <w:rFonts w:ascii="Times New Roman" w:hAnsi="Times New Roman" w:eastAsia="Times New Roman" w:cs="Times New Roman"/>
                <w:spacing w:val="4"/>
                <w:sz w:val="20"/>
                <w:szCs w:val="20"/>
              </w:rPr>
              <w:t>15m</w:t>
            </w:r>
            <w:r>
              <w:rPr>
                <w:rFonts w:ascii="宋体" w:hAnsi="宋体" w:eastAsia="宋体" w:cs="宋体"/>
                <w:spacing w:val="4"/>
                <w:sz w:val="20"/>
                <w:szCs w:val="20"/>
              </w:rPr>
              <w:t>高的排气筒</w:t>
            </w:r>
          </w:p>
          <w:p w14:paraId="3F30185B">
            <w:pPr>
              <w:spacing w:before="161" w:line="221" w:lineRule="auto"/>
              <w:ind w:left="570"/>
              <w:rPr>
                <w:rFonts w:ascii="宋体" w:hAnsi="宋体" w:eastAsia="宋体" w:cs="宋体"/>
                <w:sz w:val="20"/>
                <w:szCs w:val="20"/>
              </w:rPr>
            </w:pPr>
            <w:r>
              <w:rPr>
                <w:rFonts w:ascii="宋体" w:hAnsi="宋体" w:eastAsia="宋体" w:cs="宋体"/>
                <w:spacing w:val="5"/>
                <w:sz w:val="20"/>
                <w:szCs w:val="20"/>
              </w:rPr>
              <w:t>外排</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DA</w:t>
            </w:r>
            <w:r>
              <w:rPr>
                <w:rFonts w:ascii="Times New Roman" w:hAnsi="Times New Roman" w:eastAsia="Times New Roman" w:cs="Times New Roman"/>
                <w:spacing w:val="5"/>
                <w:sz w:val="20"/>
                <w:szCs w:val="20"/>
              </w:rPr>
              <w:t>001)</w:t>
            </w:r>
            <w:r>
              <w:rPr>
                <w:rFonts w:ascii="宋体" w:hAnsi="宋体" w:eastAsia="宋体" w:cs="宋体"/>
                <w:spacing w:val="5"/>
                <w:sz w:val="20"/>
                <w:szCs w:val="20"/>
              </w:rPr>
              <w:t>。</w:t>
            </w:r>
          </w:p>
        </w:tc>
        <w:tc>
          <w:tcPr>
            <w:tcW w:w="2213" w:type="dxa"/>
            <w:vAlign w:val="top"/>
          </w:tcPr>
          <w:p w14:paraId="1D37542F">
            <w:pPr>
              <w:spacing w:line="283" w:lineRule="auto"/>
              <w:rPr>
                <w:rFonts w:ascii="Arial"/>
                <w:sz w:val="21"/>
              </w:rPr>
            </w:pPr>
          </w:p>
          <w:p w14:paraId="72C0C831">
            <w:pPr>
              <w:spacing w:line="284" w:lineRule="auto"/>
              <w:rPr>
                <w:rFonts w:ascii="Arial"/>
                <w:sz w:val="21"/>
              </w:rPr>
            </w:pPr>
          </w:p>
          <w:p w14:paraId="53E3BE6F">
            <w:pPr>
              <w:spacing w:line="284" w:lineRule="auto"/>
              <w:rPr>
                <w:rFonts w:ascii="Arial"/>
                <w:sz w:val="21"/>
              </w:rPr>
            </w:pPr>
          </w:p>
          <w:p w14:paraId="27439239">
            <w:pPr>
              <w:spacing w:before="58"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379DBF62">
            <w:pPr>
              <w:spacing w:line="268" w:lineRule="auto"/>
              <w:rPr>
                <w:rFonts w:ascii="Arial"/>
                <w:sz w:val="21"/>
              </w:rPr>
            </w:pPr>
          </w:p>
          <w:p w14:paraId="242EDA88">
            <w:pPr>
              <w:spacing w:line="268" w:lineRule="auto"/>
              <w:rPr>
                <w:rFonts w:ascii="Arial"/>
                <w:sz w:val="21"/>
              </w:rPr>
            </w:pPr>
          </w:p>
          <w:p w14:paraId="27BD7A27">
            <w:pPr>
              <w:spacing w:line="269" w:lineRule="auto"/>
              <w:rPr>
                <w:rFonts w:ascii="Arial"/>
                <w:sz w:val="21"/>
              </w:rPr>
            </w:pPr>
          </w:p>
          <w:p w14:paraId="163164FA">
            <w:pPr>
              <w:spacing w:before="65" w:line="229" w:lineRule="auto"/>
              <w:ind w:left="426"/>
              <w:rPr>
                <w:rFonts w:ascii="宋体" w:hAnsi="宋体" w:eastAsia="宋体" w:cs="宋体"/>
                <w:sz w:val="20"/>
                <w:szCs w:val="20"/>
              </w:rPr>
            </w:pPr>
            <w:r>
              <w:rPr>
                <w:rFonts w:ascii="宋体" w:hAnsi="宋体" w:eastAsia="宋体" w:cs="宋体"/>
                <w:spacing w:val="1"/>
                <w:sz w:val="20"/>
                <w:szCs w:val="20"/>
              </w:rPr>
              <w:t>已建不变</w:t>
            </w:r>
          </w:p>
        </w:tc>
        <w:tc>
          <w:tcPr>
            <w:tcW w:w="195" w:type="dxa"/>
            <w:vMerge w:val="continue"/>
            <w:tcBorders>
              <w:top w:val="nil"/>
              <w:bottom w:val="nil"/>
              <w:right w:val="single" w:color="000000" w:sz="6" w:space="0"/>
            </w:tcBorders>
            <w:vAlign w:val="top"/>
          </w:tcPr>
          <w:p w14:paraId="3AF05EFC">
            <w:pPr>
              <w:rPr>
                <w:rFonts w:ascii="Arial"/>
                <w:sz w:val="21"/>
              </w:rPr>
            </w:pPr>
          </w:p>
        </w:tc>
      </w:tr>
      <w:tr w14:paraId="3359A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2" w:hRule="atLeast"/>
        </w:trPr>
        <w:tc>
          <w:tcPr>
            <w:tcW w:w="428" w:type="dxa"/>
            <w:vMerge w:val="continue"/>
            <w:tcBorders>
              <w:top w:val="nil"/>
              <w:left w:val="single" w:color="000000" w:sz="6" w:space="0"/>
              <w:bottom w:val="nil"/>
            </w:tcBorders>
            <w:vAlign w:val="top"/>
          </w:tcPr>
          <w:p w14:paraId="31547E75">
            <w:pPr>
              <w:rPr>
                <w:rFonts w:ascii="Arial"/>
                <w:sz w:val="21"/>
              </w:rPr>
            </w:pPr>
          </w:p>
        </w:tc>
        <w:tc>
          <w:tcPr>
            <w:tcW w:w="113" w:type="dxa"/>
            <w:tcBorders>
              <w:top w:val="nil"/>
              <w:bottom w:val="nil"/>
            </w:tcBorders>
            <w:vAlign w:val="top"/>
          </w:tcPr>
          <w:p w14:paraId="66258E3F">
            <w:pPr>
              <w:rPr>
                <w:rFonts w:ascii="Arial"/>
                <w:sz w:val="21"/>
              </w:rPr>
            </w:pPr>
          </w:p>
        </w:tc>
        <w:tc>
          <w:tcPr>
            <w:tcW w:w="596" w:type="dxa"/>
            <w:vMerge w:val="continue"/>
            <w:tcBorders>
              <w:top w:val="nil"/>
              <w:bottom w:val="nil"/>
            </w:tcBorders>
            <w:vAlign w:val="top"/>
          </w:tcPr>
          <w:p w14:paraId="38DECF4F">
            <w:pPr>
              <w:rPr>
                <w:rFonts w:ascii="Arial"/>
                <w:sz w:val="21"/>
              </w:rPr>
            </w:pPr>
          </w:p>
        </w:tc>
        <w:tc>
          <w:tcPr>
            <w:tcW w:w="661" w:type="dxa"/>
            <w:vMerge w:val="continue"/>
            <w:tcBorders>
              <w:top w:val="nil"/>
              <w:bottom w:val="nil"/>
            </w:tcBorders>
            <w:vAlign w:val="top"/>
          </w:tcPr>
          <w:p w14:paraId="32738F13">
            <w:pPr>
              <w:rPr>
                <w:rFonts w:ascii="Arial"/>
                <w:sz w:val="21"/>
              </w:rPr>
            </w:pPr>
          </w:p>
        </w:tc>
        <w:tc>
          <w:tcPr>
            <w:tcW w:w="718" w:type="dxa"/>
            <w:vAlign w:val="top"/>
          </w:tcPr>
          <w:p w14:paraId="2F85636D">
            <w:pPr>
              <w:spacing w:line="267" w:lineRule="auto"/>
              <w:rPr>
                <w:rFonts w:ascii="Arial"/>
                <w:sz w:val="21"/>
              </w:rPr>
            </w:pPr>
          </w:p>
          <w:p w14:paraId="491CAE1D">
            <w:pPr>
              <w:spacing w:line="267" w:lineRule="auto"/>
              <w:rPr>
                <w:rFonts w:ascii="Arial"/>
                <w:sz w:val="21"/>
              </w:rPr>
            </w:pPr>
          </w:p>
          <w:p w14:paraId="1888F6B3">
            <w:pPr>
              <w:spacing w:line="268" w:lineRule="auto"/>
              <w:rPr>
                <w:rFonts w:ascii="Arial"/>
                <w:sz w:val="21"/>
              </w:rPr>
            </w:pPr>
          </w:p>
          <w:p w14:paraId="540F62AD">
            <w:pPr>
              <w:spacing w:before="65" w:line="377" w:lineRule="auto"/>
              <w:ind w:left="148" w:right="154" w:firstLine="2"/>
              <w:jc w:val="both"/>
              <w:rPr>
                <w:rFonts w:ascii="宋体" w:hAnsi="宋体" w:eastAsia="宋体" w:cs="宋体"/>
                <w:sz w:val="20"/>
                <w:szCs w:val="20"/>
              </w:rPr>
            </w:pPr>
            <w:r>
              <w:rPr>
                <w:rFonts w:ascii="宋体" w:hAnsi="宋体" w:eastAsia="宋体" w:cs="宋体"/>
                <w:spacing w:val="3"/>
                <w:sz w:val="20"/>
                <w:szCs w:val="20"/>
              </w:rPr>
              <w:t>家具</w:t>
            </w:r>
            <w:r>
              <w:rPr>
                <w:rFonts w:ascii="宋体" w:hAnsi="宋体" w:eastAsia="宋体" w:cs="宋体"/>
                <w:spacing w:val="5"/>
                <w:sz w:val="20"/>
                <w:szCs w:val="20"/>
              </w:rPr>
              <w:t>生产喷漆废气</w:t>
            </w:r>
          </w:p>
        </w:tc>
        <w:tc>
          <w:tcPr>
            <w:tcW w:w="2514" w:type="dxa"/>
            <w:vAlign w:val="top"/>
          </w:tcPr>
          <w:p w14:paraId="3006842C">
            <w:pPr>
              <w:spacing w:before="54" w:line="228" w:lineRule="auto"/>
              <w:ind w:left="112"/>
              <w:rPr>
                <w:rFonts w:ascii="宋体" w:hAnsi="宋体" w:eastAsia="宋体" w:cs="宋体"/>
                <w:sz w:val="20"/>
                <w:szCs w:val="20"/>
              </w:rPr>
            </w:pPr>
            <w:r>
              <w:rPr>
                <w:rFonts w:ascii="宋体" w:hAnsi="宋体" w:eastAsia="宋体" w:cs="宋体"/>
                <w:spacing w:val="5"/>
                <w:sz w:val="20"/>
                <w:szCs w:val="20"/>
              </w:rPr>
              <w:t>家具生产线分别设置</w:t>
            </w:r>
            <w:r>
              <w:rPr>
                <w:rFonts w:ascii="宋体" w:hAnsi="宋体" w:eastAsia="宋体" w:cs="宋体"/>
                <w:spacing w:val="-25"/>
                <w:sz w:val="20"/>
                <w:szCs w:val="20"/>
              </w:rPr>
              <w:t xml:space="preserve"> </w:t>
            </w:r>
            <w:r>
              <w:rPr>
                <w:rFonts w:ascii="Times New Roman" w:hAnsi="Times New Roman" w:eastAsia="Times New Roman" w:cs="Times New Roman"/>
                <w:spacing w:val="5"/>
                <w:sz w:val="20"/>
                <w:szCs w:val="20"/>
              </w:rPr>
              <w:t>1</w:t>
            </w:r>
            <w:r>
              <w:rPr>
                <w:rFonts w:ascii="Times New Roman" w:hAnsi="Times New Roman" w:eastAsia="Times New Roman" w:cs="Times New Roman"/>
                <w:spacing w:val="24"/>
                <w:sz w:val="20"/>
                <w:szCs w:val="20"/>
              </w:rPr>
              <w:t xml:space="preserve"> </w:t>
            </w:r>
            <w:r>
              <w:rPr>
                <w:rFonts w:ascii="宋体" w:hAnsi="宋体" w:eastAsia="宋体" w:cs="宋体"/>
                <w:spacing w:val="5"/>
                <w:sz w:val="20"/>
                <w:szCs w:val="20"/>
              </w:rPr>
              <w:t>间</w:t>
            </w:r>
          </w:p>
          <w:p w14:paraId="1405997F">
            <w:pPr>
              <w:spacing w:before="160" w:line="228" w:lineRule="auto"/>
              <w:ind w:left="140"/>
              <w:rPr>
                <w:rFonts w:ascii="宋体" w:hAnsi="宋体" w:eastAsia="宋体" w:cs="宋体"/>
                <w:sz w:val="20"/>
                <w:szCs w:val="20"/>
              </w:rPr>
            </w:pPr>
            <w:r>
              <w:rPr>
                <w:rFonts w:ascii="宋体" w:hAnsi="宋体" w:eastAsia="宋体" w:cs="宋体"/>
                <w:spacing w:val="5"/>
                <w:sz w:val="20"/>
                <w:szCs w:val="20"/>
              </w:rPr>
              <w:t>喷漆房、</w:t>
            </w:r>
            <w:r>
              <w:rPr>
                <w:rFonts w:ascii="Times New Roman" w:hAnsi="Times New Roman" w:eastAsia="Times New Roman" w:cs="Times New Roman"/>
                <w:spacing w:val="5"/>
                <w:sz w:val="20"/>
                <w:szCs w:val="20"/>
              </w:rPr>
              <w:t>1</w:t>
            </w:r>
            <w:r>
              <w:rPr>
                <w:rFonts w:ascii="Times New Roman" w:hAnsi="Times New Roman" w:eastAsia="Times New Roman" w:cs="Times New Roman"/>
                <w:spacing w:val="31"/>
                <w:sz w:val="20"/>
                <w:szCs w:val="20"/>
              </w:rPr>
              <w:t xml:space="preserve"> </w:t>
            </w:r>
            <w:r>
              <w:rPr>
                <w:rFonts w:ascii="宋体" w:hAnsi="宋体" w:eastAsia="宋体" w:cs="宋体"/>
                <w:spacing w:val="5"/>
                <w:sz w:val="20"/>
                <w:szCs w:val="20"/>
              </w:rPr>
              <w:t>间烤漆房，产</w:t>
            </w:r>
          </w:p>
          <w:p w14:paraId="1E55A838">
            <w:pPr>
              <w:spacing w:before="161" w:line="227" w:lineRule="auto"/>
              <w:ind w:left="212"/>
              <w:rPr>
                <w:rFonts w:ascii="宋体" w:hAnsi="宋体" w:eastAsia="宋体" w:cs="宋体"/>
                <w:sz w:val="20"/>
                <w:szCs w:val="20"/>
              </w:rPr>
            </w:pPr>
            <w:r>
              <w:rPr>
                <w:rFonts w:ascii="宋体" w:hAnsi="宋体" w:eastAsia="宋体" w:cs="宋体"/>
                <w:spacing w:val="8"/>
                <w:sz w:val="20"/>
                <w:szCs w:val="20"/>
              </w:rPr>
              <w:t>生的废气采用负压收集</w:t>
            </w:r>
          </w:p>
          <w:p w14:paraId="3246C76B">
            <w:pPr>
              <w:spacing w:before="162" w:line="227" w:lineRule="auto"/>
              <w:ind w:left="212"/>
              <w:rPr>
                <w:rFonts w:ascii="宋体" w:hAnsi="宋体" w:eastAsia="宋体" w:cs="宋体"/>
                <w:sz w:val="20"/>
                <w:szCs w:val="20"/>
              </w:rPr>
            </w:pPr>
            <w:r>
              <w:rPr>
                <w:rFonts w:ascii="宋体" w:hAnsi="宋体" w:eastAsia="宋体" w:cs="宋体"/>
                <w:spacing w:val="5"/>
                <w:sz w:val="20"/>
                <w:szCs w:val="20"/>
              </w:rPr>
              <w:t>后采用</w:t>
            </w:r>
            <w:r>
              <w:rPr>
                <w:rFonts w:ascii="宋体" w:hAnsi="宋体" w:eastAsia="宋体" w:cs="宋体"/>
                <w:spacing w:val="-19"/>
                <w:sz w:val="20"/>
                <w:szCs w:val="20"/>
              </w:rPr>
              <w:t xml:space="preserve">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套漆雾分离柜</w:t>
            </w:r>
          </w:p>
          <w:p w14:paraId="43F3A202">
            <w:pPr>
              <w:spacing w:before="164" w:line="227" w:lineRule="auto"/>
              <w:ind w:left="120"/>
              <w:rPr>
                <w:rFonts w:ascii="宋体" w:hAnsi="宋体" w:eastAsia="宋体" w:cs="宋体"/>
                <w:sz w:val="20"/>
                <w:szCs w:val="20"/>
              </w:rPr>
            </w:pPr>
            <w:r>
              <w:rPr>
                <w:rFonts w:ascii="Times New Roman" w:hAnsi="Times New Roman" w:eastAsia="Times New Roman" w:cs="Times New Roman"/>
                <w:spacing w:val="8"/>
                <w:sz w:val="20"/>
                <w:szCs w:val="20"/>
              </w:rPr>
              <w:t>+</w:t>
            </w:r>
            <w:r>
              <w:rPr>
                <w:rFonts w:ascii="Times New Roman" w:hAnsi="Times New Roman" w:eastAsia="Times New Roman" w:cs="Times New Roman"/>
                <w:sz w:val="20"/>
                <w:szCs w:val="20"/>
              </w:rPr>
              <w:t>uv</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光氧</w:t>
            </w:r>
            <w:r>
              <w:rPr>
                <w:rFonts w:ascii="Times New Roman" w:hAnsi="Times New Roman" w:eastAsia="Times New Roman" w:cs="Times New Roman"/>
                <w:spacing w:val="8"/>
                <w:sz w:val="20"/>
                <w:szCs w:val="20"/>
              </w:rPr>
              <w:t>+</w:t>
            </w:r>
            <w:r>
              <w:rPr>
                <w:rFonts w:ascii="宋体" w:hAnsi="宋体" w:eastAsia="宋体" w:cs="宋体"/>
                <w:spacing w:val="8"/>
                <w:sz w:val="20"/>
                <w:szCs w:val="20"/>
              </w:rPr>
              <w:t>活性炭吸附</w:t>
            </w:r>
            <w:r>
              <w:rPr>
                <w:rFonts w:ascii="Times New Roman" w:hAnsi="Times New Roman" w:eastAsia="Times New Roman" w:cs="Times New Roman"/>
                <w:spacing w:val="8"/>
                <w:sz w:val="20"/>
                <w:szCs w:val="20"/>
              </w:rPr>
              <w:t>”</w:t>
            </w:r>
            <w:r>
              <w:rPr>
                <w:rFonts w:ascii="宋体" w:hAnsi="宋体" w:eastAsia="宋体" w:cs="宋体"/>
                <w:spacing w:val="8"/>
                <w:sz w:val="20"/>
                <w:szCs w:val="20"/>
              </w:rPr>
              <w:t>装</w:t>
            </w:r>
          </w:p>
          <w:p w14:paraId="3E78CC9D">
            <w:pPr>
              <w:spacing w:before="161" w:line="228" w:lineRule="auto"/>
              <w:ind w:left="108"/>
              <w:rPr>
                <w:rFonts w:ascii="Times New Roman" w:hAnsi="Times New Roman" w:eastAsia="Times New Roman" w:cs="Times New Roman"/>
                <w:sz w:val="20"/>
                <w:szCs w:val="20"/>
              </w:rPr>
            </w:pPr>
            <w:r>
              <w:rPr>
                <w:rFonts w:ascii="宋体" w:hAnsi="宋体" w:eastAsia="宋体" w:cs="宋体"/>
                <w:spacing w:val="2"/>
                <w:sz w:val="20"/>
                <w:szCs w:val="20"/>
              </w:rPr>
              <w:t>置处理，最终由</w:t>
            </w:r>
            <w:r>
              <w:rPr>
                <w:rFonts w:ascii="宋体" w:hAnsi="宋体" w:eastAsia="宋体" w:cs="宋体"/>
                <w:spacing w:val="-16"/>
                <w:sz w:val="20"/>
                <w:szCs w:val="20"/>
              </w:rPr>
              <w:t xml:space="preserve"> </w:t>
            </w: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根</w:t>
            </w:r>
            <w:r>
              <w:rPr>
                <w:rFonts w:ascii="宋体" w:hAnsi="宋体" w:eastAsia="宋体" w:cs="宋体"/>
                <w:spacing w:val="-23"/>
                <w:sz w:val="20"/>
                <w:szCs w:val="20"/>
              </w:rPr>
              <w:t xml:space="preserve"> </w:t>
            </w:r>
            <w:r>
              <w:rPr>
                <w:rFonts w:ascii="Times New Roman" w:hAnsi="Times New Roman" w:eastAsia="Times New Roman" w:cs="Times New Roman"/>
                <w:spacing w:val="2"/>
                <w:sz w:val="20"/>
                <w:szCs w:val="20"/>
              </w:rPr>
              <w:t>15m</w:t>
            </w:r>
          </w:p>
          <w:p w14:paraId="0D90B75A">
            <w:pPr>
              <w:spacing w:before="161" w:line="228" w:lineRule="auto"/>
              <w:ind w:left="531"/>
              <w:rPr>
                <w:rFonts w:ascii="宋体" w:hAnsi="宋体" w:eastAsia="宋体" w:cs="宋体"/>
                <w:sz w:val="20"/>
                <w:szCs w:val="20"/>
              </w:rPr>
            </w:pPr>
            <w:r>
              <w:rPr>
                <w:rFonts w:ascii="宋体" w:hAnsi="宋体" w:eastAsia="宋体" w:cs="宋体"/>
                <w:spacing w:val="7"/>
                <w:sz w:val="20"/>
                <w:szCs w:val="20"/>
              </w:rPr>
              <w:t>高的排气筒排放</w:t>
            </w:r>
          </w:p>
          <w:p w14:paraId="108A2E69">
            <w:pPr>
              <w:spacing w:before="162"/>
              <w:ind w:left="646"/>
              <w:rPr>
                <w:rFonts w:ascii="宋体" w:hAnsi="宋体" w:eastAsia="宋体" w:cs="宋体"/>
                <w:sz w:val="20"/>
                <w:szCs w:val="20"/>
              </w:rPr>
            </w:pPr>
            <w:r>
              <w:rPr>
                <w:rFonts w:ascii="宋体" w:hAnsi="宋体" w:eastAsia="宋体" w:cs="宋体"/>
                <w:spacing w:val="3"/>
                <w:sz w:val="20"/>
                <w:szCs w:val="20"/>
              </w:rPr>
              <w:t>（</w:t>
            </w:r>
            <w:r>
              <w:rPr>
                <w:rFonts w:ascii="Times New Roman" w:hAnsi="Times New Roman" w:eastAsia="Times New Roman" w:cs="Times New Roman"/>
                <w:sz w:val="20"/>
                <w:szCs w:val="20"/>
              </w:rPr>
              <w:t>DA</w:t>
            </w:r>
            <w:r>
              <w:rPr>
                <w:rFonts w:ascii="Times New Roman" w:hAnsi="Times New Roman" w:eastAsia="Times New Roman" w:cs="Times New Roman"/>
                <w:spacing w:val="3"/>
                <w:sz w:val="20"/>
                <w:szCs w:val="20"/>
              </w:rPr>
              <w:t>002</w:t>
            </w:r>
            <w:r>
              <w:rPr>
                <w:rFonts w:ascii="宋体" w:hAnsi="宋体" w:eastAsia="宋体" w:cs="宋体"/>
                <w:spacing w:val="3"/>
                <w:sz w:val="20"/>
                <w:szCs w:val="20"/>
              </w:rPr>
              <w:t>）。</w:t>
            </w:r>
          </w:p>
        </w:tc>
        <w:tc>
          <w:tcPr>
            <w:tcW w:w="2213" w:type="dxa"/>
            <w:vAlign w:val="top"/>
          </w:tcPr>
          <w:p w14:paraId="2A23AFA9">
            <w:pPr>
              <w:spacing w:line="242" w:lineRule="auto"/>
              <w:rPr>
                <w:rFonts w:ascii="Arial"/>
                <w:sz w:val="21"/>
              </w:rPr>
            </w:pPr>
          </w:p>
          <w:p w14:paraId="3BBB16B3">
            <w:pPr>
              <w:spacing w:line="243" w:lineRule="auto"/>
              <w:rPr>
                <w:rFonts w:ascii="Arial"/>
                <w:sz w:val="21"/>
              </w:rPr>
            </w:pPr>
          </w:p>
          <w:p w14:paraId="3D62DC7F">
            <w:pPr>
              <w:spacing w:line="243" w:lineRule="auto"/>
              <w:rPr>
                <w:rFonts w:ascii="Arial"/>
                <w:sz w:val="21"/>
              </w:rPr>
            </w:pPr>
          </w:p>
          <w:p w14:paraId="3269464E">
            <w:pPr>
              <w:spacing w:line="243" w:lineRule="auto"/>
              <w:rPr>
                <w:rFonts w:ascii="Arial"/>
                <w:sz w:val="21"/>
              </w:rPr>
            </w:pPr>
          </w:p>
          <w:p w14:paraId="5BA5D237">
            <w:pPr>
              <w:spacing w:line="243" w:lineRule="auto"/>
              <w:rPr>
                <w:rFonts w:ascii="Arial"/>
                <w:sz w:val="21"/>
              </w:rPr>
            </w:pPr>
          </w:p>
          <w:p w14:paraId="144CD71C">
            <w:pPr>
              <w:spacing w:line="243" w:lineRule="auto"/>
              <w:rPr>
                <w:rFonts w:ascii="Arial"/>
                <w:sz w:val="21"/>
              </w:rPr>
            </w:pPr>
          </w:p>
          <w:p w14:paraId="15509998">
            <w:pPr>
              <w:spacing w:before="58"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vAlign w:val="top"/>
          </w:tcPr>
          <w:p w14:paraId="14185325">
            <w:pPr>
              <w:spacing w:line="281" w:lineRule="auto"/>
              <w:rPr>
                <w:rFonts w:ascii="Arial"/>
                <w:sz w:val="21"/>
              </w:rPr>
            </w:pPr>
          </w:p>
          <w:p w14:paraId="4E2756B5">
            <w:pPr>
              <w:spacing w:line="281" w:lineRule="auto"/>
              <w:rPr>
                <w:rFonts w:ascii="Arial"/>
                <w:sz w:val="21"/>
              </w:rPr>
            </w:pPr>
          </w:p>
          <w:p w14:paraId="40A1ACFB">
            <w:pPr>
              <w:spacing w:line="282" w:lineRule="auto"/>
              <w:rPr>
                <w:rFonts w:ascii="Arial"/>
                <w:sz w:val="21"/>
              </w:rPr>
            </w:pPr>
          </w:p>
          <w:p w14:paraId="0DEA7EFE">
            <w:pPr>
              <w:spacing w:line="282" w:lineRule="auto"/>
              <w:rPr>
                <w:rFonts w:ascii="Arial"/>
                <w:sz w:val="21"/>
              </w:rPr>
            </w:pPr>
          </w:p>
          <w:p w14:paraId="7BE29F9C">
            <w:pPr>
              <w:spacing w:line="282" w:lineRule="auto"/>
              <w:rPr>
                <w:rFonts w:ascii="Arial"/>
                <w:sz w:val="21"/>
              </w:rPr>
            </w:pPr>
          </w:p>
          <w:p w14:paraId="4C12DE50">
            <w:pPr>
              <w:spacing w:before="65" w:line="229" w:lineRule="auto"/>
              <w:ind w:left="426"/>
              <w:rPr>
                <w:rFonts w:ascii="宋体" w:hAnsi="宋体" w:eastAsia="宋体" w:cs="宋体"/>
                <w:sz w:val="20"/>
                <w:szCs w:val="20"/>
              </w:rPr>
            </w:pPr>
            <w:r>
              <w:rPr>
                <w:rFonts w:ascii="宋体" w:hAnsi="宋体" w:eastAsia="宋体" w:cs="宋体"/>
                <w:spacing w:val="1"/>
                <w:sz w:val="20"/>
                <w:szCs w:val="20"/>
              </w:rPr>
              <w:t>已建不变</w:t>
            </w:r>
          </w:p>
        </w:tc>
        <w:tc>
          <w:tcPr>
            <w:tcW w:w="195" w:type="dxa"/>
            <w:vMerge w:val="continue"/>
            <w:tcBorders>
              <w:top w:val="nil"/>
              <w:bottom w:val="nil"/>
              <w:right w:val="single" w:color="000000" w:sz="6" w:space="0"/>
            </w:tcBorders>
            <w:vAlign w:val="top"/>
          </w:tcPr>
          <w:p w14:paraId="653D89EB">
            <w:pPr>
              <w:rPr>
                <w:rFonts w:ascii="Arial"/>
                <w:sz w:val="21"/>
              </w:rPr>
            </w:pPr>
          </w:p>
        </w:tc>
      </w:tr>
      <w:tr w14:paraId="4324E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428" w:type="dxa"/>
            <w:vMerge w:val="continue"/>
            <w:tcBorders>
              <w:top w:val="nil"/>
              <w:left w:val="single" w:color="000000" w:sz="6" w:space="0"/>
              <w:bottom w:val="single" w:color="000000" w:sz="6" w:space="0"/>
            </w:tcBorders>
            <w:vAlign w:val="top"/>
          </w:tcPr>
          <w:p w14:paraId="7D16F204">
            <w:pPr>
              <w:rPr>
                <w:rFonts w:ascii="Arial"/>
                <w:sz w:val="21"/>
              </w:rPr>
            </w:pPr>
          </w:p>
        </w:tc>
        <w:tc>
          <w:tcPr>
            <w:tcW w:w="113" w:type="dxa"/>
            <w:tcBorders>
              <w:top w:val="nil"/>
              <w:bottom w:val="single" w:color="000000" w:sz="6" w:space="0"/>
            </w:tcBorders>
            <w:vAlign w:val="top"/>
          </w:tcPr>
          <w:p w14:paraId="5EAF7825">
            <w:pPr>
              <w:rPr>
                <w:rFonts w:ascii="Arial"/>
                <w:sz w:val="21"/>
              </w:rPr>
            </w:pPr>
          </w:p>
        </w:tc>
        <w:tc>
          <w:tcPr>
            <w:tcW w:w="596" w:type="dxa"/>
            <w:vMerge w:val="continue"/>
            <w:tcBorders>
              <w:top w:val="nil"/>
              <w:bottom w:val="single" w:color="000000" w:sz="6" w:space="0"/>
            </w:tcBorders>
            <w:vAlign w:val="top"/>
          </w:tcPr>
          <w:p w14:paraId="335EAB15">
            <w:pPr>
              <w:rPr>
                <w:rFonts w:ascii="Arial"/>
                <w:sz w:val="21"/>
              </w:rPr>
            </w:pPr>
          </w:p>
        </w:tc>
        <w:tc>
          <w:tcPr>
            <w:tcW w:w="661" w:type="dxa"/>
            <w:vMerge w:val="continue"/>
            <w:tcBorders>
              <w:top w:val="nil"/>
              <w:bottom w:val="single" w:color="000000" w:sz="6" w:space="0"/>
            </w:tcBorders>
            <w:vAlign w:val="top"/>
          </w:tcPr>
          <w:p w14:paraId="26924D7C">
            <w:pPr>
              <w:rPr>
                <w:rFonts w:ascii="Arial"/>
                <w:sz w:val="21"/>
              </w:rPr>
            </w:pPr>
          </w:p>
        </w:tc>
        <w:tc>
          <w:tcPr>
            <w:tcW w:w="718" w:type="dxa"/>
            <w:tcBorders>
              <w:bottom w:val="single" w:color="000000" w:sz="6" w:space="0"/>
            </w:tcBorders>
            <w:vAlign w:val="top"/>
          </w:tcPr>
          <w:p w14:paraId="5ED860B2">
            <w:pPr>
              <w:spacing w:before="65" w:line="228" w:lineRule="auto"/>
              <w:ind w:left="149"/>
              <w:rPr>
                <w:rFonts w:ascii="宋体" w:hAnsi="宋体" w:eastAsia="宋体" w:cs="宋体"/>
                <w:sz w:val="20"/>
                <w:szCs w:val="20"/>
              </w:rPr>
            </w:pPr>
            <w:r>
              <w:rPr>
                <w:rFonts w:ascii="宋体" w:hAnsi="宋体" w:eastAsia="宋体" w:cs="宋体"/>
                <w:spacing w:val="4"/>
                <w:sz w:val="20"/>
                <w:szCs w:val="20"/>
              </w:rPr>
              <w:t>浸渍</w:t>
            </w:r>
          </w:p>
          <w:p w14:paraId="1D4E5DE4">
            <w:pPr>
              <w:spacing w:before="161" w:line="232" w:lineRule="auto"/>
              <w:ind w:left="150"/>
              <w:rPr>
                <w:rFonts w:ascii="宋体" w:hAnsi="宋体" w:eastAsia="宋体" w:cs="宋体"/>
                <w:sz w:val="20"/>
                <w:szCs w:val="20"/>
              </w:rPr>
            </w:pPr>
            <w:r>
              <w:rPr>
                <w:rFonts w:ascii="宋体" w:hAnsi="宋体" w:eastAsia="宋体" w:cs="宋体"/>
                <w:spacing w:val="3"/>
                <w:sz w:val="20"/>
                <w:szCs w:val="20"/>
              </w:rPr>
              <w:t>纸生</w:t>
            </w:r>
          </w:p>
        </w:tc>
        <w:tc>
          <w:tcPr>
            <w:tcW w:w="2514" w:type="dxa"/>
            <w:tcBorders>
              <w:bottom w:val="single" w:color="000000" w:sz="6" w:space="0"/>
            </w:tcBorders>
            <w:vAlign w:val="top"/>
          </w:tcPr>
          <w:p w14:paraId="43ADA70B">
            <w:pPr>
              <w:spacing w:before="66" w:line="359" w:lineRule="auto"/>
              <w:ind w:left="213" w:right="107" w:hanging="103"/>
              <w:rPr>
                <w:rFonts w:ascii="宋体" w:hAnsi="宋体" w:eastAsia="宋体" w:cs="宋体"/>
                <w:sz w:val="20"/>
                <w:szCs w:val="20"/>
              </w:rPr>
            </w:pPr>
            <w:r>
              <w:rPr>
                <w:rFonts w:ascii="宋体" w:hAnsi="宋体" w:eastAsia="宋体" w:cs="宋体"/>
                <w:spacing w:val="8"/>
                <w:sz w:val="20"/>
                <w:szCs w:val="20"/>
              </w:rPr>
              <w:t>浸渍纸生产在涂胶、烘干工序以及天然气燃烧产</w:t>
            </w:r>
          </w:p>
        </w:tc>
        <w:tc>
          <w:tcPr>
            <w:tcW w:w="2213" w:type="dxa"/>
            <w:tcBorders>
              <w:bottom w:val="single" w:color="000000" w:sz="6" w:space="0"/>
            </w:tcBorders>
            <w:vAlign w:val="top"/>
          </w:tcPr>
          <w:p w14:paraId="7024FF90">
            <w:pPr>
              <w:spacing w:line="250" w:lineRule="auto"/>
              <w:rPr>
                <w:rFonts w:ascii="Arial"/>
                <w:sz w:val="21"/>
              </w:rPr>
            </w:pPr>
          </w:p>
          <w:p w14:paraId="5DE3D5BD">
            <w:pPr>
              <w:spacing w:before="57" w:line="199"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6" w:type="dxa"/>
            <w:tcBorders>
              <w:bottom w:val="single" w:color="000000" w:sz="6" w:space="0"/>
            </w:tcBorders>
            <w:vAlign w:val="top"/>
          </w:tcPr>
          <w:p w14:paraId="3BA8CDE6">
            <w:pPr>
              <w:spacing w:before="269" w:line="229" w:lineRule="auto"/>
              <w:ind w:left="426"/>
              <w:rPr>
                <w:rFonts w:ascii="宋体" w:hAnsi="宋体" w:eastAsia="宋体" w:cs="宋体"/>
                <w:sz w:val="20"/>
                <w:szCs w:val="20"/>
              </w:rPr>
            </w:pPr>
            <w:r>
              <w:rPr>
                <w:rFonts w:ascii="宋体" w:hAnsi="宋体" w:eastAsia="宋体" w:cs="宋体"/>
                <w:spacing w:val="1"/>
                <w:sz w:val="20"/>
                <w:szCs w:val="20"/>
              </w:rPr>
              <w:t>已建不变</w:t>
            </w:r>
          </w:p>
        </w:tc>
        <w:tc>
          <w:tcPr>
            <w:tcW w:w="195" w:type="dxa"/>
            <w:vMerge w:val="continue"/>
            <w:tcBorders>
              <w:top w:val="nil"/>
              <w:bottom w:val="single" w:color="000000" w:sz="6" w:space="0"/>
              <w:right w:val="single" w:color="000000" w:sz="6" w:space="0"/>
            </w:tcBorders>
            <w:vAlign w:val="top"/>
          </w:tcPr>
          <w:p w14:paraId="2509F8E4">
            <w:pPr>
              <w:rPr>
                <w:rFonts w:ascii="Arial"/>
                <w:sz w:val="21"/>
              </w:rPr>
            </w:pPr>
          </w:p>
        </w:tc>
      </w:tr>
    </w:tbl>
    <w:p w14:paraId="46D6D801">
      <w:pPr>
        <w:pStyle w:val="2"/>
      </w:pPr>
    </w:p>
    <w:p w14:paraId="117DACAB">
      <w:pPr>
        <w:sectPr>
          <w:footerReference r:id="rId51" w:type="default"/>
          <w:pgSz w:w="11906" w:h="16839"/>
          <w:pgMar w:top="400" w:right="1413" w:bottom="1329" w:left="1413" w:header="0" w:footer="1113" w:gutter="0"/>
          <w:cols w:space="720" w:num="1"/>
        </w:sectPr>
      </w:pPr>
    </w:p>
    <w:p w14:paraId="2D908E04">
      <w:pPr>
        <w:spacing w:before="19"/>
      </w:pPr>
    </w:p>
    <w:p w14:paraId="14725E87">
      <w:pPr>
        <w:spacing w:before="19"/>
      </w:pPr>
    </w:p>
    <w:p w14:paraId="0EE56F5C">
      <w:pPr>
        <w:spacing w:before="19"/>
      </w:pPr>
    </w:p>
    <w:p w14:paraId="47A9F434">
      <w:pPr>
        <w:spacing w:before="18"/>
      </w:pPr>
    </w:p>
    <w:p w14:paraId="55C3AE00">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596"/>
        <w:gridCol w:w="661"/>
        <w:gridCol w:w="718"/>
        <w:gridCol w:w="2514"/>
        <w:gridCol w:w="2213"/>
        <w:gridCol w:w="1626"/>
        <w:gridCol w:w="195"/>
      </w:tblGrid>
      <w:tr w14:paraId="660BD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2" w:hRule="atLeast"/>
        </w:trPr>
        <w:tc>
          <w:tcPr>
            <w:tcW w:w="428" w:type="dxa"/>
            <w:vMerge w:val="restart"/>
            <w:tcBorders>
              <w:top w:val="single" w:color="000000" w:sz="6" w:space="0"/>
              <w:left w:val="single" w:color="000000" w:sz="6" w:space="0"/>
              <w:bottom w:val="nil"/>
            </w:tcBorders>
            <w:vAlign w:val="top"/>
          </w:tcPr>
          <w:p w14:paraId="61CF7572">
            <w:pPr>
              <w:rPr>
                <w:rFonts w:ascii="Arial"/>
                <w:sz w:val="21"/>
              </w:rPr>
            </w:pPr>
          </w:p>
        </w:tc>
        <w:tc>
          <w:tcPr>
            <w:tcW w:w="113" w:type="dxa"/>
            <w:tcBorders>
              <w:top w:val="single" w:color="000000" w:sz="6" w:space="0"/>
              <w:bottom w:val="nil"/>
            </w:tcBorders>
            <w:vAlign w:val="top"/>
          </w:tcPr>
          <w:p w14:paraId="2101A69B">
            <w:pPr>
              <w:rPr>
                <w:rFonts w:ascii="Arial"/>
                <w:sz w:val="21"/>
              </w:rPr>
            </w:pPr>
          </w:p>
        </w:tc>
        <w:tc>
          <w:tcPr>
            <w:tcW w:w="596" w:type="dxa"/>
            <w:vMerge w:val="restart"/>
            <w:tcBorders>
              <w:top w:val="single" w:color="000000" w:sz="6" w:space="0"/>
              <w:bottom w:val="nil"/>
            </w:tcBorders>
            <w:vAlign w:val="top"/>
          </w:tcPr>
          <w:p w14:paraId="5854F865">
            <w:pPr>
              <w:rPr>
                <w:rFonts w:ascii="Arial"/>
                <w:sz w:val="21"/>
              </w:rPr>
            </w:pPr>
          </w:p>
        </w:tc>
        <w:tc>
          <w:tcPr>
            <w:tcW w:w="661" w:type="dxa"/>
            <w:vMerge w:val="restart"/>
            <w:tcBorders>
              <w:top w:val="single" w:color="000000" w:sz="6" w:space="0"/>
              <w:bottom w:val="nil"/>
            </w:tcBorders>
            <w:vAlign w:val="top"/>
          </w:tcPr>
          <w:p w14:paraId="063B4978">
            <w:pPr>
              <w:rPr>
                <w:rFonts w:ascii="Arial"/>
                <w:sz w:val="21"/>
              </w:rPr>
            </w:pPr>
          </w:p>
        </w:tc>
        <w:tc>
          <w:tcPr>
            <w:tcW w:w="718" w:type="dxa"/>
            <w:tcBorders>
              <w:top w:val="single" w:color="000000" w:sz="6" w:space="0"/>
            </w:tcBorders>
            <w:vAlign w:val="top"/>
          </w:tcPr>
          <w:p w14:paraId="37769BD0">
            <w:pPr>
              <w:spacing w:before="46" w:line="379" w:lineRule="auto"/>
              <w:ind w:left="255" w:right="154" w:hanging="106"/>
              <w:rPr>
                <w:rFonts w:ascii="宋体" w:hAnsi="宋体" w:eastAsia="宋体" w:cs="宋体"/>
                <w:sz w:val="20"/>
                <w:szCs w:val="20"/>
              </w:rPr>
            </w:pPr>
            <w:r>
              <w:rPr>
                <w:rFonts w:ascii="宋体" w:hAnsi="宋体" w:eastAsia="宋体" w:cs="宋体"/>
                <w:spacing w:val="4"/>
                <w:sz w:val="20"/>
                <w:szCs w:val="20"/>
              </w:rPr>
              <w:t>产废</w:t>
            </w:r>
            <w:r>
              <w:rPr>
                <w:rFonts w:ascii="宋体" w:hAnsi="宋体" w:eastAsia="宋体" w:cs="宋体"/>
                <w:sz w:val="20"/>
                <w:szCs w:val="20"/>
              </w:rPr>
              <w:t>气</w:t>
            </w:r>
          </w:p>
        </w:tc>
        <w:tc>
          <w:tcPr>
            <w:tcW w:w="2514" w:type="dxa"/>
            <w:tcBorders>
              <w:top w:val="single" w:color="000000" w:sz="6" w:space="0"/>
            </w:tcBorders>
            <w:vAlign w:val="top"/>
          </w:tcPr>
          <w:p w14:paraId="299CB0FE">
            <w:pPr>
              <w:spacing w:before="46" w:line="227" w:lineRule="auto"/>
              <w:ind w:left="212"/>
              <w:rPr>
                <w:rFonts w:ascii="宋体" w:hAnsi="宋体" w:eastAsia="宋体" w:cs="宋体"/>
                <w:sz w:val="20"/>
                <w:szCs w:val="20"/>
              </w:rPr>
            </w:pPr>
            <w:r>
              <w:rPr>
                <w:rFonts w:ascii="宋体" w:hAnsi="宋体" w:eastAsia="宋体" w:cs="宋体"/>
                <w:spacing w:val="8"/>
                <w:sz w:val="20"/>
                <w:szCs w:val="20"/>
              </w:rPr>
              <w:t>生的废气采用集气罩收</w:t>
            </w:r>
          </w:p>
          <w:p w14:paraId="219F62A1">
            <w:pPr>
              <w:spacing w:before="162" w:line="227" w:lineRule="auto"/>
              <w:ind w:left="170"/>
              <w:rPr>
                <w:rFonts w:ascii="宋体" w:hAnsi="宋体" w:eastAsia="宋体" w:cs="宋体"/>
                <w:sz w:val="20"/>
                <w:szCs w:val="20"/>
              </w:rPr>
            </w:pPr>
            <w:r>
              <w:rPr>
                <w:rFonts w:ascii="宋体" w:hAnsi="宋体" w:eastAsia="宋体" w:cs="宋体"/>
                <w:spacing w:val="8"/>
                <w:sz w:val="20"/>
                <w:szCs w:val="20"/>
              </w:rPr>
              <w:t>集</w:t>
            </w:r>
            <w:r>
              <w:rPr>
                <w:rFonts w:ascii="Times New Roman" w:hAnsi="Times New Roman" w:eastAsia="Times New Roman" w:cs="Times New Roman"/>
                <w:spacing w:val="8"/>
                <w:sz w:val="20"/>
                <w:szCs w:val="20"/>
              </w:rPr>
              <w:t>+</w:t>
            </w:r>
            <w:r>
              <w:rPr>
                <w:rFonts w:ascii="Times New Roman" w:hAnsi="Times New Roman" w:eastAsia="Times New Roman" w:cs="Times New Roman"/>
                <w:sz w:val="20"/>
                <w:szCs w:val="20"/>
              </w:rPr>
              <w:t>uv</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光氧</w:t>
            </w:r>
            <w:r>
              <w:rPr>
                <w:rFonts w:ascii="Times New Roman" w:hAnsi="Times New Roman" w:eastAsia="Times New Roman" w:cs="Times New Roman"/>
                <w:spacing w:val="8"/>
                <w:sz w:val="20"/>
                <w:szCs w:val="20"/>
              </w:rPr>
              <w:t>+</w:t>
            </w:r>
            <w:r>
              <w:rPr>
                <w:rFonts w:ascii="宋体" w:hAnsi="宋体" w:eastAsia="宋体" w:cs="宋体"/>
                <w:spacing w:val="8"/>
                <w:sz w:val="20"/>
                <w:szCs w:val="20"/>
              </w:rPr>
              <w:t>活性炭吸附</w:t>
            </w:r>
          </w:p>
          <w:p w14:paraId="55F34A98">
            <w:pPr>
              <w:spacing w:before="162" w:line="227" w:lineRule="auto"/>
              <w:ind w:left="110"/>
              <w:rPr>
                <w:rFonts w:ascii="宋体" w:hAnsi="宋体" w:eastAsia="宋体" w:cs="宋体"/>
                <w:sz w:val="20"/>
                <w:szCs w:val="20"/>
              </w:rPr>
            </w:pPr>
            <w:r>
              <w:rPr>
                <w:rFonts w:ascii="宋体" w:hAnsi="宋体" w:eastAsia="宋体" w:cs="宋体"/>
                <w:spacing w:val="5"/>
                <w:sz w:val="20"/>
                <w:szCs w:val="20"/>
              </w:rPr>
              <w:t>装置吸附处理后通过</w:t>
            </w:r>
            <w:r>
              <w:rPr>
                <w:rFonts w:ascii="宋体" w:hAnsi="宋体" w:eastAsia="宋体" w:cs="宋体"/>
                <w:spacing w:val="-20"/>
                <w:sz w:val="20"/>
                <w:szCs w:val="20"/>
              </w:rPr>
              <w:t xml:space="preserve">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根</w:t>
            </w:r>
          </w:p>
          <w:p w14:paraId="0CA00ABF">
            <w:pPr>
              <w:spacing w:before="161" w:line="228" w:lineRule="auto"/>
              <w:ind w:left="328"/>
              <w:rPr>
                <w:rFonts w:ascii="宋体" w:hAnsi="宋体" w:eastAsia="宋体" w:cs="宋体"/>
                <w:sz w:val="20"/>
                <w:szCs w:val="20"/>
              </w:rPr>
            </w:pPr>
            <w:r>
              <w:rPr>
                <w:rFonts w:ascii="Times New Roman" w:hAnsi="Times New Roman" w:eastAsia="Times New Roman" w:cs="Times New Roman"/>
                <w:spacing w:val="4"/>
                <w:sz w:val="20"/>
                <w:szCs w:val="20"/>
              </w:rPr>
              <w:t>15m</w:t>
            </w:r>
            <w:r>
              <w:rPr>
                <w:rFonts w:ascii="Times New Roman" w:hAnsi="Times New Roman" w:eastAsia="Times New Roman" w:cs="Times New Roman"/>
                <w:spacing w:val="22"/>
                <w:w w:val="101"/>
                <w:sz w:val="20"/>
                <w:szCs w:val="20"/>
              </w:rPr>
              <w:t xml:space="preserve"> </w:t>
            </w:r>
            <w:r>
              <w:rPr>
                <w:rFonts w:ascii="宋体" w:hAnsi="宋体" w:eastAsia="宋体" w:cs="宋体"/>
                <w:spacing w:val="4"/>
                <w:sz w:val="20"/>
                <w:szCs w:val="20"/>
              </w:rPr>
              <w:t>高的排气筒排放</w:t>
            </w:r>
          </w:p>
          <w:p w14:paraId="1E8898D8">
            <w:pPr>
              <w:spacing w:before="163"/>
              <w:ind w:left="646"/>
              <w:rPr>
                <w:rFonts w:ascii="宋体" w:hAnsi="宋体" w:eastAsia="宋体" w:cs="宋体"/>
                <w:sz w:val="20"/>
                <w:szCs w:val="20"/>
              </w:rPr>
            </w:pPr>
            <w:r>
              <w:rPr>
                <w:rFonts w:ascii="宋体" w:hAnsi="宋体" w:eastAsia="宋体" w:cs="宋体"/>
                <w:spacing w:val="3"/>
                <w:sz w:val="20"/>
                <w:szCs w:val="20"/>
              </w:rPr>
              <w:t>（</w:t>
            </w:r>
            <w:r>
              <w:rPr>
                <w:rFonts w:ascii="Times New Roman" w:hAnsi="Times New Roman" w:eastAsia="Times New Roman" w:cs="Times New Roman"/>
                <w:sz w:val="20"/>
                <w:szCs w:val="20"/>
              </w:rPr>
              <w:t>DA</w:t>
            </w:r>
            <w:r>
              <w:rPr>
                <w:rFonts w:ascii="Times New Roman" w:hAnsi="Times New Roman" w:eastAsia="Times New Roman" w:cs="Times New Roman"/>
                <w:spacing w:val="3"/>
                <w:sz w:val="20"/>
                <w:szCs w:val="20"/>
              </w:rPr>
              <w:t>003</w:t>
            </w:r>
            <w:r>
              <w:rPr>
                <w:rFonts w:ascii="宋体" w:hAnsi="宋体" w:eastAsia="宋体" w:cs="宋体"/>
                <w:spacing w:val="3"/>
                <w:sz w:val="20"/>
                <w:szCs w:val="20"/>
              </w:rPr>
              <w:t>）。</w:t>
            </w:r>
          </w:p>
        </w:tc>
        <w:tc>
          <w:tcPr>
            <w:tcW w:w="2213" w:type="dxa"/>
            <w:tcBorders>
              <w:top w:val="single" w:color="000000" w:sz="6" w:space="0"/>
            </w:tcBorders>
            <w:vAlign w:val="top"/>
          </w:tcPr>
          <w:p w14:paraId="08A7349D">
            <w:pPr>
              <w:rPr>
                <w:rFonts w:ascii="Arial"/>
                <w:sz w:val="21"/>
              </w:rPr>
            </w:pPr>
          </w:p>
        </w:tc>
        <w:tc>
          <w:tcPr>
            <w:tcW w:w="1626" w:type="dxa"/>
            <w:tcBorders>
              <w:top w:val="single" w:color="000000" w:sz="6" w:space="0"/>
            </w:tcBorders>
            <w:vAlign w:val="top"/>
          </w:tcPr>
          <w:p w14:paraId="74812656">
            <w:pPr>
              <w:rPr>
                <w:rFonts w:ascii="Arial"/>
                <w:sz w:val="21"/>
              </w:rPr>
            </w:pPr>
          </w:p>
        </w:tc>
        <w:tc>
          <w:tcPr>
            <w:tcW w:w="195" w:type="dxa"/>
            <w:vMerge w:val="restart"/>
            <w:tcBorders>
              <w:top w:val="single" w:color="000000" w:sz="6" w:space="0"/>
              <w:bottom w:val="nil"/>
              <w:right w:val="single" w:color="000000" w:sz="6" w:space="0"/>
            </w:tcBorders>
            <w:vAlign w:val="top"/>
          </w:tcPr>
          <w:p w14:paraId="51B37A3D">
            <w:pPr>
              <w:rPr>
                <w:rFonts w:ascii="Arial"/>
                <w:sz w:val="21"/>
              </w:rPr>
            </w:pPr>
          </w:p>
        </w:tc>
      </w:tr>
      <w:tr w14:paraId="0EB28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2" w:hRule="atLeast"/>
        </w:trPr>
        <w:tc>
          <w:tcPr>
            <w:tcW w:w="428" w:type="dxa"/>
            <w:vMerge w:val="continue"/>
            <w:tcBorders>
              <w:top w:val="nil"/>
              <w:left w:val="single" w:color="000000" w:sz="6" w:space="0"/>
              <w:bottom w:val="nil"/>
            </w:tcBorders>
            <w:vAlign w:val="top"/>
          </w:tcPr>
          <w:p w14:paraId="73935DFD">
            <w:pPr>
              <w:rPr>
                <w:rFonts w:ascii="Arial"/>
                <w:sz w:val="21"/>
              </w:rPr>
            </w:pPr>
          </w:p>
        </w:tc>
        <w:tc>
          <w:tcPr>
            <w:tcW w:w="113" w:type="dxa"/>
            <w:tcBorders>
              <w:top w:val="nil"/>
              <w:bottom w:val="nil"/>
            </w:tcBorders>
            <w:vAlign w:val="top"/>
          </w:tcPr>
          <w:p w14:paraId="4B30FA78">
            <w:pPr>
              <w:rPr>
                <w:rFonts w:ascii="Arial"/>
                <w:sz w:val="21"/>
              </w:rPr>
            </w:pPr>
          </w:p>
        </w:tc>
        <w:tc>
          <w:tcPr>
            <w:tcW w:w="596" w:type="dxa"/>
            <w:vMerge w:val="continue"/>
            <w:tcBorders>
              <w:top w:val="nil"/>
              <w:bottom w:val="nil"/>
            </w:tcBorders>
            <w:vAlign w:val="top"/>
          </w:tcPr>
          <w:p w14:paraId="5850ACB1">
            <w:pPr>
              <w:rPr>
                <w:rFonts w:ascii="Arial"/>
                <w:sz w:val="21"/>
              </w:rPr>
            </w:pPr>
          </w:p>
        </w:tc>
        <w:tc>
          <w:tcPr>
            <w:tcW w:w="661" w:type="dxa"/>
            <w:vMerge w:val="continue"/>
            <w:tcBorders>
              <w:top w:val="nil"/>
            </w:tcBorders>
            <w:vAlign w:val="top"/>
          </w:tcPr>
          <w:p w14:paraId="3A561550">
            <w:pPr>
              <w:rPr>
                <w:rFonts w:ascii="Arial"/>
                <w:sz w:val="21"/>
              </w:rPr>
            </w:pPr>
          </w:p>
        </w:tc>
        <w:tc>
          <w:tcPr>
            <w:tcW w:w="718" w:type="dxa"/>
            <w:vAlign w:val="top"/>
          </w:tcPr>
          <w:p w14:paraId="7BCF5092">
            <w:pPr>
              <w:spacing w:line="262" w:lineRule="auto"/>
              <w:rPr>
                <w:rFonts w:ascii="Arial"/>
                <w:sz w:val="21"/>
              </w:rPr>
            </w:pPr>
          </w:p>
          <w:p w14:paraId="662BF577">
            <w:pPr>
              <w:spacing w:line="262" w:lineRule="auto"/>
              <w:rPr>
                <w:rFonts w:ascii="Arial"/>
                <w:sz w:val="21"/>
              </w:rPr>
            </w:pPr>
          </w:p>
          <w:p w14:paraId="2AAE485A">
            <w:pPr>
              <w:spacing w:line="262" w:lineRule="auto"/>
              <w:rPr>
                <w:rFonts w:ascii="Arial"/>
                <w:sz w:val="21"/>
              </w:rPr>
            </w:pPr>
          </w:p>
          <w:p w14:paraId="641991E8">
            <w:pPr>
              <w:spacing w:line="262" w:lineRule="auto"/>
              <w:rPr>
                <w:rFonts w:ascii="Arial"/>
                <w:sz w:val="21"/>
              </w:rPr>
            </w:pPr>
          </w:p>
          <w:p w14:paraId="69229CB8">
            <w:pPr>
              <w:spacing w:line="262" w:lineRule="auto"/>
              <w:rPr>
                <w:rFonts w:ascii="Arial"/>
                <w:sz w:val="21"/>
              </w:rPr>
            </w:pPr>
          </w:p>
          <w:p w14:paraId="01D0F3BF">
            <w:pPr>
              <w:spacing w:line="262" w:lineRule="auto"/>
              <w:rPr>
                <w:rFonts w:ascii="Arial"/>
                <w:sz w:val="21"/>
              </w:rPr>
            </w:pPr>
          </w:p>
          <w:p w14:paraId="58BDEB18">
            <w:pPr>
              <w:spacing w:line="262" w:lineRule="auto"/>
              <w:rPr>
                <w:rFonts w:ascii="Arial"/>
                <w:sz w:val="21"/>
              </w:rPr>
            </w:pPr>
          </w:p>
          <w:p w14:paraId="71DE2F37">
            <w:pPr>
              <w:spacing w:line="263" w:lineRule="auto"/>
              <w:rPr>
                <w:rFonts w:ascii="Arial"/>
                <w:sz w:val="21"/>
              </w:rPr>
            </w:pPr>
          </w:p>
          <w:p w14:paraId="1CAF88DD">
            <w:pPr>
              <w:spacing w:line="263" w:lineRule="auto"/>
              <w:rPr>
                <w:rFonts w:ascii="Arial"/>
                <w:sz w:val="21"/>
              </w:rPr>
            </w:pPr>
          </w:p>
          <w:p w14:paraId="0FEF48AD">
            <w:pPr>
              <w:spacing w:line="263" w:lineRule="auto"/>
              <w:rPr>
                <w:rFonts w:ascii="Arial"/>
                <w:sz w:val="21"/>
              </w:rPr>
            </w:pPr>
          </w:p>
          <w:p w14:paraId="43F29AD8">
            <w:pPr>
              <w:spacing w:before="65" w:line="378" w:lineRule="auto"/>
              <w:ind w:left="149" w:right="154" w:firstLine="4"/>
              <w:jc w:val="both"/>
              <w:rPr>
                <w:rFonts w:ascii="宋体" w:hAnsi="宋体" w:eastAsia="宋体" w:cs="宋体"/>
                <w:sz w:val="20"/>
                <w:szCs w:val="20"/>
              </w:rPr>
            </w:pPr>
            <w:r>
              <w:rPr>
                <w:rFonts w:ascii="宋体" w:hAnsi="宋体" w:eastAsia="宋体" w:cs="宋体"/>
                <w:spacing w:val="2"/>
                <w:sz w:val="20"/>
                <w:szCs w:val="20"/>
              </w:rPr>
              <w:t>塑料</w:t>
            </w:r>
            <w:r>
              <w:rPr>
                <w:rFonts w:ascii="宋体" w:hAnsi="宋体" w:eastAsia="宋体" w:cs="宋体"/>
                <w:spacing w:val="4"/>
                <w:sz w:val="20"/>
                <w:szCs w:val="20"/>
              </w:rPr>
              <w:t>筐生产废</w:t>
            </w:r>
            <w:r>
              <w:rPr>
                <w:rFonts w:ascii="宋体" w:hAnsi="宋体" w:eastAsia="宋体" w:cs="宋体"/>
                <w:spacing w:val="34"/>
                <w:w w:val="136"/>
                <w:sz w:val="20"/>
                <w:szCs w:val="20"/>
              </w:rPr>
              <w:t>气</w:t>
            </w:r>
          </w:p>
        </w:tc>
        <w:tc>
          <w:tcPr>
            <w:tcW w:w="2514" w:type="dxa"/>
            <w:vAlign w:val="top"/>
          </w:tcPr>
          <w:p w14:paraId="65D1A3EB">
            <w:pPr>
              <w:spacing w:line="252" w:lineRule="auto"/>
              <w:rPr>
                <w:rFonts w:ascii="Arial"/>
                <w:sz w:val="21"/>
              </w:rPr>
            </w:pPr>
          </w:p>
          <w:p w14:paraId="254F5514">
            <w:pPr>
              <w:spacing w:line="252" w:lineRule="auto"/>
              <w:rPr>
                <w:rFonts w:ascii="Arial"/>
                <w:sz w:val="21"/>
              </w:rPr>
            </w:pPr>
          </w:p>
          <w:p w14:paraId="3412E643">
            <w:pPr>
              <w:spacing w:line="252" w:lineRule="auto"/>
              <w:rPr>
                <w:rFonts w:ascii="Arial"/>
                <w:sz w:val="21"/>
              </w:rPr>
            </w:pPr>
          </w:p>
          <w:p w14:paraId="4CA3BA64">
            <w:pPr>
              <w:spacing w:line="252" w:lineRule="auto"/>
              <w:rPr>
                <w:rFonts w:ascii="Arial"/>
                <w:sz w:val="21"/>
              </w:rPr>
            </w:pPr>
          </w:p>
          <w:p w14:paraId="30AC503F">
            <w:pPr>
              <w:spacing w:line="252" w:lineRule="auto"/>
              <w:rPr>
                <w:rFonts w:ascii="Arial"/>
                <w:sz w:val="21"/>
              </w:rPr>
            </w:pPr>
          </w:p>
          <w:p w14:paraId="4086A26B">
            <w:pPr>
              <w:spacing w:line="252" w:lineRule="auto"/>
              <w:rPr>
                <w:rFonts w:ascii="Arial"/>
                <w:sz w:val="21"/>
              </w:rPr>
            </w:pPr>
          </w:p>
          <w:p w14:paraId="66A1698E">
            <w:pPr>
              <w:spacing w:line="252" w:lineRule="auto"/>
              <w:rPr>
                <w:rFonts w:ascii="Arial"/>
                <w:sz w:val="21"/>
              </w:rPr>
            </w:pPr>
          </w:p>
          <w:p w14:paraId="47A07206">
            <w:pPr>
              <w:spacing w:line="252" w:lineRule="auto"/>
              <w:rPr>
                <w:rFonts w:ascii="Arial"/>
                <w:sz w:val="21"/>
              </w:rPr>
            </w:pPr>
          </w:p>
          <w:p w14:paraId="19BAB792">
            <w:pPr>
              <w:spacing w:line="252" w:lineRule="auto"/>
              <w:rPr>
                <w:rFonts w:ascii="Arial"/>
                <w:sz w:val="21"/>
              </w:rPr>
            </w:pPr>
          </w:p>
          <w:p w14:paraId="0F5EEBB7">
            <w:pPr>
              <w:spacing w:line="253" w:lineRule="auto"/>
              <w:rPr>
                <w:rFonts w:ascii="Arial"/>
                <w:sz w:val="21"/>
              </w:rPr>
            </w:pPr>
          </w:p>
          <w:p w14:paraId="5C12D9ED">
            <w:pPr>
              <w:spacing w:line="253" w:lineRule="auto"/>
              <w:rPr>
                <w:rFonts w:ascii="Arial"/>
                <w:sz w:val="21"/>
              </w:rPr>
            </w:pPr>
          </w:p>
          <w:p w14:paraId="602454E9">
            <w:pPr>
              <w:spacing w:line="253" w:lineRule="auto"/>
              <w:rPr>
                <w:rFonts w:ascii="Arial"/>
                <w:sz w:val="21"/>
              </w:rPr>
            </w:pPr>
          </w:p>
          <w:p w14:paraId="5B6B584A">
            <w:pPr>
              <w:spacing w:line="253" w:lineRule="auto"/>
              <w:rPr>
                <w:rFonts w:ascii="Arial"/>
                <w:sz w:val="21"/>
              </w:rPr>
            </w:pPr>
          </w:p>
          <w:p w14:paraId="76DF7E66">
            <w:pPr>
              <w:spacing w:before="57" w:line="199" w:lineRule="auto"/>
              <w:ind w:left="12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13" w:type="dxa"/>
            <w:vAlign w:val="top"/>
          </w:tcPr>
          <w:p w14:paraId="01246D26">
            <w:pPr>
              <w:rPr>
                <w:rFonts w:ascii="Arial"/>
                <w:sz w:val="21"/>
              </w:rPr>
            </w:pPr>
          </w:p>
          <w:p w14:paraId="3F26BCB4">
            <w:pPr>
              <w:rPr>
                <w:rFonts w:ascii="Arial"/>
                <w:sz w:val="21"/>
              </w:rPr>
            </w:pPr>
          </w:p>
          <w:p w14:paraId="4E6D89D9">
            <w:pPr>
              <w:spacing w:line="241" w:lineRule="auto"/>
              <w:rPr>
                <w:rFonts w:ascii="Arial"/>
                <w:sz w:val="21"/>
              </w:rPr>
            </w:pPr>
          </w:p>
          <w:p w14:paraId="4B8A50E8">
            <w:pPr>
              <w:spacing w:line="241" w:lineRule="auto"/>
              <w:rPr>
                <w:rFonts w:ascii="Arial"/>
                <w:sz w:val="21"/>
              </w:rPr>
            </w:pPr>
          </w:p>
          <w:p w14:paraId="3E4A900D">
            <w:pPr>
              <w:spacing w:line="241" w:lineRule="auto"/>
              <w:rPr>
                <w:rFonts w:ascii="Arial"/>
                <w:sz w:val="21"/>
              </w:rPr>
            </w:pPr>
          </w:p>
          <w:p w14:paraId="452695F1">
            <w:pPr>
              <w:spacing w:before="65" w:line="227" w:lineRule="auto"/>
              <w:ind w:left="168"/>
              <w:rPr>
                <w:rFonts w:ascii="宋体" w:hAnsi="宋体" w:eastAsia="宋体" w:cs="宋体"/>
                <w:sz w:val="20"/>
                <w:szCs w:val="20"/>
              </w:rPr>
            </w:pPr>
            <w:r>
              <w:rPr>
                <w:rFonts w:ascii="宋体" w:hAnsi="宋体" w:eastAsia="宋体" w:cs="宋体"/>
                <w:spacing w:val="9"/>
                <w:sz w:val="20"/>
                <w:szCs w:val="20"/>
              </w:rPr>
              <w:t>在每台注塑机上方设</w:t>
            </w:r>
          </w:p>
          <w:p w14:paraId="30E748A3">
            <w:pPr>
              <w:spacing w:before="161" w:line="228" w:lineRule="auto"/>
              <w:ind w:left="193"/>
              <w:rPr>
                <w:rFonts w:ascii="Times New Roman" w:hAnsi="Times New Roman" w:eastAsia="Times New Roman" w:cs="Times New Roman"/>
                <w:sz w:val="20"/>
                <w:szCs w:val="20"/>
              </w:rPr>
            </w:pPr>
            <w:r>
              <w:rPr>
                <w:rFonts w:ascii="宋体" w:hAnsi="宋体" w:eastAsia="宋体" w:cs="宋体"/>
                <w:spacing w:val="8"/>
                <w:sz w:val="20"/>
                <w:szCs w:val="20"/>
              </w:rPr>
              <w:t>置集气罩，共设置</w:t>
            </w:r>
            <w:r>
              <w:rPr>
                <w:rFonts w:ascii="宋体" w:hAnsi="宋体" w:eastAsia="宋体" w:cs="宋体"/>
                <w:spacing w:val="-45"/>
                <w:sz w:val="20"/>
                <w:szCs w:val="20"/>
              </w:rPr>
              <w:t xml:space="preserve"> </w:t>
            </w:r>
            <w:r>
              <w:rPr>
                <w:rFonts w:ascii="Times New Roman" w:hAnsi="Times New Roman" w:eastAsia="Times New Roman" w:cs="Times New Roman"/>
                <w:spacing w:val="8"/>
                <w:sz w:val="20"/>
                <w:szCs w:val="20"/>
              </w:rPr>
              <w:t>4</w:t>
            </w:r>
          </w:p>
          <w:p w14:paraId="43DD98FD">
            <w:pPr>
              <w:spacing w:before="163" w:line="228" w:lineRule="auto"/>
              <w:ind w:left="113"/>
              <w:rPr>
                <w:rFonts w:ascii="宋体" w:hAnsi="宋体" w:eastAsia="宋体" w:cs="宋体"/>
                <w:sz w:val="20"/>
                <w:szCs w:val="20"/>
              </w:rPr>
            </w:pPr>
            <w:r>
              <w:rPr>
                <w:rFonts w:ascii="宋体" w:hAnsi="宋体" w:eastAsia="宋体" w:cs="宋体"/>
                <w:spacing w:val="-1"/>
                <w:sz w:val="20"/>
                <w:szCs w:val="20"/>
              </w:rPr>
              <w:t>个集气罩（单个规格为</w:t>
            </w:r>
          </w:p>
          <w:p w14:paraId="0E9A1E29">
            <w:pPr>
              <w:spacing w:before="161" w:line="228" w:lineRule="auto"/>
              <w:ind w:left="130"/>
              <w:rPr>
                <w:rFonts w:ascii="宋体" w:hAnsi="宋体" w:eastAsia="宋体" w:cs="宋体"/>
                <w:sz w:val="20"/>
                <w:szCs w:val="20"/>
              </w:rPr>
            </w:pPr>
            <w:r>
              <w:rPr>
                <w:rFonts w:ascii="Times New Roman" w:hAnsi="Times New Roman" w:eastAsia="Times New Roman" w:cs="Times New Roman"/>
                <w:spacing w:val="4"/>
                <w:sz w:val="20"/>
                <w:szCs w:val="20"/>
              </w:rPr>
              <w:t>1.8m×1m</w:t>
            </w:r>
            <w:r>
              <w:rPr>
                <w:rFonts w:ascii="宋体" w:hAnsi="宋体" w:eastAsia="宋体" w:cs="宋体"/>
                <w:spacing w:val="-22"/>
                <w:sz w:val="20"/>
                <w:szCs w:val="20"/>
              </w:rPr>
              <w:t>），</w:t>
            </w:r>
            <w:r>
              <w:rPr>
                <w:rFonts w:ascii="宋体" w:hAnsi="宋体" w:eastAsia="宋体" w:cs="宋体"/>
                <w:spacing w:val="4"/>
                <w:sz w:val="20"/>
                <w:szCs w:val="20"/>
              </w:rPr>
              <w:t>废气经集</w:t>
            </w:r>
          </w:p>
          <w:p w14:paraId="75DE190E">
            <w:pPr>
              <w:spacing w:before="160" w:line="228" w:lineRule="auto"/>
              <w:ind w:left="169"/>
              <w:rPr>
                <w:rFonts w:ascii="宋体" w:hAnsi="宋体" w:eastAsia="宋体" w:cs="宋体"/>
                <w:sz w:val="20"/>
                <w:szCs w:val="20"/>
              </w:rPr>
            </w:pPr>
            <w:r>
              <w:rPr>
                <w:rFonts w:ascii="宋体" w:hAnsi="宋体" w:eastAsia="宋体" w:cs="宋体"/>
                <w:spacing w:val="8"/>
                <w:sz w:val="20"/>
                <w:szCs w:val="20"/>
              </w:rPr>
              <w:t>气罩收集后通过三级</w:t>
            </w:r>
          </w:p>
          <w:p w14:paraId="76055A5F">
            <w:pPr>
              <w:spacing w:before="162" w:line="227" w:lineRule="auto"/>
              <w:ind w:left="117"/>
              <w:rPr>
                <w:rFonts w:ascii="宋体" w:hAnsi="宋体" w:eastAsia="宋体" w:cs="宋体"/>
                <w:sz w:val="20"/>
                <w:szCs w:val="20"/>
              </w:rPr>
            </w:pPr>
            <w:r>
              <w:rPr>
                <w:rFonts w:ascii="宋体" w:hAnsi="宋体" w:eastAsia="宋体" w:cs="宋体"/>
                <w:spacing w:val="5"/>
                <w:sz w:val="20"/>
                <w:szCs w:val="20"/>
              </w:rPr>
              <w:t>活性炭吸附</w:t>
            </w:r>
            <w:r>
              <w:rPr>
                <w:rFonts w:ascii="Times New Roman" w:hAnsi="Times New Roman" w:eastAsia="Times New Roman" w:cs="Times New Roman"/>
                <w:spacing w:val="5"/>
                <w:sz w:val="20"/>
                <w:szCs w:val="20"/>
              </w:rPr>
              <w:t xml:space="preserve">+15m </w:t>
            </w:r>
            <w:r>
              <w:rPr>
                <w:rFonts w:ascii="宋体" w:hAnsi="宋体" w:eastAsia="宋体" w:cs="宋体"/>
                <w:spacing w:val="5"/>
                <w:sz w:val="20"/>
                <w:szCs w:val="20"/>
              </w:rPr>
              <w:t>排气</w:t>
            </w:r>
          </w:p>
          <w:p w14:paraId="3C070C72">
            <w:pPr>
              <w:spacing w:before="161" w:line="228" w:lineRule="auto"/>
              <w:ind w:left="117"/>
              <w:rPr>
                <w:rFonts w:ascii="宋体" w:hAnsi="宋体" w:eastAsia="宋体" w:cs="宋体"/>
                <w:sz w:val="20"/>
                <w:szCs w:val="20"/>
              </w:rPr>
            </w:pPr>
            <w:r>
              <w:rPr>
                <w:rFonts w:ascii="宋体" w:hAnsi="宋体" w:eastAsia="宋体" w:cs="宋体"/>
                <w:spacing w:val="-1"/>
                <w:sz w:val="20"/>
                <w:szCs w:val="20"/>
              </w:rPr>
              <w:t>筒（</w:t>
            </w:r>
            <w:r>
              <w:rPr>
                <w:rFonts w:ascii="Times New Roman" w:hAnsi="Times New Roman" w:eastAsia="Times New Roman" w:cs="Times New Roman"/>
                <w:spacing w:val="-1"/>
                <w:sz w:val="20"/>
                <w:szCs w:val="20"/>
              </w:rPr>
              <w:t>DA005</w:t>
            </w:r>
            <w:r>
              <w:rPr>
                <w:rFonts w:ascii="宋体" w:hAnsi="宋体" w:eastAsia="宋体" w:cs="宋体"/>
                <w:spacing w:val="-1"/>
                <w:sz w:val="20"/>
                <w:szCs w:val="20"/>
              </w:rPr>
              <w:t>）处理后排</w:t>
            </w:r>
          </w:p>
          <w:p w14:paraId="0E636CA8">
            <w:pPr>
              <w:spacing w:before="161" w:line="228" w:lineRule="auto"/>
              <w:ind w:left="113"/>
              <w:rPr>
                <w:rFonts w:ascii="宋体" w:hAnsi="宋体" w:eastAsia="宋体" w:cs="宋体"/>
                <w:sz w:val="20"/>
                <w:szCs w:val="20"/>
              </w:rPr>
            </w:pPr>
            <w:r>
              <w:rPr>
                <w:rFonts w:ascii="宋体" w:hAnsi="宋体" w:eastAsia="宋体" w:cs="宋体"/>
                <w:spacing w:val="-1"/>
                <w:sz w:val="20"/>
                <w:szCs w:val="20"/>
              </w:rPr>
              <w:t>放，集气罩收集效率为</w:t>
            </w:r>
          </w:p>
          <w:p w14:paraId="635E5EB8">
            <w:pPr>
              <w:spacing w:before="164" w:line="227" w:lineRule="auto"/>
              <w:ind w:left="118"/>
              <w:rPr>
                <w:rFonts w:ascii="宋体" w:hAnsi="宋体" w:eastAsia="宋体" w:cs="宋体"/>
                <w:sz w:val="20"/>
                <w:szCs w:val="20"/>
              </w:rPr>
            </w:pPr>
            <w:r>
              <w:rPr>
                <w:rFonts w:ascii="Times New Roman" w:hAnsi="Times New Roman" w:eastAsia="Times New Roman" w:cs="Times New Roman"/>
                <w:spacing w:val="1"/>
                <w:sz w:val="20"/>
                <w:szCs w:val="20"/>
              </w:rPr>
              <w:t>80%</w:t>
            </w:r>
            <w:r>
              <w:rPr>
                <w:rFonts w:ascii="宋体" w:hAnsi="宋体" w:eastAsia="宋体" w:cs="宋体"/>
                <w:spacing w:val="1"/>
                <w:sz w:val="20"/>
                <w:szCs w:val="20"/>
              </w:rPr>
              <w:t>，活性炭吸附效率</w:t>
            </w:r>
          </w:p>
          <w:p w14:paraId="157520D3">
            <w:pPr>
              <w:spacing w:before="162" w:line="227" w:lineRule="auto"/>
              <w:ind w:left="162"/>
              <w:rPr>
                <w:rFonts w:ascii="宋体" w:hAnsi="宋体" w:eastAsia="宋体" w:cs="宋体"/>
                <w:sz w:val="20"/>
                <w:szCs w:val="20"/>
              </w:rPr>
            </w:pPr>
            <w:r>
              <w:rPr>
                <w:rFonts w:ascii="宋体" w:hAnsi="宋体" w:eastAsia="宋体" w:cs="宋体"/>
                <w:spacing w:val="3"/>
                <w:sz w:val="20"/>
                <w:szCs w:val="20"/>
              </w:rPr>
              <w:t>为</w:t>
            </w:r>
            <w:r>
              <w:rPr>
                <w:rFonts w:ascii="宋体" w:hAnsi="宋体" w:eastAsia="宋体" w:cs="宋体"/>
                <w:spacing w:val="-29"/>
                <w:sz w:val="20"/>
                <w:szCs w:val="20"/>
              </w:rPr>
              <w:t xml:space="preserve"> </w:t>
            </w:r>
            <w:r>
              <w:rPr>
                <w:rFonts w:ascii="Times New Roman" w:hAnsi="Times New Roman" w:eastAsia="Times New Roman" w:cs="Times New Roman"/>
                <w:spacing w:val="3"/>
                <w:sz w:val="20"/>
                <w:szCs w:val="20"/>
              </w:rPr>
              <w:t>65%</w:t>
            </w:r>
            <w:r>
              <w:rPr>
                <w:rFonts w:ascii="Times New Roman" w:hAnsi="Times New Roman" w:eastAsia="Times New Roman" w:cs="Times New Roman"/>
                <w:spacing w:val="-24"/>
                <w:sz w:val="20"/>
                <w:szCs w:val="20"/>
              </w:rPr>
              <w:t xml:space="preserve"> </w:t>
            </w:r>
            <w:r>
              <w:rPr>
                <w:rFonts w:ascii="宋体" w:hAnsi="宋体" w:eastAsia="宋体" w:cs="宋体"/>
                <w:spacing w:val="3"/>
                <w:sz w:val="20"/>
                <w:szCs w:val="20"/>
              </w:rPr>
              <w:t>，风机风量不</w:t>
            </w:r>
          </w:p>
          <w:p w14:paraId="4B11CC37">
            <w:pPr>
              <w:spacing w:before="162" w:line="230" w:lineRule="auto"/>
              <w:ind w:left="265"/>
              <w:rPr>
                <w:rFonts w:ascii="宋体" w:hAnsi="宋体" w:eastAsia="宋体" w:cs="宋体"/>
                <w:sz w:val="20"/>
                <w:szCs w:val="20"/>
              </w:rPr>
            </w:pPr>
            <w:r>
              <w:rPr>
                <w:rFonts w:ascii="宋体" w:hAnsi="宋体" w:eastAsia="宋体" w:cs="宋体"/>
                <w:spacing w:val="2"/>
                <w:sz w:val="20"/>
                <w:szCs w:val="20"/>
              </w:rPr>
              <w:t>小于</w:t>
            </w:r>
            <w:r>
              <w:rPr>
                <w:rFonts w:ascii="宋体" w:hAnsi="宋体" w:eastAsia="宋体" w:cs="宋体"/>
                <w:spacing w:val="-21"/>
                <w:sz w:val="20"/>
                <w:szCs w:val="20"/>
              </w:rPr>
              <w:t xml:space="preserve"> </w:t>
            </w:r>
            <w:r>
              <w:rPr>
                <w:rFonts w:ascii="Times New Roman" w:hAnsi="Times New Roman" w:eastAsia="Times New Roman" w:cs="Times New Roman"/>
                <w:spacing w:val="2"/>
                <w:sz w:val="20"/>
                <w:szCs w:val="20"/>
              </w:rPr>
              <w:t>115000m</w:t>
            </w:r>
            <w:r>
              <w:rPr>
                <w:rFonts w:ascii="Times New Roman" w:hAnsi="Times New Roman" w:eastAsia="Times New Roman" w:cs="Times New Roman"/>
                <w:spacing w:val="2"/>
                <w:position w:val="6"/>
                <w:sz w:val="13"/>
                <w:szCs w:val="13"/>
              </w:rPr>
              <w:t>3</w:t>
            </w:r>
            <w:r>
              <w:rPr>
                <w:rFonts w:ascii="Times New Roman" w:hAnsi="Times New Roman" w:eastAsia="Times New Roman" w:cs="Times New Roman"/>
                <w:spacing w:val="2"/>
                <w:sz w:val="20"/>
                <w:szCs w:val="20"/>
              </w:rPr>
              <w:t>/h</w:t>
            </w:r>
            <w:r>
              <w:rPr>
                <w:rFonts w:ascii="宋体" w:hAnsi="宋体" w:eastAsia="宋体" w:cs="宋体"/>
                <w:spacing w:val="2"/>
                <w:sz w:val="20"/>
                <w:szCs w:val="20"/>
              </w:rPr>
              <w:t>。</w:t>
            </w:r>
          </w:p>
        </w:tc>
        <w:tc>
          <w:tcPr>
            <w:tcW w:w="1626" w:type="dxa"/>
            <w:vAlign w:val="top"/>
          </w:tcPr>
          <w:p w14:paraId="3BAFA18B">
            <w:pPr>
              <w:spacing w:before="51" w:line="228" w:lineRule="auto"/>
              <w:ind w:left="119"/>
              <w:rPr>
                <w:rFonts w:ascii="宋体" w:hAnsi="宋体" w:eastAsia="宋体" w:cs="宋体"/>
                <w:sz w:val="20"/>
                <w:szCs w:val="20"/>
              </w:rPr>
            </w:pPr>
            <w:r>
              <w:rPr>
                <w:rFonts w:ascii="宋体" w:hAnsi="宋体" w:eastAsia="宋体" w:cs="宋体"/>
                <w:spacing w:val="-1"/>
                <w:sz w:val="20"/>
                <w:szCs w:val="20"/>
              </w:rPr>
              <w:t>新增，在每台注</w:t>
            </w:r>
          </w:p>
          <w:p w14:paraId="52620567">
            <w:pPr>
              <w:spacing w:before="161" w:line="227" w:lineRule="auto"/>
              <w:ind w:left="197"/>
              <w:rPr>
                <w:rFonts w:ascii="宋体" w:hAnsi="宋体" w:eastAsia="宋体" w:cs="宋体"/>
                <w:sz w:val="20"/>
                <w:szCs w:val="20"/>
              </w:rPr>
            </w:pPr>
            <w:r>
              <w:rPr>
                <w:rFonts w:ascii="宋体" w:hAnsi="宋体" w:eastAsia="宋体" w:cs="宋体"/>
                <w:spacing w:val="7"/>
                <w:sz w:val="20"/>
                <w:szCs w:val="20"/>
              </w:rPr>
              <w:t>塑机上方设置</w:t>
            </w:r>
          </w:p>
          <w:p w14:paraId="698E084A">
            <w:pPr>
              <w:spacing w:before="161" w:line="228" w:lineRule="auto"/>
              <w:ind w:left="118"/>
              <w:rPr>
                <w:rFonts w:ascii="宋体" w:hAnsi="宋体" w:eastAsia="宋体" w:cs="宋体"/>
                <w:sz w:val="20"/>
                <w:szCs w:val="20"/>
              </w:rPr>
            </w:pPr>
            <w:r>
              <w:rPr>
                <w:rFonts w:ascii="宋体" w:hAnsi="宋体" w:eastAsia="宋体" w:cs="宋体"/>
                <w:sz w:val="20"/>
                <w:szCs w:val="20"/>
              </w:rPr>
              <w:t>集气罩，共设置</w:t>
            </w:r>
          </w:p>
          <w:p w14:paraId="79685810">
            <w:pPr>
              <w:spacing w:before="160" w:line="228" w:lineRule="auto"/>
              <w:ind w:left="113"/>
              <w:rPr>
                <w:rFonts w:ascii="宋体" w:hAnsi="宋体" w:eastAsia="宋体" w:cs="宋体"/>
                <w:sz w:val="20"/>
                <w:szCs w:val="20"/>
              </w:rPr>
            </w:pPr>
            <w:r>
              <w:rPr>
                <w:rFonts w:ascii="Times New Roman" w:hAnsi="Times New Roman" w:eastAsia="Times New Roman" w:cs="Times New Roman"/>
                <w:spacing w:val="7"/>
                <w:sz w:val="20"/>
                <w:szCs w:val="20"/>
              </w:rPr>
              <w:t xml:space="preserve">4 </w:t>
            </w:r>
            <w:r>
              <w:rPr>
                <w:rFonts w:ascii="宋体" w:hAnsi="宋体" w:eastAsia="宋体" w:cs="宋体"/>
                <w:spacing w:val="7"/>
                <w:sz w:val="20"/>
                <w:szCs w:val="20"/>
              </w:rPr>
              <w:t>个集气罩（单</w:t>
            </w:r>
          </w:p>
          <w:p w14:paraId="03C1569B">
            <w:pPr>
              <w:spacing w:before="164" w:line="228" w:lineRule="auto"/>
              <w:ind w:left="118"/>
              <w:rPr>
                <w:rFonts w:ascii="Times New Roman" w:hAnsi="Times New Roman" w:eastAsia="Times New Roman" w:cs="Times New Roman"/>
                <w:sz w:val="20"/>
                <w:szCs w:val="20"/>
              </w:rPr>
            </w:pPr>
            <w:r>
              <w:rPr>
                <w:rFonts w:ascii="宋体" w:hAnsi="宋体" w:eastAsia="宋体" w:cs="宋体"/>
                <w:spacing w:val="3"/>
                <w:sz w:val="20"/>
                <w:szCs w:val="20"/>
              </w:rPr>
              <w:t>个规格为</w:t>
            </w:r>
            <w:r>
              <w:rPr>
                <w:rFonts w:ascii="宋体" w:hAnsi="宋体" w:eastAsia="宋体" w:cs="宋体"/>
                <w:spacing w:val="-44"/>
                <w:sz w:val="20"/>
                <w:szCs w:val="20"/>
              </w:rPr>
              <w:t xml:space="preserve"> </w:t>
            </w:r>
            <w:r>
              <w:rPr>
                <w:rFonts w:ascii="Times New Roman" w:hAnsi="Times New Roman" w:eastAsia="Times New Roman" w:cs="Times New Roman"/>
                <w:spacing w:val="3"/>
                <w:sz w:val="20"/>
                <w:szCs w:val="20"/>
              </w:rPr>
              <w:t>1.8m×</w:t>
            </w:r>
          </w:p>
          <w:p w14:paraId="2FB615F0">
            <w:pPr>
              <w:spacing w:before="161" w:line="228" w:lineRule="auto"/>
              <w:ind w:left="180"/>
              <w:rPr>
                <w:rFonts w:ascii="宋体" w:hAnsi="宋体" w:eastAsia="宋体" w:cs="宋体"/>
                <w:sz w:val="20"/>
                <w:szCs w:val="20"/>
              </w:rPr>
            </w:pPr>
            <w:r>
              <w:rPr>
                <w:rFonts w:ascii="Times New Roman" w:hAnsi="Times New Roman" w:eastAsia="Times New Roman" w:cs="Times New Roman"/>
                <w:spacing w:val="1"/>
                <w:sz w:val="20"/>
                <w:szCs w:val="20"/>
              </w:rPr>
              <w:t>1m</w:t>
            </w:r>
            <w:r>
              <w:rPr>
                <w:rFonts w:ascii="宋体" w:hAnsi="宋体" w:eastAsia="宋体" w:cs="宋体"/>
                <w:spacing w:val="15"/>
                <w:sz w:val="20"/>
                <w:szCs w:val="20"/>
              </w:rPr>
              <w:t>），</w:t>
            </w:r>
            <w:r>
              <w:rPr>
                <w:rFonts w:ascii="宋体" w:hAnsi="宋体" w:eastAsia="宋体" w:cs="宋体"/>
                <w:spacing w:val="1"/>
                <w:sz w:val="20"/>
                <w:szCs w:val="20"/>
              </w:rPr>
              <w:t>废气经</w:t>
            </w:r>
          </w:p>
          <w:p w14:paraId="31D9FF14">
            <w:pPr>
              <w:spacing w:before="161" w:line="228" w:lineRule="auto"/>
              <w:ind w:left="192"/>
              <w:rPr>
                <w:rFonts w:ascii="宋体" w:hAnsi="宋体" w:eastAsia="宋体" w:cs="宋体"/>
                <w:sz w:val="20"/>
                <w:szCs w:val="20"/>
              </w:rPr>
            </w:pPr>
            <w:r>
              <w:rPr>
                <w:rFonts w:ascii="宋体" w:hAnsi="宋体" w:eastAsia="宋体" w:cs="宋体"/>
                <w:spacing w:val="8"/>
                <w:sz w:val="20"/>
                <w:szCs w:val="20"/>
              </w:rPr>
              <w:t>集气罩收集后</w:t>
            </w:r>
          </w:p>
          <w:p w14:paraId="504AA15E">
            <w:pPr>
              <w:spacing w:before="161" w:line="228" w:lineRule="auto"/>
              <w:ind w:left="192"/>
              <w:rPr>
                <w:rFonts w:ascii="宋体" w:hAnsi="宋体" w:eastAsia="宋体" w:cs="宋体"/>
                <w:sz w:val="20"/>
                <w:szCs w:val="20"/>
              </w:rPr>
            </w:pPr>
            <w:r>
              <w:rPr>
                <w:rFonts w:ascii="宋体" w:hAnsi="宋体" w:eastAsia="宋体" w:cs="宋体"/>
                <w:spacing w:val="8"/>
                <w:sz w:val="20"/>
                <w:szCs w:val="20"/>
              </w:rPr>
              <w:t>通过三级活性</w:t>
            </w:r>
          </w:p>
          <w:p w14:paraId="45406685">
            <w:pPr>
              <w:spacing w:before="161" w:line="227" w:lineRule="auto"/>
              <w:ind w:left="133"/>
              <w:rPr>
                <w:rFonts w:ascii="宋体" w:hAnsi="宋体" w:eastAsia="宋体" w:cs="宋体"/>
                <w:sz w:val="20"/>
                <w:szCs w:val="20"/>
              </w:rPr>
            </w:pPr>
            <w:r>
              <w:rPr>
                <w:rFonts w:ascii="宋体" w:hAnsi="宋体" w:eastAsia="宋体" w:cs="宋体"/>
                <w:spacing w:val="6"/>
                <w:sz w:val="20"/>
                <w:szCs w:val="20"/>
              </w:rPr>
              <w:t>炭吸附</w:t>
            </w:r>
            <w:r>
              <w:rPr>
                <w:rFonts w:ascii="Times New Roman" w:hAnsi="Times New Roman" w:eastAsia="Times New Roman" w:cs="Times New Roman"/>
                <w:spacing w:val="6"/>
                <w:sz w:val="20"/>
                <w:szCs w:val="20"/>
              </w:rPr>
              <w:t xml:space="preserve">+15m </w:t>
            </w:r>
            <w:r>
              <w:rPr>
                <w:rFonts w:ascii="宋体" w:hAnsi="宋体" w:eastAsia="宋体" w:cs="宋体"/>
                <w:spacing w:val="6"/>
                <w:sz w:val="20"/>
                <w:szCs w:val="20"/>
              </w:rPr>
              <w:t>排</w:t>
            </w:r>
          </w:p>
          <w:p w14:paraId="4E108133">
            <w:pPr>
              <w:spacing w:before="162" w:line="228" w:lineRule="auto"/>
              <w:ind w:left="119"/>
              <w:rPr>
                <w:rFonts w:ascii="宋体" w:hAnsi="宋体" w:eastAsia="宋体" w:cs="宋体"/>
                <w:sz w:val="20"/>
                <w:szCs w:val="20"/>
              </w:rPr>
            </w:pPr>
            <w:r>
              <w:rPr>
                <w:rFonts w:ascii="宋体" w:hAnsi="宋体" w:eastAsia="宋体" w:cs="宋体"/>
                <w:spacing w:val="7"/>
                <w:sz w:val="20"/>
                <w:szCs w:val="20"/>
              </w:rPr>
              <w:t>气筒（</w:t>
            </w:r>
            <w:r>
              <w:rPr>
                <w:rFonts w:ascii="Times New Roman" w:hAnsi="Times New Roman" w:eastAsia="Times New Roman" w:cs="Times New Roman"/>
                <w:sz w:val="20"/>
                <w:szCs w:val="20"/>
              </w:rPr>
              <w:t>DA</w:t>
            </w:r>
            <w:r>
              <w:rPr>
                <w:rFonts w:ascii="Times New Roman" w:hAnsi="Times New Roman" w:eastAsia="Times New Roman" w:cs="Times New Roman"/>
                <w:spacing w:val="7"/>
                <w:sz w:val="20"/>
                <w:szCs w:val="20"/>
              </w:rPr>
              <w:t>005</w:t>
            </w:r>
            <w:r>
              <w:rPr>
                <w:rFonts w:ascii="宋体" w:hAnsi="宋体" w:eastAsia="宋体" w:cs="宋体"/>
                <w:spacing w:val="7"/>
                <w:sz w:val="20"/>
                <w:szCs w:val="20"/>
              </w:rPr>
              <w:t>）</w:t>
            </w:r>
          </w:p>
          <w:p w14:paraId="496D3A24">
            <w:pPr>
              <w:spacing w:before="163" w:line="228" w:lineRule="auto"/>
              <w:ind w:left="122"/>
              <w:rPr>
                <w:rFonts w:ascii="宋体" w:hAnsi="宋体" w:eastAsia="宋体" w:cs="宋体"/>
                <w:sz w:val="20"/>
                <w:szCs w:val="20"/>
              </w:rPr>
            </w:pPr>
            <w:r>
              <w:rPr>
                <w:rFonts w:ascii="宋体" w:hAnsi="宋体" w:eastAsia="宋体" w:cs="宋体"/>
                <w:spacing w:val="-1"/>
                <w:sz w:val="20"/>
                <w:szCs w:val="20"/>
              </w:rPr>
              <w:t>处理后排放，集</w:t>
            </w:r>
          </w:p>
          <w:p w14:paraId="4C421980">
            <w:pPr>
              <w:spacing w:before="161" w:line="228" w:lineRule="auto"/>
              <w:ind w:left="193"/>
              <w:rPr>
                <w:rFonts w:ascii="宋体" w:hAnsi="宋体" w:eastAsia="宋体" w:cs="宋体"/>
                <w:sz w:val="20"/>
                <w:szCs w:val="20"/>
              </w:rPr>
            </w:pPr>
            <w:r>
              <w:rPr>
                <w:rFonts w:ascii="宋体" w:hAnsi="宋体" w:eastAsia="宋体" w:cs="宋体"/>
                <w:spacing w:val="8"/>
                <w:sz w:val="20"/>
                <w:szCs w:val="20"/>
              </w:rPr>
              <w:t>气罩收集效率</w:t>
            </w:r>
          </w:p>
          <w:p w14:paraId="229D4247">
            <w:pPr>
              <w:spacing w:before="162" w:line="228" w:lineRule="auto"/>
              <w:ind w:left="121"/>
              <w:rPr>
                <w:rFonts w:ascii="宋体" w:hAnsi="宋体" w:eastAsia="宋体" w:cs="宋体"/>
                <w:sz w:val="20"/>
                <w:szCs w:val="20"/>
              </w:rPr>
            </w:pPr>
            <w:r>
              <w:rPr>
                <w:rFonts w:ascii="宋体" w:hAnsi="宋体" w:eastAsia="宋体" w:cs="宋体"/>
                <w:spacing w:val="-4"/>
                <w:sz w:val="20"/>
                <w:szCs w:val="20"/>
              </w:rPr>
              <w:t>为</w:t>
            </w:r>
            <w:r>
              <w:rPr>
                <w:rFonts w:ascii="宋体" w:hAnsi="宋体" w:eastAsia="宋体" w:cs="宋体"/>
                <w:spacing w:val="-35"/>
                <w:sz w:val="20"/>
                <w:szCs w:val="20"/>
              </w:rPr>
              <w:t xml:space="preserve"> </w:t>
            </w:r>
            <w:r>
              <w:rPr>
                <w:rFonts w:ascii="Times New Roman" w:hAnsi="Times New Roman" w:eastAsia="Times New Roman" w:cs="Times New Roman"/>
                <w:spacing w:val="-4"/>
                <w:sz w:val="20"/>
                <w:szCs w:val="20"/>
              </w:rPr>
              <w:t>80%</w:t>
            </w:r>
            <w:r>
              <w:rPr>
                <w:rFonts w:ascii="宋体" w:hAnsi="宋体" w:eastAsia="宋体" w:cs="宋体"/>
                <w:spacing w:val="-4"/>
                <w:sz w:val="20"/>
                <w:szCs w:val="20"/>
              </w:rPr>
              <w:t>，活性炭</w:t>
            </w:r>
          </w:p>
          <w:p w14:paraId="19CC9F1A">
            <w:pPr>
              <w:spacing w:before="160" w:line="227" w:lineRule="auto"/>
              <w:ind w:left="174"/>
              <w:rPr>
                <w:rFonts w:ascii="Times New Roman" w:hAnsi="Times New Roman" w:eastAsia="Times New Roman" w:cs="Times New Roman"/>
                <w:sz w:val="20"/>
                <w:szCs w:val="20"/>
              </w:rPr>
            </w:pPr>
            <w:r>
              <w:rPr>
                <w:rFonts w:ascii="宋体" w:hAnsi="宋体" w:eastAsia="宋体" w:cs="宋体"/>
                <w:spacing w:val="5"/>
                <w:sz w:val="20"/>
                <w:szCs w:val="20"/>
              </w:rPr>
              <w:t>吸附效率为</w:t>
            </w:r>
            <w:r>
              <w:rPr>
                <w:rFonts w:ascii="宋体" w:hAnsi="宋体" w:eastAsia="宋体" w:cs="宋体"/>
                <w:spacing w:val="-38"/>
                <w:sz w:val="20"/>
                <w:szCs w:val="20"/>
              </w:rPr>
              <w:t xml:space="preserve"> </w:t>
            </w:r>
            <w:r>
              <w:rPr>
                <w:rFonts w:ascii="Times New Roman" w:hAnsi="Times New Roman" w:eastAsia="Times New Roman" w:cs="Times New Roman"/>
                <w:spacing w:val="5"/>
                <w:sz w:val="20"/>
                <w:szCs w:val="20"/>
              </w:rPr>
              <w:t>75</w:t>
            </w:r>
          </w:p>
          <w:p w14:paraId="4018718D">
            <w:pPr>
              <w:spacing w:before="165" w:line="227" w:lineRule="auto"/>
              <w:ind w:left="117"/>
              <w:rPr>
                <w:rFonts w:ascii="宋体" w:hAnsi="宋体" w:eastAsia="宋体" w:cs="宋体"/>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1"/>
                <w:sz w:val="20"/>
                <w:szCs w:val="20"/>
              </w:rPr>
              <w:t xml:space="preserve"> </w:t>
            </w:r>
            <w:r>
              <w:rPr>
                <w:rFonts w:ascii="宋体" w:hAnsi="宋体" w:eastAsia="宋体" w:cs="宋体"/>
                <w:spacing w:val="1"/>
                <w:sz w:val="20"/>
                <w:szCs w:val="20"/>
              </w:rPr>
              <w:t>，风机风量不</w:t>
            </w:r>
          </w:p>
          <w:p w14:paraId="0ECAB523">
            <w:pPr>
              <w:spacing w:before="162" w:line="230" w:lineRule="auto"/>
              <w:ind w:left="133"/>
              <w:rPr>
                <w:rFonts w:ascii="Times New Roman" w:hAnsi="Times New Roman" w:eastAsia="Times New Roman" w:cs="Times New Roman"/>
                <w:sz w:val="20"/>
                <w:szCs w:val="20"/>
              </w:rPr>
            </w:pPr>
            <w:r>
              <w:rPr>
                <w:rFonts w:ascii="宋体" w:hAnsi="宋体" w:eastAsia="宋体" w:cs="宋体"/>
                <w:spacing w:val="2"/>
                <w:sz w:val="20"/>
                <w:szCs w:val="20"/>
              </w:rPr>
              <w:t>小于</w:t>
            </w:r>
            <w:r>
              <w:rPr>
                <w:rFonts w:ascii="宋体" w:hAnsi="宋体" w:eastAsia="宋体" w:cs="宋体"/>
                <w:spacing w:val="-23"/>
                <w:sz w:val="20"/>
                <w:szCs w:val="20"/>
              </w:rPr>
              <w:t xml:space="preserve"> </w:t>
            </w:r>
            <w:r>
              <w:rPr>
                <w:rFonts w:ascii="Times New Roman" w:hAnsi="Times New Roman" w:eastAsia="Times New Roman" w:cs="Times New Roman"/>
                <w:spacing w:val="2"/>
                <w:sz w:val="20"/>
                <w:szCs w:val="20"/>
              </w:rPr>
              <w:t>115000m</w:t>
            </w:r>
            <w:r>
              <w:rPr>
                <w:rFonts w:ascii="Times New Roman" w:hAnsi="Times New Roman" w:eastAsia="Times New Roman" w:cs="Times New Roman"/>
                <w:spacing w:val="2"/>
                <w:position w:val="6"/>
                <w:sz w:val="13"/>
                <w:szCs w:val="13"/>
              </w:rPr>
              <w:t>3</w:t>
            </w:r>
            <w:r>
              <w:rPr>
                <w:rFonts w:ascii="Times New Roman" w:hAnsi="Times New Roman" w:eastAsia="Times New Roman" w:cs="Times New Roman"/>
                <w:spacing w:val="2"/>
                <w:sz w:val="20"/>
                <w:szCs w:val="20"/>
              </w:rPr>
              <w:t>/</w:t>
            </w:r>
          </w:p>
          <w:p w14:paraId="7808D27E">
            <w:pPr>
              <w:spacing w:before="192" w:line="189" w:lineRule="auto"/>
              <w:ind w:left="658"/>
              <w:rPr>
                <w:rFonts w:ascii="宋体" w:hAnsi="宋体" w:eastAsia="宋体" w:cs="宋体"/>
                <w:sz w:val="20"/>
                <w:szCs w:val="20"/>
              </w:rPr>
            </w:pPr>
            <w:r>
              <w:rPr>
                <w:rFonts w:ascii="Times New Roman" w:hAnsi="Times New Roman" w:eastAsia="Times New Roman" w:cs="Times New Roman"/>
                <w:spacing w:val="1"/>
                <w:sz w:val="20"/>
                <w:szCs w:val="20"/>
              </w:rPr>
              <w:t>h</w:t>
            </w:r>
            <w:r>
              <w:rPr>
                <w:rFonts w:ascii="宋体" w:hAnsi="宋体" w:eastAsia="宋体" w:cs="宋体"/>
                <w:spacing w:val="1"/>
                <w:sz w:val="20"/>
                <w:szCs w:val="20"/>
              </w:rPr>
              <w:t>。</w:t>
            </w:r>
          </w:p>
        </w:tc>
        <w:tc>
          <w:tcPr>
            <w:tcW w:w="195" w:type="dxa"/>
            <w:vMerge w:val="continue"/>
            <w:tcBorders>
              <w:top w:val="nil"/>
              <w:bottom w:val="nil"/>
              <w:right w:val="single" w:color="000000" w:sz="6" w:space="0"/>
            </w:tcBorders>
            <w:vAlign w:val="top"/>
          </w:tcPr>
          <w:p w14:paraId="6FE14055">
            <w:pPr>
              <w:rPr>
                <w:rFonts w:ascii="Arial"/>
                <w:sz w:val="21"/>
              </w:rPr>
            </w:pPr>
          </w:p>
        </w:tc>
      </w:tr>
      <w:tr w14:paraId="720EB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428" w:type="dxa"/>
            <w:vMerge w:val="continue"/>
            <w:tcBorders>
              <w:top w:val="nil"/>
              <w:left w:val="single" w:color="000000" w:sz="6" w:space="0"/>
              <w:bottom w:val="nil"/>
            </w:tcBorders>
            <w:vAlign w:val="top"/>
          </w:tcPr>
          <w:p w14:paraId="5D9E1A39">
            <w:pPr>
              <w:rPr>
                <w:rFonts w:ascii="Arial"/>
                <w:sz w:val="21"/>
              </w:rPr>
            </w:pPr>
          </w:p>
        </w:tc>
        <w:tc>
          <w:tcPr>
            <w:tcW w:w="113" w:type="dxa"/>
            <w:tcBorders>
              <w:top w:val="nil"/>
              <w:bottom w:val="nil"/>
            </w:tcBorders>
            <w:vAlign w:val="top"/>
          </w:tcPr>
          <w:p w14:paraId="78F10313">
            <w:pPr>
              <w:rPr>
                <w:rFonts w:ascii="Arial"/>
                <w:sz w:val="21"/>
              </w:rPr>
            </w:pPr>
          </w:p>
        </w:tc>
        <w:tc>
          <w:tcPr>
            <w:tcW w:w="596" w:type="dxa"/>
            <w:vMerge w:val="continue"/>
            <w:tcBorders>
              <w:top w:val="nil"/>
              <w:bottom w:val="nil"/>
            </w:tcBorders>
            <w:vAlign w:val="top"/>
          </w:tcPr>
          <w:p w14:paraId="2DFB33C5">
            <w:pPr>
              <w:rPr>
                <w:rFonts w:ascii="Arial"/>
                <w:sz w:val="21"/>
              </w:rPr>
            </w:pPr>
          </w:p>
        </w:tc>
        <w:tc>
          <w:tcPr>
            <w:tcW w:w="1379" w:type="dxa"/>
            <w:gridSpan w:val="2"/>
            <w:vAlign w:val="top"/>
          </w:tcPr>
          <w:p w14:paraId="6FD66AAC">
            <w:pPr>
              <w:spacing w:before="50" w:line="352" w:lineRule="auto"/>
              <w:ind w:left="583" w:right="168" w:hanging="409"/>
              <w:rPr>
                <w:rFonts w:ascii="宋体" w:hAnsi="宋体" w:eastAsia="宋体" w:cs="宋体"/>
                <w:sz w:val="20"/>
                <w:szCs w:val="20"/>
              </w:rPr>
            </w:pPr>
            <w:r>
              <w:rPr>
                <w:rFonts w:ascii="宋体" w:hAnsi="宋体" w:eastAsia="宋体" w:cs="宋体"/>
                <w:spacing w:val="6"/>
                <w:sz w:val="20"/>
                <w:szCs w:val="20"/>
              </w:rPr>
              <w:t>噪声治理措</w:t>
            </w:r>
            <w:r>
              <w:rPr>
                <w:rFonts w:ascii="宋体" w:hAnsi="宋体" w:eastAsia="宋体" w:cs="宋体"/>
                <w:spacing w:val="1"/>
                <w:sz w:val="20"/>
                <w:szCs w:val="20"/>
              </w:rPr>
              <w:t>施</w:t>
            </w:r>
          </w:p>
        </w:tc>
        <w:tc>
          <w:tcPr>
            <w:tcW w:w="2514" w:type="dxa"/>
            <w:vAlign w:val="top"/>
          </w:tcPr>
          <w:p w14:paraId="499092A7">
            <w:pPr>
              <w:spacing w:before="49" w:line="228" w:lineRule="auto"/>
              <w:ind w:left="110"/>
              <w:rPr>
                <w:rFonts w:ascii="宋体" w:hAnsi="宋体" w:eastAsia="宋体" w:cs="宋体"/>
                <w:sz w:val="20"/>
                <w:szCs w:val="20"/>
              </w:rPr>
            </w:pPr>
            <w:r>
              <w:rPr>
                <w:rFonts w:ascii="宋体" w:hAnsi="宋体" w:eastAsia="宋体" w:cs="宋体"/>
                <w:spacing w:val="8"/>
                <w:sz w:val="20"/>
                <w:szCs w:val="20"/>
              </w:rPr>
              <w:t>所有设备置于厂房内，并</w:t>
            </w:r>
          </w:p>
          <w:p w14:paraId="73454DE5">
            <w:pPr>
              <w:spacing w:before="161" w:line="228" w:lineRule="auto"/>
              <w:ind w:left="635"/>
              <w:rPr>
                <w:rFonts w:ascii="宋体" w:hAnsi="宋体" w:eastAsia="宋体" w:cs="宋体"/>
                <w:sz w:val="20"/>
                <w:szCs w:val="20"/>
              </w:rPr>
            </w:pPr>
            <w:r>
              <w:rPr>
                <w:rFonts w:ascii="宋体" w:hAnsi="宋体" w:eastAsia="宋体" w:cs="宋体"/>
                <w:spacing w:val="6"/>
                <w:sz w:val="20"/>
                <w:szCs w:val="20"/>
              </w:rPr>
              <w:t>安装减震垫。</w:t>
            </w:r>
          </w:p>
        </w:tc>
        <w:tc>
          <w:tcPr>
            <w:tcW w:w="2213" w:type="dxa"/>
            <w:vAlign w:val="top"/>
          </w:tcPr>
          <w:p w14:paraId="1E0CDECB">
            <w:pPr>
              <w:spacing w:before="49" w:line="228" w:lineRule="auto"/>
              <w:ind w:right="13"/>
              <w:jc w:val="right"/>
              <w:rPr>
                <w:rFonts w:ascii="宋体" w:hAnsi="宋体" w:eastAsia="宋体" w:cs="宋体"/>
                <w:sz w:val="20"/>
                <w:szCs w:val="20"/>
              </w:rPr>
            </w:pPr>
            <w:r>
              <w:rPr>
                <w:rFonts w:ascii="宋体" w:hAnsi="宋体" w:eastAsia="宋体" w:cs="宋体"/>
                <w:spacing w:val="8"/>
                <w:sz w:val="20"/>
                <w:szCs w:val="20"/>
              </w:rPr>
              <w:t>所有设备置于厂房内，</w:t>
            </w:r>
          </w:p>
          <w:p w14:paraId="37B9C7B9">
            <w:pPr>
              <w:spacing w:before="160" w:line="228" w:lineRule="auto"/>
              <w:ind w:left="382"/>
              <w:rPr>
                <w:rFonts w:ascii="宋体" w:hAnsi="宋体" w:eastAsia="宋体" w:cs="宋体"/>
                <w:sz w:val="20"/>
                <w:szCs w:val="20"/>
              </w:rPr>
            </w:pPr>
            <w:r>
              <w:rPr>
                <w:rFonts w:ascii="宋体" w:hAnsi="宋体" w:eastAsia="宋体" w:cs="宋体"/>
                <w:spacing w:val="6"/>
                <w:sz w:val="20"/>
                <w:szCs w:val="20"/>
              </w:rPr>
              <w:t>并安装减震垫。</w:t>
            </w:r>
          </w:p>
        </w:tc>
        <w:tc>
          <w:tcPr>
            <w:tcW w:w="1626" w:type="dxa"/>
            <w:vAlign w:val="top"/>
          </w:tcPr>
          <w:p w14:paraId="74E7E8E4">
            <w:pPr>
              <w:spacing w:before="254" w:line="229" w:lineRule="auto"/>
              <w:ind w:left="321"/>
              <w:rPr>
                <w:rFonts w:ascii="宋体" w:hAnsi="宋体" w:eastAsia="宋体" w:cs="宋体"/>
                <w:sz w:val="20"/>
                <w:szCs w:val="20"/>
              </w:rPr>
            </w:pPr>
            <w:r>
              <w:rPr>
                <w:rFonts w:ascii="宋体" w:hAnsi="宋体" w:eastAsia="宋体" w:cs="宋体"/>
                <w:spacing w:val="3"/>
                <w:sz w:val="20"/>
                <w:szCs w:val="20"/>
              </w:rPr>
              <w:t>已建，不变</w:t>
            </w:r>
          </w:p>
        </w:tc>
        <w:tc>
          <w:tcPr>
            <w:tcW w:w="195" w:type="dxa"/>
            <w:vMerge w:val="continue"/>
            <w:tcBorders>
              <w:top w:val="nil"/>
              <w:bottom w:val="nil"/>
              <w:right w:val="single" w:color="000000" w:sz="6" w:space="0"/>
            </w:tcBorders>
            <w:vAlign w:val="top"/>
          </w:tcPr>
          <w:p w14:paraId="1B1FF1B9">
            <w:pPr>
              <w:rPr>
                <w:rFonts w:ascii="Arial"/>
                <w:sz w:val="21"/>
              </w:rPr>
            </w:pPr>
          </w:p>
        </w:tc>
      </w:tr>
      <w:tr w14:paraId="62F54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3" w:hRule="atLeast"/>
        </w:trPr>
        <w:tc>
          <w:tcPr>
            <w:tcW w:w="428" w:type="dxa"/>
            <w:vMerge w:val="continue"/>
            <w:tcBorders>
              <w:top w:val="nil"/>
              <w:left w:val="single" w:color="000000" w:sz="6" w:space="0"/>
              <w:bottom w:val="nil"/>
            </w:tcBorders>
            <w:vAlign w:val="top"/>
          </w:tcPr>
          <w:p w14:paraId="31C681DD">
            <w:pPr>
              <w:rPr>
                <w:rFonts w:ascii="Arial"/>
                <w:sz w:val="21"/>
              </w:rPr>
            </w:pPr>
          </w:p>
        </w:tc>
        <w:tc>
          <w:tcPr>
            <w:tcW w:w="113" w:type="dxa"/>
            <w:tcBorders>
              <w:top w:val="nil"/>
              <w:bottom w:val="nil"/>
            </w:tcBorders>
            <w:vAlign w:val="top"/>
          </w:tcPr>
          <w:p w14:paraId="637FBCA5">
            <w:pPr>
              <w:rPr>
                <w:rFonts w:ascii="Arial"/>
                <w:sz w:val="21"/>
              </w:rPr>
            </w:pPr>
          </w:p>
        </w:tc>
        <w:tc>
          <w:tcPr>
            <w:tcW w:w="596" w:type="dxa"/>
            <w:vMerge w:val="continue"/>
            <w:tcBorders>
              <w:top w:val="nil"/>
              <w:bottom w:val="nil"/>
            </w:tcBorders>
            <w:vAlign w:val="top"/>
          </w:tcPr>
          <w:p w14:paraId="666B55D1">
            <w:pPr>
              <w:rPr>
                <w:rFonts w:ascii="Arial"/>
                <w:sz w:val="21"/>
              </w:rPr>
            </w:pPr>
          </w:p>
        </w:tc>
        <w:tc>
          <w:tcPr>
            <w:tcW w:w="661" w:type="dxa"/>
            <w:vMerge w:val="restart"/>
            <w:tcBorders>
              <w:bottom w:val="nil"/>
            </w:tcBorders>
            <w:vAlign w:val="top"/>
          </w:tcPr>
          <w:p w14:paraId="774863E7">
            <w:pPr>
              <w:spacing w:line="250" w:lineRule="auto"/>
              <w:rPr>
                <w:rFonts w:ascii="Arial"/>
                <w:sz w:val="21"/>
              </w:rPr>
            </w:pPr>
          </w:p>
          <w:p w14:paraId="7259485C">
            <w:pPr>
              <w:spacing w:line="251" w:lineRule="auto"/>
              <w:rPr>
                <w:rFonts w:ascii="Arial"/>
                <w:sz w:val="21"/>
              </w:rPr>
            </w:pPr>
          </w:p>
          <w:p w14:paraId="587A2A15">
            <w:pPr>
              <w:spacing w:line="251" w:lineRule="auto"/>
              <w:rPr>
                <w:rFonts w:ascii="Arial"/>
                <w:sz w:val="21"/>
              </w:rPr>
            </w:pPr>
          </w:p>
          <w:p w14:paraId="581CC4A8">
            <w:pPr>
              <w:spacing w:line="251" w:lineRule="auto"/>
              <w:rPr>
                <w:rFonts w:ascii="Arial"/>
                <w:sz w:val="21"/>
              </w:rPr>
            </w:pPr>
          </w:p>
          <w:p w14:paraId="18482512">
            <w:pPr>
              <w:spacing w:before="65" w:line="379" w:lineRule="auto"/>
              <w:ind w:left="120" w:right="125" w:firstLine="18"/>
              <w:jc w:val="both"/>
              <w:rPr>
                <w:rFonts w:ascii="宋体" w:hAnsi="宋体" w:eastAsia="宋体" w:cs="宋体"/>
                <w:sz w:val="20"/>
                <w:szCs w:val="20"/>
              </w:rPr>
            </w:pPr>
            <w:r>
              <w:rPr>
                <w:rFonts w:ascii="宋体" w:hAnsi="宋体" w:eastAsia="宋体" w:cs="宋体"/>
                <w:spacing w:val="-5"/>
                <w:sz w:val="20"/>
                <w:szCs w:val="20"/>
              </w:rPr>
              <w:t>固体</w:t>
            </w:r>
            <w:r>
              <w:rPr>
                <w:rFonts w:ascii="宋体" w:hAnsi="宋体" w:eastAsia="宋体" w:cs="宋体"/>
                <w:spacing w:val="5"/>
                <w:sz w:val="20"/>
                <w:szCs w:val="20"/>
              </w:rPr>
              <w:t>废物处置</w:t>
            </w:r>
          </w:p>
        </w:tc>
        <w:tc>
          <w:tcPr>
            <w:tcW w:w="718" w:type="dxa"/>
            <w:vAlign w:val="top"/>
          </w:tcPr>
          <w:p w14:paraId="1A2105EF">
            <w:pPr>
              <w:spacing w:before="251" w:line="378" w:lineRule="auto"/>
              <w:ind w:left="255" w:right="154" w:hanging="105"/>
              <w:rPr>
                <w:rFonts w:ascii="宋体" w:hAnsi="宋体" w:eastAsia="宋体" w:cs="宋体"/>
                <w:sz w:val="20"/>
                <w:szCs w:val="20"/>
              </w:rPr>
            </w:pPr>
            <w:r>
              <w:rPr>
                <w:rFonts w:ascii="宋体" w:hAnsi="宋体" w:eastAsia="宋体" w:cs="宋体"/>
                <w:spacing w:val="3"/>
                <w:sz w:val="20"/>
                <w:szCs w:val="20"/>
              </w:rPr>
              <w:t>垃圾</w:t>
            </w:r>
            <w:r>
              <w:rPr>
                <w:rFonts w:ascii="宋体" w:hAnsi="宋体" w:eastAsia="宋体" w:cs="宋体"/>
                <w:sz w:val="20"/>
                <w:szCs w:val="20"/>
              </w:rPr>
              <w:t>桶</w:t>
            </w:r>
          </w:p>
        </w:tc>
        <w:tc>
          <w:tcPr>
            <w:tcW w:w="2514" w:type="dxa"/>
            <w:vAlign w:val="top"/>
          </w:tcPr>
          <w:p w14:paraId="667E794D">
            <w:pPr>
              <w:spacing w:before="251" w:line="378" w:lineRule="auto"/>
              <w:ind w:left="316" w:right="148" w:hanging="203"/>
              <w:rPr>
                <w:rFonts w:ascii="宋体" w:hAnsi="宋体" w:eastAsia="宋体" w:cs="宋体"/>
                <w:sz w:val="20"/>
                <w:szCs w:val="20"/>
              </w:rPr>
            </w:pPr>
            <w:r>
              <w:rPr>
                <w:rFonts w:ascii="宋体" w:hAnsi="宋体" w:eastAsia="宋体" w:cs="宋体"/>
                <w:spacing w:val="4"/>
                <w:sz w:val="20"/>
                <w:szCs w:val="20"/>
              </w:rPr>
              <w:t>设带盖生活垃圾桶若干，</w:t>
            </w:r>
            <w:r>
              <w:rPr>
                <w:rFonts w:ascii="宋体" w:hAnsi="宋体" w:eastAsia="宋体" w:cs="宋体"/>
                <w:spacing w:val="7"/>
                <w:sz w:val="20"/>
                <w:szCs w:val="20"/>
              </w:rPr>
              <w:t>合理分布在厂区内。</w:t>
            </w:r>
          </w:p>
        </w:tc>
        <w:tc>
          <w:tcPr>
            <w:tcW w:w="2213" w:type="dxa"/>
            <w:vAlign w:val="top"/>
          </w:tcPr>
          <w:p w14:paraId="6D64F502">
            <w:pPr>
              <w:spacing w:before="251" w:line="228" w:lineRule="auto"/>
              <w:ind w:left="198"/>
              <w:rPr>
                <w:rFonts w:ascii="Times New Roman" w:hAnsi="Times New Roman" w:eastAsia="Times New Roman" w:cs="Times New Roman"/>
                <w:sz w:val="20"/>
                <w:szCs w:val="20"/>
              </w:rPr>
            </w:pPr>
            <w:r>
              <w:rPr>
                <w:rFonts w:ascii="宋体" w:hAnsi="宋体" w:eastAsia="宋体" w:cs="宋体"/>
                <w:spacing w:val="7"/>
                <w:sz w:val="20"/>
                <w:szCs w:val="20"/>
              </w:rPr>
              <w:t>设带盖生活垃圾桶</w:t>
            </w:r>
            <w:r>
              <w:rPr>
                <w:rFonts w:ascii="宋体" w:hAnsi="宋体" w:eastAsia="宋体" w:cs="宋体"/>
                <w:spacing w:val="-41"/>
                <w:sz w:val="20"/>
                <w:szCs w:val="20"/>
              </w:rPr>
              <w:t xml:space="preserve"> </w:t>
            </w:r>
            <w:r>
              <w:rPr>
                <w:rFonts w:ascii="Times New Roman" w:hAnsi="Times New Roman" w:eastAsia="Times New Roman" w:cs="Times New Roman"/>
                <w:spacing w:val="7"/>
                <w:sz w:val="20"/>
                <w:szCs w:val="20"/>
              </w:rPr>
              <w:t>2</w:t>
            </w:r>
          </w:p>
          <w:p w14:paraId="5B7BBAC1">
            <w:pPr>
              <w:spacing w:before="161" w:line="228" w:lineRule="auto"/>
              <w:ind w:left="903"/>
              <w:rPr>
                <w:rFonts w:ascii="宋体" w:hAnsi="宋体" w:eastAsia="宋体" w:cs="宋体"/>
                <w:sz w:val="20"/>
                <w:szCs w:val="20"/>
              </w:rPr>
            </w:pPr>
            <w:r>
              <w:rPr>
                <w:rFonts w:ascii="宋体" w:hAnsi="宋体" w:eastAsia="宋体" w:cs="宋体"/>
                <w:sz w:val="20"/>
                <w:szCs w:val="20"/>
              </w:rPr>
              <w:t>个。</w:t>
            </w:r>
          </w:p>
        </w:tc>
        <w:tc>
          <w:tcPr>
            <w:tcW w:w="1626" w:type="dxa"/>
            <w:vAlign w:val="top"/>
          </w:tcPr>
          <w:p w14:paraId="20A50DF6">
            <w:pPr>
              <w:spacing w:before="47" w:line="227" w:lineRule="auto"/>
              <w:ind w:left="220"/>
              <w:rPr>
                <w:rFonts w:ascii="Times New Roman" w:hAnsi="Times New Roman" w:eastAsia="Times New Roman" w:cs="Times New Roman"/>
                <w:sz w:val="20"/>
                <w:szCs w:val="20"/>
              </w:rPr>
            </w:pPr>
            <w:r>
              <w:rPr>
                <w:rFonts w:ascii="宋体" w:hAnsi="宋体" w:eastAsia="宋体" w:cs="宋体"/>
                <w:spacing w:val="6"/>
                <w:sz w:val="20"/>
                <w:szCs w:val="20"/>
              </w:rPr>
              <w:t>本项目增设</w:t>
            </w:r>
            <w:r>
              <w:rPr>
                <w:rFonts w:ascii="宋体" w:hAnsi="宋体" w:eastAsia="宋体" w:cs="宋体"/>
                <w:spacing w:val="-40"/>
                <w:sz w:val="20"/>
                <w:szCs w:val="20"/>
              </w:rPr>
              <w:t xml:space="preserve"> </w:t>
            </w:r>
            <w:r>
              <w:rPr>
                <w:rFonts w:ascii="Times New Roman" w:hAnsi="Times New Roman" w:eastAsia="Times New Roman" w:cs="Times New Roman"/>
                <w:spacing w:val="6"/>
                <w:sz w:val="20"/>
                <w:szCs w:val="20"/>
              </w:rPr>
              <w:t>2</w:t>
            </w:r>
          </w:p>
          <w:p w14:paraId="3E79B167">
            <w:pPr>
              <w:spacing w:before="161" w:line="228" w:lineRule="auto"/>
              <w:ind w:left="192"/>
              <w:rPr>
                <w:rFonts w:ascii="宋体" w:hAnsi="宋体" w:eastAsia="宋体" w:cs="宋体"/>
                <w:sz w:val="20"/>
                <w:szCs w:val="20"/>
              </w:rPr>
            </w:pPr>
            <w:r>
              <w:rPr>
                <w:rFonts w:ascii="宋体" w:hAnsi="宋体" w:eastAsia="宋体" w:cs="宋体"/>
                <w:spacing w:val="8"/>
                <w:sz w:val="20"/>
                <w:szCs w:val="20"/>
              </w:rPr>
              <w:t>个垃圾桶放在</w:t>
            </w:r>
          </w:p>
          <w:p w14:paraId="5E0767DC">
            <w:pPr>
              <w:spacing w:before="163" w:line="228" w:lineRule="auto"/>
              <w:ind w:left="512"/>
              <w:rPr>
                <w:rFonts w:ascii="宋体" w:hAnsi="宋体" w:eastAsia="宋体" w:cs="宋体"/>
                <w:sz w:val="20"/>
                <w:szCs w:val="20"/>
              </w:rPr>
            </w:pPr>
            <w:r>
              <w:rPr>
                <w:rFonts w:ascii="宋体" w:hAnsi="宋体" w:eastAsia="宋体" w:cs="宋体"/>
                <w:spacing w:val="6"/>
                <w:sz w:val="20"/>
                <w:szCs w:val="20"/>
              </w:rPr>
              <w:t>厂区内</w:t>
            </w:r>
          </w:p>
        </w:tc>
        <w:tc>
          <w:tcPr>
            <w:tcW w:w="195" w:type="dxa"/>
            <w:vMerge w:val="continue"/>
            <w:tcBorders>
              <w:top w:val="nil"/>
              <w:bottom w:val="nil"/>
              <w:right w:val="single" w:color="000000" w:sz="6" w:space="0"/>
            </w:tcBorders>
            <w:vAlign w:val="top"/>
          </w:tcPr>
          <w:p w14:paraId="6A72F791">
            <w:pPr>
              <w:rPr>
                <w:rFonts w:ascii="Arial"/>
                <w:sz w:val="21"/>
              </w:rPr>
            </w:pPr>
          </w:p>
        </w:tc>
      </w:tr>
      <w:tr w14:paraId="7E06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0" w:hRule="atLeast"/>
        </w:trPr>
        <w:tc>
          <w:tcPr>
            <w:tcW w:w="428" w:type="dxa"/>
            <w:vMerge w:val="continue"/>
            <w:tcBorders>
              <w:top w:val="nil"/>
              <w:left w:val="single" w:color="000000" w:sz="6" w:space="0"/>
              <w:bottom w:val="single" w:color="000000" w:sz="6" w:space="0"/>
            </w:tcBorders>
            <w:vAlign w:val="top"/>
          </w:tcPr>
          <w:p w14:paraId="280B4498">
            <w:pPr>
              <w:rPr>
                <w:rFonts w:ascii="Arial"/>
                <w:sz w:val="21"/>
              </w:rPr>
            </w:pPr>
          </w:p>
        </w:tc>
        <w:tc>
          <w:tcPr>
            <w:tcW w:w="113" w:type="dxa"/>
            <w:tcBorders>
              <w:top w:val="nil"/>
              <w:bottom w:val="single" w:color="000000" w:sz="6" w:space="0"/>
            </w:tcBorders>
            <w:vAlign w:val="top"/>
          </w:tcPr>
          <w:p w14:paraId="2BE3A01A">
            <w:pPr>
              <w:rPr>
                <w:rFonts w:ascii="Arial"/>
                <w:sz w:val="21"/>
              </w:rPr>
            </w:pPr>
          </w:p>
        </w:tc>
        <w:tc>
          <w:tcPr>
            <w:tcW w:w="596" w:type="dxa"/>
            <w:vMerge w:val="continue"/>
            <w:tcBorders>
              <w:top w:val="nil"/>
              <w:bottom w:val="single" w:color="000000" w:sz="6" w:space="0"/>
            </w:tcBorders>
            <w:vAlign w:val="top"/>
          </w:tcPr>
          <w:p w14:paraId="74207EEB">
            <w:pPr>
              <w:rPr>
                <w:rFonts w:ascii="Arial"/>
                <w:sz w:val="21"/>
              </w:rPr>
            </w:pPr>
          </w:p>
        </w:tc>
        <w:tc>
          <w:tcPr>
            <w:tcW w:w="661" w:type="dxa"/>
            <w:vMerge w:val="continue"/>
            <w:tcBorders>
              <w:top w:val="nil"/>
              <w:bottom w:val="single" w:color="000000" w:sz="6" w:space="0"/>
            </w:tcBorders>
            <w:vAlign w:val="top"/>
          </w:tcPr>
          <w:p w14:paraId="049B0169">
            <w:pPr>
              <w:rPr>
                <w:rFonts w:ascii="Arial"/>
                <w:sz w:val="21"/>
              </w:rPr>
            </w:pPr>
          </w:p>
        </w:tc>
        <w:tc>
          <w:tcPr>
            <w:tcW w:w="718" w:type="dxa"/>
            <w:tcBorders>
              <w:bottom w:val="single" w:color="000000" w:sz="6" w:space="0"/>
            </w:tcBorders>
            <w:vAlign w:val="top"/>
          </w:tcPr>
          <w:p w14:paraId="0FF23E33">
            <w:pPr>
              <w:spacing w:line="384" w:lineRule="auto"/>
              <w:rPr>
                <w:rFonts w:ascii="Arial"/>
                <w:sz w:val="21"/>
              </w:rPr>
            </w:pPr>
          </w:p>
          <w:p w14:paraId="443C3EF7">
            <w:pPr>
              <w:spacing w:before="65" w:line="379" w:lineRule="auto"/>
              <w:ind w:left="154" w:right="154" w:hanging="3"/>
              <w:jc w:val="right"/>
              <w:rPr>
                <w:rFonts w:ascii="宋体" w:hAnsi="宋体" w:eastAsia="宋体" w:cs="宋体"/>
                <w:sz w:val="20"/>
                <w:szCs w:val="20"/>
              </w:rPr>
            </w:pPr>
            <w:r>
              <w:rPr>
                <w:rFonts w:ascii="宋体" w:hAnsi="宋体" w:eastAsia="宋体" w:cs="宋体"/>
                <w:spacing w:val="3"/>
                <w:sz w:val="20"/>
                <w:szCs w:val="20"/>
              </w:rPr>
              <w:t>危废</w:t>
            </w:r>
            <w:r>
              <w:rPr>
                <w:rFonts w:ascii="宋体" w:hAnsi="宋体" w:eastAsia="宋体" w:cs="宋体"/>
                <w:spacing w:val="1"/>
                <w:sz w:val="20"/>
                <w:szCs w:val="20"/>
              </w:rPr>
              <w:t>暂存</w:t>
            </w:r>
            <w:r>
              <w:rPr>
                <w:rFonts w:ascii="宋体" w:hAnsi="宋体" w:eastAsia="宋体" w:cs="宋体"/>
                <w:sz w:val="20"/>
                <w:szCs w:val="20"/>
              </w:rPr>
              <w:t>间</w:t>
            </w:r>
          </w:p>
        </w:tc>
        <w:tc>
          <w:tcPr>
            <w:tcW w:w="2514" w:type="dxa"/>
            <w:tcBorders>
              <w:bottom w:val="single" w:color="000000" w:sz="6" w:space="0"/>
            </w:tcBorders>
            <w:vAlign w:val="top"/>
          </w:tcPr>
          <w:p w14:paraId="06BBBD40">
            <w:pPr>
              <w:spacing w:before="45" w:line="372" w:lineRule="auto"/>
              <w:ind w:left="110" w:right="107" w:firstLine="48"/>
              <w:jc w:val="both"/>
              <w:rPr>
                <w:rFonts w:ascii="宋体" w:hAnsi="宋体" w:eastAsia="宋体" w:cs="宋体"/>
                <w:sz w:val="20"/>
                <w:szCs w:val="20"/>
              </w:rPr>
            </w:pPr>
            <w:r>
              <w:rPr>
                <w:rFonts w:ascii="宋体" w:hAnsi="宋体" w:eastAsia="宋体" w:cs="宋体"/>
                <w:spacing w:val="-2"/>
                <w:sz w:val="20"/>
                <w:szCs w:val="20"/>
              </w:rPr>
              <w:t>设置</w:t>
            </w:r>
            <w:r>
              <w:rPr>
                <w:rFonts w:ascii="宋体" w:hAnsi="宋体" w:eastAsia="宋体" w:cs="宋体"/>
                <w:spacing w:val="-19"/>
                <w:sz w:val="20"/>
                <w:szCs w:val="20"/>
              </w:rPr>
              <w:t xml:space="preserve"> </w:t>
            </w:r>
            <w:r>
              <w:rPr>
                <w:rFonts w:ascii="Times New Roman" w:hAnsi="Times New Roman" w:eastAsia="Times New Roman" w:cs="Times New Roman"/>
                <w:spacing w:val="-2"/>
                <w:sz w:val="20"/>
                <w:szCs w:val="20"/>
              </w:rPr>
              <w:t>1</w:t>
            </w:r>
            <w:r>
              <w:rPr>
                <w:rFonts w:ascii="Times New Roman" w:hAnsi="Times New Roman" w:eastAsia="Times New Roman" w:cs="Times New Roman"/>
                <w:spacing w:val="28"/>
                <w:w w:val="101"/>
                <w:sz w:val="20"/>
                <w:szCs w:val="20"/>
              </w:rPr>
              <w:t xml:space="preserve"> </w:t>
            </w:r>
            <w:r>
              <w:rPr>
                <w:rFonts w:ascii="宋体" w:hAnsi="宋体" w:eastAsia="宋体" w:cs="宋体"/>
                <w:spacing w:val="-2"/>
                <w:sz w:val="20"/>
                <w:szCs w:val="20"/>
              </w:rPr>
              <w:t>间</w:t>
            </w:r>
            <w:r>
              <w:rPr>
                <w:rFonts w:ascii="宋体" w:hAnsi="宋体" w:eastAsia="宋体" w:cs="宋体"/>
                <w:spacing w:val="-23"/>
                <w:sz w:val="20"/>
                <w:szCs w:val="20"/>
              </w:rPr>
              <w:t xml:space="preserve"> </w:t>
            </w:r>
            <w:r>
              <w:rPr>
                <w:rFonts w:ascii="Times New Roman" w:hAnsi="Times New Roman" w:eastAsia="Times New Roman" w:cs="Times New Roman"/>
                <w:spacing w:val="-2"/>
                <w:sz w:val="20"/>
                <w:szCs w:val="20"/>
              </w:rPr>
              <w:t>10m</w:t>
            </w:r>
            <w:r>
              <w:rPr>
                <w:rFonts w:ascii="Times New Roman" w:hAnsi="Times New Roman" w:eastAsia="Times New Roman" w:cs="Times New Roman"/>
                <w:spacing w:val="-2"/>
                <w:position w:val="6"/>
                <w:sz w:val="13"/>
                <w:szCs w:val="13"/>
              </w:rPr>
              <w:t>2</w:t>
            </w:r>
            <w:r>
              <w:rPr>
                <w:rFonts w:ascii="Times New Roman" w:hAnsi="Times New Roman" w:eastAsia="Times New Roman" w:cs="Times New Roman"/>
                <w:spacing w:val="27"/>
                <w:w w:val="102"/>
                <w:position w:val="6"/>
                <w:sz w:val="13"/>
                <w:szCs w:val="13"/>
              </w:rPr>
              <w:t xml:space="preserve"> </w:t>
            </w:r>
            <w:r>
              <w:rPr>
                <w:rFonts w:ascii="宋体" w:hAnsi="宋体" w:eastAsia="宋体" w:cs="宋体"/>
                <w:spacing w:val="-2"/>
                <w:sz w:val="20"/>
                <w:szCs w:val="20"/>
              </w:rPr>
              <w:t>的危险废</w:t>
            </w:r>
            <w:r>
              <w:rPr>
                <w:rFonts w:ascii="宋体" w:hAnsi="宋体" w:eastAsia="宋体" w:cs="宋体"/>
                <w:spacing w:val="8"/>
                <w:sz w:val="20"/>
                <w:szCs w:val="20"/>
              </w:rPr>
              <w:t>物暂存间，采用混凝土硬</w:t>
            </w:r>
            <w:r>
              <w:rPr>
                <w:rFonts w:ascii="宋体" w:hAnsi="宋体" w:eastAsia="宋体" w:cs="宋体"/>
                <w:spacing w:val="12"/>
                <w:sz w:val="20"/>
                <w:szCs w:val="20"/>
              </w:rPr>
              <w:t>化</w:t>
            </w:r>
            <w:r>
              <w:rPr>
                <w:rFonts w:ascii="Times New Roman" w:hAnsi="Times New Roman" w:eastAsia="Times New Roman" w:cs="Times New Roman"/>
                <w:spacing w:val="12"/>
                <w:sz w:val="20"/>
                <w:szCs w:val="20"/>
              </w:rPr>
              <w:t>+</w:t>
            </w:r>
            <w:r>
              <w:rPr>
                <w:rFonts w:ascii="宋体" w:hAnsi="宋体" w:eastAsia="宋体" w:cs="宋体"/>
                <w:spacing w:val="12"/>
                <w:sz w:val="20"/>
                <w:szCs w:val="20"/>
              </w:rPr>
              <w:t>对墙面地面涂刷环氧</w:t>
            </w:r>
            <w:r>
              <w:rPr>
                <w:rFonts w:ascii="宋体" w:hAnsi="宋体" w:eastAsia="宋体" w:cs="宋体"/>
                <w:spacing w:val="8"/>
                <w:sz w:val="20"/>
                <w:szCs w:val="20"/>
              </w:rPr>
              <w:t>树脂涂料进行防渗，防渗</w:t>
            </w:r>
            <w:r>
              <w:rPr>
                <w:rFonts w:ascii="宋体" w:hAnsi="宋体" w:eastAsia="宋体" w:cs="宋体"/>
                <w:spacing w:val="1"/>
                <w:sz w:val="20"/>
                <w:szCs w:val="20"/>
              </w:rPr>
              <w:t>系数</w:t>
            </w:r>
            <w:r>
              <w:rPr>
                <w:rFonts w:ascii="Times New Roman" w:hAnsi="Times New Roman" w:eastAsia="Times New Roman" w:cs="Times New Roman"/>
                <w:spacing w:val="1"/>
                <w:sz w:val="20"/>
                <w:szCs w:val="20"/>
              </w:rPr>
              <w:t>≤1×10</w:t>
            </w:r>
            <w:r>
              <w:rPr>
                <w:rFonts w:ascii="Times New Roman" w:hAnsi="Times New Roman" w:eastAsia="Times New Roman" w:cs="Times New Roman"/>
                <w:spacing w:val="1"/>
                <w:position w:val="6"/>
                <w:sz w:val="13"/>
                <w:szCs w:val="13"/>
              </w:rPr>
              <w:t>-10</w:t>
            </w:r>
            <w:r>
              <w:rPr>
                <w:rFonts w:ascii="Times New Roman" w:hAnsi="Times New Roman" w:eastAsia="Times New Roman" w:cs="Times New Roman"/>
                <w:sz w:val="20"/>
                <w:szCs w:val="20"/>
              </w:rPr>
              <w:t>cm</w:t>
            </w:r>
            <w:r>
              <w:rPr>
                <w:rFonts w:ascii="Times New Roman" w:hAnsi="Times New Roman" w:eastAsia="Times New Roman" w:cs="Times New Roman"/>
                <w:spacing w:val="1"/>
                <w:sz w:val="20"/>
                <w:szCs w:val="20"/>
              </w:rPr>
              <w:t>/s</w:t>
            </w:r>
            <w:r>
              <w:rPr>
                <w:rFonts w:ascii="宋体" w:hAnsi="宋体" w:eastAsia="宋体" w:cs="宋体"/>
                <w:spacing w:val="1"/>
                <w:sz w:val="20"/>
                <w:szCs w:val="20"/>
              </w:rPr>
              <w:t>，并设置</w:t>
            </w:r>
          </w:p>
        </w:tc>
        <w:tc>
          <w:tcPr>
            <w:tcW w:w="2213" w:type="dxa"/>
            <w:tcBorders>
              <w:bottom w:val="single" w:color="000000" w:sz="6" w:space="0"/>
            </w:tcBorders>
            <w:vAlign w:val="top"/>
          </w:tcPr>
          <w:p w14:paraId="02D7EAA5">
            <w:pPr>
              <w:spacing w:line="386" w:lineRule="auto"/>
              <w:rPr>
                <w:rFonts w:ascii="Arial"/>
                <w:sz w:val="21"/>
              </w:rPr>
            </w:pPr>
          </w:p>
          <w:p w14:paraId="1F70CC7A">
            <w:pPr>
              <w:spacing w:before="65" w:line="227" w:lineRule="auto"/>
              <w:ind w:left="169"/>
              <w:rPr>
                <w:rFonts w:ascii="宋体" w:hAnsi="宋体" w:eastAsia="宋体" w:cs="宋体"/>
                <w:sz w:val="20"/>
                <w:szCs w:val="20"/>
              </w:rPr>
            </w:pPr>
            <w:r>
              <w:rPr>
                <w:rFonts w:ascii="宋体" w:hAnsi="宋体" w:eastAsia="宋体" w:cs="宋体"/>
                <w:spacing w:val="8"/>
                <w:sz w:val="20"/>
                <w:szCs w:val="20"/>
              </w:rPr>
              <w:t>本项目产生的废机油</w:t>
            </w:r>
          </w:p>
          <w:p w14:paraId="170B8C18">
            <w:pPr>
              <w:spacing w:before="161" w:line="228" w:lineRule="auto"/>
              <w:ind w:left="169"/>
              <w:rPr>
                <w:rFonts w:ascii="宋体" w:hAnsi="宋体" w:eastAsia="宋体" w:cs="宋体"/>
                <w:sz w:val="20"/>
                <w:szCs w:val="20"/>
              </w:rPr>
            </w:pPr>
            <w:r>
              <w:rPr>
                <w:rFonts w:ascii="宋体" w:hAnsi="宋体" w:eastAsia="宋体" w:cs="宋体"/>
                <w:spacing w:val="8"/>
                <w:sz w:val="20"/>
                <w:szCs w:val="20"/>
              </w:rPr>
              <w:t>和废旧活性炭分类暂</w:t>
            </w:r>
          </w:p>
          <w:p w14:paraId="3CD7A9DB">
            <w:pPr>
              <w:spacing w:before="160" w:line="228" w:lineRule="auto"/>
              <w:ind w:left="377"/>
              <w:rPr>
                <w:rFonts w:ascii="宋体" w:hAnsi="宋体" w:eastAsia="宋体" w:cs="宋体"/>
                <w:sz w:val="20"/>
                <w:szCs w:val="20"/>
              </w:rPr>
            </w:pPr>
            <w:r>
              <w:rPr>
                <w:rFonts w:ascii="宋体" w:hAnsi="宋体" w:eastAsia="宋体" w:cs="宋体"/>
                <w:spacing w:val="8"/>
                <w:sz w:val="20"/>
                <w:szCs w:val="20"/>
              </w:rPr>
              <w:t>存于危废暂存间</w:t>
            </w:r>
          </w:p>
        </w:tc>
        <w:tc>
          <w:tcPr>
            <w:tcW w:w="1626" w:type="dxa"/>
            <w:tcBorders>
              <w:bottom w:val="single" w:color="000000" w:sz="6" w:space="0"/>
            </w:tcBorders>
            <w:vAlign w:val="top"/>
          </w:tcPr>
          <w:p w14:paraId="562C3A49">
            <w:pPr>
              <w:spacing w:before="45" w:line="372" w:lineRule="auto"/>
              <w:ind w:left="117" w:right="99" w:firstLine="23"/>
              <w:jc w:val="both"/>
              <w:rPr>
                <w:rFonts w:ascii="宋体" w:hAnsi="宋体" w:eastAsia="宋体" w:cs="宋体"/>
                <w:sz w:val="20"/>
                <w:szCs w:val="20"/>
              </w:rPr>
            </w:pPr>
            <w:r>
              <w:rPr>
                <w:rFonts w:ascii="宋体" w:hAnsi="宋体" w:eastAsia="宋体" w:cs="宋体"/>
                <w:spacing w:val="-3"/>
                <w:sz w:val="20"/>
                <w:szCs w:val="20"/>
              </w:rPr>
              <w:t>已建成，本次依</w:t>
            </w:r>
            <w:r>
              <w:rPr>
                <w:rFonts w:ascii="宋体" w:hAnsi="宋体" w:eastAsia="宋体" w:cs="宋体"/>
                <w:spacing w:val="20"/>
                <w:sz w:val="20"/>
                <w:szCs w:val="20"/>
              </w:rPr>
              <w:t>托已建危废暂</w:t>
            </w:r>
            <w:r>
              <w:rPr>
                <w:rFonts w:ascii="宋体" w:hAnsi="宋体" w:eastAsia="宋体" w:cs="宋体"/>
                <w:sz w:val="20"/>
                <w:szCs w:val="20"/>
              </w:rPr>
              <w:t>存间，并在危废</w:t>
            </w:r>
            <w:r>
              <w:rPr>
                <w:rFonts w:ascii="宋体" w:hAnsi="宋体" w:eastAsia="宋体" w:cs="宋体"/>
                <w:spacing w:val="20"/>
                <w:sz w:val="20"/>
                <w:szCs w:val="20"/>
              </w:rPr>
              <w:t>暂存间内新增托盘和专业盛</w:t>
            </w:r>
          </w:p>
        </w:tc>
        <w:tc>
          <w:tcPr>
            <w:tcW w:w="195" w:type="dxa"/>
            <w:vMerge w:val="continue"/>
            <w:tcBorders>
              <w:top w:val="nil"/>
              <w:bottom w:val="single" w:color="000000" w:sz="6" w:space="0"/>
              <w:right w:val="single" w:color="000000" w:sz="6" w:space="0"/>
            </w:tcBorders>
            <w:vAlign w:val="top"/>
          </w:tcPr>
          <w:p w14:paraId="3F91DF81">
            <w:pPr>
              <w:rPr>
                <w:rFonts w:ascii="Arial"/>
                <w:sz w:val="21"/>
              </w:rPr>
            </w:pPr>
          </w:p>
        </w:tc>
      </w:tr>
    </w:tbl>
    <w:p w14:paraId="7FE663C0">
      <w:pPr>
        <w:pStyle w:val="2"/>
      </w:pPr>
    </w:p>
    <w:p w14:paraId="6E689E3F">
      <w:pPr>
        <w:sectPr>
          <w:footerReference r:id="rId52" w:type="default"/>
          <w:pgSz w:w="11906" w:h="16839"/>
          <w:pgMar w:top="400" w:right="1413" w:bottom="1329" w:left="1413" w:header="0" w:footer="1113" w:gutter="0"/>
          <w:cols w:space="720" w:num="1"/>
        </w:sectPr>
      </w:pPr>
    </w:p>
    <w:p w14:paraId="50578FF7">
      <w:pPr>
        <w:spacing w:before="19"/>
      </w:pPr>
    </w:p>
    <w:p w14:paraId="41204D93">
      <w:pPr>
        <w:spacing w:before="19"/>
      </w:pPr>
    </w:p>
    <w:p w14:paraId="40F72CFD">
      <w:pPr>
        <w:spacing w:before="19"/>
      </w:pPr>
    </w:p>
    <w:p w14:paraId="2D0FC697">
      <w:pPr>
        <w:spacing w:before="18"/>
      </w:pPr>
    </w:p>
    <w:p w14:paraId="49C09E99">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4"/>
        <w:gridCol w:w="487"/>
        <w:gridCol w:w="109"/>
        <w:gridCol w:w="82"/>
        <w:gridCol w:w="579"/>
        <w:gridCol w:w="216"/>
        <w:gridCol w:w="170"/>
        <w:gridCol w:w="75"/>
        <w:gridCol w:w="257"/>
        <w:gridCol w:w="758"/>
        <w:gridCol w:w="194"/>
        <w:gridCol w:w="147"/>
        <w:gridCol w:w="699"/>
        <w:gridCol w:w="187"/>
        <w:gridCol w:w="527"/>
        <w:gridCol w:w="307"/>
        <w:gridCol w:w="20"/>
        <w:gridCol w:w="179"/>
        <w:gridCol w:w="1026"/>
        <w:gridCol w:w="185"/>
        <w:gridCol w:w="286"/>
        <w:gridCol w:w="209"/>
        <w:gridCol w:w="239"/>
        <w:gridCol w:w="1386"/>
        <w:gridCol w:w="74"/>
        <w:gridCol w:w="124"/>
      </w:tblGrid>
      <w:tr w14:paraId="42EB5A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0" w:hRule="atLeast"/>
        </w:trPr>
        <w:tc>
          <w:tcPr>
            <w:tcW w:w="428" w:type="dxa"/>
            <w:vMerge w:val="restart"/>
            <w:tcBorders>
              <w:top w:val="single" w:color="000000" w:sz="6" w:space="0"/>
              <w:left w:val="single" w:color="000000" w:sz="6" w:space="0"/>
              <w:bottom w:val="nil"/>
            </w:tcBorders>
            <w:vAlign w:val="top"/>
          </w:tcPr>
          <w:p w14:paraId="2B01E1EF">
            <w:pPr>
              <w:rPr>
                <w:rFonts w:ascii="Arial"/>
                <w:sz w:val="21"/>
              </w:rPr>
            </w:pPr>
          </w:p>
        </w:tc>
        <w:tc>
          <w:tcPr>
            <w:tcW w:w="114" w:type="dxa"/>
            <w:tcBorders>
              <w:top w:val="single" w:color="000000" w:sz="6" w:space="0"/>
              <w:bottom w:val="nil"/>
            </w:tcBorders>
            <w:vAlign w:val="top"/>
          </w:tcPr>
          <w:p w14:paraId="16334F67">
            <w:pPr>
              <w:rPr>
                <w:rFonts w:ascii="Arial"/>
                <w:sz w:val="21"/>
              </w:rPr>
            </w:pPr>
          </w:p>
        </w:tc>
        <w:tc>
          <w:tcPr>
            <w:tcW w:w="596" w:type="dxa"/>
            <w:gridSpan w:val="2"/>
            <w:tcBorders>
              <w:top w:val="single" w:color="000000" w:sz="6" w:space="0"/>
            </w:tcBorders>
            <w:vAlign w:val="top"/>
          </w:tcPr>
          <w:p w14:paraId="06223BC6">
            <w:pPr>
              <w:rPr>
                <w:rFonts w:ascii="Arial"/>
                <w:sz w:val="21"/>
              </w:rPr>
            </w:pPr>
          </w:p>
        </w:tc>
        <w:tc>
          <w:tcPr>
            <w:tcW w:w="661" w:type="dxa"/>
            <w:gridSpan w:val="2"/>
            <w:tcBorders>
              <w:top w:val="single" w:color="000000" w:sz="6" w:space="0"/>
            </w:tcBorders>
            <w:vAlign w:val="top"/>
          </w:tcPr>
          <w:p w14:paraId="144A0712">
            <w:pPr>
              <w:rPr>
                <w:rFonts w:ascii="Arial"/>
                <w:sz w:val="21"/>
              </w:rPr>
            </w:pPr>
          </w:p>
        </w:tc>
        <w:tc>
          <w:tcPr>
            <w:tcW w:w="718" w:type="dxa"/>
            <w:gridSpan w:val="4"/>
            <w:tcBorders>
              <w:top w:val="single" w:color="000000" w:sz="6" w:space="0"/>
            </w:tcBorders>
            <w:vAlign w:val="top"/>
          </w:tcPr>
          <w:p w14:paraId="08E63167">
            <w:pPr>
              <w:rPr>
                <w:rFonts w:ascii="Arial"/>
                <w:sz w:val="21"/>
              </w:rPr>
            </w:pPr>
          </w:p>
        </w:tc>
        <w:tc>
          <w:tcPr>
            <w:tcW w:w="2512" w:type="dxa"/>
            <w:gridSpan w:val="6"/>
            <w:tcBorders>
              <w:top w:val="single" w:color="000000" w:sz="6" w:space="0"/>
            </w:tcBorders>
            <w:vAlign w:val="top"/>
          </w:tcPr>
          <w:p w14:paraId="1FF88E76">
            <w:pPr>
              <w:spacing w:before="46" w:line="228" w:lineRule="auto"/>
              <w:ind w:left="128"/>
              <w:rPr>
                <w:rFonts w:ascii="宋体" w:hAnsi="宋体" w:eastAsia="宋体" w:cs="宋体"/>
                <w:sz w:val="20"/>
                <w:szCs w:val="20"/>
              </w:rPr>
            </w:pPr>
            <w:r>
              <w:rPr>
                <w:rFonts w:ascii="宋体" w:hAnsi="宋体" w:eastAsia="宋体" w:cs="宋体"/>
                <w:spacing w:val="6"/>
                <w:sz w:val="20"/>
                <w:szCs w:val="20"/>
              </w:rPr>
              <w:t>围堰、托盘，张贴标识标</w:t>
            </w:r>
          </w:p>
          <w:p w14:paraId="718EEE4A">
            <w:pPr>
              <w:spacing w:before="161" w:line="228" w:lineRule="auto"/>
              <w:ind w:left="110"/>
              <w:rPr>
                <w:rFonts w:ascii="宋体" w:hAnsi="宋体" w:eastAsia="宋体" w:cs="宋体"/>
                <w:sz w:val="20"/>
                <w:szCs w:val="20"/>
              </w:rPr>
            </w:pPr>
            <w:r>
              <w:rPr>
                <w:rFonts w:ascii="宋体" w:hAnsi="宋体" w:eastAsia="宋体" w:cs="宋体"/>
                <w:spacing w:val="8"/>
                <w:sz w:val="20"/>
                <w:szCs w:val="20"/>
              </w:rPr>
              <w:t>牌，危废收集后分类暂存</w:t>
            </w:r>
          </w:p>
          <w:p w14:paraId="049066BF">
            <w:pPr>
              <w:spacing w:before="160" w:line="228" w:lineRule="auto"/>
              <w:ind w:left="112"/>
              <w:rPr>
                <w:rFonts w:ascii="宋体" w:hAnsi="宋体" w:eastAsia="宋体" w:cs="宋体"/>
                <w:sz w:val="20"/>
                <w:szCs w:val="20"/>
              </w:rPr>
            </w:pPr>
            <w:r>
              <w:rPr>
                <w:rFonts w:ascii="宋体" w:hAnsi="宋体" w:eastAsia="宋体" w:cs="宋体"/>
                <w:spacing w:val="7"/>
                <w:sz w:val="20"/>
                <w:szCs w:val="20"/>
              </w:rPr>
              <w:t>于危废间内，委托楚雄同</w:t>
            </w:r>
          </w:p>
          <w:p w14:paraId="465C40EB">
            <w:pPr>
              <w:spacing w:before="161" w:line="228" w:lineRule="auto"/>
              <w:ind w:left="210"/>
              <w:rPr>
                <w:rFonts w:ascii="宋体" w:hAnsi="宋体" w:eastAsia="宋体" w:cs="宋体"/>
                <w:sz w:val="20"/>
                <w:szCs w:val="20"/>
              </w:rPr>
            </w:pPr>
            <w:r>
              <w:rPr>
                <w:rFonts w:ascii="宋体" w:hAnsi="宋体" w:eastAsia="宋体" w:cs="宋体"/>
                <w:spacing w:val="8"/>
                <w:sz w:val="20"/>
                <w:szCs w:val="20"/>
              </w:rPr>
              <w:t>磊再生资源回收有限公</w:t>
            </w:r>
          </w:p>
          <w:p w14:paraId="64075D96">
            <w:pPr>
              <w:spacing w:before="163" w:line="230" w:lineRule="auto"/>
              <w:ind w:left="847"/>
              <w:rPr>
                <w:rFonts w:ascii="宋体" w:hAnsi="宋体" w:eastAsia="宋体" w:cs="宋体"/>
                <w:sz w:val="20"/>
                <w:szCs w:val="20"/>
              </w:rPr>
            </w:pPr>
            <w:r>
              <w:rPr>
                <w:rFonts w:ascii="宋体" w:hAnsi="宋体" w:eastAsia="宋体" w:cs="宋体"/>
                <w:spacing w:val="3"/>
                <w:sz w:val="20"/>
                <w:szCs w:val="20"/>
              </w:rPr>
              <w:t>司处置。</w:t>
            </w:r>
          </w:p>
        </w:tc>
        <w:tc>
          <w:tcPr>
            <w:tcW w:w="2212" w:type="dxa"/>
            <w:gridSpan w:val="7"/>
            <w:tcBorders>
              <w:top w:val="single" w:color="000000" w:sz="6" w:space="0"/>
            </w:tcBorders>
            <w:vAlign w:val="top"/>
          </w:tcPr>
          <w:p w14:paraId="2D291A74">
            <w:pPr>
              <w:rPr>
                <w:rFonts w:ascii="Arial"/>
                <w:sz w:val="21"/>
              </w:rPr>
            </w:pPr>
          </w:p>
        </w:tc>
        <w:tc>
          <w:tcPr>
            <w:tcW w:w="1625" w:type="dxa"/>
            <w:gridSpan w:val="2"/>
            <w:tcBorders>
              <w:top w:val="single" w:color="000000" w:sz="6" w:space="0"/>
            </w:tcBorders>
            <w:vAlign w:val="top"/>
          </w:tcPr>
          <w:p w14:paraId="4B67FA90">
            <w:pPr>
              <w:spacing w:before="47" w:line="228" w:lineRule="auto"/>
              <w:ind w:left="406"/>
              <w:rPr>
                <w:rFonts w:ascii="宋体" w:hAnsi="宋体" w:eastAsia="宋体" w:cs="宋体"/>
                <w:sz w:val="20"/>
                <w:szCs w:val="20"/>
              </w:rPr>
            </w:pPr>
            <w:r>
              <w:rPr>
                <w:rFonts w:ascii="宋体" w:hAnsi="宋体" w:eastAsia="宋体" w:cs="宋体"/>
                <w:spacing w:val="5"/>
                <w:sz w:val="20"/>
                <w:szCs w:val="20"/>
              </w:rPr>
              <w:t>装容器。</w:t>
            </w:r>
          </w:p>
        </w:tc>
        <w:tc>
          <w:tcPr>
            <w:tcW w:w="198" w:type="dxa"/>
            <w:gridSpan w:val="2"/>
            <w:tcBorders>
              <w:top w:val="single" w:color="000000" w:sz="6" w:space="0"/>
              <w:bottom w:val="nil"/>
              <w:right w:val="single" w:color="000000" w:sz="6" w:space="0"/>
            </w:tcBorders>
            <w:vAlign w:val="top"/>
          </w:tcPr>
          <w:p w14:paraId="44FA0BF4">
            <w:pPr>
              <w:rPr>
                <w:rFonts w:ascii="Arial"/>
                <w:sz w:val="21"/>
              </w:rPr>
            </w:pPr>
          </w:p>
        </w:tc>
      </w:tr>
      <w:tr w14:paraId="3FDC2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6" w:hRule="atLeast"/>
        </w:trPr>
        <w:tc>
          <w:tcPr>
            <w:tcW w:w="428" w:type="dxa"/>
            <w:vMerge w:val="continue"/>
            <w:tcBorders>
              <w:top w:val="nil"/>
              <w:left w:val="single" w:color="000000" w:sz="6" w:space="0"/>
              <w:bottom w:val="nil"/>
            </w:tcBorders>
            <w:vAlign w:val="top"/>
          </w:tcPr>
          <w:p w14:paraId="6CB41661">
            <w:pPr>
              <w:rPr>
                <w:rFonts w:ascii="Arial"/>
                <w:sz w:val="21"/>
              </w:rPr>
            </w:pPr>
          </w:p>
        </w:tc>
        <w:tc>
          <w:tcPr>
            <w:tcW w:w="8636" w:type="dxa"/>
            <w:gridSpan w:val="26"/>
            <w:tcBorders>
              <w:right w:val="single" w:color="000000" w:sz="6" w:space="0"/>
            </w:tcBorders>
            <w:vAlign w:val="top"/>
          </w:tcPr>
          <w:p w14:paraId="1E9842AA">
            <w:pPr>
              <w:spacing w:before="39" w:line="219" w:lineRule="auto"/>
              <w:ind w:left="581"/>
              <w:rPr>
                <w:rFonts w:ascii="宋体" w:hAnsi="宋体" w:eastAsia="宋体" w:cs="宋体"/>
                <w:sz w:val="24"/>
                <w:szCs w:val="24"/>
              </w:rPr>
            </w:pPr>
            <w:r>
              <w:rPr>
                <w:rFonts w:ascii="Times New Roman" w:hAnsi="Times New Roman" w:eastAsia="Times New Roman" w:cs="Times New Roman"/>
                <w:b/>
                <w:bCs/>
                <w:spacing w:val="-7"/>
                <w:sz w:val="24"/>
                <w:szCs w:val="24"/>
              </w:rPr>
              <w:t>3</w:t>
            </w:r>
            <w:r>
              <w:rPr>
                <w:rFonts w:ascii="Times New Roman" w:hAnsi="Times New Roman" w:eastAsia="Times New Roman" w:cs="Times New Roman"/>
                <w:b/>
                <w:bCs/>
                <w:spacing w:val="-31"/>
                <w:sz w:val="24"/>
                <w:szCs w:val="24"/>
              </w:rPr>
              <w:t xml:space="preserve"> </w:t>
            </w:r>
            <w:r>
              <w:rPr>
                <w:rFonts w:ascii="宋体" w:hAnsi="宋体" w:eastAsia="宋体" w:cs="宋体"/>
                <w:b/>
                <w:bCs/>
                <w:spacing w:val="-7"/>
                <w:sz w:val="24"/>
                <w:szCs w:val="24"/>
              </w:rPr>
              <w:t>、产品规模</w:t>
            </w:r>
          </w:p>
          <w:p w14:paraId="05F79BC7">
            <w:pPr>
              <w:spacing w:before="181" w:line="357" w:lineRule="auto"/>
              <w:ind w:left="108" w:right="102" w:firstLine="479"/>
              <w:rPr>
                <w:rFonts w:ascii="宋体" w:hAnsi="宋体" w:eastAsia="宋体" w:cs="宋体"/>
                <w:sz w:val="24"/>
                <w:szCs w:val="24"/>
              </w:rPr>
            </w:pPr>
            <w:r>
              <w:rPr>
                <w:rFonts w:ascii="宋体" w:hAnsi="宋体" w:eastAsia="宋体" w:cs="宋体"/>
                <w:spacing w:val="-2"/>
                <w:sz w:val="24"/>
                <w:szCs w:val="24"/>
              </w:rPr>
              <w:t>本项目为扩建</w:t>
            </w:r>
            <w:r>
              <w:rPr>
                <w:rFonts w:ascii="宋体" w:hAnsi="宋体" w:eastAsia="宋体" w:cs="宋体"/>
                <w:spacing w:val="-19"/>
                <w:sz w:val="24"/>
                <w:szCs w:val="24"/>
              </w:rPr>
              <w:t xml:space="preserve"> </w:t>
            </w: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条年产</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100</w:t>
            </w:r>
            <w:r>
              <w:rPr>
                <w:rFonts w:ascii="Times New Roman" w:hAnsi="Times New Roman" w:eastAsia="Times New Roman" w:cs="Times New Roman"/>
                <w:spacing w:val="16"/>
                <w:sz w:val="24"/>
                <w:szCs w:val="24"/>
              </w:rPr>
              <w:t xml:space="preserve"> </w:t>
            </w:r>
            <w:r>
              <w:rPr>
                <w:rFonts w:ascii="宋体" w:hAnsi="宋体" w:eastAsia="宋体" w:cs="宋体"/>
                <w:spacing w:val="-2"/>
                <w:sz w:val="24"/>
                <w:szCs w:val="24"/>
              </w:rPr>
              <w:t>万个塑料筐生产线，其他产品产能不变，产品方</w:t>
            </w:r>
            <w:r>
              <w:rPr>
                <w:rFonts w:ascii="宋体" w:hAnsi="宋体" w:eastAsia="宋体" w:cs="宋体"/>
                <w:spacing w:val="-3"/>
                <w:sz w:val="24"/>
                <w:szCs w:val="24"/>
              </w:rPr>
              <w:t>案见表</w:t>
            </w:r>
            <w:r>
              <w:rPr>
                <w:rFonts w:ascii="宋体" w:hAnsi="宋体" w:eastAsia="宋体" w:cs="宋体"/>
                <w:spacing w:val="-53"/>
                <w:sz w:val="24"/>
                <w:szCs w:val="24"/>
              </w:rPr>
              <w:t xml:space="preserve"> </w:t>
            </w:r>
            <w:r>
              <w:rPr>
                <w:rFonts w:ascii="Times New Roman" w:hAnsi="Times New Roman" w:eastAsia="Times New Roman" w:cs="Times New Roman"/>
                <w:spacing w:val="-3"/>
                <w:sz w:val="24"/>
                <w:szCs w:val="24"/>
              </w:rPr>
              <w:t>2-2</w:t>
            </w:r>
            <w:r>
              <w:rPr>
                <w:rFonts w:ascii="宋体" w:hAnsi="宋体" w:eastAsia="宋体" w:cs="宋体"/>
                <w:spacing w:val="-3"/>
                <w:sz w:val="24"/>
                <w:szCs w:val="24"/>
              </w:rPr>
              <w:t>。</w:t>
            </w:r>
          </w:p>
          <w:p w14:paraId="25080EFD">
            <w:pPr>
              <w:spacing w:line="214" w:lineRule="auto"/>
              <w:ind w:left="3203"/>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40"/>
                <w:sz w:val="20"/>
                <w:szCs w:val="20"/>
              </w:rPr>
              <w:t xml:space="preserve"> </w:t>
            </w:r>
            <w:r>
              <w:rPr>
                <w:rFonts w:ascii="Times New Roman" w:hAnsi="Times New Roman" w:eastAsia="Times New Roman" w:cs="Times New Roman"/>
                <w:b/>
                <w:bCs/>
                <w:spacing w:val="5"/>
                <w:sz w:val="20"/>
                <w:szCs w:val="20"/>
              </w:rPr>
              <w:t xml:space="preserve">2-2    </w:t>
            </w:r>
            <w:r>
              <w:rPr>
                <w:rFonts w:ascii="宋体" w:hAnsi="宋体" w:eastAsia="宋体" w:cs="宋体"/>
                <w:b/>
                <w:bCs/>
                <w:spacing w:val="5"/>
                <w:sz w:val="20"/>
                <w:szCs w:val="20"/>
              </w:rPr>
              <w:t>项目产品方案表</w:t>
            </w:r>
          </w:p>
        </w:tc>
      </w:tr>
      <w:tr w14:paraId="23D64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vAlign w:val="top"/>
          </w:tcPr>
          <w:p w14:paraId="7221E262">
            <w:pPr>
              <w:rPr>
                <w:rFonts w:ascii="Arial"/>
                <w:sz w:val="21"/>
              </w:rPr>
            </w:pPr>
          </w:p>
        </w:tc>
        <w:tc>
          <w:tcPr>
            <w:tcW w:w="114" w:type="dxa"/>
            <w:vMerge w:val="restart"/>
            <w:tcBorders>
              <w:top w:val="nil"/>
              <w:bottom w:val="nil"/>
            </w:tcBorders>
            <w:vAlign w:val="top"/>
          </w:tcPr>
          <w:p w14:paraId="13EC5F2B">
            <w:pPr>
              <w:rPr>
                <w:rFonts w:ascii="Arial"/>
                <w:sz w:val="21"/>
              </w:rPr>
            </w:pPr>
          </w:p>
        </w:tc>
        <w:tc>
          <w:tcPr>
            <w:tcW w:w="678" w:type="dxa"/>
            <w:gridSpan w:val="3"/>
            <w:vAlign w:val="top"/>
          </w:tcPr>
          <w:p w14:paraId="6F8A4E0B">
            <w:pPr>
              <w:spacing w:before="239" w:line="229" w:lineRule="auto"/>
              <w:ind w:left="149"/>
              <w:rPr>
                <w:rFonts w:ascii="宋体" w:hAnsi="宋体" w:eastAsia="宋体" w:cs="宋体"/>
                <w:sz w:val="20"/>
                <w:szCs w:val="20"/>
              </w:rPr>
            </w:pPr>
            <w:r>
              <w:rPr>
                <w:rFonts w:ascii="宋体" w:hAnsi="宋体" w:eastAsia="宋体" w:cs="宋体"/>
                <w:b/>
                <w:bCs/>
                <w:spacing w:val="4"/>
                <w:sz w:val="20"/>
                <w:szCs w:val="20"/>
              </w:rPr>
              <w:t>序号</w:t>
            </w:r>
          </w:p>
        </w:tc>
        <w:tc>
          <w:tcPr>
            <w:tcW w:w="965" w:type="dxa"/>
            <w:gridSpan w:val="3"/>
            <w:vAlign w:val="top"/>
          </w:tcPr>
          <w:p w14:paraId="2E9463A1">
            <w:pPr>
              <w:spacing w:before="35" w:line="358" w:lineRule="auto"/>
              <w:ind w:left="418" w:right="125" w:hanging="207"/>
              <w:rPr>
                <w:rFonts w:ascii="宋体" w:hAnsi="宋体" w:eastAsia="宋体" w:cs="宋体"/>
                <w:sz w:val="20"/>
                <w:szCs w:val="20"/>
              </w:rPr>
            </w:pPr>
            <w:r>
              <w:rPr>
                <w:rFonts w:ascii="宋体" w:hAnsi="宋体" w:eastAsia="宋体" w:cs="宋体"/>
                <w:b/>
                <w:bCs/>
                <w:spacing w:val="5"/>
                <w:sz w:val="20"/>
                <w:szCs w:val="20"/>
              </w:rPr>
              <w:t>产品名</w:t>
            </w:r>
            <w:r>
              <w:rPr>
                <w:rFonts w:ascii="宋体" w:hAnsi="宋体" w:eastAsia="宋体" w:cs="宋体"/>
                <w:b/>
                <w:bCs/>
                <w:spacing w:val="-1"/>
                <w:sz w:val="20"/>
                <w:szCs w:val="20"/>
              </w:rPr>
              <w:t>称</w:t>
            </w:r>
          </w:p>
        </w:tc>
        <w:tc>
          <w:tcPr>
            <w:tcW w:w="1431" w:type="dxa"/>
            <w:gridSpan w:val="5"/>
            <w:vAlign w:val="top"/>
          </w:tcPr>
          <w:p w14:paraId="5E1894BF">
            <w:pPr>
              <w:spacing w:before="35" w:line="358" w:lineRule="auto"/>
              <w:ind w:left="255" w:right="147" w:hanging="19"/>
              <w:rPr>
                <w:rFonts w:ascii="宋体" w:hAnsi="宋体" w:eastAsia="宋体" w:cs="宋体"/>
                <w:sz w:val="20"/>
                <w:szCs w:val="20"/>
              </w:rPr>
            </w:pPr>
            <w:r>
              <w:rPr>
                <w:rFonts w:ascii="宋体" w:hAnsi="宋体" w:eastAsia="宋体" w:cs="宋体"/>
                <w:b/>
                <w:bCs/>
                <w:spacing w:val="6"/>
                <w:sz w:val="20"/>
                <w:szCs w:val="20"/>
              </w:rPr>
              <w:t>现有项目产</w:t>
            </w:r>
            <w:r>
              <w:rPr>
                <w:rFonts w:ascii="宋体" w:hAnsi="宋体" w:eastAsia="宋体" w:cs="宋体"/>
                <w:b/>
                <w:bCs/>
                <w:spacing w:val="3"/>
                <w:sz w:val="20"/>
                <w:szCs w:val="20"/>
              </w:rPr>
              <w:t>量（个</w:t>
            </w:r>
            <w:r>
              <w:rPr>
                <w:rFonts w:ascii="Times New Roman" w:hAnsi="Times New Roman" w:eastAsia="Times New Roman" w:cs="Times New Roman"/>
                <w:b/>
                <w:bCs/>
                <w:spacing w:val="3"/>
                <w:sz w:val="20"/>
                <w:szCs w:val="20"/>
              </w:rPr>
              <w:t>/a</w:t>
            </w:r>
            <w:r>
              <w:rPr>
                <w:rFonts w:ascii="宋体" w:hAnsi="宋体" w:eastAsia="宋体" w:cs="宋体"/>
                <w:b/>
                <w:bCs/>
                <w:spacing w:val="3"/>
                <w:sz w:val="20"/>
                <w:szCs w:val="20"/>
              </w:rPr>
              <w:t>）</w:t>
            </w:r>
          </w:p>
        </w:tc>
        <w:tc>
          <w:tcPr>
            <w:tcW w:w="1740" w:type="dxa"/>
            <w:gridSpan w:val="5"/>
            <w:vAlign w:val="top"/>
          </w:tcPr>
          <w:p w14:paraId="2504C865">
            <w:pPr>
              <w:spacing w:before="35" w:line="228" w:lineRule="auto"/>
              <w:ind w:left="169"/>
              <w:rPr>
                <w:rFonts w:ascii="宋体" w:hAnsi="宋体" w:eastAsia="宋体" w:cs="宋体"/>
                <w:sz w:val="20"/>
                <w:szCs w:val="20"/>
              </w:rPr>
            </w:pPr>
            <w:r>
              <w:rPr>
                <w:rFonts w:ascii="宋体" w:hAnsi="宋体" w:eastAsia="宋体" w:cs="宋体"/>
                <w:b/>
                <w:bCs/>
                <w:spacing w:val="6"/>
                <w:sz w:val="20"/>
                <w:szCs w:val="20"/>
              </w:rPr>
              <w:t>扩建项目新增产</w:t>
            </w:r>
          </w:p>
          <w:p w14:paraId="3E5F698F">
            <w:pPr>
              <w:spacing w:before="161" w:line="228" w:lineRule="auto"/>
              <w:ind w:left="402"/>
              <w:rPr>
                <w:rFonts w:ascii="宋体" w:hAnsi="宋体" w:eastAsia="宋体" w:cs="宋体"/>
                <w:sz w:val="20"/>
                <w:szCs w:val="20"/>
              </w:rPr>
            </w:pPr>
            <w:r>
              <w:rPr>
                <w:rFonts w:ascii="宋体" w:hAnsi="宋体" w:eastAsia="宋体" w:cs="宋体"/>
                <w:b/>
                <w:bCs/>
                <w:spacing w:val="3"/>
                <w:sz w:val="20"/>
                <w:szCs w:val="20"/>
              </w:rPr>
              <w:t>量（个</w:t>
            </w:r>
            <w:r>
              <w:rPr>
                <w:rFonts w:ascii="Times New Roman" w:hAnsi="Times New Roman" w:eastAsia="Times New Roman" w:cs="Times New Roman"/>
                <w:b/>
                <w:bCs/>
                <w:spacing w:val="3"/>
                <w:sz w:val="20"/>
                <w:szCs w:val="20"/>
              </w:rPr>
              <w:t>/a</w:t>
            </w:r>
            <w:r>
              <w:rPr>
                <w:rFonts w:ascii="宋体" w:hAnsi="宋体" w:eastAsia="宋体" w:cs="宋体"/>
                <w:b/>
                <w:bCs/>
                <w:spacing w:val="3"/>
                <w:sz w:val="20"/>
                <w:szCs w:val="20"/>
              </w:rPr>
              <w:t>）</w:t>
            </w:r>
          </w:p>
        </w:tc>
        <w:tc>
          <w:tcPr>
            <w:tcW w:w="1676" w:type="dxa"/>
            <w:gridSpan w:val="4"/>
            <w:vAlign w:val="top"/>
          </w:tcPr>
          <w:p w14:paraId="57D6573E">
            <w:pPr>
              <w:spacing w:before="35" w:line="358" w:lineRule="auto"/>
              <w:ind w:left="360" w:right="182" w:hanging="129"/>
              <w:rPr>
                <w:rFonts w:ascii="宋体" w:hAnsi="宋体" w:eastAsia="宋体" w:cs="宋体"/>
                <w:sz w:val="20"/>
                <w:szCs w:val="20"/>
              </w:rPr>
            </w:pPr>
            <w:r>
              <w:rPr>
                <w:rFonts w:ascii="宋体" w:hAnsi="宋体" w:eastAsia="宋体" w:cs="宋体"/>
                <w:b/>
                <w:bCs/>
                <w:spacing w:val="7"/>
                <w:sz w:val="20"/>
                <w:szCs w:val="20"/>
              </w:rPr>
              <w:t>扩建完成后产</w:t>
            </w:r>
            <w:r>
              <w:rPr>
                <w:rFonts w:ascii="宋体" w:hAnsi="宋体" w:eastAsia="宋体" w:cs="宋体"/>
                <w:b/>
                <w:bCs/>
                <w:spacing w:val="3"/>
                <w:sz w:val="20"/>
                <w:szCs w:val="20"/>
              </w:rPr>
              <w:t>量（个</w:t>
            </w:r>
            <w:r>
              <w:rPr>
                <w:rFonts w:ascii="Times New Roman" w:hAnsi="Times New Roman" w:eastAsia="Times New Roman" w:cs="Times New Roman"/>
                <w:b/>
                <w:bCs/>
                <w:spacing w:val="3"/>
                <w:sz w:val="20"/>
                <w:szCs w:val="20"/>
              </w:rPr>
              <w:t>/a</w:t>
            </w:r>
            <w:r>
              <w:rPr>
                <w:rFonts w:ascii="宋体" w:hAnsi="宋体" w:eastAsia="宋体" w:cs="宋体"/>
                <w:b/>
                <w:bCs/>
                <w:spacing w:val="3"/>
                <w:sz w:val="20"/>
                <w:szCs w:val="20"/>
              </w:rPr>
              <w:t>）</w:t>
            </w:r>
          </w:p>
        </w:tc>
        <w:tc>
          <w:tcPr>
            <w:tcW w:w="1908" w:type="dxa"/>
            <w:gridSpan w:val="4"/>
            <w:vAlign w:val="top"/>
          </w:tcPr>
          <w:p w14:paraId="42293CF6">
            <w:pPr>
              <w:spacing w:before="239" w:line="229" w:lineRule="auto"/>
              <w:ind w:left="766"/>
              <w:rPr>
                <w:rFonts w:ascii="宋体" w:hAnsi="宋体" w:eastAsia="宋体" w:cs="宋体"/>
                <w:sz w:val="20"/>
                <w:szCs w:val="20"/>
              </w:rPr>
            </w:pPr>
            <w:r>
              <w:rPr>
                <w:rFonts w:ascii="宋体" w:hAnsi="宋体" w:eastAsia="宋体" w:cs="宋体"/>
                <w:b/>
                <w:bCs/>
                <w:spacing w:val="2"/>
                <w:sz w:val="20"/>
                <w:szCs w:val="20"/>
              </w:rPr>
              <w:t>备注</w:t>
            </w:r>
          </w:p>
        </w:tc>
        <w:tc>
          <w:tcPr>
            <w:tcW w:w="124" w:type="dxa"/>
            <w:tcBorders>
              <w:top w:val="nil"/>
              <w:bottom w:val="nil"/>
              <w:right w:val="single" w:color="000000" w:sz="6" w:space="0"/>
            </w:tcBorders>
            <w:vAlign w:val="top"/>
          </w:tcPr>
          <w:p w14:paraId="66FD12B0">
            <w:pPr>
              <w:rPr>
                <w:rFonts w:ascii="Arial"/>
                <w:sz w:val="21"/>
              </w:rPr>
            </w:pPr>
          </w:p>
        </w:tc>
      </w:tr>
      <w:tr w14:paraId="320B4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428" w:type="dxa"/>
            <w:vMerge w:val="continue"/>
            <w:tcBorders>
              <w:top w:val="nil"/>
              <w:left w:val="single" w:color="000000" w:sz="6" w:space="0"/>
              <w:bottom w:val="nil"/>
            </w:tcBorders>
            <w:vAlign w:val="top"/>
          </w:tcPr>
          <w:p w14:paraId="6B389D69">
            <w:pPr>
              <w:rPr>
                <w:rFonts w:ascii="Arial"/>
                <w:sz w:val="21"/>
              </w:rPr>
            </w:pPr>
          </w:p>
        </w:tc>
        <w:tc>
          <w:tcPr>
            <w:tcW w:w="114" w:type="dxa"/>
            <w:vMerge w:val="continue"/>
            <w:tcBorders>
              <w:top w:val="nil"/>
              <w:bottom w:val="nil"/>
            </w:tcBorders>
            <w:vAlign w:val="top"/>
          </w:tcPr>
          <w:p w14:paraId="5FBB867D">
            <w:pPr>
              <w:rPr>
                <w:rFonts w:ascii="Arial"/>
                <w:sz w:val="21"/>
              </w:rPr>
            </w:pPr>
          </w:p>
        </w:tc>
        <w:tc>
          <w:tcPr>
            <w:tcW w:w="678" w:type="dxa"/>
            <w:gridSpan w:val="3"/>
            <w:vAlign w:val="top"/>
          </w:tcPr>
          <w:p w14:paraId="21F696B2">
            <w:pPr>
              <w:spacing w:before="260" w:line="195"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965" w:type="dxa"/>
            <w:gridSpan w:val="3"/>
            <w:vAlign w:val="top"/>
          </w:tcPr>
          <w:p w14:paraId="6B17C8CD">
            <w:pPr>
              <w:spacing w:before="217" w:line="228" w:lineRule="auto"/>
              <w:ind w:left="215"/>
              <w:rPr>
                <w:rFonts w:ascii="宋体" w:hAnsi="宋体" w:eastAsia="宋体" w:cs="宋体"/>
                <w:sz w:val="20"/>
                <w:szCs w:val="20"/>
              </w:rPr>
            </w:pPr>
            <w:r>
              <w:rPr>
                <w:rFonts w:ascii="宋体" w:hAnsi="宋体" w:eastAsia="宋体" w:cs="宋体"/>
                <w:spacing w:val="5"/>
                <w:sz w:val="20"/>
                <w:szCs w:val="20"/>
              </w:rPr>
              <w:t>塑料筐</w:t>
            </w:r>
          </w:p>
        </w:tc>
        <w:tc>
          <w:tcPr>
            <w:tcW w:w="1431" w:type="dxa"/>
            <w:gridSpan w:val="5"/>
            <w:vAlign w:val="top"/>
          </w:tcPr>
          <w:p w14:paraId="4E5A0F21">
            <w:pPr>
              <w:spacing w:before="260" w:line="195" w:lineRule="auto"/>
              <w:ind w:left="70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740" w:type="dxa"/>
            <w:gridSpan w:val="5"/>
            <w:vAlign w:val="top"/>
          </w:tcPr>
          <w:p w14:paraId="2897E0F6">
            <w:pPr>
              <w:spacing w:before="217" w:line="228" w:lineRule="auto"/>
              <w:ind w:left="634"/>
              <w:rPr>
                <w:rFonts w:ascii="宋体" w:hAnsi="宋体" w:eastAsia="宋体" w:cs="宋体"/>
                <w:sz w:val="20"/>
                <w:szCs w:val="20"/>
              </w:rPr>
            </w:pPr>
            <w:r>
              <w:rPr>
                <w:rFonts w:ascii="Times New Roman" w:hAnsi="Times New Roman" w:eastAsia="Times New Roman" w:cs="Times New Roman"/>
                <w:spacing w:val="-3"/>
                <w:sz w:val="20"/>
                <w:szCs w:val="20"/>
              </w:rPr>
              <w:t>100</w:t>
            </w:r>
            <w:r>
              <w:rPr>
                <w:rFonts w:ascii="Times New Roman" w:hAnsi="Times New Roman" w:eastAsia="Times New Roman" w:cs="Times New Roman"/>
                <w:spacing w:val="16"/>
                <w:w w:val="101"/>
                <w:sz w:val="20"/>
                <w:szCs w:val="20"/>
              </w:rPr>
              <w:t xml:space="preserve"> </w:t>
            </w:r>
            <w:r>
              <w:rPr>
                <w:rFonts w:ascii="宋体" w:hAnsi="宋体" w:eastAsia="宋体" w:cs="宋体"/>
                <w:spacing w:val="-3"/>
                <w:sz w:val="20"/>
                <w:szCs w:val="20"/>
              </w:rPr>
              <w:t>万</w:t>
            </w:r>
          </w:p>
        </w:tc>
        <w:tc>
          <w:tcPr>
            <w:tcW w:w="1676" w:type="dxa"/>
            <w:gridSpan w:val="4"/>
            <w:vAlign w:val="top"/>
          </w:tcPr>
          <w:p w14:paraId="7D27E0CB">
            <w:pPr>
              <w:spacing w:before="217" w:line="228" w:lineRule="auto"/>
              <w:ind w:left="593"/>
              <w:rPr>
                <w:rFonts w:ascii="宋体" w:hAnsi="宋体" w:eastAsia="宋体" w:cs="宋体"/>
                <w:sz w:val="20"/>
                <w:szCs w:val="20"/>
              </w:rPr>
            </w:pPr>
            <w:r>
              <w:rPr>
                <w:rFonts w:ascii="Times New Roman" w:hAnsi="Times New Roman" w:eastAsia="Times New Roman" w:cs="Times New Roman"/>
                <w:spacing w:val="-3"/>
                <w:sz w:val="20"/>
                <w:szCs w:val="20"/>
              </w:rPr>
              <w:t>100</w:t>
            </w:r>
            <w:r>
              <w:rPr>
                <w:rFonts w:ascii="Times New Roman" w:hAnsi="Times New Roman" w:eastAsia="Times New Roman" w:cs="Times New Roman"/>
                <w:spacing w:val="16"/>
                <w:w w:val="101"/>
                <w:sz w:val="20"/>
                <w:szCs w:val="20"/>
              </w:rPr>
              <w:t xml:space="preserve"> </w:t>
            </w:r>
            <w:r>
              <w:rPr>
                <w:rFonts w:ascii="宋体" w:hAnsi="宋体" w:eastAsia="宋体" w:cs="宋体"/>
                <w:spacing w:val="-3"/>
                <w:sz w:val="20"/>
                <w:szCs w:val="20"/>
              </w:rPr>
              <w:t>万</w:t>
            </w:r>
          </w:p>
        </w:tc>
        <w:tc>
          <w:tcPr>
            <w:tcW w:w="1908" w:type="dxa"/>
            <w:gridSpan w:val="4"/>
            <w:vAlign w:val="top"/>
          </w:tcPr>
          <w:p w14:paraId="030DA24E">
            <w:pPr>
              <w:spacing w:before="37" w:line="356" w:lineRule="auto"/>
              <w:ind w:left="733" w:right="333" w:hanging="34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13"/>
                <w:w w:val="101"/>
                <w:sz w:val="20"/>
                <w:szCs w:val="20"/>
              </w:rPr>
              <w:t xml:space="preserve"> </w:t>
            </w:r>
            <w:r>
              <w:rPr>
                <w:rFonts w:ascii="宋体" w:hAnsi="宋体" w:eastAsia="宋体" w:cs="宋体"/>
                <w:spacing w:val="3"/>
                <w:sz w:val="20"/>
                <w:szCs w:val="20"/>
              </w:rPr>
              <w:t>个塑料筐约</w:t>
            </w:r>
            <w:r>
              <w:rPr>
                <w:rFonts w:ascii="Times New Roman" w:hAnsi="Times New Roman" w:eastAsia="Times New Roman" w:cs="Times New Roman"/>
                <w:spacing w:val="5"/>
                <w:sz w:val="20"/>
                <w:szCs w:val="20"/>
              </w:rPr>
              <w:t>2.3</w:t>
            </w:r>
            <w:r>
              <w:rPr>
                <w:rFonts w:ascii="Times New Roman" w:hAnsi="Times New Roman" w:eastAsia="Times New Roman" w:cs="Times New Roman"/>
                <w:sz w:val="20"/>
                <w:szCs w:val="20"/>
              </w:rPr>
              <w:t>kg</w:t>
            </w:r>
          </w:p>
        </w:tc>
        <w:tc>
          <w:tcPr>
            <w:tcW w:w="124" w:type="dxa"/>
            <w:tcBorders>
              <w:top w:val="nil"/>
              <w:bottom w:val="nil"/>
              <w:right w:val="single" w:color="000000" w:sz="6" w:space="0"/>
            </w:tcBorders>
            <w:vAlign w:val="top"/>
          </w:tcPr>
          <w:p w14:paraId="6D99B593">
            <w:pPr>
              <w:rPr>
                <w:rFonts w:ascii="Arial"/>
                <w:sz w:val="21"/>
              </w:rPr>
            </w:pPr>
          </w:p>
        </w:tc>
      </w:tr>
      <w:tr w14:paraId="66213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0" w:hRule="atLeast"/>
        </w:trPr>
        <w:tc>
          <w:tcPr>
            <w:tcW w:w="428" w:type="dxa"/>
            <w:vMerge w:val="continue"/>
            <w:tcBorders>
              <w:top w:val="nil"/>
              <w:left w:val="single" w:color="000000" w:sz="6" w:space="0"/>
              <w:bottom w:val="nil"/>
            </w:tcBorders>
            <w:vAlign w:val="top"/>
          </w:tcPr>
          <w:p w14:paraId="696E1040">
            <w:pPr>
              <w:rPr>
                <w:rFonts w:ascii="Arial"/>
                <w:sz w:val="21"/>
              </w:rPr>
            </w:pPr>
          </w:p>
        </w:tc>
        <w:tc>
          <w:tcPr>
            <w:tcW w:w="8636" w:type="dxa"/>
            <w:gridSpan w:val="26"/>
            <w:tcBorders>
              <w:right w:val="single" w:color="000000" w:sz="6" w:space="0"/>
            </w:tcBorders>
            <w:vAlign w:val="top"/>
          </w:tcPr>
          <w:p w14:paraId="004DDE42">
            <w:pPr>
              <w:spacing w:before="43" w:line="219" w:lineRule="auto"/>
              <w:ind w:left="523"/>
              <w:rPr>
                <w:rFonts w:ascii="宋体" w:hAnsi="宋体" w:eastAsia="宋体" w:cs="宋体"/>
                <w:sz w:val="24"/>
                <w:szCs w:val="24"/>
              </w:rPr>
            </w:pPr>
            <w:r>
              <w:rPr>
                <w:rFonts w:ascii="Times New Roman" w:hAnsi="Times New Roman" w:eastAsia="Times New Roman" w:cs="Times New Roman"/>
                <w:b/>
                <w:bCs/>
                <w:spacing w:val="-7"/>
                <w:sz w:val="24"/>
                <w:szCs w:val="24"/>
              </w:rPr>
              <w:t>4</w:t>
            </w:r>
            <w:r>
              <w:rPr>
                <w:rFonts w:ascii="Times New Roman" w:hAnsi="Times New Roman" w:eastAsia="Times New Roman" w:cs="Times New Roman"/>
                <w:b/>
                <w:bCs/>
                <w:spacing w:val="-33"/>
                <w:sz w:val="24"/>
                <w:szCs w:val="24"/>
              </w:rPr>
              <w:t xml:space="preserve"> </w:t>
            </w:r>
            <w:r>
              <w:rPr>
                <w:rFonts w:ascii="宋体" w:hAnsi="宋体" w:eastAsia="宋体" w:cs="宋体"/>
                <w:b/>
                <w:bCs/>
                <w:spacing w:val="-7"/>
                <w:sz w:val="24"/>
                <w:szCs w:val="24"/>
              </w:rPr>
              <w:t>、生产设备</w:t>
            </w:r>
          </w:p>
          <w:p w14:paraId="796104A9">
            <w:pPr>
              <w:spacing w:before="179" w:line="219" w:lineRule="auto"/>
              <w:ind w:left="587"/>
              <w:rPr>
                <w:rFonts w:ascii="宋体" w:hAnsi="宋体" w:eastAsia="宋体" w:cs="宋体"/>
                <w:sz w:val="24"/>
                <w:szCs w:val="24"/>
              </w:rPr>
            </w:pPr>
            <w:r>
              <w:rPr>
                <w:rFonts w:ascii="宋体" w:hAnsi="宋体" w:eastAsia="宋体" w:cs="宋体"/>
                <w:spacing w:val="-1"/>
                <w:sz w:val="24"/>
                <w:szCs w:val="24"/>
              </w:rPr>
              <w:t>本次扩建项目主要设备情况见表</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2-3</w:t>
            </w:r>
            <w:r>
              <w:rPr>
                <w:rFonts w:ascii="宋体" w:hAnsi="宋体" w:eastAsia="宋体" w:cs="宋体"/>
                <w:spacing w:val="-1"/>
                <w:sz w:val="24"/>
                <w:szCs w:val="24"/>
              </w:rPr>
              <w:t>。</w:t>
            </w:r>
          </w:p>
          <w:p w14:paraId="301678A3">
            <w:pPr>
              <w:spacing w:before="179" w:line="210" w:lineRule="auto"/>
              <w:ind w:left="3044"/>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30"/>
                <w:sz w:val="20"/>
                <w:szCs w:val="20"/>
              </w:rPr>
              <w:t xml:space="preserve"> </w:t>
            </w:r>
            <w:r>
              <w:rPr>
                <w:rFonts w:ascii="Times New Roman" w:hAnsi="Times New Roman" w:eastAsia="Times New Roman" w:cs="Times New Roman"/>
                <w:b/>
                <w:bCs/>
                <w:spacing w:val="5"/>
                <w:sz w:val="20"/>
                <w:szCs w:val="20"/>
              </w:rPr>
              <w:t xml:space="preserve">2-3  </w:t>
            </w:r>
            <w:r>
              <w:rPr>
                <w:rFonts w:ascii="宋体" w:hAnsi="宋体" w:eastAsia="宋体" w:cs="宋体"/>
                <w:b/>
                <w:bCs/>
                <w:spacing w:val="5"/>
                <w:sz w:val="20"/>
                <w:szCs w:val="20"/>
              </w:rPr>
              <w:t>扩建项目设备明细表</w:t>
            </w:r>
          </w:p>
        </w:tc>
      </w:tr>
      <w:tr w14:paraId="43029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428" w:type="dxa"/>
            <w:vMerge w:val="continue"/>
            <w:tcBorders>
              <w:top w:val="nil"/>
              <w:left w:val="single" w:color="000000" w:sz="6" w:space="0"/>
              <w:bottom w:val="nil"/>
            </w:tcBorders>
            <w:vAlign w:val="top"/>
          </w:tcPr>
          <w:p w14:paraId="21E02152">
            <w:pPr>
              <w:rPr>
                <w:rFonts w:ascii="Arial"/>
                <w:sz w:val="21"/>
              </w:rPr>
            </w:pPr>
          </w:p>
        </w:tc>
        <w:tc>
          <w:tcPr>
            <w:tcW w:w="114" w:type="dxa"/>
            <w:vMerge w:val="restart"/>
            <w:tcBorders>
              <w:top w:val="nil"/>
              <w:bottom w:val="nil"/>
            </w:tcBorders>
            <w:vAlign w:val="top"/>
          </w:tcPr>
          <w:p w14:paraId="4EEE63E6">
            <w:pPr>
              <w:rPr>
                <w:rFonts w:ascii="Arial"/>
                <w:sz w:val="21"/>
              </w:rPr>
            </w:pPr>
          </w:p>
        </w:tc>
        <w:tc>
          <w:tcPr>
            <w:tcW w:w="678" w:type="dxa"/>
            <w:gridSpan w:val="3"/>
            <w:vAlign w:val="top"/>
          </w:tcPr>
          <w:p w14:paraId="6287D2A9">
            <w:pPr>
              <w:spacing w:line="291" w:lineRule="auto"/>
              <w:rPr>
                <w:rFonts w:ascii="Arial"/>
                <w:sz w:val="21"/>
              </w:rPr>
            </w:pPr>
          </w:p>
          <w:p w14:paraId="19C2B397">
            <w:pPr>
              <w:spacing w:line="292" w:lineRule="auto"/>
              <w:rPr>
                <w:rFonts w:ascii="Arial"/>
                <w:sz w:val="21"/>
              </w:rPr>
            </w:pPr>
          </w:p>
          <w:p w14:paraId="6EFC3A32">
            <w:pPr>
              <w:spacing w:before="65" w:line="229" w:lineRule="auto"/>
              <w:ind w:left="120"/>
              <w:rPr>
                <w:rFonts w:ascii="宋体" w:hAnsi="宋体" w:eastAsia="宋体" w:cs="宋体"/>
                <w:sz w:val="20"/>
                <w:szCs w:val="20"/>
              </w:rPr>
            </w:pPr>
            <w:r>
              <w:rPr>
                <w:rFonts w:ascii="宋体" w:hAnsi="宋体" w:eastAsia="宋体" w:cs="宋体"/>
                <w:b/>
                <w:bCs/>
                <w:spacing w:val="4"/>
                <w:sz w:val="20"/>
                <w:szCs w:val="20"/>
              </w:rPr>
              <w:t>序号</w:t>
            </w:r>
          </w:p>
        </w:tc>
        <w:tc>
          <w:tcPr>
            <w:tcW w:w="795" w:type="dxa"/>
            <w:gridSpan w:val="2"/>
            <w:vAlign w:val="top"/>
          </w:tcPr>
          <w:p w14:paraId="3BC7CB8A">
            <w:pPr>
              <w:spacing w:line="380" w:lineRule="auto"/>
              <w:rPr>
                <w:rFonts w:ascii="Arial"/>
                <w:sz w:val="21"/>
              </w:rPr>
            </w:pPr>
          </w:p>
          <w:p w14:paraId="231915EB">
            <w:pPr>
              <w:spacing w:before="65" w:line="379" w:lineRule="auto"/>
              <w:ind w:left="174" w:right="205"/>
              <w:rPr>
                <w:rFonts w:ascii="宋体" w:hAnsi="宋体" w:eastAsia="宋体" w:cs="宋体"/>
                <w:sz w:val="20"/>
                <w:szCs w:val="20"/>
              </w:rPr>
            </w:pPr>
            <w:r>
              <w:rPr>
                <w:rFonts w:ascii="宋体" w:hAnsi="宋体" w:eastAsia="宋体" w:cs="宋体"/>
                <w:b/>
                <w:bCs/>
                <w:spacing w:val="3"/>
                <w:sz w:val="20"/>
                <w:szCs w:val="20"/>
              </w:rPr>
              <w:t>用于</w:t>
            </w:r>
            <w:r>
              <w:rPr>
                <w:rFonts w:ascii="宋体" w:hAnsi="宋体" w:eastAsia="宋体" w:cs="宋体"/>
                <w:b/>
                <w:bCs/>
                <w:spacing w:val="2"/>
                <w:sz w:val="20"/>
                <w:szCs w:val="20"/>
              </w:rPr>
              <w:t>工段</w:t>
            </w:r>
          </w:p>
        </w:tc>
        <w:tc>
          <w:tcPr>
            <w:tcW w:w="1454" w:type="dxa"/>
            <w:gridSpan w:val="5"/>
            <w:vAlign w:val="top"/>
          </w:tcPr>
          <w:p w14:paraId="5ABDC76F">
            <w:pPr>
              <w:spacing w:line="291" w:lineRule="auto"/>
              <w:rPr>
                <w:rFonts w:ascii="Arial"/>
                <w:sz w:val="21"/>
              </w:rPr>
            </w:pPr>
          </w:p>
          <w:p w14:paraId="434D4DB7">
            <w:pPr>
              <w:spacing w:line="292" w:lineRule="auto"/>
              <w:rPr>
                <w:rFonts w:ascii="Arial"/>
                <w:sz w:val="21"/>
              </w:rPr>
            </w:pPr>
          </w:p>
          <w:p w14:paraId="475304BA">
            <w:pPr>
              <w:spacing w:before="65" w:line="230" w:lineRule="auto"/>
              <w:ind w:left="508"/>
              <w:rPr>
                <w:rFonts w:ascii="宋体" w:hAnsi="宋体" w:eastAsia="宋体" w:cs="宋体"/>
                <w:sz w:val="20"/>
                <w:szCs w:val="20"/>
              </w:rPr>
            </w:pPr>
            <w:r>
              <w:rPr>
                <w:rFonts w:ascii="宋体" w:hAnsi="宋体" w:eastAsia="宋体" w:cs="宋体"/>
                <w:b/>
                <w:bCs/>
                <w:spacing w:val="2"/>
                <w:sz w:val="20"/>
                <w:szCs w:val="20"/>
              </w:rPr>
              <w:t>名称</w:t>
            </w:r>
          </w:p>
        </w:tc>
        <w:tc>
          <w:tcPr>
            <w:tcW w:w="846" w:type="dxa"/>
            <w:gridSpan w:val="2"/>
            <w:vAlign w:val="top"/>
          </w:tcPr>
          <w:p w14:paraId="6A4F4A92">
            <w:pPr>
              <w:spacing w:line="292" w:lineRule="auto"/>
              <w:rPr>
                <w:rFonts w:ascii="Arial"/>
                <w:sz w:val="21"/>
              </w:rPr>
            </w:pPr>
          </w:p>
          <w:p w14:paraId="2631A59E">
            <w:pPr>
              <w:spacing w:line="292" w:lineRule="auto"/>
              <w:rPr>
                <w:rFonts w:ascii="Arial"/>
                <w:sz w:val="21"/>
              </w:rPr>
            </w:pPr>
          </w:p>
          <w:p w14:paraId="754AAD4E">
            <w:pPr>
              <w:spacing w:before="65" w:line="228" w:lineRule="auto"/>
              <w:ind w:left="205"/>
              <w:rPr>
                <w:rFonts w:ascii="宋体" w:hAnsi="宋体" w:eastAsia="宋体" w:cs="宋体"/>
                <w:sz w:val="20"/>
                <w:szCs w:val="20"/>
              </w:rPr>
            </w:pPr>
            <w:r>
              <w:rPr>
                <w:rFonts w:ascii="宋体" w:hAnsi="宋体" w:eastAsia="宋体" w:cs="宋体"/>
                <w:b/>
                <w:bCs/>
                <w:spacing w:val="3"/>
                <w:sz w:val="20"/>
                <w:szCs w:val="20"/>
              </w:rPr>
              <w:t>单位</w:t>
            </w:r>
          </w:p>
        </w:tc>
        <w:tc>
          <w:tcPr>
            <w:tcW w:w="1021" w:type="dxa"/>
            <w:gridSpan w:val="3"/>
            <w:vAlign w:val="top"/>
          </w:tcPr>
          <w:p w14:paraId="409B5FFE">
            <w:pPr>
              <w:spacing w:before="40" w:line="228" w:lineRule="auto"/>
              <w:ind w:left="197"/>
              <w:rPr>
                <w:rFonts w:ascii="宋体" w:hAnsi="宋体" w:eastAsia="宋体" w:cs="宋体"/>
                <w:sz w:val="20"/>
                <w:szCs w:val="20"/>
              </w:rPr>
            </w:pPr>
            <w:r>
              <w:rPr>
                <w:rFonts w:ascii="宋体" w:hAnsi="宋体" w:eastAsia="宋体" w:cs="宋体"/>
                <w:b/>
                <w:bCs/>
                <w:spacing w:val="4"/>
                <w:sz w:val="20"/>
                <w:szCs w:val="20"/>
              </w:rPr>
              <w:t>扩建项</w:t>
            </w:r>
          </w:p>
          <w:p w14:paraId="682C16D4">
            <w:pPr>
              <w:spacing w:before="160" w:line="228" w:lineRule="auto"/>
              <w:ind w:left="237"/>
              <w:rPr>
                <w:rFonts w:ascii="宋体" w:hAnsi="宋体" w:eastAsia="宋体" w:cs="宋体"/>
                <w:sz w:val="20"/>
                <w:szCs w:val="20"/>
              </w:rPr>
            </w:pPr>
            <w:r>
              <w:rPr>
                <w:rFonts w:ascii="宋体" w:hAnsi="宋体" w:eastAsia="宋体" w:cs="宋体"/>
                <w:b/>
                <w:bCs/>
                <w:spacing w:val="-8"/>
                <w:sz w:val="20"/>
                <w:szCs w:val="20"/>
              </w:rPr>
              <w:t>目新增</w:t>
            </w:r>
          </w:p>
          <w:p w14:paraId="47E4F84F">
            <w:pPr>
              <w:spacing w:before="160" w:line="356" w:lineRule="auto"/>
              <w:ind w:left="408" w:right="195" w:hanging="207"/>
              <w:rPr>
                <w:rFonts w:ascii="宋体" w:hAnsi="宋体" w:eastAsia="宋体" w:cs="宋体"/>
                <w:sz w:val="20"/>
                <w:szCs w:val="20"/>
              </w:rPr>
            </w:pPr>
            <w:r>
              <w:rPr>
                <w:rFonts w:ascii="宋体" w:hAnsi="宋体" w:eastAsia="宋体" w:cs="宋体"/>
                <w:b/>
                <w:bCs/>
                <w:spacing w:val="4"/>
                <w:sz w:val="20"/>
                <w:szCs w:val="20"/>
              </w:rPr>
              <w:t>设备数</w:t>
            </w:r>
            <w:r>
              <w:rPr>
                <w:rFonts w:ascii="宋体" w:hAnsi="宋体" w:eastAsia="宋体" w:cs="宋体"/>
                <w:b/>
                <w:bCs/>
                <w:spacing w:val="-2"/>
                <w:sz w:val="20"/>
                <w:szCs w:val="20"/>
              </w:rPr>
              <w:t>量</w:t>
            </w:r>
          </w:p>
        </w:tc>
        <w:tc>
          <w:tcPr>
            <w:tcW w:w="1410" w:type="dxa"/>
            <w:gridSpan w:val="4"/>
            <w:vAlign w:val="top"/>
          </w:tcPr>
          <w:p w14:paraId="5AE7C064">
            <w:pPr>
              <w:spacing w:line="291" w:lineRule="auto"/>
              <w:rPr>
                <w:rFonts w:ascii="Arial"/>
                <w:sz w:val="21"/>
              </w:rPr>
            </w:pPr>
          </w:p>
          <w:p w14:paraId="66913AE4">
            <w:pPr>
              <w:spacing w:line="292" w:lineRule="auto"/>
              <w:rPr>
                <w:rFonts w:ascii="Arial"/>
                <w:sz w:val="21"/>
              </w:rPr>
            </w:pPr>
          </w:p>
          <w:p w14:paraId="17B0DA22">
            <w:pPr>
              <w:spacing w:before="65" w:line="228" w:lineRule="auto"/>
              <w:ind w:left="265"/>
              <w:rPr>
                <w:rFonts w:ascii="宋体" w:hAnsi="宋体" w:eastAsia="宋体" w:cs="宋体"/>
                <w:sz w:val="20"/>
                <w:szCs w:val="20"/>
              </w:rPr>
            </w:pPr>
            <w:r>
              <w:rPr>
                <w:rFonts w:ascii="宋体" w:hAnsi="宋体" w:eastAsia="宋体" w:cs="宋体"/>
                <w:b/>
                <w:bCs/>
                <w:spacing w:val="4"/>
                <w:sz w:val="20"/>
                <w:szCs w:val="20"/>
              </w:rPr>
              <w:t>型号</w:t>
            </w:r>
            <w:r>
              <w:rPr>
                <w:rFonts w:ascii="Times New Roman" w:hAnsi="Times New Roman" w:eastAsia="Times New Roman" w:cs="Times New Roman"/>
                <w:b/>
                <w:bCs/>
                <w:spacing w:val="4"/>
                <w:sz w:val="20"/>
                <w:szCs w:val="20"/>
              </w:rPr>
              <w:t>/</w:t>
            </w:r>
            <w:r>
              <w:rPr>
                <w:rFonts w:ascii="宋体" w:hAnsi="宋体" w:eastAsia="宋体" w:cs="宋体"/>
                <w:b/>
                <w:bCs/>
                <w:spacing w:val="4"/>
                <w:sz w:val="20"/>
                <w:szCs w:val="20"/>
              </w:rPr>
              <w:t>规模</w:t>
            </w:r>
          </w:p>
        </w:tc>
        <w:tc>
          <w:tcPr>
            <w:tcW w:w="2194" w:type="dxa"/>
            <w:gridSpan w:val="5"/>
            <w:vAlign w:val="top"/>
          </w:tcPr>
          <w:p w14:paraId="6D462441">
            <w:pPr>
              <w:spacing w:line="291" w:lineRule="auto"/>
              <w:rPr>
                <w:rFonts w:ascii="Arial"/>
                <w:sz w:val="21"/>
              </w:rPr>
            </w:pPr>
          </w:p>
          <w:p w14:paraId="2E5CD751">
            <w:pPr>
              <w:spacing w:line="292" w:lineRule="auto"/>
              <w:rPr>
                <w:rFonts w:ascii="Arial"/>
                <w:sz w:val="21"/>
              </w:rPr>
            </w:pPr>
          </w:p>
          <w:p w14:paraId="28EC280B">
            <w:pPr>
              <w:spacing w:before="65" w:line="229" w:lineRule="auto"/>
              <w:ind w:left="894"/>
              <w:rPr>
                <w:rFonts w:ascii="宋体" w:hAnsi="宋体" w:eastAsia="宋体" w:cs="宋体"/>
                <w:sz w:val="20"/>
                <w:szCs w:val="20"/>
              </w:rPr>
            </w:pPr>
            <w:r>
              <w:rPr>
                <w:rFonts w:ascii="宋体" w:hAnsi="宋体" w:eastAsia="宋体" w:cs="宋体"/>
                <w:b/>
                <w:bCs/>
                <w:spacing w:val="2"/>
                <w:sz w:val="20"/>
                <w:szCs w:val="20"/>
              </w:rPr>
              <w:t>备注</w:t>
            </w:r>
          </w:p>
        </w:tc>
        <w:tc>
          <w:tcPr>
            <w:tcW w:w="124" w:type="dxa"/>
            <w:tcBorders>
              <w:top w:val="nil"/>
              <w:bottom w:val="nil"/>
              <w:right w:val="single" w:color="000000" w:sz="6" w:space="0"/>
            </w:tcBorders>
            <w:vAlign w:val="top"/>
          </w:tcPr>
          <w:p w14:paraId="4F8FCEED">
            <w:pPr>
              <w:rPr>
                <w:rFonts w:ascii="Arial"/>
                <w:sz w:val="21"/>
              </w:rPr>
            </w:pPr>
          </w:p>
        </w:tc>
      </w:tr>
      <w:tr w14:paraId="39C381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653B61EA">
            <w:pPr>
              <w:rPr>
                <w:rFonts w:ascii="Arial"/>
                <w:sz w:val="21"/>
              </w:rPr>
            </w:pPr>
          </w:p>
        </w:tc>
        <w:tc>
          <w:tcPr>
            <w:tcW w:w="114" w:type="dxa"/>
            <w:vMerge w:val="continue"/>
            <w:tcBorders>
              <w:top w:val="nil"/>
              <w:bottom w:val="nil"/>
            </w:tcBorders>
            <w:vAlign w:val="top"/>
          </w:tcPr>
          <w:p w14:paraId="7CD69870">
            <w:pPr>
              <w:rPr>
                <w:rFonts w:ascii="Arial"/>
                <w:sz w:val="21"/>
              </w:rPr>
            </w:pPr>
          </w:p>
        </w:tc>
        <w:tc>
          <w:tcPr>
            <w:tcW w:w="678" w:type="dxa"/>
            <w:gridSpan w:val="3"/>
            <w:vAlign w:val="top"/>
          </w:tcPr>
          <w:p w14:paraId="10C5862B">
            <w:pPr>
              <w:spacing w:before="85"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795" w:type="dxa"/>
            <w:gridSpan w:val="2"/>
            <w:vAlign w:val="top"/>
          </w:tcPr>
          <w:p w14:paraId="663CA739">
            <w:pPr>
              <w:spacing w:before="42" w:line="232" w:lineRule="auto"/>
              <w:ind w:left="175"/>
              <w:rPr>
                <w:rFonts w:ascii="宋体" w:hAnsi="宋体" w:eastAsia="宋体" w:cs="宋体"/>
                <w:sz w:val="20"/>
                <w:szCs w:val="20"/>
              </w:rPr>
            </w:pPr>
            <w:r>
              <w:rPr>
                <w:rFonts w:ascii="宋体" w:hAnsi="宋体" w:eastAsia="宋体" w:cs="宋体"/>
                <w:spacing w:val="4"/>
                <w:sz w:val="20"/>
                <w:szCs w:val="20"/>
              </w:rPr>
              <w:t>注塑</w:t>
            </w:r>
          </w:p>
        </w:tc>
        <w:tc>
          <w:tcPr>
            <w:tcW w:w="1454" w:type="dxa"/>
            <w:gridSpan w:val="5"/>
            <w:vAlign w:val="top"/>
          </w:tcPr>
          <w:p w14:paraId="12CA99C9">
            <w:pPr>
              <w:spacing w:before="42" w:line="227" w:lineRule="auto"/>
              <w:ind w:left="400"/>
              <w:rPr>
                <w:rFonts w:ascii="宋体" w:hAnsi="宋体" w:eastAsia="宋体" w:cs="宋体"/>
                <w:sz w:val="20"/>
                <w:szCs w:val="20"/>
              </w:rPr>
            </w:pPr>
            <w:r>
              <w:rPr>
                <w:rFonts w:ascii="宋体" w:hAnsi="宋体" w:eastAsia="宋体" w:cs="宋体"/>
                <w:spacing w:val="6"/>
                <w:sz w:val="20"/>
                <w:szCs w:val="20"/>
              </w:rPr>
              <w:t>注塑机</w:t>
            </w:r>
          </w:p>
        </w:tc>
        <w:tc>
          <w:tcPr>
            <w:tcW w:w="846" w:type="dxa"/>
            <w:gridSpan w:val="2"/>
            <w:vAlign w:val="top"/>
          </w:tcPr>
          <w:p w14:paraId="084F8FB3">
            <w:pPr>
              <w:spacing w:before="42" w:line="230" w:lineRule="auto"/>
              <w:ind w:left="325"/>
              <w:rPr>
                <w:rFonts w:ascii="宋体" w:hAnsi="宋体" w:eastAsia="宋体" w:cs="宋体"/>
                <w:sz w:val="20"/>
                <w:szCs w:val="20"/>
              </w:rPr>
            </w:pPr>
            <w:r>
              <w:rPr>
                <w:rFonts w:ascii="宋体" w:hAnsi="宋体" w:eastAsia="宋体" w:cs="宋体"/>
                <w:sz w:val="20"/>
                <w:szCs w:val="20"/>
              </w:rPr>
              <w:t>台</w:t>
            </w:r>
          </w:p>
        </w:tc>
        <w:tc>
          <w:tcPr>
            <w:tcW w:w="1021" w:type="dxa"/>
            <w:gridSpan w:val="3"/>
            <w:vAlign w:val="top"/>
          </w:tcPr>
          <w:p w14:paraId="2A276AF4">
            <w:pPr>
              <w:spacing w:before="85" w:line="195" w:lineRule="auto"/>
              <w:ind w:left="45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410" w:type="dxa"/>
            <w:gridSpan w:val="4"/>
            <w:vAlign w:val="top"/>
          </w:tcPr>
          <w:p w14:paraId="4C99D072">
            <w:pPr>
              <w:spacing w:before="81" w:line="199" w:lineRule="auto"/>
              <w:ind w:left="67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194" w:type="dxa"/>
            <w:gridSpan w:val="5"/>
            <w:vAlign w:val="top"/>
          </w:tcPr>
          <w:p w14:paraId="712F5901">
            <w:pPr>
              <w:spacing w:before="42" w:line="228" w:lineRule="auto"/>
              <w:ind w:left="550"/>
              <w:rPr>
                <w:rFonts w:ascii="宋体" w:hAnsi="宋体" w:eastAsia="宋体" w:cs="宋体"/>
                <w:sz w:val="20"/>
                <w:szCs w:val="20"/>
              </w:rPr>
            </w:pPr>
            <w:r>
              <w:rPr>
                <w:rFonts w:ascii="宋体" w:hAnsi="宋体" w:eastAsia="宋体" w:cs="宋体"/>
                <w:spacing w:val="5"/>
                <w:sz w:val="20"/>
                <w:szCs w:val="20"/>
              </w:rPr>
              <w:t>位于</w:t>
            </w:r>
            <w:r>
              <w:rPr>
                <w:rFonts w:ascii="宋体" w:hAnsi="宋体" w:eastAsia="宋体" w:cs="宋体"/>
                <w:spacing w:val="-40"/>
                <w:sz w:val="20"/>
                <w:szCs w:val="20"/>
              </w:rPr>
              <w:t xml:space="preserve"> </w:t>
            </w:r>
            <w:r>
              <w:rPr>
                <w:rFonts w:ascii="Times New Roman" w:hAnsi="Times New Roman" w:eastAsia="Times New Roman" w:cs="Times New Roman"/>
                <w:spacing w:val="5"/>
                <w:sz w:val="20"/>
                <w:szCs w:val="20"/>
              </w:rPr>
              <w:t>7#</w:t>
            </w:r>
            <w:r>
              <w:rPr>
                <w:rFonts w:ascii="宋体" w:hAnsi="宋体" w:eastAsia="宋体" w:cs="宋体"/>
                <w:spacing w:val="5"/>
                <w:sz w:val="20"/>
                <w:szCs w:val="20"/>
              </w:rPr>
              <w:t>厂房</w:t>
            </w:r>
          </w:p>
        </w:tc>
        <w:tc>
          <w:tcPr>
            <w:tcW w:w="124" w:type="dxa"/>
            <w:tcBorders>
              <w:top w:val="nil"/>
              <w:bottom w:val="nil"/>
              <w:right w:val="single" w:color="000000" w:sz="6" w:space="0"/>
            </w:tcBorders>
            <w:vAlign w:val="top"/>
          </w:tcPr>
          <w:p w14:paraId="62A722CA">
            <w:pPr>
              <w:rPr>
                <w:rFonts w:ascii="Arial"/>
                <w:sz w:val="21"/>
              </w:rPr>
            </w:pPr>
          </w:p>
        </w:tc>
      </w:tr>
      <w:tr w14:paraId="23753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vAlign w:val="top"/>
          </w:tcPr>
          <w:p w14:paraId="7EDCA31E">
            <w:pPr>
              <w:rPr>
                <w:rFonts w:ascii="Arial"/>
                <w:sz w:val="21"/>
              </w:rPr>
            </w:pPr>
          </w:p>
        </w:tc>
        <w:tc>
          <w:tcPr>
            <w:tcW w:w="114" w:type="dxa"/>
            <w:vMerge w:val="continue"/>
            <w:tcBorders>
              <w:top w:val="nil"/>
              <w:bottom w:val="nil"/>
            </w:tcBorders>
            <w:vAlign w:val="top"/>
          </w:tcPr>
          <w:p w14:paraId="00839C09">
            <w:pPr>
              <w:rPr>
                <w:rFonts w:ascii="Arial"/>
                <w:sz w:val="21"/>
              </w:rPr>
            </w:pPr>
          </w:p>
        </w:tc>
        <w:tc>
          <w:tcPr>
            <w:tcW w:w="678" w:type="dxa"/>
            <w:gridSpan w:val="3"/>
            <w:vAlign w:val="top"/>
          </w:tcPr>
          <w:p w14:paraId="00A09CB4">
            <w:pPr>
              <w:spacing w:before="288" w:line="195" w:lineRule="auto"/>
              <w:ind w:left="27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795" w:type="dxa"/>
            <w:gridSpan w:val="2"/>
            <w:vAlign w:val="top"/>
          </w:tcPr>
          <w:p w14:paraId="50184594">
            <w:pPr>
              <w:spacing w:before="244" w:line="230" w:lineRule="auto"/>
              <w:ind w:left="176"/>
              <w:rPr>
                <w:rFonts w:ascii="宋体" w:hAnsi="宋体" w:eastAsia="宋体" w:cs="宋体"/>
                <w:sz w:val="20"/>
                <w:szCs w:val="20"/>
              </w:rPr>
            </w:pPr>
            <w:r>
              <w:rPr>
                <w:rFonts w:ascii="宋体" w:hAnsi="宋体" w:eastAsia="宋体" w:cs="宋体"/>
                <w:spacing w:val="3"/>
                <w:sz w:val="20"/>
                <w:szCs w:val="20"/>
              </w:rPr>
              <w:t>冷却</w:t>
            </w:r>
          </w:p>
        </w:tc>
        <w:tc>
          <w:tcPr>
            <w:tcW w:w="1454" w:type="dxa"/>
            <w:gridSpan w:val="5"/>
            <w:vAlign w:val="top"/>
          </w:tcPr>
          <w:p w14:paraId="6EDFAA07">
            <w:pPr>
              <w:spacing w:before="40" w:line="228" w:lineRule="auto"/>
              <w:ind w:left="193"/>
              <w:rPr>
                <w:rFonts w:ascii="宋体" w:hAnsi="宋体" w:eastAsia="宋体" w:cs="宋体"/>
                <w:sz w:val="20"/>
                <w:szCs w:val="20"/>
              </w:rPr>
            </w:pPr>
            <w:r>
              <w:rPr>
                <w:rFonts w:ascii="宋体" w:hAnsi="宋体" w:eastAsia="宋体" w:cs="宋体"/>
                <w:spacing w:val="7"/>
                <w:sz w:val="20"/>
                <w:szCs w:val="20"/>
              </w:rPr>
              <w:t>冷水塔（风</w:t>
            </w:r>
          </w:p>
          <w:p w14:paraId="686325CE">
            <w:pPr>
              <w:spacing w:before="161" w:line="231" w:lineRule="auto"/>
              <w:ind w:left="507"/>
              <w:rPr>
                <w:rFonts w:ascii="宋体" w:hAnsi="宋体" w:eastAsia="宋体" w:cs="宋体"/>
                <w:sz w:val="20"/>
                <w:szCs w:val="20"/>
              </w:rPr>
            </w:pPr>
            <w:r>
              <w:rPr>
                <w:rFonts w:ascii="宋体" w:hAnsi="宋体" w:eastAsia="宋体" w:cs="宋体"/>
                <w:spacing w:val="-1"/>
                <w:sz w:val="20"/>
                <w:szCs w:val="20"/>
              </w:rPr>
              <w:t>冷）</w:t>
            </w:r>
          </w:p>
        </w:tc>
        <w:tc>
          <w:tcPr>
            <w:tcW w:w="846" w:type="dxa"/>
            <w:gridSpan w:val="2"/>
            <w:vAlign w:val="top"/>
          </w:tcPr>
          <w:p w14:paraId="4091F30D">
            <w:pPr>
              <w:spacing w:before="244" w:line="230" w:lineRule="auto"/>
              <w:ind w:left="325"/>
              <w:rPr>
                <w:rFonts w:ascii="宋体" w:hAnsi="宋体" w:eastAsia="宋体" w:cs="宋体"/>
                <w:sz w:val="20"/>
                <w:szCs w:val="20"/>
              </w:rPr>
            </w:pPr>
            <w:r>
              <w:rPr>
                <w:rFonts w:ascii="宋体" w:hAnsi="宋体" w:eastAsia="宋体" w:cs="宋体"/>
                <w:sz w:val="20"/>
                <w:szCs w:val="20"/>
              </w:rPr>
              <w:t>台</w:t>
            </w:r>
          </w:p>
        </w:tc>
        <w:tc>
          <w:tcPr>
            <w:tcW w:w="1021" w:type="dxa"/>
            <w:gridSpan w:val="3"/>
            <w:vAlign w:val="top"/>
          </w:tcPr>
          <w:p w14:paraId="614CEBAB">
            <w:pPr>
              <w:spacing w:before="288" w:line="195" w:lineRule="auto"/>
              <w:ind w:left="47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10" w:type="dxa"/>
            <w:gridSpan w:val="4"/>
            <w:vAlign w:val="top"/>
          </w:tcPr>
          <w:p w14:paraId="511A358E">
            <w:pPr>
              <w:spacing w:before="284" w:line="199" w:lineRule="auto"/>
              <w:ind w:left="49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60t/h</w:t>
            </w:r>
          </w:p>
        </w:tc>
        <w:tc>
          <w:tcPr>
            <w:tcW w:w="2194" w:type="dxa"/>
            <w:gridSpan w:val="5"/>
            <w:vAlign w:val="top"/>
          </w:tcPr>
          <w:p w14:paraId="31CE4EC0">
            <w:pPr>
              <w:spacing w:before="245" w:line="228" w:lineRule="auto"/>
              <w:ind w:left="550"/>
              <w:rPr>
                <w:rFonts w:ascii="宋体" w:hAnsi="宋体" w:eastAsia="宋体" w:cs="宋体"/>
                <w:sz w:val="20"/>
                <w:szCs w:val="20"/>
              </w:rPr>
            </w:pPr>
            <w:r>
              <w:rPr>
                <w:rFonts w:ascii="宋体" w:hAnsi="宋体" w:eastAsia="宋体" w:cs="宋体"/>
                <w:spacing w:val="5"/>
                <w:sz w:val="20"/>
                <w:szCs w:val="20"/>
              </w:rPr>
              <w:t>位于</w:t>
            </w:r>
            <w:r>
              <w:rPr>
                <w:rFonts w:ascii="宋体" w:hAnsi="宋体" w:eastAsia="宋体" w:cs="宋体"/>
                <w:spacing w:val="-40"/>
                <w:sz w:val="20"/>
                <w:szCs w:val="20"/>
              </w:rPr>
              <w:t xml:space="preserve"> </w:t>
            </w:r>
            <w:r>
              <w:rPr>
                <w:rFonts w:ascii="Times New Roman" w:hAnsi="Times New Roman" w:eastAsia="Times New Roman" w:cs="Times New Roman"/>
                <w:spacing w:val="5"/>
                <w:sz w:val="20"/>
                <w:szCs w:val="20"/>
              </w:rPr>
              <w:t>7#</w:t>
            </w:r>
            <w:r>
              <w:rPr>
                <w:rFonts w:ascii="宋体" w:hAnsi="宋体" w:eastAsia="宋体" w:cs="宋体"/>
                <w:spacing w:val="5"/>
                <w:sz w:val="20"/>
                <w:szCs w:val="20"/>
              </w:rPr>
              <w:t>厂房</w:t>
            </w:r>
          </w:p>
        </w:tc>
        <w:tc>
          <w:tcPr>
            <w:tcW w:w="124" w:type="dxa"/>
            <w:tcBorders>
              <w:top w:val="nil"/>
              <w:bottom w:val="nil"/>
              <w:right w:val="single" w:color="000000" w:sz="6" w:space="0"/>
            </w:tcBorders>
            <w:vAlign w:val="top"/>
          </w:tcPr>
          <w:p w14:paraId="6591E571">
            <w:pPr>
              <w:rPr>
                <w:rFonts w:ascii="Arial"/>
                <w:sz w:val="21"/>
              </w:rPr>
            </w:pPr>
          </w:p>
        </w:tc>
      </w:tr>
      <w:tr w14:paraId="2048D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79B1ECAD">
            <w:pPr>
              <w:rPr>
                <w:rFonts w:ascii="Arial"/>
                <w:sz w:val="21"/>
              </w:rPr>
            </w:pPr>
          </w:p>
        </w:tc>
        <w:tc>
          <w:tcPr>
            <w:tcW w:w="114" w:type="dxa"/>
            <w:vMerge w:val="continue"/>
            <w:tcBorders>
              <w:top w:val="nil"/>
              <w:bottom w:val="nil"/>
            </w:tcBorders>
            <w:vAlign w:val="top"/>
          </w:tcPr>
          <w:p w14:paraId="4C9105EE">
            <w:pPr>
              <w:rPr>
                <w:rFonts w:ascii="Arial"/>
                <w:sz w:val="21"/>
              </w:rPr>
            </w:pPr>
          </w:p>
        </w:tc>
        <w:tc>
          <w:tcPr>
            <w:tcW w:w="678" w:type="dxa"/>
            <w:gridSpan w:val="3"/>
            <w:vAlign w:val="top"/>
          </w:tcPr>
          <w:p w14:paraId="78367CBA">
            <w:pPr>
              <w:spacing w:before="85"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795" w:type="dxa"/>
            <w:gridSpan w:val="2"/>
            <w:vMerge w:val="restart"/>
            <w:tcBorders>
              <w:bottom w:val="nil"/>
            </w:tcBorders>
            <w:vAlign w:val="top"/>
          </w:tcPr>
          <w:p w14:paraId="1BECEAB9">
            <w:pPr>
              <w:spacing w:before="256" w:line="380" w:lineRule="auto"/>
              <w:ind w:left="179" w:right="205" w:hanging="5"/>
              <w:rPr>
                <w:rFonts w:ascii="宋体" w:hAnsi="宋体" w:eastAsia="宋体" w:cs="宋体"/>
                <w:sz w:val="20"/>
                <w:szCs w:val="20"/>
              </w:rPr>
            </w:pPr>
            <w:r>
              <w:rPr>
                <w:rFonts w:ascii="宋体" w:hAnsi="宋体" w:eastAsia="宋体" w:cs="宋体"/>
                <w:spacing w:val="5"/>
                <w:sz w:val="20"/>
                <w:szCs w:val="20"/>
              </w:rPr>
              <w:t>废气</w:t>
            </w:r>
            <w:r>
              <w:rPr>
                <w:rFonts w:ascii="宋体" w:hAnsi="宋体" w:eastAsia="宋体" w:cs="宋体"/>
                <w:spacing w:val="2"/>
                <w:sz w:val="20"/>
                <w:szCs w:val="20"/>
              </w:rPr>
              <w:t>处理</w:t>
            </w:r>
          </w:p>
        </w:tc>
        <w:tc>
          <w:tcPr>
            <w:tcW w:w="1454" w:type="dxa"/>
            <w:gridSpan w:val="5"/>
            <w:vAlign w:val="top"/>
          </w:tcPr>
          <w:p w14:paraId="2F4D9A91">
            <w:pPr>
              <w:spacing w:before="42" w:line="227" w:lineRule="auto"/>
              <w:ind w:left="506"/>
              <w:rPr>
                <w:rFonts w:ascii="宋体" w:hAnsi="宋体" w:eastAsia="宋体" w:cs="宋体"/>
                <w:sz w:val="20"/>
                <w:szCs w:val="20"/>
              </w:rPr>
            </w:pPr>
            <w:r>
              <w:rPr>
                <w:rFonts w:ascii="宋体" w:hAnsi="宋体" w:eastAsia="宋体" w:cs="宋体"/>
                <w:spacing w:val="4"/>
                <w:sz w:val="20"/>
                <w:szCs w:val="20"/>
              </w:rPr>
              <w:t>风机</w:t>
            </w:r>
          </w:p>
        </w:tc>
        <w:tc>
          <w:tcPr>
            <w:tcW w:w="846" w:type="dxa"/>
            <w:gridSpan w:val="2"/>
            <w:vAlign w:val="top"/>
          </w:tcPr>
          <w:p w14:paraId="62DAF194">
            <w:pPr>
              <w:spacing w:before="42" w:line="230" w:lineRule="auto"/>
              <w:ind w:left="325"/>
              <w:rPr>
                <w:rFonts w:ascii="宋体" w:hAnsi="宋体" w:eastAsia="宋体" w:cs="宋体"/>
                <w:sz w:val="20"/>
                <w:szCs w:val="20"/>
              </w:rPr>
            </w:pPr>
            <w:r>
              <w:rPr>
                <w:rFonts w:ascii="宋体" w:hAnsi="宋体" w:eastAsia="宋体" w:cs="宋体"/>
                <w:sz w:val="20"/>
                <w:szCs w:val="20"/>
              </w:rPr>
              <w:t>台</w:t>
            </w:r>
          </w:p>
        </w:tc>
        <w:tc>
          <w:tcPr>
            <w:tcW w:w="1021" w:type="dxa"/>
            <w:gridSpan w:val="3"/>
            <w:vAlign w:val="top"/>
          </w:tcPr>
          <w:p w14:paraId="3AB83291">
            <w:pPr>
              <w:spacing w:before="86" w:line="195" w:lineRule="auto"/>
              <w:ind w:left="47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10" w:type="dxa"/>
            <w:gridSpan w:val="4"/>
            <w:vAlign w:val="top"/>
          </w:tcPr>
          <w:p w14:paraId="0EA8AF14">
            <w:pPr>
              <w:rPr>
                <w:rFonts w:ascii="Arial"/>
                <w:sz w:val="21"/>
              </w:rPr>
            </w:pPr>
          </w:p>
        </w:tc>
        <w:tc>
          <w:tcPr>
            <w:tcW w:w="2194" w:type="dxa"/>
            <w:gridSpan w:val="5"/>
            <w:vAlign w:val="top"/>
          </w:tcPr>
          <w:p w14:paraId="1E61DC3F">
            <w:pPr>
              <w:spacing w:before="43" w:line="228" w:lineRule="auto"/>
              <w:ind w:left="550"/>
              <w:rPr>
                <w:rFonts w:ascii="宋体" w:hAnsi="宋体" w:eastAsia="宋体" w:cs="宋体"/>
                <w:sz w:val="20"/>
                <w:szCs w:val="20"/>
              </w:rPr>
            </w:pPr>
            <w:r>
              <w:rPr>
                <w:rFonts w:ascii="宋体" w:hAnsi="宋体" w:eastAsia="宋体" w:cs="宋体"/>
                <w:spacing w:val="5"/>
                <w:sz w:val="20"/>
                <w:szCs w:val="20"/>
              </w:rPr>
              <w:t>位于</w:t>
            </w:r>
            <w:r>
              <w:rPr>
                <w:rFonts w:ascii="宋体" w:hAnsi="宋体" w:eastAsia="宋体" w:cs="宋体"/>
                <w:spacing w:val="-40"/>
                <w:sz w:val="20"/>
                <w:szCs w:val="20"/>
              </w:rPr>
              <w:t xml:space="preserve"> </w:t>
            </w:r>
            <w:r>
              <w:rPr>
                <w:rFonts w:ascii="Times New Roman" w:hAnsi="Times New Roman" w:eastAsia="Times New Roman" w:cs="Times New Roman"/>
                <w:spacing w:val="5"/>
                <w:sz w:val="20"/>
                <w:szCs w:val="20"/>
              </w:rPr>
              <w:t>7#</w:t>
            </w:r>
            <w:r>
              <w:rPr>
                <w:rFonts w:ascii="宋体" w:hAnsi="宋体" w:eastAsia="宋体" w:cs="宋体"/>
                <w:spacing w:val="5"/>
                <w:sz w:val="20"/>
                <w:szCs w:val="20"/>
              </w:rPr>
              <w:t>厂房</w:t>
            </w:r>
          </w:p>
        </w:tc>
        <w:tc>
          <w:tcPr>
            <w:tcW w:w="124" w:type="dxa"/>
            <w:tcBorders>
              <w:top w:val="nil"/>
              <w:bottom w:val="nil"/>
              <w:right w:val="single" w:color="000000" w:sz="6" w:space="0"/>
            </w:tcBorders>
            <w:vAlign w:val="top"/>
          </w:tcPr>
          <w:p w14:paraId="2874D01B">
            <w:pPr>
              <w:rPr>
                <w:rFonts w:ascii="Arial"/>
                <w:sz w:val="21"/>
              </w:rPr>
            </w:pPr>
          </w:p>
        </w:tc>
      </w:tr>
      <w:tr w14:paraId="2F36C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2CEFF997">
            <w:pPr>
              <w:rPr>
                <w:rFonts w:ascii="Arial"/>
                <w:sz w:val="21"/>
              </w:rPr>
            </w:pPr>
          </w:p>
        </w:tc>
        <w:tc>
          <w:tcPr>
            <w:tcW w:w="114" w:type="dxa"/>
            <w:vMerge w:val="continue"/>
            <w:tcBorders>
              <w:top w:val="nil"/>
              <w:bottom w:val="nil"/>
            </w:tcBorders>
            <w:vAlign w:val="top"/>
          </w:tcPr>
          <w:p w14:paraId="0FB66D4E">
            <w:pPr>
              <w:rPr>
                <w:rFonts w:ascii="Arial"/>
                <w:sz w:val="21"/>
              </w:rPr>
            </w:pPr>
          </w:p>
        </w:tc>
        <w:tc>
          <w:tcPr>
            <w:tcW w:w="678" w:type="dxa"/>
            <w:gridSpan w:val="3"/>
            <w:vAlign w:val="top"/>
          </w:tcPr>
          <w:p w14:paraId="019BFB3E">
            <w:pPr>
              <w:spacing w:before="84" w:line="195" w:lineRule="auto"/>
              <w:ind w:left="27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795" w:type="dxa"/>
            <w:gridSpan w:val="2"/>
            <w:vMerge w:val="continue"/>
            <w:tcBorders>
              <w:top w:val="nil"/>
              <w:bottom w:val="nil"/>
            </w:tcBorders>
            <w:vAlign w:val="top"/>
          </w:tcPr>
          <w:p w14:paraId="76F57C65">
            <w:pPr>
              <w:rPr>
                <w:rFonts w:ascii="Arial"/>
                <w:sz w:val="21"/>
              </w:rPr>
            </w:pPr>
          </w:p>
        </w:tc>
        <w:tc>
          <w:tcPr>
            <w:tcW w:w="1454" w:type="dxa"/>
            <w:gridSpan w:val="5"/>
            <w:vAlign w:val="top"/>
          </w:tcPr>
          <w:p w14:paraId="58C7FD3A">
            <w:pPr>
              <w:spacing w:before="41" w:line="228" w:lineRule="auto"/>
              <w:ind w:left="400"/>
              <w:rPr>
                <w:rFonts w:ascii="宋体" w:hAnsi="宋体" w:eastAsia="宋体" w:cs="宋体"/>
                <w:sz w:val="20"/>
                <w:szCs w:val="20"/>
              </w:rPr>
            </w:pPr>
            <w:r>
              <w:rPr>
                <w:rFonts w:ascii="宋体" w:hAnsi="宋体" w:eastAsia="宋体" w:cs="宋体"/>
                <w:spacing w:val="6"/>
                <w:sz w:val="20"/>
                <w:szCs w:val="20"/>
              </w:rPr>
              <w:t>集气罩</w:t>
            </w:r>
          </w:p>
        </w:tc>
        <w:tc>
          <w:tcPr>
            <w:tcW w:w="846" w:type="dxa"/>
            <w:gridSpan w:val="2"/>
            <w:vAlign w:val="top"/>
          </w:tcPr>
          <w:p w14:paraId="0C7446EE">
            <w:pPr>
              <w:spacing w:before="41" w:line="228" w:lineRule="auto"/>
              <w:ind w:left="309"/>
              <w:rPr>
                <w:rFonts w:ascii="宋体" w:hAnsi="宋体" w:eastAsia="宋体" w:cs="宋体"/>
                <w:sz w:val="20"/>
                <w:szCs w:val="20"/>
              </w:rPr>
            </w:pPr>
            <w:r>
              <w:rPr>
                <w:rFonts w:ascii="宋体" w:hAnsi="宋体" w:eastAsia="宋体" w:cs="宋体"/>
                <w:sz w:val="20"/>
                <w:szCs w:val="20"/>
              </w:rPr>
              <w:t>个</w:t>
            </w:r>
          </w:p>
        </w:tc>
        <w:tc>
          <w:tcPr>
            <w:tcW w:w="1021" w:type="dxa"/>
            <w:gridSpan w:val="3"/>
            <w:vAlign w:val="top"/>
          </w:tcPr>
          <w:p w14:paraId="69442D6B">
            <w:pPr>
              <w:spacing w:before="84" w:line="195" w:lineRule="auto"/>
              <w:ind w:left="45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410" w:type="dxa"/>
            <w:gridSpan w:val="4"/>
            <w:vAlign w:val="top"/>
          </w:tcPr>
          <w:p w14:paraId="16D7119C">
            <w:pPr>
              <w:spacing w:before="84" w:line="195" w:lineRule="auto"/>
              <w:ind w:left="3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1.8m×1m</w:t>
            </w:r>
          </w:p>
        </w:tc>
        <w:tc>
          <w:tcPr>
            <w:tcW w:w="2194" w:type="dxa"/>
            <w:gridSpan w:val="5"/>
            <w:vAlign w:val="top"/>
          </w:tcPr>
          <w:p w14:paraId="31FF6441">
            <w:pPr>
              <w:spacing w:before="41" w:line="228" w:lineRule="auto"/>
              <w:ind w:left="550"/>
              <w:rPr>
                <w:rFonts w:ascii="宋体" w:hAnsi="宋体" w:eastAsia="宋体" w:cs="宋体"/>
                <w:sz w:val="20"/>
                <w:szCs w:val="20"/>
              </w:rPr>
            </w:pPr>
            <w:r>
              <w:rPr>
                <w:rFonts w:ascii="宋体" w:hAnsi="宋体" w:eastAsia="宋体" w:cs="宋体"/>
                <w:spacing w:val="5"/>
                <w:sz w:val="20"/>
                <w:szCs w:val="20"/>
              </w:rPr>
              <w:t>位于</w:t>
            </w:r>
            <w:r>
              <w:rPr>
                <w:rFonts w:ascii="宋体" w:hAnsi="宋体" w:eastAsia="宋体" w:cs="宋体"/>
                <w:spacing w:val="-40"/>
                <w:sz w:val="20"/>
                <w:szCs w:val="20"/>
              </w:rPr>
              <w:t xml:space="preserve"> </w:t>
            </w:r>
            <w:r>
              <w:rPr>
                <w:rFonts w:ascii="Times New Roman" w:hAnsi="Times New Roman" w:eastAsia="Times New Roman" w:cs="Times New Roman"/>
                <w:spacing w:val="5"/>
                <w:sz w:val="20"/>
                <w:szCs w:val="20"/>
              </w:rPr>
              <w:t>7#</w:t>
            </w:r>
            <w:r>
              <w:rPr>
                <w:rFonts w:ascii="宋体" w:hAnsi="宋体" w:eastAsia="宋体" w:cs="宋体"/>
                <w:spacing w:val="5"/>
                <w:sz w:val="20"/>
                <w:szCs w:val="20"/>
              </w:rPr>
              <w:t>厂房</w:t>
            </w:r>
          </w:p>
        </w:tc>
        <w:tc>
          <w:tcPr>
            <w:tcW w:w="124" w:type="dxa"/>
            <w:tcBorders>
              <w:top w:val="nil"/>
              <w:bottom w:val="nil"/>
              <w:right w:val="single" w:color="000000" w:sz="6" w:space="0"/>
            </w:tcBorders>
            <w:vAlign w:val="top"/>
          </w:tcPr>
          <w:p w14:paraId="610C1CEF">
            <w:pPr>
              <w:rPr>
                <w:rFonts w:ascii="Arial"/>
                <w:sz w:val="21"/>
              </w:rPr>
            </w:pPr>
          </w:p>
        </w:tc>
      </w:tr>
      <w:tr w14:paraId="312E7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24ACF030">
            <w:pPr>
              <w:rPr>
                <w:rFonts w:ascii="Arial"/>
                <w:sz w:val="21"/>
              </w:rPr>
            </w:pPr>
          </w:p>
        </w:tc>
        <w:tc>
          <w:tcPr>
            <w:tcW w:w="114" w:type="dxa"/>
            <w:vMerge w:val="continue"/>
            <w:tcBorders>
              <w:top w:val="nil"/>
              <w:bottom w:val="nil"/>
            </w:tcBorders>
            <w:vAlign w:val="top"/>
          </w:tcPr>
          <w:p w14:paraId="6206B7C6">
            <w:pPr>
              <w:rPr>
                <w:rFonts w:ascii="Arial"/>
                <w:sz w:val="21"/>
              </w:rPr>
            </w:pPr>
          </w:p>
        </w:tc>
        <w:tc>
          <w:tcPr>
            <w:tcW w:w="678" w:type="dxa"/>
            <w:gridSpan w:val="3"/>
            <w:vAlign w:val="top"/>
          </w:tcPr>
          <w:p w14:paraId="7AFF85CA">
            <w:pPr>
              <w:spacing w:before="87" w:line="192" w:lineRule="auto"/>
              <w:ind w:left="281"/>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95" w:type="dxa"/>
            <w:gridSpan w:val="2"/>
            <w:vMerge w:val="continue"/>
            <w:tcBorders>
              <w:top w:val="nil"/>
            </w:tcBorders>
            <w:vAlign w:val="top"/>
          </w:tcPr>
          <w:p w14:paraId="0D1034AC">
            <w:pPr>
              <w:rPr>
                <w:rFonts w:ascii="Arial"/>
                <w:sz w:val="21"/>
              </w:rPr>
            </w:pPr>
          </w:p>
        </w:tc>
        <w:tc>
          <w:tcPr>
            <w:tcW w:w="1454" w:type="dxa"/>
            <w:gridSpan w:val="5"/>
            <w:vAlign w:val="top"/>
          </w:tcPr>
          <w:p w14:paraId="076009BE">
            <w:pPr>
              <w:spacing w:before="43" w:line="228" w:lineRule="auto"/>
              <w:ind w:left="400"/>
              <w:rPr>
                <w:rFonts w:ascii="宋体" w:hAnsi="宋体" w:eastAsia="宋体" w:cs="宋体"/>
                <w:sz w:val="20"/>
                <w:szCs w:val="20"/>
              </w:rPr>
            </w:pPr>
            <w:r>
              <w:rPr>
                <w:rFonts w:ascii="宋体" w:hAnsi="宋体" w:eastAsia="宋体" w:cs="宋体"/>
                <w:spacing w:val="6"/>
                <w:sz w:val="20"/>
                <w:szCs w:val="20"/>
              </w:rPr>
              <w:t>排气筒</w:t>
            </w:r>
          </w:p>
        </w:tc>
        <w:tc>
          <w:tcPr>
            <w:tcW w:w="846" w:type="dxa"/>
            <w:gridSpan w:val="2"/>
            <w:vAlign w:val="top"/>
          </w:tcPr>
          <w:p w14:paraId="470CCC72">
            <w:pPr>
              <w:spacing w:before="43" w:line="228" w:lineRule="auto"/>
              <w:ind w:left="309"/>
              <w:rPr>
                <w:rFonts w:ascii="宋体" w:hAnsi="宋体" w:eastAsia="宋体" w:cs="宋体"/>
                <w:sz w:val="20"/>
                <w:szCs w:val="20"/>
              </w:rPr>
            </w:pPr>
            <w:r>
              <w:rPr>
                <w:rFonts w:ascii="宋体" w:hAnsi="宋体" w:eastAsia="宋体" w:cs="宋体"/>
                <w:sz w:val="20"/>
                <w:szCs w:val="20"/>
              </w:rPr>
              <w:t>根</w:t>
            </w:r>
          </w:p>
        </w:tc>
        <w:tc>
          <w:tcPr>
            <w:tcW w:w="1021" w:type="dxa"/>
            <w:gridSpan w:val="3"/>
            <w:vAlign w:val="top"/>
          </w:tcPr>
          <w:p w14:paraId="01D63FA9">
            <w:pPr>
              <w:spacing w:before="84" w:line="195" w:lineRule="auto"/>
              <w:ind w:left="47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10" w:type="dxa"/>
            <w:gridSpan w:val="4"/>
            <w:vAlign w:val="top"/>
          </w:tcPr>
          <w:p w14:paraId="578C5ED5">
            <w:pPr>
              <w:spacing w:before="84" w:line="195" w:lineRule="auto"/>
              <w:ind w:left="54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15m</w:t>
            </w:r>
          </w:p>
        </w:tc>
        <w:tc>
          <w:tcPr>
            <w:tcW w:w="2194" w:type="dxa"/>
            <w:gridSpan w:val="5"/>
            <w:vAlign w:val="top"/>
          </w:tcPr>
          <w:p w14:paraId="4A36B6DF">
            <w:pPr>
              <w:spacing w:before="43" w:line="228" w:lineRule="auto"/>
              <w:ind w:left="550"/>
              <w:rPr>
                <w:rFonts w:ascii="宋体" w:hAnsi="宋体" w:eastAsia="宋体" w:cs="宋体"/>
                <w:sz w:val="20"/>
                <w:szCs w:val="20"/>
              </w:rPr>
            </w:pPr>
            <w:r>
              <w:rPr>
                <w:rFonts w:ascii="宋体" w:hAnsi="宋体" w:eastAsia="宋体" w:cs="宋体"/>
                <w:spacing w:val="5"/>
                <w:sz w:val="20"/>
                <w:szCs w:val="20"/>
              </w:rPr>
              <w:t>位于</w:t>
            </w:r>
            <w:r>
              <w:rPr>
                <w:rFonts w:ascii="宋体" w:hAnsi="宋体" w:eastAsia="宋体" w:cs="宋体"/>
                <w:spacing w:val="-40"/>
                <w:sz w:val="20"/>
                <w:szCs w:val="20"/>
              </w:rPr>
              <w:t xml:space="preserve"> </w:t>
            </w:r>
            <w:r>
              <w:rPr>
                <w:rFonts w:ascii="Times New Roman" w:hAnsi="Times New Roman" w:eastAsia="Times New Roman" w:cs="Times New Roman"/>
                <w:spacing w:val="5"/>
                <w:sz w:val="20"/>
                <w:szCs w:val="20"/>
              </w:rPr>
              <w:t>7#</w:t>
            </w:r>
            <w:r>
              <w:rPr>
                <w:rFonts w:ascii="宋体" w:hAnsi="宋体" w:eastAsia="宋体" w:cs="宋体"/>
                <w:spacing w:val="5"/>
                <w:sz w:val="20"/>
                <w:szCs w:val="20"/>
              </w:rPr>
              <w:t>厂房</w:t>
            </w:r>
          </w:p>
        </w:tc>
        <w:tc>
          <w:tcPr>
            <w:tcW w:w="124" w:type="dxa"/>
            <w:tcBorders>
              <w:top w:val="nil"/>
              <w:bottom w:val="nil"/>
              <w:right w:val="single" w:color="000000" w:sz="6" w:space="0"/>
            </w:tcBorders>
            <w:vAlign w:val="top"/>
          </w:tcPr>
          <w:p w14:paraId="6EDA5A66">
            <w:pPr>
              <w:rPr>
                <w:rFonts w:ascii="Arial"/>
                <w:sz w:val="21"/>
              </w:rPr>
            </w:pPr>
          </w:p>
        </w:tc>
      </w:tr>
      <w:tr w14:paraId="53B8B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6" w:hRule="atLeast"/>
        </w:trPr>
        <w:tc>
          <w:tcPr>
            <w:tcW w:w="428" w:type="dxa"/>
            <w:vMerge w:val="continue"/>
            <w:tcBorders>
              <w:top w:val="nil"/>
              <w:left w:val="single" w:color="000000" w:sz="6" w:space="0"/>
              <w:bottom w:val="nil"/>
            </w:tcBorders>
            <w:vAlign w:val="top"/>
          </w:tcPr>
          <w:p w14:paraId="6E5FF7FC">
            <w:pPr>
              <w:rPr>
                <w:rFonts w:ascii="Arial"/>
                <w:sz w:val="21"/>
              </w:rPr>
            </w:pPr>
          </w:p>
        </w:tc>
        <w:tc>
          <w:tcPr>
            <w:tcW w:w="8636" w:type="dxa"/>
            <w:gridSpan w:val="26"/>
            <w:tcBorders>
              <w:right w:val="single" w:color="000000" w:sz="6" w:space="0"/>
            </w:tcBorders>
            <w:vAlign w:val="top"/>
          </w:tcPr>
          <w:p w14:paraId="616F7BAE">
            <w:pPr>
              <w:spacing w:before="47" w:line="219" w:lineRule="auto"/>
              <w:ind w:left="585"/>
              <w:rPr>
                <w:rFonts w:ascii="宋体" w:hAnsi="宋体" w:eastAsia="宋体" w:cs="宋体"/>
                <w:sz w:val="24"/>
                <w:szCs w:val="24"/>
              </w:rPr>
            </w:pPr>
            <w:r>
              <w:rPr>
                <w:rFonts w:ascii="Times New Roman" w:hAnsi="Times New Roman" w:eastAsia="Times New Roman" w:cs="Times New Roman"/>
                <w:b/>
                <w:bCs/>
                <w:spacing w:val="-5"/>
                <w:sz w:val="24"/>
                <w:szCs w:val="24"/>
              </w:rPr>
              <w:t>5</w:t>
            </w:r>
            <w:r>
              <w:rPr>
                <w:rFonts w:ascii="Times New Roman" w:hAnsi="Times New Roman" w:eastAsia="Times New Roman" w:cs="Times New Roman"/>
                <w:b/>
                <w:bCs/>
                <w:spacing w:val="-30"/>
                <w:sz w:val="24"/>
                <w:szCs w:val="24"/>
              </w:rPr>
              <w:t xml:space="preserve"> </w:t>
            </w:r>
            <w:r>
              <w:rPr>
                <w:rFonts w:ascii="宋体" w:hAnsi="宋体" w:eastAsia="宋体" w:cs="宋体"/>
                <w:b/>
                <w:bCs/>
                <w:spacing w:val="-5"/>
                <w:sz w:val="24"/>
                <w:szCs w:val="24"/>
              </w:rPr>
              <w:t>、主要原辅材料及燃料</w:t>
            </w:r>
          </w:p>
          <w:p w14:paraId="1E7BC104">
            <w:pPr>
              <w:spacing w:before="180" w:line="219" w:lineRule="auto"/>
              <w:ind w:left="598"/>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1</w:t>
            </w:r>
            <w:r>
              <w:rPr>
                <w:rFonts w:ascii="宋体" w:hAnsi="宋体" w:eastAsia="宋体" w:cs="宋体"/>
                <w:b/>
                <w:bCs/>
                <w:spacing w:val="-4"/>
                <w:sz w:val="24"/>
                <w:szCs w:val="24"/>
              </w:rPr>
              <w:t>）原辅材料及能源用量情况</w:t>
            </w:r>
          </w:p>
          <w:p w14:paraId="66DFD009">
            <w:pPr>
              <w:spacing w:before="183" w:line="219" w:lineRule="auto"/>
              <w:ind w:left="587"/>
              <w:rPr>
                <w:rFonts w:ascii="宋体" w:hAnsi="宋体" w:eastAsia="宋体" w:cs="宋体"/>
                <w:sz w:val="24"/>
                <w:szCs w:val="24"/>
              </w:rPr>
            </w:pPr>
            <w:r>
              <w:rPr>
                <w:rFonts w:ascii="宋体" w:hAnsi="宋体" w:eastAsia="宋体" w:cs="宋体"/>
                <w:spacing w:val="-1"/>
                <w:sz w:val="24"/>
                <w:szCs w:val="24"/>
              </w:rPr>
              <w:t>本项目使用的主要原辅材料及能源，见表</w:t>
            </w:r>
            <w:r>
              <w:rPr>
                <w:rFonts w:ascii="宋体" w:hAnsi="宋体" w:eastAsia="宋体" w:cs="宋体"/>
                <w:spacing w:val="-51"/>
                <w:sz w:val="24"/>
                <w:szCs w:val="24"/>
              </w:rPr>
              <w:t xml:space="preserve"> </w:t>
            </w:r>
            <w:r>
              <w:rPr>
                <w:rFonts w:ascii="Times New Roman" w:hAnsi="Times New Roman" w:eastAsia="Times New Roman" w:cs="Times New Roman"/>
                <w:spacing w:val="-1"/>
                <w:sz w:val="24"/>
                <w:szCs w:val="24"/>
              </w:rPr>
              <w:t>2-4</w:t>
            </w:r>
            <w:r>
              <w:rPr>
                <w:rFonts w:ascii="宋体" w:hAnsi="宋体" w:eastAsia="宋体" w:cs="宋体"/>
                <w:spacing w:val="-1"/>
                <w:sz w:val="24"/>
                <w:szCs w:val="24"/>
              </w:rPr>
              <w:t>。</w:t>
            </w:r>
          </w:p>
          <w:p w14:paraId="2D4B93EB">
            <w:pPr>
              <w:spacing w:before="176" w:line="207" w:lineRule="auto"/>
              <w:ind w:left="3071"/>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39"/>
                <w:sz w:val="20"/>
                <w:szCs w:val="20"/>
              </w:rPr>
              <w:t xml:space="preserve"> </w:t>
            </w:r>
            <w:r>
              <w:rPr>
                <w:rFonts w:ascii="Times New Roman" w:hAnsi="Times New Roman" w:eastAsia="Times New Roman" w:cs="Times New Roman"/>
                <w:b/>
                <w:bCs/>
                <w:spacing w:val="6"/>
                <w:sz w:val="20"/>
                <w:szCs w:val="20"/>
              </w:rPr>
              <w:t xml:space="preserve">2-4 </w:t>
            </w:r>
            <w:r>
              <w:rPr>
                <w:rFonts w:ascii="宋体" w:hAnsi="宋体" w:eastAsia="宋体" w:cs="宋体"/>
                <w:b/>
                <w:bCs/>
                <w:spacing w:val="6"/>
                <w:sz w:val="20"/>
                <w:szCs w:val="20"/>
              </w:rPr>
              <w:t>主要原辅材料及能源</w:t>
            </w:r>
          </w:p>
        </w:tc>
      </w:tr>
      <w:tr w14:paraId="3FB28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428" w:type="dxa"/>
            <w:vMerge w:val="continue"/>
            <w:tcBorders>
              <w:top w:val="nil"/>
              <w:left w:val="single" w:color="000000" w:sz="6" w:space="0"/>
              <w:bottom w:val="single" w:color="000000" w:sz="6" w:space="0"/>
            </w:tcBorders>
            <w:vAlign w:val="top"/>
          </w:tcPr>
          <w:p w14:paraId="77B47567">
            <w:pPr>
              <w:rPr>
                <w:rFonts w:ascii="Arial"/>
                <w:sz w:val="21"/>
              </w:rPr>
            </w:pPr>
          </w:p>
        </w:tc>
        <w:tc>
          <w:tcPr>
            <w:tcW w:w="114" w:type="dxa"/>
            <w:tcBorders>
              <w:top w:val="nil"/>
              <w:bottom w:val="single" w:color="000000" w:sz="6" w:space="0"/>
            </w:tcBorders>
            <w:vAlign w:val="top"/>
          </w:tcPr>
          <w:p w14:paraId="16AD61F1">
            <w:pPr>
              <w:rPr>
                <w:rFonts w:ascii="Arial"/>
                <w:sz w:val="21"/>
              </w:rPr>
            </w:pPr>
          </w:p>
        </w:tc>
        <w:tc>
          <w:tcPr>
            <w:tcW w:w="487" w:type="dxa"/>
            <w:tcBorders>
              <w:bottom w:val="single" w:color="000000" w:sz="6" w:space="0"/>
            </w:tcBorders>
            <w:textDirection w:val="tbRlV"/>
            <w:vAlign w:val="top"/>
          </w:tcPr>
          <w:p w14:paraId="7D009413">
            <w:pPr>
              <w:spacing w:before="145" w:line="218" w:lineRule="auto"/>
              <w:ind w:left="44"/>
              <w:rPr>
                <w:rFonts w:ascii="宋体" w:hAnsi="宋体" w:eastAsia="宋体" w:cs="宋体"/>
                <w:sz w:val="20"/>
                <w:szCs w:val="20"/>
              </w:rPr>
            </w:pPr>
            <w:r>
              <w:rPr>
                <w:rFonts w:ascii="宋体" w:hAnsi="宋体" w:eastAsia="宋体" w:cs="宋体"/>
                <w:b/>
                <w:bCs/>
                <w:spacing w:val="6"/>
                <w:sz w:val="20"/>
                <w:szCs w:val="20"/>
              </w:rPr>
              <w:t>序</w:t>
            </w:r>
            <w:r>
              <w:rPr>
                <w:rFonts w:ascii="宋体" w:hAnsi="宋体" w:eastAsia="宋体" w:cs="宋体"/>
                <w:spacing w:val="99"/>
                <w:sz w:val="20"/>
                <w:szCs w:val="20"/>
              </w:rPr>
              <w:t xml:space="preserve"> </w:t>
            </w:r>
            <w:r>
              <w:rPr>
                <w:rFonts w:ascii="宋体" w:hAnsi="宋体" w:eastAsia="宋体" w:cs="宋体"/>
                <w:b/>
                <w:bCs/>
                <w:spacing w:val="6"/>
                <w:sz w:val="20"/>
                <w:szCs w:val="20"/>
              </w:rPr>
              <w:t>号</w:t>
            </w:r>
          </w:p>
        </w:tc>
        <w:tc>
          <w:tcPr>
            <w:tcW w:w="1231" w:type="dxa"/>
            <w:gridSpan w:val="6"/>
            <w:tcBorders>
              <w:bottom w:val="single" w:color="000000" w:sz="6" w:space="0"/>
            </w:tcBorders>
            <w:vAlign w:val="top"/>
          </w:tcPr>
          <w:p w14:paraId="3AFA07C7">
            <w:pPr>
              <w:spacing w:before="248" w:line="230" w:lineRule="auto"/>
              <w:ind w:left="407"/>
              <w:rPr>
                <w:rFonts w:ascii="宋体" w:hAnsi="宋体" w:eastAsia="宋体" w:cs="宋体"/>
                <w:sz w:val="20"/>
                <w:szCs w:val="20"/>
              </w:rPr>
            </w:pPr>
            <w:r>
              <w:rPr>
                <w:rFonts w:ascii="宋体" w:hAnsi="宋体" w:eastAsia="宋体" w:cs="宋体"/>
                <w:b/>
                <w:bCs/>
                <w:spacing w:val="2"/>
                <w:sz w:val="20"/>
                <w:szCs w:val="20"/>
              </w:rPr>
              <w:t>名称</w:t>
            </w:r>
          </w:p>
        </w:tc>
        <w:tc>
          <w:tcPr>
            <w:tcW w:w="1015" w:type="dxa"/>
            <w:gridSpan w:val="2"/>
            <w:tcBorders>
              <w:bottom w:val="single" w:color="000000" w:sz="6" w:space="0"/>
            </w:tcBorders>
            <w:vAlign w:val="top"/>
          </w:tcPr>
          <w:p w14:paraId="6364B955">
            <w:pPr>
              <w:spacing w:before="45" w:line="359" w:lineRule="auto"/>
              <w:ind w:left="149" w:right="112" w:firstLine="45"/>
              <w:rPr>
                <w:rFonts w:ascii="Times New Roman" w:hAnsi="Times New Roman" w:eastAsia="Times New Roman" w:cs="Times New Roman"/>
                <w:sz w:val="20"/>
                <w:szCs w:val="20"/>
              </w:rPr>
            </w:pPr>
            <w:r>
              <w:rPr>
                <w:rFonts w:ascii="宋体" w:hAnsi="宋体" w:eastAsia="宋体" w:cs="宋体"/>
                <w:b/>
                <w:bCs/>
                <w:spacing w:val="5"/>
                <w:sz w:val="20"/>
                <w:szCs w:val="20"/>
              </w:rPr>
              <w:t>现有项</w:t>
            </w:r>
            <w:r>
              <w:rPr>
                <w:rFonts w:ascii="宋体" w:hAnsi="宋体" w:eastAsia="宋体" w:cs="宋体"/>
                <w:b/>
                <w:bCs/>
                <w:spacing w:val="-3"/>
                <w:sz w:val="20"/>
                <w:szCs w:val="20"/>
              </w:rPr>
              <w:t>目用量</w:t>
            </w:r>
            <w:r>
              <w:rPr>
                <w:rFonts w:ascii="Times New Roman" w:hAnsi="Times New Roman" w:eastAsia="Times New Roman" w:cs="Times New Roman"/>
                <w:b/>
                <w:bCs/>
                <w:spacing w:val="-3"/>
                <w:sz w:val="20"/>
                <w:szCs w:val="20"/>
              </w:rPr>
              <w:t>/a</w:t>
            </w:r>
          </w:p>
        </w:tc>
        <w:tc>
          <w:tcPr>
            <w:tcW w:w="1227" w:type="dxa"/>
            <w:gridSpan w:val="4"/>
            <w:tcBorders>
              <w:bottom w:val="single" w:color="000000" w:sz="6" w:space="0"/>
            </w:tcBorders>
            <w:vAlign w:val="top"/>
          </w:tcPr>
          <w:p w14:paraId="53806483">
            <w:pPr>
              <w:spacing w:before="45" w:line="359" w:lineRule="auto"/>
              <w:ind w:left="115" w:right="111" w:firstLine="80"/>
              <w:rPr>
                <w:rFonts w:ascii="Times New Roman" w:hAnsi="Times New Roman" w:eastAsia="Times New Roman" w:cs="Times New Roman"/>
                <w:sz w:val="20"/>
                <w:szCs w:val="20"/>
              </w:rPr>
            </w:pPr>
            <w:r>
              <w:rPr>
                <w:rFonts w:ascii="宋体" w:hAnsi="宋体" w:eastAsia="宋体" w:cs="宋体"/>
                <w:b/>
                <w:bCs/>
                <w:spacing w:val="5"/>
                <w:sz w:val="20"/>
                <w:szCs w:val="20"/>
              </w:rPr>
              <w:t>扩建项目新增用量</w:t>
            </w:r>
            <w:r>
              <w:rPr>
                <w:rFonts w:ascii="Times New Roman" w:hAnsi="Times New Roman" w:eastAsia="Times New Roman" w:cs="Times New Roman"/>
                <w:b/>
                <w:bCs/>
                <w:spacing w:val="5"/>
                <w:sz w:val="20"/>
                <w:szCs w:val="20"/>
              </w:rPr>
              <w:t>/a</w:t>
            </w:r>
          </w:p>
        </w:tc>
        <w:tc>
          <w:tcPr>
            <w:tcW w:w="1033" w:type="dxa"/>
            <w:gridSpan w:val="4"/>
            <w:tcBorders>
              <w:bottom w:val="single" w:color="000000" w:sz="6" w:space="0"/>
            </w:tcBorders>
            <w:vAlign w:val="top"/>
          </w:tcPr>
          <w:p w14:paraId="2E66F898">
            <w:pPr>
              <w:spacing w:before="44" w:line="228" w:lineRule="auto"/>
              <w:ind w:left="207"/>
              <w:rPr>
                <w:rFonts w:ascii="宋体" w:hAnsi="宋体" w:eastAsia="宋体" w:cs="宋体"/>
                <w:sz w:val="20"/>
                <w:szCs w:val="20"/>
              </w:rPr>
            </w:pPr>
            <w:r>
              <w:rPr>
                <w:rFonts w:ascii="宋体" w:hAnsi="宋体" w:eastAsia="宋体" w:cs="宋体"/>
                <w:b/>
                <w:bCs/>
                <w:spacing w:val="4"/>
                <w:sz w:val="20"/>
                <w:szCs w:val="20"/>
              </w:rPr>
              <w:t>扩建完</w:t>
            </w:r>
          </w:p>
          <w:p w14:paraId="44A59873">
            <w:pPr>
              <w:spacing w:before="161" w:line="228" w:lineRule="auto"/>
              <w:ind w:left="209"/>
              <w:rPr>
                <w:rFonts w:ascii="宋体" w:hAnsi="宋体" w:eastAsia="宋体" w:cs="宋体"/>
                <w:sz w:val="20"/>
                <w:szCs w:val="20"/>
              </w:rPr>
            </w:pPr>
            <w:r>
              <w:rPr>
                <w:rFonts w:ascii="宋体" w:hAnsi="宋体" w:eastAsia="宋体" w:cs="宋体"/>
                <w:b/>
                <w:bCs/>
                <w:spacing w:val="5"/>
                <w:sz w:val="20"/>
                <w:szCs w:val="20"/>
              </w:rPr>
              <w:t>成后用</w:t>
            </w:r>
          </w:p>
        </w:tc>
        <w:tc>
          <w:tcPr>
            <w:tcW w:w="1026" w:type="dxa"/>
            <w:tcBorders>
              <w:bottom w:val="single" w:color="000000" w:sz="6" w:space="0"/>
            </w:tcBorders>
            <w:vAlign w:val="top"/>
          </w:tcPr>
          <w:p w14:paraId="65A857B1">
            <w:pPr>
              <w:spacing w:before="45" w:line="359" w:lineRule="auto"/>
              <w:ind w:left="227" w:right="191" w:hanging="18"/>
              <w:rPr>
                <w:rFonts w:ascii="Times New Roman" w:hAnsi="Times New Roman" w:eastAsia="Times New Roman" w:cs="Times New Roman"/>
                <w:sz w:val="20"/>
                <w:szCs w:val="20"/>
              </w:rPr>
            </w:pPr>
            <w:r>
              <w:rPr>
                <w:rFonts w:ascii="宋体" w:hAnsi="宋体" w:eastAsia="宋体" w:cs="宋体"/>
                <w:b/>
                <w:bCs/>
                <w:spacing w:val="4"/>
                <w:sz w:val="20"/>
                <w:szCs w:val="20"/>
              </w:rPr>
              <w:t>最大储存量</w:t>
            </w:r>
            <w:r>
              <w:rPr>
                <w:rFonts w:ascii="Times New Roman" w:hAnsi="Times New Roman" w:eastAsia="Times New Roman" w:cs="Times New Roman"/>
                <w:b/>
                <w:bCs/>
                <w:spacing w:val="4"/>
                <w:sz w:val="20"/>
                <w:szCs w:val="20"/>
              </w:rPr>
              <w:t>/a</w:t>
            </w:r>
          </w:p>
        </w:tc>
        <w:tc>
          <w:tcPr>
            <w:tcW w:w="919" w:type="dxa"/>
            <w:gridSpan w:val="4"/>
            <w:tcBorders>
              <w:bottom w:val="single" w:color="000000" w:sz="6" w:space="0"/>
            </w:tcBorders>
            <w:vAlign w:val="top"/>
          </w:tcPr>
          <w:p w14:paraId="6936724F">
            <w:pPr>
              <w:spacing w:before="45" w:line="359" w:lineRule="auto"/>
              <w:ind w:left="361" w:right="135" w:hanging="207"/>
              <w:rPr>
                <w:rFonts w:ascii="宋体" w:hAnsi="宋体" w:eastAsia="宋体" w:cs="宋体"/>
                <w:sz w:val="20"/>
                <w:szCs w:val="20"/>
              </w:rPr>
            </w:pPr>
            <w:r>
              <w:rPr>
                <w:rFonts w:ascii="宋体" w:hAnsi="宋体" w:eastAsia="宋体" w:cs="宋体"/>
                <w:b/>
                <w:bCs/>
                <w:spacing w:val="5"/>
                <w:sz w:val="20"/>
                <w:szCs w:val="20"/>
              </w:rPr>
              <w:t>供应来</w:t>
            </w:r>
            <w:r>
              <w:rPr>
                <w:rFonts w:ascii="宋体" w:hAnsi="宋体" w:eastAsia="宋体" w:cs="宋体"/>
                <w:b/>
                <w:bCs/>
                <w:spacing w:val="-1"/>
                <w:sz w:val="20"/>
                <w:szCs w:val="20"/>
              </w:rPr>
              <w:t>源</w:t>
            </w:r>
          </w:p>
        </w:tc>
        <w:tc>
          <w:tcPr>
            <w:tcW w:w="1460" w:type="dxa"/>
            <w:gridSpan w:val="2"/>
            <w:tcBorders>
              <w:bottom w:val="single" w:color="000000" w:sz="6" w:space="0"/>
            </w:tcBorders>
            <w:vAlign w:val="top"/>
          </w:tcPr>
          <w:p w14:paraId="15207133">
            <w:pPr>
              <w:spacing w:before="248" w:line="229" w:lineRule="auto"/>
              <w:ind w:left="532"/>
              <w:rPr>
                <w:rFonts w:ascii="宋体" w:hAnsi="宋体" w:eastAsia="宋体" w:cs="宋体"/>
                <w:sz w:val="20"/>
                <w:szCs w:val="20"/>
              </w:rPr>
            </w:pPr>
            <w:r>
              <w:rPr>
                <w:rFonts w:ascii="宋体" w:hAnsi="宋体" w:eastAsia="宋体" w:cs="宋体"/>
                <w:b/>
                <w:bCs/>
                <w:spacing w:val="2"/>
                <w:sz w:val="20"/>
                <w:szCs w:val="20"/>
              </w:rPr>
              <w:t>备注</w:t>
            </w:r>
          </w:p>
        </w:tc>
        <w:tc>
          <w:tcPr>
            <w:tcW w:w="124" w:type="dxa"/>
            <w:tcBorders>
              <w:top w:val="nil"/>
              <w:bottom w:val="single" w:color="000000" w:sz="6" w:space="0"/>
              <w:right w:val="single" w:color="000000" w:sz="6" w:space="0"/>
            </w:tcBorders>
            <w:vAlign w:val="top"/>
          </w:tcPr>
          <w:p w14:paraId="69461AEC">
            <w:pPr>
              <w:rPr>
                <w:rFonts w:ascii="Arial"/>
                <w:sz w:val="21"/>
              </w:rPr>
            </w:pPr>
          </w:p>
        </w:tc>
      </w:tr>
    </w:tbl>
    <w:p w14:paraId="7F1DCE40">
      <w:pPr>
        <w:pStyle w:val="2"/>
      </w:pPr>
    </w:p>
    <w:p w14:paraId="7DC4D08F">
      <w:pPr>
        <w:sectPr>
          <w:footerReference r:id="rId53" w:type="default"/>
          <w:pgSz w:w="11906" w:h="16839"/>
          <w:pgMar w:top="400" w:right="1413" w:bottom="1329" w:left="1413" w:header="0" w:footer="1113" w:gutter="0"/>
          <w:cols w:space="720" w:num="1"/>
        </w:sectPr>
      </w:pPr>
    </w:p>
    <w:p w14:paraId="5E84DA08">
      <w:pPr>
        <w:spacing w:before="19"/>
      </w:pPr>
    </w:p>
    <w:p w14:paraId="286C737C">
      <w:pPr>
        <w:spacing w:before="19"/>
      </w:pPr>
    </w:p>
    <w:p w14:paraId="46D93AF9">
      <w:pPr>
        <w:spacing w:before="19"/>
      </w:pPr>
    </w:p>
    <w:p w14:paraId="64DFC2D6">
      <w:pPr>
        <w:spacing w:before="18"/>
      </w:pPr>
    </w:p>
    <w:p w14:paraId="2BA486B3">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487"/>
        <w:gridCol w:w="1230"/>
        <w:gridCol w:w="1016"/>
        <w:gridCol w:w="1228"/>
        <w:gridCol w:w="1033"/>
        <w:gridCol w:w="1026"/>
        <w:gridCol w:w="921"/>
        <w:gridCol w:w="1455"/>
        <w:gridCol w:w="127"/>
      </w:tblGrid>
      <w:tr w14:paraId="1725E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428" w:type="dxa"/>
            <w:vMerge w:val="restart"/>
            <w:tcBorders>
              <w:top w:val="single" w:color="000000" w:sz="6" w:space="0"/>
              <w:left w:val="single" w:color="000000" w:sz="6" w:space="0"/>
              <w:bottom w:val="nil"/>
            </w:tcBorders>
            <w:vAlign w:val="top"/>
          </w:tcPr>
          <w:p w14:paraId="14AFECB5">
            <w:pPr>
              <w:rPr>
                <w:rFonts w:ascii="Arial"/>
                <w:sz w:val="21"/>
              </w:rPr>
            </w:pPr>
          </w:p>
        </w:tc>
        <w:tc>
          <w:tcPr>
            <w:tcW w:w="113" w:type="dxa"/>
            <w:tcBorders>
              <w:top w:val="single" w:color="000000" w:sz="6" w:space="0"/>
              <w:bottom w:val="nil"/>
            </w:tcBorders>
            <w:vAlign w:val="top"/>
          </w:tcPr>
          <w:p w14:paraId="33F66DE3">
            <w:pPr>
              <w:rPr>
                <w:rFonts w:ascii="Arial"/>
                <w:sz w:val="21"/>
              </w:rPr>
            </w:pPr>
          </w:p>
        </w:tc>
        <w:tc>
          <w:tcPr>
            <w:tcW w:w="487" w:type="dxa"/>
            <w:tcBorders>
              <w:top w:val="single" w:color="000000" w:sz="6" w:space="0"/>
            </w:tcBorders>
            <w:vAlign w:val="top"/>
          </w:tcPr>
          <w:p w14:paraId="1A9133D5">
            <w:pPr>
              <w:rPr>
                <w:rFonts w:ascii="Arial"/>
                <w:sz w:val="21"/>
              </w:rPr>
            </w:pPr>
          </w:p>
        </w:tc>
        <w:tc>
          <w:tcPr>
            <w:tcW w:w="1230" w:type="dxa"/>
            <w:tcBorders>
              <w:top w:val="single" w:color="000000" w:sz="6" w:space="0"/>
            </w:tcBorders>
            <w:vAlign w:val="top"/>
          </w:tcPr>
          <w:p w14:paraId="5BDDFBF5">
            <w:pPr>
              <w:rPr>
                <w:rFonts w:ascii="Arial"/>
                <w:sz w:val="21"/>
              </w:rPr>
            </w:pPr>
          </w:p>
        </w:tc>
        <w:tc>
          <w:tcPr>
            <w:tcW w:w="1016" w:type="dxa"/>
            <w:tcBorders>
              <w:top w:val="single" w:color="000000" w:sz="6" w:space="0"/>
            </w:tcBorders>
            <w:vAlign w:val="top"/>
          </w:tcPr>
          <w:p w14:paraId="488965EC">
            <w:pPr>
              <w:rPr>
                <w:rFonts w:ascii="Arial"/>
                <w:sz w:val="21"/>
              </w:rPr>
            </w:pPr>
          </w:p>
        </w:tc>
        <w:tc>
          <w:tcPr>
            <w:tcW w:w="1228" w:type="dxa"/>
            <w:tcBorders>
              <w:top w:val="single" w:color="000000" w:sz="6" w:space="0"/>
            </w:tcBorders>
            <w:vAlign w:val="top"/>
          </w:tcPr>
          <w:p w14:paraId="22F18D3C">
            <w:pPr>
              <w:rPr>
                <w:rFonts w:ascii="Arial"/>
                <w:sz w:val="21"/>
              </w:rPr>
            </w:pPr>
          </w:p>
        </w:tc>
        <w:tc>
          <w:tcPr>
            <w:tcW w:w="1033" w:type="dxa"/>
            <w:tcBorders>
              <w:top w:val="single" w:color="000000" w:sz="6" w:space="0"/>
            </w:tcBorders>
            <w:vAlign w:val="top"/>
          </w:tcPr>
          <w:p w14:paraId="1F4A6914">
            <w:pPr>
              <w:spacing w:before="47" w:line="233" w:lineRule="auto"/>
              <w:ind w:left="334"/>
              <w:rPr>
                <w:rFonts w:ascii="Times New Roman" w:hAnsi="Times New Roman" w:eastAsia="Times New Roman" w:cs="Times New Roman"/>
                <w:sz w:val="20"/>
                <w:szCs w:val="20"/>
              </w:rPr>
            </w:pPr>
            <w:r>
              <w:rPr>
                <w:rFonts w:ascii="宋体" w:hAnsi="宋体" w:eastAsia="宋体" w:cs="宋体"/>
                <w:b/>
                <w:bCs/>
                <w:spacing w:val="2"/>
                <w:sz w:val="20"/>
                <w:szCs w:val="20"/>
              </w:rPr>
              <w:t>量</w:t>
            </w:r>
            <w:r>
              <w:rPr>
                <w:rFonts w:ascii="Times New Roman" w:hAnsi="Times New Roman" w:eastAsia="Times New Roman" w:cs="Times New Roman"/>
                <w:b/>
                <w:bCs/>
                <w:spacing w:val="2"/>
                <w:sz w:val="20"/>
                <w:szCs w:val="20"/>
              </w:rPr>
              <w:t>/a</w:t>
            </w:r>
          </w:p>
        </w:tc>
        <w:tc>
          <w:tcPr>
            <w:tcW w:w="1026" w:type="dxa"/>
            <w:tcBorders>
              <w:top w:val="single" w:color="000000" w:sz="6" w:space="0"/>
            </w:tcBorders>
            <w:vAlign w:val="top"/>
          </w:tcPr>
          <w:p w14:paraId="041A26BB">
            <w:pPr>
              <w:rPr>
                <w:rFonts w:ascii="Arial"/>
                <w:sz w:val="21"/>
              </w:rPr>
            </w:pPr>
          </w:p>
        </w:tc>
        <w:tc>
          <w:tcPr>
            <w:tcW w:w="921" w:type="dxa"/>
            <w:tcBorders>
              <w:top w:val="single" w:color="000000" w:sz="6" w:space="0"/>
            </w:tcBorders>
            <w:vAlign w:val="top"/>
          </w:tcPr>
          <w:p w14:paraId="1EBF4AD1">
            <w:pPr>
              <w:rPr>
                <w:rFonts w:ascii="Arial"/>
                <w:sz w:val="21"/>
              </w:rPr>
            </w:pPr>
          </w:p>
        </w:tc>
        <w:tc>
          <w:tcPr>
            <w:tcW w:w="1455" w:type="dxa"/>
            <w:tcBorders>
              <w:top w:val="single" w:color="000000" w:sz="6" w:space="0"/>
            </w:tcBorders>
            <w:vAlign w:val="top"/>
          </w:tcPr>
          <w:p w14:paraId="3C61FDBD">
            <w:pPr>
              <w:rPr>
                <w:rFonts w:ascii="Arial"/>
                <w:sz w:val="21"/>
              </w:rPr>
            </w:pPr>
          </w:p>
        </w:tc>
        <w:tc>
          <w:tcPr>
            <w:tcW w:w="127" w:type="dxa"/>
            <w:tcBorders>
              <w:top w:val="single" w:color="000000" w:sz="6" w:space="0"/>
              <w:bottom w:val="nil"/>
              <w:right w:val="single" w:color="000000" w:sz="6" w:space="0"/>
            </w:tcBorders>
            <w:vAlign w:val="top"/>
          </w:tcPr>
          <w:p w14:paraId="6C48A5BF">
            <w:pPr>
              <w:rPr>
                <w:rFonts w:ascii="Arial"/>
                <w:sz w:val="21"/>
              </w:rPr>
            </w:pPr>
          </w:p>
        </w:tc>
      </w:tr>
      <w:tr w14:paraId="2AA8F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9" w:hRule="atLeast"/>
        </w:trPr>
        <w:tc>
          <w:tcPr>
            <w:tcW w:w="428" w:type="dxa"/>
            <w:vMerge w:val="continue"/>
            <w:tcBorders>
              <w:top w:val="nil"/>
              <w:left w:val="single" w:color="000000" w:sz="6" w:space="0"/>
              <w:bottom w:val="nil"/>
            </w:tcBorders>
            <w:vAlign w:val="top"/>
          </w:tcPr>
          <w:p w14:paraId="1462E934">
            <w:pPr>
              <w:rPr>
                <w:rFonts w:ascii="Arial"/>
                <w:sz w:val="21"/>
              </w:rPr>
            </w:pPr>
          </w:p>
        </w:tc>
        <w:tc>
          <w:tcPr>
            <w:tcW w:w="113" w:type="dxa"/>
            <w:tcBorders>
              <w:top w:val="nil"/>
              <w:bottom w:val="nil"/>
            </w:tcBorders>
            <w:vAlign w:val="top"/>
          </w:tcPr>
          <w:p w14:paraId="32619DB5">
            <w:pPr>
              <w:rPr>
                <w:rFonts w:ascii="Arial"/>
                <w:sz w:val="21"/>
              </w:rPr>
            </w:pPr>
          </w:p>
        </w:tc>
        <w:tc>
          <w:tcPr>
            <w:tcW w:w="487" w:type="dxa"/>
            <w:vAlign w:val="top"/>
          </w:tcPr>
          <w:p w14:paraId="3796B88D">
            <w:pPr>
              <w:spacing w:line="287" w:lineRule="auto"/>
              <w:rPr>
                <w:rFonts w:ascii="Arial"/>
                <w:sz w:val="21"/>
              </w:rPr>
            </w:pPr>
          </w:p>
          <w:p w14:paraId="734950C9">
            <w:pPr>
              <w:spacing w:line="287" w:lineRule="auto"/>
              <w:rPr>
                <w:rFonts w:ascii="Arial"/>
                <w:sz w:val="21"/>
              </w:rPr>
            </w:pPr>
          </w:p>
          <w:p w14:paraId="3C8BB27A">
            <w:pPr>
              <w:spacing w:line="288" w:lineRule="auto"/>
              <w:rPr>
                <w:rFonts w:ascii="Arial"/>
                <w:sz w:val="21"/>
              </w:rPr>
            </w:pPr>
          </w:p>
          <w:p w14:paraId="22A75A6E">
            <w:pPr>
              <w:spacing w:line="288" w:lineRule="auto"/>
              <w:rPr>
                <w:rFonts w:ascii="Arial"/>
                <w:sz w:val="21"/>
              </w:rPr>
            </w:pPr>
          </w:p>
          <w:p w14:paraId="5C4E6FBC">
            <w:pPr>
              <w:spacing w:line="288" w:lineRule="auto"/>
              <w:rPr>
                <w:rFonts w:ascii="Arial"/>
                <w:sz w:val="21"/>
              </w:rPr>
            </w:pPr>
          </w:p>
          <w:p w14:paraId="5C80F581">
            <w:pPr>
              <w:spacing w:before="58" w:line="195" w:lineRule="auto"/>
              <w:ind w:left="20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230" w:type="dxa"/>
            <w:vAlign w:val="top"/>
          </w:tcPr>
          <w:p w14:paraId="3A9F3912">
            <w:pPr>
              <w:spacing w:line="295" w:lineRule="auto"/>
              <w:rPr>
                <w:rFonts w:ascii="Arial"/>
                <w:sz w:val="21"/>
              </w:rPr>
            </w:pPr>
          </w:p>
          <w:p w14:paraId="417B147A">
            <w:pPr>
              <w:spacing w:line="296" w:lineRule="auto"/>
              <w:rPr>
                <w:rFonts w:ascii="Arial"/>
                <w:sz w:val="21"/>
              </w:rPr>
            </w:pPr>
          </w:p>
          <w:p w14:paraId="1C61AF07">
            <w:pPr>
              <w:spacing w:line="296" w:lineRule="auto"/>
              <w:rPr>
                <w:rFonts w:ascii="Arial"/>
                <w:sz w:val="21"/>
              </w:rPr>
            </w:pPr>
          </w:p>
          <w:p w14:paraId="265AADA5">
            <w:pPr>
              <w:spacing w:line="296" w:lineRule="auto"/>
              <w:rPr>
                <w:rFonts w:ascii="Arial"/>
                <w:sz w:val="21"/>
              </w:rPr>
            </w:pPr>
          </w:p>
          <w:p w14:paraId="766D34FD">
            <w:pPr>
              <w:spacing w:before="65" w:line="384" w:lineRule="auto"/>
              <w:ind w:left="298" w:right="304" w:firstLine="10"/>
              <w:rPr>
                <w:rFonts w:ascii="宋体" w:hAnsi="宋体" w:eastAsia="宋体" w:cs="宋体"/>
                <w:sz w:val="20"/>
                <w:szCs w:val="20"/>
              </w:rPr>
            </w:pPr>
            <w:r>
              <w:rPr>
                <w:rFonts w:ascii="宋体" w:hAnsi="宋体" w:eastAsia="宋体" w:cs="宋体"/>
                <w:spacing w:val="4"/>
                <w:sz w:val="20"/>
                <w:szCs w:val="20"/>
              </w:rPr>
              <w:t>聚丙烯</w:t>
            </w:r>
            <w:r>
              <w:rPr>
                <w:rFonts w:ascii="宋体" w:hAnsi="宋体" w:eastAsia="宋体" w:cs="宋体"/>
                <w:spacing w:val="-2"/>
                <w:sz w:val="20"/>
                <w:szCs w:val="20"/>
              </w:rPr>
              <w:t>（</w:t>
            </w:r>
            <w:r>
              <w:rPr>
                <w:rFonts w:ascii="Times New Roman" w:hAnsi="Times New Roman" w:eastAsia="Times New Roman" w:cs="Times New Roman"/>
                <w:spacing w:val="-2"/>
                <w:sz w:val="20"/>
                <w:szCs w:val="20"/>
              </w:rPr>
              <w:t>PP</w:t>
            </w:r>
            <w:r>
              <w:rPr>
                <w:rFonts w:ascii="宋体" w:hAnsi="宋体" w:eastAsia="宋体" w:cs="宋体"/>
                <w:spacing w:val="-2"/>
                <w:sz w:val="20"/>
                <w:szCs w:val="20"/>
              </w:rPr>
              <w:t>）</w:t>
            </w:r>
          </w:p>
        </w:tc>
        <w:tc>
          <w:tcPr>
            <w:tcW w:w="1016" w:type="dxa"/>
            <w:vAlign w:val="top"/>
          </w:tcPr>
          <w:p w14:paraId="763DBB62">
            <w:pPr>
              <w:spacing w:line="287" w:lineRule="auto"/>
              <w:rPr>
                <w:rFonts w:ascii="Arial"/>
                <w:sz w:val="21"/>
              </w:rPr>
            </w:pPr>
          </w:p>
          <w:p w14:paraId="074594A8">
            <w:pPr>
              <w:spacing w:line="287" w:lineRule="auto"/>
              <w:rPr>
                <w:rFonts w:ascii="Arial"/>
                <w:sz w:val="21"/>
              </w:rPr>
            </w:pPr>
          </w:p>
          <w:p w14:paraId="666A0A1D">
            <w:pPr>
              <w:spacing w:line="288" w:lineRule="auto"/>
              <w:rPr>
                <w:rFonts w:ascii="Arial"/>
                <w:sz w:val="21"/>
              </w:rPr>
            </w:pPr>
          </w:p>
          <w:p w14:paraId="3F73A9A4">
            <w:pPr>
              <w:spacing w:line="288" w:lineRule="auto"/>
              <w:rPr>
                <w:rFonts w:ascii="Arial"/>
                <w:sz w:val="21"/>
              </w:rPr>
            </w:pPr>
          </w:p>
          <w:p w14:paraId="5158B8BD">
            <w:pPr>
              <w:spacing w:line="288" w:lineRule="auto"/>
              <w:rPr>
                <w:rFonts w:ascii="Arial"/>
                <w:sz w:val="21"/>
              </w:rPr>
            </w:pPr>
          </w:p>
          <w:p w14:paraId="598C5216">
            <w:pPr>
              <w:spacing w:before="58" w:line="195" w:lineRule="auto"/>
              <w:ind w:left="4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28" w:type="dxa"/>
            <w:vAlign w:val="top"/>
          </w:tcPr>
          <w:p w14:paraId="59215B61">
            <w:pPr>
              <w:spacing w:line="287" w:lineRule="auto"/>
              <w:rPr>
                <w:rFonts w:ascii="Arial"/>
                <w:sz w:val="21"/>
              </w:rPr>
            </w:pPr>
          </w:p>
          <w:p w14:paraId="4612F8A4">
            <w:pPr>
              <w:spacing w:line="287" w:lineRule="auto"/>
              <w:rPr>
                <w:rFonts w:ascii="Arial"/>
                <w:sz w:val="21"/>
              </w:rPr>
            </w:pPr>
          </w:p>
          <w:p w14:paraId="61B099AD">
            <w:pPr>
              <w:spacing w:line="288" w:lineRule="auto"/>
              <w:rPr>
                <w:rFonts w:ascii="Arial"/>
                <w:sz w:val="21"/>
              </w:rPr>
            </w:pPr>
          </w:p>
          <w:p w14:paraId="318490F1">
            <w:pPr>
              <w:spacing w:line="288" w:lineRule="auto"/>
              <w:rPr>
                <w:rFonts w:ascii="Arial"/>
                <w:sz w:val="21"/>
              </w:rPr>
            </w:pPr>
          </w:p>
          <w:p w14:paraId="41205BF8">
            <w:pPr>
              <w:spacing w:line="288" w:lineRule="auto"/>
              <w:rPr>
                <w:rFonts w:ascii="Arial"/>
                <w:sz w:val="21"/>
              </w:rPr>
            </w:pPr>
          </w:p>
          <w:p w14:paraId="4C714DD6">
            <w:pPr>
              <w:spacing w:before="58" w:line="195" w:lineRule="auto"/>
              <w:ind w:left="40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2300</w:t>
            </w:r>
          </w:p>
        </w:tc>
        <w:tc>
          <w:tcPr>
            <w:tcW w:w="1033" w:type="dxa"/>
            <w:vAlign w:val="top"/>
          </w:tcPr>
          <w:p w14:paraId="3AE1A9A5">
            <w:pPr>
              <w:spacing w:line="287" w:lineRule="auto"/>
              <w:rPr>
                <w:rFonts w:ascii="Arial"/>
                <w:sz w:val="21"/>
              </w:rPr>
            </w:pPr>
          </w:p>
          <w:p w14:paraId="0F73CD64">
            <w:pPr>
              <w:spacing w:line="287" w:lineRule="auto"/>
              <w:rPr>
                <w:rFonts w:ascii="Arial"/>
                <w:sz w:val="21"/>
              </w:rPr>
            </w:pPr>
          </w:p>
          <w:p w14:paraId="2C101799">
            <w:pPr>
              <w:spacing w:line="288" w:lineRule="auto"/>
              <w:rPr>
                <w:rFonts w:ascii="Arial"/>
                <w:sz w:val="21"/>
              </w:rPr>
            </w:pPr>
          </w:p>
          <w:p w14:paraId="450B87FD">
            <w:pPr>
              <w:spacing w:line="288" w:lineRule="auto"/>
              <w:rPr>
                <w:rFonts w:ascii="Arial"/>
                <w:sz w:val="21"/>
              </w:rPr>
            </w:pPr>
          </w:p>
          <w:p w14:paraId="2B160AD0">
            <w:pPr>
              <w:spacing w:line="288" w:lineRule="auto"/>
              <w:rPr>
                <w:rFonts w:ascii="Arial"/>
                <w:sz w:val="21"/>
              </w:rPr>
            </w:pPr>
          </w:p>
          <w:p w14:paraId="74184C7E">
            <w:pPr>
              <w:spacing w:before="58"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2300t</w:t>
            </w:r>
          </w:p>
        </w:tc>
        <w:tc>
          <w:tcPr>
            <w:tcW w:w="1026" w:type="dxa"/>
            <w:vAlign w:val="top"/>
          </w:tcPr>
          <w:p w14:paraId="3AFBA03E">
            <w:pPr>
              <w:spacing w:line="287" w:lineRule="auto"/>
              <w:rPr>
                <w:rFonts w:ascii="Arial"/>
                <w:sz w:val="21"/>
              </w:rPr>
            </w:pPr>
          </w:p>
          <w:p w14:paraId="1097E518">
            <w:pPr>
              <w:spacing w:line="287" w:lineRule="auto"/>
              <w:rPr>
                <w:rFonts w:ascii="Arial"/>
                <w:sz w:val="21"/>
              </w:rPr>
            </w:pPr>
          </w:p>
          <w:p w14:paraId="4DC7D7FC">
            <w:pPr>
              <w:spacing w:line="288" w:lineRule="auto"/>
              <w:rPr>
                <w:rFonts w:ascii="Arial"/>
                <w:sz w:val="21"/>
              </w:rPr>
            </w:pPr>
          </w:p>
          <w:p w14:paraId="43BC82C6">
            <w:pPr>
              <w:spacing w:line="288" w:lineRule="auto"/>
              <w:rPr>
                <w:rFonts w:ascii="Arial"/>
                <w:sz w:val="21"/>
              </w:rPr>
            </w:pPr>
          </w:p>
          <w:p w14:paraId="427A85CF">
            <w:pPr>
              <w:spacing w:line="288" w:lineRule="auto"/>
              <w:rPr>
                <w:rFonts w:ascii="Arial"/>
                <w:sz w:val="21"/>
              </w:rPr>
            </w:pPr>
          </w:p>
          <w:p w14:paraId="782C131C">
            <w:pPr>
              <w:spacing w:before="58" w:line="195" w:lineRule="auto"/>
              <w:ind w:left="3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25t</w:t>
            </w:r>
          </w:p>
        </w:tc>
        <w:tc>
          <w:tcPr>
            <w:tcW w:w="921" w:type="dxa"/>
            <w:vAlign w:val="top"/>
          </w:tcPr>
          <w:p w14:paraId="3202584F">
            <w:pPr>
              <w:spacing w:line="277" w:lineRule="auto"/>
              <w:rPr>
                <w:rFonts w:ascii="Arial"/>
                <w:sz w:val="21"/>
              </w:rPr>
            </w:pPr>
          </w:p>
          <w:p w14:paraId="4A4B1B1E">
            <w:pPr>
              <w:spacing w:line="277" w:lineRule="auto"/>
              <w:rPr>
                <w:rFonts w:ascii="Arial"/>
                <w:sz w:val="21"/>
              </w:rPr>
            </w:pPr>
          </w:p>
          <w:p w14:paraId="28C641B0">
            <w:pPr>
              <w:spacing w:line="277" w:lineRule="auto"/>
              <w:rPr>
                <w:rFonts w:ascii="Arial"/>
                <w:sz w:val="21"/>
              </w:rPr>
            </w:pPr>
          </w:p>
          <w:p w14:paraId="2457ECC5">
            <w:pPr>
              <w:spacing w:line="277" w:lineRule="auto"/>
              <w:rPr>
                <w:rFonts w:ascii="Arial"/>
                <w:sz w:val="21"/>
              </w:rPr>
            </w:pPr>
          </w:p>
          <w:p w14:paraId="23B79DE3">
            <w:pPr>
              <w:spacing w:line="278" w:lineRule="auto"/>
              <w:rPr>
                <w:rFonts w:ascii="Arial"/>
                <w:sz w:val="21"/>
              </w:rPr>
            </w:pPr>
          </w:p>
          <w:p w14:paraId="55C4F060">
            <w:pPr>
              <w:spacing w:before="65" w:line="228" w:lineRule="auto"/>
              <w:ind w:left="264"/>
              <w:rPr>
                <w:rFonts w:ascii="宋体" w:hAnsi="宋体" w:eastAsia="宋体" w:cs="宋体"/>
                <w:sz w:val="20"/>
                <w:szCs w:val="20"/>
              </w:rPr>
            </w:pPr>
            <w:r>
              <w:rPr>
                <w:rFonts w:ascii="宋体" w:hAnsi="宋体" w:eastAsia="宋体" w:cs="宋体"/>
                <w:spacing w:val="2"/>
                <w:sz w:val="20"/>
                <w:szCs w:val="20"/>
              </w:rPr>
              <w:t>外购</w:t>
            </w:r>
          </w:p>
        </w:tc>
        <w:tc>
          <w:tcPr>
            <w:tcW w:w="1455" w:type="dxa"/>
            <w:vAlign w:val="top"/>
          </w:tcPr>
          <w:p w14:paraId="21E65E48">
            <w:pPr>
              <w:spacing w:before="32" w:line="228" w:lineRule="auto"/>
              <w:ind w:left="137"/>
              <w:rPr>
                <w:rFonts w:ascii="宋体" w:hAnsi="宋体" w:eastAsia="宋体" w:cs="宋体"/>
                <w:sz w:val="20"/>
                <w:szCs w:val="20"/>
              </w:rPr>
            </w:pPr>
            <w:r>
              <w:rPr>
                <w:rFonts w:ascii="宋体" w:hAnsi="宋体" w:eastAsia="宋体" w:cs="宋体"/>
                <w:spacing w:val="2"/>
                <w:sz w:val="20"/>
                <w:szCs w:val="20"/>
              </w:rPr>
              <w:t>固体颗粒，粒</w:t>
            </w:r>
          </w:p>
          <w:p w14:paraId="61A94B26">
            <w:pPr>
              <w:spacing w:before="160" w:line="228" w:lineRule="auto"/>
              <w:ind w:left="119"/>
              <w:rPr>
                <w:rFonts w:ascii="宋体" w:hAnsi="宋体" w:eastAsia="宋体" w:cs="宋体"/>
                <w:sz w:val="20"/>
                <w:szCs w:val="20"/>
              </w:rPr>
            </w:pPr>
            <w:r>
              <w:rPr>
                <w:rFonts w:ascii="宋体" w:hAnsi="宋体" w:eastAsia="宋体" w:cs="宋体"/>
                <w:spacing w:val="4"/>
                <w:sz w:val="20"/>
                <w:szCs w:val="20"/>
              </w:rPr>
              <w:t>径在</w:t>
            </w:r>
            <w:r>
              <w:rPr>
                <w:rFonts w:ascii="宋体" w:hAnsi="宋体" w:eastAsia="宋体" w:cs="宋体"/>
                <w:spacing w:val="-37"/>
                <w:sz w:val="20"/>
                <w:szCs w:val="20"/>
              </w:rPr>
              <w:t xml:space="preserve"> </w:t>
            </w:r>
            <w:r>
              <w:rPr>
                <w:rFonts w:ascii="Times New Roman" w:hAnsi="Times New Roman" w:eastAsia="Times New Roman" w:cs="Times New Roman"/>
                <w:spacing w:val="4"/>
                <w:sz w:val="20"/>
                <w:szCs w:val="20"/>
              </w:rPr>
              <w:t>3-4</w:t>
            </w:r>
            <w:r>
              <w:rPr>
                <w:rFonts w:ascii="Times New Roman" w:hAnsi="Times New Roman" w:eastAsia="Times New Roman" w:cs="Times New Roman"/>
                <w:sz w:val="20"/>
                <w:szCs w:val="20"/>
              </w:rPr>
              <w:t>mm</w:t>
            </w:r>
            <w:r>
              <w:rPr>
                <w:rFonts w:ascii="宋体" w:hAnsi="宋体" w:eastAsia="宋体" w:cs="宋体"/>
                <w:spacing w:val="4"/>
                <w:sz w:val="20"/>
                <w:szCs w:val="20"/>
              </w:rPr>
              <w:t>，</w:t>
            </w:r>
          </w:p>
          <w:p w14:paraId="57E54F53">
            <w:pPr>
              <w:spacing w:before="161" w:line="221" w:lineRule="auto"/>
              <w:ind w:left="115"/>
              <w:rPr>
                <w:rFonts w:ascii="宋体" w:hAnsi="宋体" w:eastAsia="宋体" w:cs="宋体"/>
                <w:sz w:val="20"/>
                <w:szCs w:val="20"/>
              </w:rPr>
            </w:pPr>
            <w:r>
              <w:rPr>
                <w:rFonts w:ascii="Times New Roman" w:hAnsi="Times New Roman" w:eastAsia="Times New Roman" w:cs="Times New Roman"/>
                <w:spacing w:val="-2"/>
                <w:sz w:val="20"/>
                <w:szCs w:val="20"/>
              </w:rPr>
              <w:t xml:space="preserve">25kg </w:t>
            </w:r>
            <w:r>
              <w:rPr>
                <w:rFonts w:ascii="宋体" w:hAnsi="宋体" w:eastAsia="宋体" w:cs="宋体"/>
                <w:spacing w:val="-2"/>
                <w:sz w:val="20"/>
                <w:szCs w:val="20"/>
              </w:rPr>
              <w:t>袋装，项</w:t>
            </w:r>
          </w:p>
          <w:p w14:paraId="4A71F138">
            <w:pPr>
              <w:spacing w:before="168" w:line="228" w:lineRule="auto"/>
              <w:ind w:left="253"/>
              <w:rPr>
                <w:rFonts w:ascii="宋体" w:hAnsi="宋体" w:eastAsia="宋体" w:cs="宋体"/>
                <w:sz w:val="20"/>
                <w:szCs w:val="20"/>
              </w:rPr>
            </w:pPr>
            <w:r>
              <w:rPr>
                <w:rFonts w:ascii="宋体" w:hAnsi="宋体" w:eastAsia="宋体" w:cs="宋体"/>
                <w:sz w:val="20"/>
                <w:szCs w:val="20"/>
              </w:rPr>
              <w:t>目使用的聚</w:t>
            </w:r>
          </w:p>
          <w:p w14:paraId="0FF64C67">
            <w:pPr>
              <w:spacing w:before="163" w:line="228" w:lineRule="auto"/>
              <w:ind w:left="217"/>
              <w:rPr>
                <w:rFonts w:ascii="宋体" w:hAnsi="宋体" w:eastAsia="宋体" w:cs="宋体"/>
                <w:sz w:val="20"/>
                <w:szCs w:val="20"/>
              </w:rPr>
            </w:pPr>
            <w:r>
              <w:rPr>
                <w:rFonts w:ascii="宋体" w:hAnsi="宋体" w:eastAsia="宋体" w:cs="宋体"/>
                <w:spacing w:val="7"/>
                <w:sz w:val="20"/>
                <w:szCs w:val="20"/>
              </w:rPr>
              <w:t>丙烯颗粒料</w:t>
            </w:r>
          </w:p>
          <w:p w14:paraId="122EF1D6">
            <w:pPr>
              <w:spacing w:before="161" w:line="228" w:lineRule="auto"/>
              <w:ind w:left="120"/>
              <w:rPr>
                <w:rFonts w:ascii="宋体" w:hAnsi="宋体" w:eastAsia="宋体" w:cs="宋体"/>
                <w:sz w:val="20"/>
                <w:szCs w:val="20"/>
              </w:rPr>
            </w:pPr>
            <w:r>
              <w:rPr>
                <w:rFonts w:ascii="宋体" w:hAnsi="宋体" w:eastAsia="宋体" w:cs="宋体"/>
                <w:spacing w:val="5"/>
                <w:sz w:val="20"/>
                <w:szCs w:val="20"/>
              </w:rPr>
              <w:t>均为新料，项</w:t>
            </w:r>
          </w:p>
          <w:p w14:paraId="24E98352">
            <w:pPr>
              <w:spacing w:before="160" w:line="228" w:lineRule="auto"/>
              <w:ind w:left="253"/>
              <w:rPr>
                <w:rFonts w:ascii="宋体" w:hAnsi="宋体" w:eastAsia="宋体" w:cs="宋体"/>
                <w:sz w:val="20"/>
                <w:szCs w:val="20"/>
              </w:rPr>
            </w:pPr>
            <w:r>
              <w:rPr>
                <w:rFonts w:ascii="宋体" w:hAnsi="宋体" w:eastAsia="宋体" w:cs="宋体"/>
                <w:sz w:val="20"/>
                <w:szCs w:val="20"/>
              </w:rPr>
              <w:t>目内不使用</w:t>
            </w:r>
          </w:p>
          <w:p w14:paraId="3AAC400F">
            <w:pPr>
              <w:spacing w:before="162" w:line="228" w:lineRule="auto"/>
              <w:ind w:left="320"/>
              <w:rPr>
                <w:rFonts w:ascii="宋体" w:hAnsi="宋体" w:eastAsia="宋体" w:cs="宋体"/>
                <w:sz w:val="20"/>
                <w:szCs w:val="20"/>
              </w:rPr>
            </w:pPr>
            <w:r>
              <w:rPr>
                <w:rFonts w:ascii="宋体" w:hAnsi="宋体" w:eastAsia="宋体" w:cs="宋体"/>
                <w:spacing w:val="4"/>
                <w:sz w:val="20"/>
                <w:szCs w:val="20"/>
              </w:rPr>
              <w:t>再生料。</w:t>
            </w:r>
          </w:p>
        </w:tc>
        <w:tc>
          <w:tcPr>
            <w:tcW w:w="127" w:type="dxa"/>
            <w:tcBorders>
              <w:top w:val="nil"/>
              <w:bottom w:val="nil"/>
              <w:right w:val="single" w:color="000000" w:sz="6" w:space="0"/>
            </w:tcBorders>
            <w:vAlign w:val="top"/>
          </w:tcPr>
          <w:p w14:paraId="71C26543">
            <w:pPr>
              <w:rPr>
                <w:rFonts w:ascii="Arial"/>
                <w:sz w:val="21"/>
              </w:rPr>
            </w:pPr>
          </w:p>
        </w:tc>
      </w:tr>
      <w:tr w14:paraId="1AA3FE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428" w:type="dxa"/>
            <w:vMerge w:val="continue"/>
            <w:tcBorders>
              <w:top w:val="nil"/>
              <w:left w:val="single" w:color="000000" w:sz="6" w:space="0"/>
              <w:bottom w:val="nil"/>
            </w:tcBorders>
            <w:vAlign w:val="top"/>
          </w:tcPr>
          <w:p w14:paraId="1FA79795">
            <w:pPr>
              <w:rPr>
                <w:rFonts w:ascii="Arial"/>
                <w:sz w:val="21"/>
              </w:rPr>
            </w:pPr>
          </w:p>
        </w:tc>
        <w:tc>
          <w:tcPr>
            <w:tcW w:w="113" w:type="dxa"/>
            <w:tcBorders>
              <w:top w:val="nil"/>
              <w:bottom w:val="nil"/>
            </w:tcBorders>
            <w:vAlign w:val="top"/>
          </w:tcPr>
          <w:p w14:paraId="22A266C3">
            <w:pPr>
              <w:rPr>
                <w:rFonts w:ascii="Arial"/>
                <w:sz w:val="21"/>
              </w:rPr>
            </w:pPr>
          </w:p>
        </w:tc>
        <w:tc>
          <w:tcPr>
            <w:tcW w:w="487" w:type="dxa"/>
            <w:vAlign w:val="top"/>
          </w:tcPr>
          <w:p w14:paraId="317EF548">
            <w:pPr>
              <w:spacing w:line="427" w:lineRule="auto"/>
              <w:rPr>
                <w:rFonts w:ascii="Arial"/>
                <w:sz w:val="21"/>
              </w:rPr>
            </w:pPr>
          </w:p>
          <w:p w14:paraId="6F708299">
            <w:pPr>
              <w:spacing w:before="57" w:line="195" w:lineRule="auto"/>
              <w:ind w:left="18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230" w:type="dxa"/>
            <w:vAlign w:val="top"/>
          </w:tcPr>
          <w:p w14:paraId="19B15199">
            <w:pPr>
              <w:spacing w:line="376" w:lineRule="auto"/>
              <w:rPr>
                <w:rFonts w:ascii="Arial"/>
                <w:sz w:val="21"/>
              </w:rPr>
            </w:pPr>
          </w:p>
          <w:p w14:paraId="70112757">
            <w:pPr>
              <w:spacing w:before="65" w:line="228" w:lineRule="auto"/>
              <w:ind w:left="513"/>
              <w:rPr>
                <w:rFonts w:ascii="宋体" w:hAnsi="宋体" w:eastAsia="宋体" w:cs="宋体"/>
                <w:sz w:val="20"/>
                <w:szCs w:val="20"/>
              </w:rPr>
            </w:pPr>
            <w:r>
              <w:rPr>
                <w:rFonts w:ascii="宋体" w:hAnsi="宋体" w:eastAsia="宋体" w:cs="宋体"/>
                <w:sz w:val="20"/>
                <w:szCs w:val="20"/>
              </w:rPr>
              <w:t>水</w:t>
            </w:r>
          </w:p>
        </w:tc>
        <w:tc>
          <w:tcPr>
            <w:tcW w:w="1016" w:type="dxa"/>
            <w:vAlign w:val="top"/>
          </w:tcPr>
          <w:p w14:paraId="5E95720F">
            <w:pPr>
              <w:spacing w:line="427" w:lineRule="auto"/>
              <w:rPr>
                <w:rFonts w:ascii="Arial"/>
                <w:sz w:val="21"/>
              </w:rPr>
            </w:pPr>
          </w:p>
          <w:p w14:paraId="4650F97F">
            <w:pPr>
              <w:spacing w:before="57" w:line="195"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1000</w:t>
            </w:r>
          </w:p>
        </w:tc>
        <w:tc>
          <w:tcPr>
            <w:tcW w:w="1228" w:type="dxa"/>
            <w:vAlign w:val="top"/>
          </w:tcPr>
          <w:p w14:paraId="378199A3">
            <w:pPr>
              <w:spacing w:line="427" w:lineRule="auto"/>
              <w:rPr>
                <w:rFonts w:ascii="Arial"/>
                <w:sz w:val="21"/>
              </w:rPr>
            </w:pPr>
          </w:p>
          <w:p w14:paraId="25A1B6AB">
            <w:pPr>
              <w:spacing w:before="57" w:line="195" w:lineRule="auto"/>
              <w:ind w:left="4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7440</w:t>
            </w:r>
          </w:p>
        </w:tc>
        <w:tc>
          <w:tcPr>
            <w:tcW w:w="1033" w:type="dxa"/>
            <w:vAlign w:val="top"/>
          </w:tcPr>
          <w:p w14:paraId="3F7FDF80">
            <w:pPr>
              <w:spacing w:line="427" w:lineRule="auto"/>
              <w:rPr>
                <w:rFonts w:ascii="Arial"/>
                <w:sz w:val="21"/>
              </w:rPr>
            </w:pPr>
          </w:p>
          <w:p w14:paraId="2CB1522B">
            <w:pPr>
              <w:spacing w:before="57" w:line="195"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8440</w:t>
            </w:r>
          </w:p>
        </w:tc>
        <w:tc>
          <w:tcPr>
            <w:tcW w:w="1026" w:type="dxa"/>
            <w:vAlign w:val="top"/>
          </w:tcPr>
          <w:p w14:paraId="2597F414">
            <w:pPr>
              <w:spacing w:line="423" w:lineRule="auto"/>
              <w:rPr>
                <w:rFonts w:ascii="Arial"/>
                <w:sz w:val="21"/>
              </w:rPr>
            </w:pPr>
          </w:p>
          <w:p w14:paraId="6EC7B658">
            <w:pPr>
              <w:spacing w:before="57" w:line="199" w:lineRule="auto"/>
              <w:ind w:left="4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21" w:type="dxa"/>
            <w:vAlign w:val="top"/>
          </w:tcPr>
          <w:p w14:paraId="78C63072">
            <w:pPr>
              <w:spacing w:before="36" w:line="228" w:lineRule="auto"/>
              <w:ind w:left="172"/>
              <w:rPr>
                <w:rFonts w:ascii="宋体" w:hAnsi="宋体" w:eastAsia="宋体" w:cs="宋体"/>
                <w:sz w:val="20"/>
                <w:szCs w:val="20"/>
              </w:rPr>
            </w:pPr>
            <w:r>
              <w:rPr>
                <w:rFonts w:ascii="宋体" w:hAnsi="宋体" w:eastAsia="宋体" w:cs="宋体"/>
                <w:spacing w:val="1"/>
                <w:sz w:val="20"/>
                <w:szCs w:val="20"/>
              </w:rPr>
              <w:t>园区自</w:t>
            </w:r>
          </w:p>
          <w:p w14:paraId="05B75798">
            <w:pPr>
              <w:spacing w:before="159" w:line="358" w:lineRule="auto"/>
              <w:ind w:left="381" w:right="140" w:hanging="226"/>
              <w:rPr>
                <w:rFonts w:ascii="宋体" w:hAnsi="宋体" w:eastAsia="宋体" w:cs="宋体"/>
                <w:sz w:val="20"/>
                <w:szCs w:val="20"/>
              </w:rPr>
            </w:pPr>
            <w:r>
              <w:rPr>
                <w:rFonts w:ascii="宋体" w:hAnsi="宋体" w:eastAsia="宋体" w:cs="宋体"/>
                <w:spacing w:val="6"/>
                <w:sz w:val="20"/>
                <w:szCs w:val="20"/>
              </w:rPr>
              <w:t>来水管</w:t>
            </w:r>
            <w:r>
              <w:rPr>
                <w:rFonts w:ascii="宋体" w:hAnsi="宋体" w:eastAsia="宋体" w:cs="宋体"/>
                <w:sz w:val="20"/>
                <w:szCs w:val="20"/>
              </w:rPr>
              <w:t>网</w:t>
            </w:r>
          </w:p>
        </w:tc>
        <w:tc>
          <w:tcPr>
            <w:tcW w:w="1455" w:type="dxa"/>
            <w:vAlign w:val="top"/>
          </w:tcPr>
          <w:p w14:paraId="3088BD12">
            <w:pPr>
              <w:spacing w:line="423" w:lineRule="auto"/>
              <w:rPr>
                <w:rFonts w:ascii="Arial"/>
                <w:sz w:val="21"/>
              </w:rPr>
            </w:pPr>
          </w:p>
          <w:p w14:paraId="68BE91E1">
            <w:pPr>
              <w:spacing w:before="57" w:line="199" w:lineRule="auto"/>
              <w:ind w:left="7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7" w:type="dxa"/>
            <w:tcBorders>
              <w:top w:val="nil"/>
              <w:bottom w:val="nil"/>
              <w:right w:val="single" w:color="000000" w:sz="6" w:space="0"/>
            </w:tcBorders>
            <w:vAlign w:val="top"/>
          </w:tcPr>
          <w:p w14:paraId="7AE2642A">
            <w:pPr>
              <w:rPr>
                <w:rFonts w:ascii="Arial"/>
                <w:sz w:val="21"/>
              </w:rPr>
            </w:pPr>
          </w:p>
        </w:tc>
      </w:tr>
      <w:tr w14:paraId="6A9F2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428" w:type="dxa"/>
            <w:vMerge w:val="continue"/>
            <w:tcBorders>
              <w:top w:val="nil"/>
              <w:left w:val="single" w:color="000000" w:sz="6" w:space="0"/>
              <w:bottom w:val="nil"/>
            </w:tcBorders>
            <w:vAlign w:val="top"/>
          </w:tcPr>
          <w:p w14:paraId="7C8CB417">
            <w:pPr>
              <w:rPr>
                <w:rFonts w:ascii="Arial"/>
                <w:sz w:val="21"/>
              </w:rPr>
            </w:pPr>
          </w:p>
        </w:tc>
        <w:tc>
          <w:tcPr>
            <w:tcW w:w="113" w:type="dxa"/>
            <w:tcBorders>
              <w:top w:val="nil"/>
              <w:bottom w:val="nil"/>
            </w:tcBorders>
            <w:vAlign w:val="top"/>
          </w:tcPr>
          <w:p w14:paraId="3334D741">
            <w:pPr>
              <w:rPr>
                <w:rFonts w:ascii="Arial"/>
                <w:sz w:val="21"/>
              </w:rPr>
            </w:pPr>
          </w:p>
        </w:tc>
        <w:tc>
          <w:tcPr>
            <w:tcW w:w="487" w:type="dxa"/>
            <w:vAlign w:val="top"/>
          </w:tcPr>
          <w:p w14:paraId="0ECC42F9">
            <w:pPr>
              <w:spacing w:line="429" w:lineRule="auto"/>
              <w:rPr>
                <w:rFonts w:ascii="Arial"/>
                <w:sz w:val="21"/>
              </w:rPr>
            </w:pPr>
          </w:p>
          <w:p w14:paraId="492B4805">
            <w:pPr>
              <w:spacing w:before="57" w:line="195" w:lineRule="auto"/>
              <w:ind w:left="189"/>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230" w:type="dxa"/>
            <w:vAlign w:val="top"/>
          </w:tcPr>
          <w:p w14:paraId="6FB48B4C">
            <w:pPr>
              <w:spacing w:line="379" w:lineRule="auto"/>
              <w:rPr>
                <w:rFonts w:ascii="Arial"/>
                <w:sz w:val="21"/>
              </w:rPr>
            </w:pPr>
          </w:p>
          <w:p w14:paraId="6095BBB3">
            <w:pPr>
              <w:spacing w:before="65" w:line="233" w:lineRule="auto"/>
              <w:ind w:left="535"/>
              <w:rPr>
                <w:rFonts w:ascii="宋体" w:hAnsi="宋体" w:eastAsia="宋体" w:cs="宋体"/>
                <w:sz w:val="20"/>
                <w:szCs w:val="20"/>
              </w:rPr>
            </w:pPr>
            <w:r>
              <w:rPr>
                <w:rFonts w:ascii="宋体" w:hAnsi="宋体" w:eastAsia="宋体" w:cs="宋体"/>
                <w:sz w:val="20"/>
                <w:szCs w:val="20"/>
              </w:rPr>
              <w:t>电</w:t>
            </w:r>
          </w:p>
        </w:tc>
        <w:tc>
          <w:tcPr>
            <w:tcW w:w="1016" w:type="dxa"/>
            <w:vAlign w:val="top"/>
          </w:tcPr>
          <w:p w14:paraId="5B8632C0">
            <w:pPr>
              <w:spacing w:before="240" w:line="378" w:lineRule="auto"/>
              <w:ind w:left="195" w:right="170" w:hanging="30"/>
              <w:rPr>
                <w:rFonts w:ascii="宋体" w:hAnsi="宋体" w:eastAsia="宋体" w:cs="宋体"/>
                <w:sz w:val="20"/>
                <w:szCs w:val="20"/>
              </w:rPr>
            </w:pPr>
            <w:r>
              <w:rPr>
                <w:rFonts w:ascii="Times New Roman" w:hAnsi="Times New Roman" w:eastAsia="Times New Roman" w:cs="Times New Roman"/>
                <w:spacing w:val="2"/>
                <w:sz w:val="20"/>
                <w:szCs w:val="20"/>
              </w:rPr>
              <w:t>2559</w:t>
            </w:r>
            <w:r>
              <w:rPr>
                <w:rFonts w:ascii="Times New Roman" w:hAnsi="Times New Roman" w:eastAsia="Times New Roman" w:cs="Times New Roman"/>
                <w:spacing w:val="14"/>
                <w:sz w:val="20"/>
                <w:szCs w:val="20"/>
              </w:rPr>
              <w:t xml:space="preserve"> </w:t>
            </w:r>
            <w:r>
              <w:rPr>
                <w:rFonts w:ascii="宋体" w:hAnsi="宋体" w:eastAsia="宋体" w:cs="宋体"/>
                <w:spacing w:val="2"/>
                <w:sz w:val="20"/>
                <w:szCs w:val="20"/>
              </w:rPr>
              <w:t>万</w:t>
            </w:r>
            <w:r>
              <w:rPr>
                <w:rFonts w:ascii="宋体" w:hAnsi="宋体" w:eastAsia="宋体" w:cs="宋体"/>
                <w:spacing w:val="6"/>
                <w:sz w:val="20"/>
                <w:szCs w:val="20"/>
              </w:rPr>
              <w:t>千万时</w:t>
            </w:r>
          </w:p>
        </w:tc>
        <w:tc>
          <w:tcPr>
            <w:tcW w:w="1228" w:type="dxa"/>
            <w:vAlign w:val="top"/>
          </w:tcPr>
          <w:p w14:paraId="081447BD">
            <w:pPr>
              <w:spacing w:before="239" w:line="379" w:lineRule="auto"/>
              <w:ind w:left="522" w:right="167" w:hanging="356"/>
              <w:rPr>
                <w:rFonts w:ascii="宋体" w:hAnsi="宋体" w:eastAsia="宋体" w:cs="宋体"/>
                <w:sz w:val="20"/>
                <w:szCs w:val="20"/>
              </w:rPr>
            </w:pPr>
            <w:r>
              <w:rPr>
                <w:rFonts w:ascii="Times New Roman" w:hAnsi="Times New Roman" w:eastAsia="Times New Roman" w:cs="Times New Roman"/>
                <w:spacing w:val="4"/>
                <w:sz w:val="20"/>
                <w:szCs w:val="20"/>
              </w:rPr>
              <w:t>29</w:t>
            </w:r>
            <w:r>
              <w:rPr>
                <w:rFonts w:ascii="Times New Roman" w:hAnsi="Times New Roman" w:eastAsia="Times New Roman" w:cs="Times New Roman"/>
                <w:spacing w:val="17"/>
                <w:w w:val="101"/>
                <w:sz w:val="20"/>
                <w:szCs w:val="20"/>
              </w:rPr>
              <w:t xml:space="preserve"> </w:t>
            </w:r>
            <w:r>
              <w:rPr>
                <w:rFonts w:ascii="宋体" w:hAnsi="宋体" w:eastAsia="宋体" w:cs="宋体"/>
                <w:spacing w:val="4"/>
                <w:sz w:val="20"/>
                <w:szCs w:val="20"/>
              </w:rPr>
              <w:t>万千万</w:t>
            </w:r>
            <w:r>
              <w:rPr>
                <w:rFonts w:ascii="宋体" w:hAnsi="宋体" w:eastAsia="宋体" w:cs="宋体"/>
                <w:sz w:val="20"/>
                <w:szCs w:val="20"/>
              </w:rPr>
              <w:t>时</w:t>
            </w:r>
          </w:p>
        </w:tc>
        <w:tc>
          <w:tcPr>
            <w:tcW w:w="1033" w:type="dxa"/>
            <w:vAlign w:val="top"/>
          </w:tcPr>
          <w:p w14:paraId="158061BD">
            <w:pPr>
              <w:spacing w:before="240" w:line="378" w:lineRule="auto"/>
              <w:ind w:left="207" w:right="173" w:hanging="30"/>
              <w:rPr>
                <w:rFonts w:ascii="宋体" w:hAnsi="宋体" w:eastAsia="宋体" w:cs="宋体"/>
                <w:sz w:val="20"/>
                <w:szCs w:val="20"/>
              </w:rPr>
            </w:pPr>
            <w:r>
              <w:rPr>
                <w:rFonts w:ascii="Times New Roman" w:hAnsi="Times New Roman" w:eastAsia="Times New Roman" w:cs="Times New Roman"/>
                <w:spacing w:val="2"/>
                <w:sz w:val="20"/>
                <w:szCs w:val="20"/>
              </w:rPr>
              <w:t>2588</w:t>
            </w:r>
            <w:r>
              <w:rPr>
                <w:rFonts w:ascii="Times New Roman" w:hAnsi="Times New Roman" w:eastAsia="Times New Roman" w:cs="Times New Roman"/>
                <w:spacing w:val="16"/>
                <w:sz w:val="20"/>
                <w:szCs w:val="20"/>
              </w:rPr>
              <w:t xml:space="preserve"> </w:t>
            </w:r>
            <w:r>
              <w:rPr>
                <w:rFonts w:ascii="宋体" w:hAnsi="宋体" w:eastAsia="宋体" w:cs="宋体"/>
                <w:spacing w:val="2"/>
                <w:sz w:val="20"/>
                <w:szCs w:val="20"/>
              </w:rPr>
              <w:t>万</w:t>
            </w:r>
            <w:r>
              <w:rPr>
                <w:rFonts w:ascii="宋体" w:hAnsi="宋体" w:eastAsia="宋体" w:cs="宋体"/>
                <w:spacing w:val="6"/>
                <w:sz w:val="20"/>
                <w:szCs w:val="20"/>
              </w:rPr>
              <w:t>千万时</w:t>
            </w:r>
          </w:p>
        </w:tc>
        <w:tc>
          <w:tcPr>
            <w:tcW w:w="1026" w:type="dxa"/>
            <w:vAlign w:val="top"/>
          </w:tcPr>
          <w:p w14:paraId="57CD04A2">
            <w:pPr>
              <w:spacing w:line="425" w:lineRule="auto"/>
              <w:rPr>
                <w:rFonts w:ascii="Arial"/>
                <w:sz w:val="21"/>
              </w:rPr>
            </w:pPr>
          </w:p>
          <w:p w14:paraId="76AFCB84">
            <w:pPr>
              <w:spacing w:before="57" w:line="199" w:lineRule="auto"/>
              <w:ind w:left="4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21" w:type="dxa"/>
            <w:vAlign w:val="top"/>
          </w:tcPr>
          <w:p w14:paraId="3C611DCC">
            <w:pPr>
              <w:spacing w:before="38" w:line="228" w:lineRule="auto"/>
              <w:ind w:left="172"/>
              <w:rPr>
                <w:rFonts w:ascii="宋体" w:hAnsi="宋体" w:eastAsia="宋体" w:cs="宋体"/>
                <w:sz w:val="20"/>
                <w:szCs w:val="20"/>
              </w:rPr>
            </w:pPr>
            <w:r>
              <w:rPr>
                <w:rFonts w:ascii="宋体" w:hAnsi="宋体" w:eastAsia="宋体" w:cs="宋体"/>
                <w:spacing w:val="1"/>
                <w:sz w:val="20"/>
                <w:szCs w:val="20"/>
              </w:rPr>
              <w:t>园区自</w:t>
            </w:r>
          </w:p>
          <w:p w14:paraId="0B0E8461">
            <w:pPr>
              <w:spacing w:before="161" w:line="357" w:lineRule="auto"/>
              <w:ind w:left="381" w:right="140" w:hanging="226"/>
              <w:rPr>
                <w:rFonts w:ascii="宋体" w:hAnsi="宋体" w:eastAsia="宋体" w:cs="宋体"/>
                <w:sz w:val="20"/>
                <w:szCs w:val="20"/>
              </w:rPr>
            </w:pPr>
            <w:r>
              <w:rPr>
                <w:rFonts w:ascii="宋体" w:hAnsi="宋体" w:eastAsia="宋体" w:cs="宋体"/>
                <w:spacing w:val="6"/>
                <w:sz w:val="20"/>
                <w:szCs w:val="20"/>
              </w:rPr>
              <w:t>来水管</w:t>
            </w:r>
            <w:r>
              <w:rPr>
                <w:rFonts w:ascii="宋体" w:hAnsi="宋体" w:eastAsia="宋体" w:cs="宋体"/>
                <w:sz w:val="20"/>
                <w:szCs w:val="20"/>
              </w:rPr>
              <w:t>网</w:t>
            </w:r>
          </w:p>
        </w:tc>
        <w:tc>
          <w:tcPr>
            <w:tcW w:w="1455" w:type="dxa"/>
            <w:vAlign w:val="top"/>
          </w:tcPr>
          <w:p w14:paraId="460A708C">
            <w:pPr>
              <w:spacing w:line="425" w:lineRule="auto"/>
              <w:rPr>
                <w:rFonts w:ascii="Arial"/>
                <w:sz w:val="21"/>
              </w:rPr>
            </w:pPr>
          </w:p>
          <w:p w14:paraId="0A404726">
            <w:pPr>
              <w:spacing w:before="57" w:line="199" w:lineRule="auto"/>
              <w:ind w:left="7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7" w:type="dxa"/>
            <w:tcBorders>
              <w:top w:val="nil"/>
              <w:bottom w:val="nil"/>
              <w:right w:val="single" w:color="000000" w:sz="6" w:space="0"/>
            </w:tcBorders>
            <w:vAlign w:val="top"/>
          </w:tcPr>
          <w:p w14:paraId="69E92CA9">
            <w:pPr>
              <w:rPr>
                <w:rFonts w:ascii="Arial"/>
                <w:sz w:val="21"/>
              </w:rPr>
            </w:pPr>
          </w:p>
        </w:tc>
      </w:tr>
      <w:tr w14:paraId="1ACDD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2" w:hRule="atLeast"/>
        </w:trPr>
        <w:tc>
          <w:tcPr>
            <w:tcW w:w="428" w:type="dxa"/>
            <w:vMerge w:val="continue"/>
            <w:tcBorders>
              <w:top w:val="nil"/>
              <w:left w:val="single" w:color="000000" w:sz="6" w:space="0"/>
              <w:bottom w:val="single" w:color="000000" w:sz="6" w:space="0"/>
            </w:tcBorders>
            <w:vAlign w:val="top"/>
          </w:tcPr>
          <w:p w14:paraId="6E806905">
            <w:pPr>
              <w:rPr>
                <w:rFonts w:ascii="Arial"/>
                <w:sz w:val="21"/>
              </w:rPr>
            </w:pPr>
          </w:p>
        </w:tc>
        <w:tc>
          <w:tcPr>
            <w:tcW w:w="8636" w:type="dxa"/>
            <w:gridSpan w:val="10"/>
            <w:tcBorders>
              <w:bottom w:val="single" w:color="000000" w:sz="6" w:space="0"/>
              <w:right w:val="single" w:color="000000" w:sz="6" w:space="0"/>
            </w:tcBorders>
            <w:vAlign w:val="top"/>
          </w:tcPr>
          <w:p w14:paraId="557444FB">
            <w:pPr>
              <w:spacing w:before="41" w:line="219" w:lineRule="auto"/>
              <w:ind w:left="598"/>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2</w:t>
            </w:r>
            <w:r>
              <w:rPr>
                <w:rFonts w:ascii="宋体" w:hAnsi="宋体" w:eastAsia="宋体" w:cs="宋体"/>
                <w:b/>
                <w:bCs/>
                <w:spacing w:val="-4"/>
                <w:sz w:val="24"/>
                <w:szCs w:val="24"/>
              </w:rPr>
              <w:t>）辅料理化性质说明：</w:t>
            </w:r>
          </w:p>
          <w:p w14:paraId="6FD30E03">
            <w:pPr>
              <w:spacing w:before="183" w:line="219" w:lineRule="auto"/>
              <w:ind w:left="596"/>
              <w:rPr>
                <w:rFonts w:ascii="宋体" w:hAnsi="宋体" w:eastAsia="宋体" w:cs="宋体"/>
                <w:sz w:val="24"/>
                <w:szCs w:val="24"/>
              </w:rPr>
            </w:pPr>
            <w:r>
              <w:rPr>
                <w:rFonts w:ascii="宋体" w:hAnsi="宋体" w:eastAsia="宋体" w:cs="宋体"/>
                <w:b/>
                <w:bCs/>
                <w:spacing w:val="-5"/>
                <w:sz w:val="24"/>
                <w:szCs w:val="24"/>
              </w:rPr>
              <w:t>聚丙烯（</w:t>
            </w:r>
            <w:r>
              <w:rPr>
                <w:rFonts w:ascii="Times New Roman" w:hAnsi="Times New Roman" w:eastAsia="Times New Roman" w:cs="Times New Roman"/>
                <w:b/>
                <w:bCs/>
                <w:spacing w:val="-5"/>
                <w:sz w:val="24"/>
                <w:szCs w:val="24"/>
              </w:rPr>
              <w:t>PP</w:t>
            </w:r>
            <w:r>
              <w:rPr>
                <w:rFonts w:ascii="宋体" w:hAnsi="宋体" w:eastAsia="宋体" w:cs="宋体"/>
                <w:b/>
                <w:bCs/>
                <w:spacing w:val="-2"/>
                <w:sz w:val="24"/>
                <w:szCs w:val="24"/>
              </w:rPr>
              <w:t>）：</w:t>
            </w:r>
          </w:p>
          <w:p w14:paraId="37FB2A94">
            <w:pPr>
              <w:spacing w:before="183" w:line="359" w:lineRule="auto"/>
              <w:ind w:left="105" w:right="22" w:firstLine="490"/>
              <w:jc w:val="both"/>
              <w:rPr>
                <w:rFonts w:ascii="宋体" w:hAnsi="宋体" w:eastAsia="宋体" w:cs="宋体"/>
                <w:sz w:val="24"/>
                <w:szCs w:val="24"/>
              </w:rPr>
            </w:pPr>
            <w:r>
              <w:rPr>
                <w:rFonts w:ascii="宋体" w:hAnsi="宋体" w:eastAsia="宋体" w:cs="宋体"/>
                <w:spacing w:val="-5"/>
                <w:sz w:val="24"/>
                <w:szCs w:val="24"/>
              </w:rPr>
              <w:t>聚丙烯又称</w:t>
            </w:r>
            <w:r>
              <w:rPr>
                <w:rFonts w:ascii="宋体" w:hAnsi="宋体" w:eastAsia="宋体" w:cs="宋体"/>
                <w:spacing w:val="-56"/>
                <w:sz w:val="24"/>
                <w:szCs w:val="24"/>
              </w:rPr>
              <w:t xml:space="preserve"> </w:t>
            </w:r>
            <w:r>
              <w:rPr>
                <w:rFonts w:ascii="Times New Roman" w:hAnsi="Times New Roman" w:eastAsia="Times New Roman" w:cs="Times New Roman"/>
                <w:spacing w:val="-5"/>
                <w:sz w:val="24"/>
                <w:szCs w:val="24"/>
              </w:rPr>
              <w:t>PP</w:t>
            </w:r>
            <w:r>
              <w:rPr>
                <w:rFonts w:ascii="Times New Roman" w:hAnsi="Times New Roman" w:eastAsia="Times New Roman" w:cs="Times New Roman"/>
                <w:spacing w:val="-32"/>
                <w:sz w:val="24"/>
                <w:szCs w:val="24"/>
              </w:rPr>
              <w:t xml:space="preserve"> </w:t>
            </w:r>
            <w:r>
              <w:rPr>
                <w:rFonts w:ascii="宋体" w:hAnsi="宋体" w:eastAsia="宋体" w:cs="宋体"/>
                <w:spacing w:val="-5"/>
                <w:sz w:val="24"/>
                <w:szCs w:val="24"/>
              </w:rPr>
              <w:t>，分子式（</w:t>
            </w:r>
            <w:r>
              <w:rPr>
                <w:rFonts w:ascii="Times New Roman" w:hAnsi="Times New Roman" w:eastAsia="Times New Roman" w:cs="Times New Roman"/>
                <w:spacing w:val="-5"/>
                <w:sz w:val="24"/>
                <w:szCs w:val="24"/>
              </w:rPr>
              <w:t>C</w:t>
            </w:r>
            <w:r>
              <w:rPr>
                <w:rFonts w:ascii="Times New Roman" w:hAnsi="Times New Roman" w:eastAsia="Times New Roman" w:cs="Times New Roman"/>
                <w:spacing w:val="-5"/>
                <w:position w:val="-1"/>
                <w:sz w:val="15"/>
                <w:szCs w:val="15"/>
              </w:rPr>
              <w:t>3</w:t>
            </w:r>
            <w:r>
              <w:rPr>
                <w:rFonts w:ascii="Times New Roman" w:hAnsi="Times New Roman" w:eastAsia="Times New Roman" w:cs="Times New Roman"/>
                <w:spacing w:val="-5"/>
                <w:sz w:val="24"/>
                <w:szCs w:val="24"/>
              </w:rPr>
              <w:t>H</w:t>
            </w:r>
            <w:r>
              <w:rPr>
                <w:rFonts w:ascii="Times New Roman" w:hAnsi="Times New Roman" w:eastAsia="Times New Roman" w:cs="Times New Roman"/>
                <w:spacing w:val="-5"/>
                <w:sz w:val="15"/>
                <w:szCs w:val="15"/>
              </w:rPr>
              <w:t>6</w:t>
            </w:r>
            <w:r>
              <w:rPr>
                <w:rFonts w:ascii="宋体" w:hAnsi="宋体" w:eastAsia="宋体" w:cs="宋体"/>
                <w:spacing w:val="-5"/>
                <w:sz w:val="24"/>
                <w:szCs w:val="24"/>
              </w:rPr>
              <w:t>）</w:t>
            </w:r>
            <w:r>
              <w:rPr>
                <w:rFonts w:ascii="Times New Roman" w:hAnsi="Times New Roman" w:eastAsia="Times New Roman" w:cs="Times New Roman"/>
                <w:spacing w:val="-5"/>
                <w:sz w:val="24"/>
                <w:szCs w:val="24"/>
              </w:rPr>
              <w:t>n</w:t>
            </w:r>
            <w:r>
              <w:rPr>
                <w:rFonts w:ascii="Times New Roman" w:hAnsi="Times New Roman" w:eastAsia="Times New Roman" w:cs="Times New Roman"/>
                <w:spacing w:val="-31"/>
                <w:sz w:val="24"/>
                <w:szCs w:val="24"/>
              </w:rPr>
              <w:t xml:space="preserve"> </w:t>
            </w:r>
            <w:r>
              <w:rPr>
                <w:rFonts w:ascii="宋体" w:hAnsi="宋体" w:eastAsia="宋体" w:cs="宋体"/>
                <w:spacing w:val="-5"/>
                <w:sz w:val="24"/>
                <w:szCs w:val="24"/>
              </w:rPr>
              <w:t>，是由丙烯聚合而制得的一种热塑性树脂。</w:t>
            </w:r>
            <w:r>
              <w:rPr>
                <w:rFonts w:ascii="宋体" w:hAnsi="宋体" w:eastAsia="宋体" w:cs="宋体"/>
                <w:spacing w:val="-1"/>
                <w:sz w:val="24"/>
                <w:szCs w:val="24"/>
              </w:rPr>
              <w:t>聚丙烯为无毒、无臭、无味的乳白色高结晶的聚合物，熔点约</w:t>
            </w:r>
            <w:r>
              <w:rPr>
                <w:rFonts w:ascii="宋体" w:hAnsi="宋体" w:eastAsia="宋体" w:cs="宋体"/>
                <w:spacing w:val="-19"/>
                <w:sz w:val="24"/>
                <w:szCs w:val="24"/>
              </w:rPr>
              <w:t xml:space="preserve"> </w:t>
            </w:r>
            <w:r>
              <w:rPr>
                <w:rFonts w:ascii="Times New Roman" w:hAnsi="Times New Roman" w:eastAsia="Times New Roman" w:cs="Times New Roman"/>
                <w:spacing w:val="-1"/>
                <w:sz w:val="24"/>
                <w:szCs w:val="24"/>
              </w:rPr>
              <w:t>180-200℃</w:t>
            </w:r>
            <w:r>
              <w:rPr>
                <w:rFonts w:ascii="Times New Roman" w:hAnsi="Times New Roman" w:eastAsia="Times New Roman" w:cs="Times New Roman"/>
                <w:spacing w:val="-27"/>
                <w:sz w:val="24"/>
                <w:szCs w:val="24"/>
              </w:rPr>
              <w:t xml:space="preserve"> </w:t>
            </w:r>
            <w:r>
              <w:rPr>
                <w:rFonts w:ascii="宋体" w:hAnsi="宋体" w:eastAsia="宋体" w:cs="宋体"/>
                <w:spacing w:val="-1"/>
                <w:sz w:val="24"/>
                <w:szCs w:val="24"/>
              </w:rPr>
              <w:t>,</w:t>
            </w:r>
            <w:r>
              <w:rPr>
                <w:rFonts w:ascii="宋体" w:hAnsi="宋体" w:eastAsia="宋体" w:cs="宋体"/>
                <w:spacing w:val="72"/>
                <w:sz w:val="24"/>
                <w:szCs w:val="24"/>
              </w:rPr>
              <w:t xml:space="preserve"> </w:t>
            </w:r>
            <w:r>
              <w:rPr>
                <w:rFonts w:ascii="宋体" w:hAnsi="宋体" w:eastAsia="宋体" w:cs="宋体"/>
                <w:spacing w:val="-1"/>
                <w:sz w:val="24"/>
                <w:szCs w:val="24"/>
              </w:rPr>
              <w:t>热分</w:t>
            </w:r>
            <w:r>
              <w:rPr>
                <w:rFonts w:ascii="宋体" w:hAnsi="宋体" w:eastAsia="宋体" w:cs="宋体"/>
                <w:spacing w:val="-4"/>
                <w:sz w:val="24"/>
                <w:szCs w:val="24"/>
              </w:rPr>
              <w:t>解温度约</w:t>
            </w:r>
            <w:r>
              <w:rPr>
                <w:rFonts w:ascii="宋体" w:hAnsi="宋体" w:eastAsia="宋体" w:cs="宋体"/>
                <w:spacing w:val="-51"/>
                <w:sz w:val="24"/>
                <w:szCs w:val="24"/>
              </w:rPr>
              <w:t xml:space="preserve"> </w:t>
            </w:r>
            <w:r>
              <w:rPr>
                <w:rFonts w:ascii="Times New Roman" w:hAnsi="Times New Roman" w:eastAsia="Times New Roman" w:cs="Times New Roman"/>
                <w:spacing w:val="-4"/>
                <w:sz w:val="24"/>
                <w:szCs w:val="24"/>
              </w:rPr>
              <w:t>380-400℃</w:t>
            </w:r>
            <w:r>
              <w:rPr>
                <w:rFonts w:ascii="Times New Roman" w:hAnsi="Times New Roman" w:eastAsia="Times New Roman" w:cs="Times New Roman"/>
                <w:spacing w:val="-29"/>
                <w:sz w:val="24"/>
                <w:szCs w:val="24"/>
              </w:rPr>
              <w:t xml:space="preserve"> </w:t>
            </w:r>
            <w:r>
              <w:rPr>
                <w:rFonts w:ascii="宋体" w:hAnsi="宋体" w:eastAsia="宋体" w:cs="宋体"/>
                <w:spacing w:val="-4"/>
                <w:sz w:val="24"/>
                <w:szCs w:val="24"/>
              </w:rPr>
              <w:t>, 密度只有</w:t>
            </w:r>
            <w:r>
              <w:rPr>
                <w:rFonts w:ascii="宋体" w:hAnsi="宋体" w:eastAsia="宋体" w:cs="宋体"/>
                <w:spacing w:val="-51"/>
                <w:sz w:val="24"/>
                <w:szCs w:val="24"/>
              </w:rPr>
              <w:t xml:space="preserve"> </w:t>
            </w:r>
            <w:r>
              <w:rPr>
                <w:rFonts w:ascii="Times New Roman" w:hAnsi="Times New Roman" w:eastAsia="Times New Roman" w:cs="Times New Roman"/>
                <w:spacing w:val="-4"/>
                <w:sz w:val="24"/>
                <w:szCs w:val="24"/>
              </w:rPr>
              <w:t>0.9-0.91g/m</w:t>
            </w:r>
            <w:r>
              <w:rPr>
                <w:rFonts w:ascii="Times New Roman" w:hAnsi="Times New Roman" w:eastAsia="Times New Roman" w:cs="Times New Roman"/>
                <w:spacing w:val="-5"/>
                <w:position w:val="8"/>
                <w:sz w:val="15"/>
                <w:szCs w:val="15"/>
              </w:rPr>
              <w:t>3</w:t>
            </w:r>
            <w:r>
              <w:rPr>
                <w:rFonts w:ascii="宋体" w:hAnsi="宋体" w:eastAsia="宋体" w:cs="宋体"/>
                <w:spacing w:val="-5"/>
                <w:sz w:val="24"/>
                <w:szCs w:val="24"/>
              </w:rPr>
              <w:t>，是目前所有塑料中最轻的品种之一。聚丙烯对水特别稳定，在水中的吸水率仅为</w:t>
            </w:r>
            <w:r>
              <w:rPr>
                <w:rFonts w:ascii="宋体" w:hAnsi="宋体" w:eastAsia="宋体" w:cs="宋体"/>
                <w:spacing w:val="-35"/>
                <w:sz w:val="24"/>
                <w:szCs w:val="24"/>
              </w:rPr>
              <w:t xml:space="preserve"> </w:t>
            </w:r>
            <w:r>
              <w:rPr>
                <w:rFonts w:ascii="Times New Roman" w:hAnsi="Times New Roman" w:eastAsia="Times New Roman" w:cs="Times New Roman"/>
                <w:spacing w:val="-5"/>
                <w:sz w:val="24"/>
                <w:szCs w:val="24"/>
              </w:rPr>
              <w:t>0.01%</w:t>
            </w:r>
            <w:r>
              <w:rPr>
                <w:rFonts w:ascii="Times New Roman" w:hAnsi="Times New Roman" w:eastAsia="Times New Roman" w:cs="Times New Roman"/>
                <w:spacing w:val="-31"/>
                <w:sz w:val="24"/>
                <w:szCs w:val="24"/>
              </w:rPr>
              <w:t xml:space="preserve"> </w:t>
            </w:r>
            <w:r>
              <w:rPr>
                <w:rFonts w:ascii="宋体" w:hAnsi="宋体" w:eastAsia="宋体" w:cs="宋体"/>
                <w:spacing w:val="-5"/>
                <w:sz w:val="24"/>
                <w:szCs w:val="24"/>
              </w:rPr>
              <w:t>，分子量约为</w:t>
            </w:r>
            <w:r>
              <w:rPr>
                <w:rFonts w:ascii="宋体" w:hAnsi="宋体" w:eastAsia="宋体" w:cs="宋体"/>
                <w:spacing w:val="-46"/>
                <w:sz w:val="24"/>
                <w:szCs w:val="24"/>
              </w:rPr>
              <w:t xml:space="preserve"> </w:t>
            </w:r>
            <w:r>
              <w:rPr>
                <w:rFonts w:ascii="Times New Roman" w:hAnsi="Times New Roman" w:eastAsia="Times New Roman" w:cs="Times New Roman"/>
                <w:spacing w:val="-5"/>
                <w:sz w:val="24"/>
                <w:szCs w:val="24"/>
              </w:rPr>
              <w:t>8</w:t>
            </w:r>
            <w:r>
              <w:rPr>
                <w:rFonts w:ascii="Times New Roman" w:hAnsi="Times New Roman" w:eastAsia="Times New Roman" w:cs="Times New Roman"/>
                <w:spacing w:val="15"/>
                <w:w w:val="101"/>
                <w:sz w:val="24"/>
                <w:szCs w:val="24"/>
              </w:rPr>
              <w:t xml:space="preserve"> </w:t>
            </w:r>
            <w:r>
              <w:rPr>
                <w:rFonts w:ascii="宋体" w:hAnsi="宋体" w:eastAsia="宋体" w:cs="宋体"/>
                <w:spacing w:val="-5"/>
                <w:sz w:val="24"/>
                <w:szCs w:val="24"/>
              </w:rPr>
              <w:t>万到</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15</w:t>
            </w:r>
            <w:r>
              <w:rPr>
                <w:rFonts w:ascii="Times New Roman" w:hAnsi="Times New Roman" w:eastAsia="Times New Roman" w:cs="Times New Roman"/>
                <w:spacing w:val="15"/>
                <w:sz w:val="24"/>
                <w:szCs w:val="24"/>
              </w:rPr>
              <w:t xml:space="preserve"> </w:t>
            </w:r>
            <w:r>
              <w:rPr>
                <w:rFonts w:ascii="宋体" w:hAnsi="宋体" w:eastAsia="宋体" w:cs="宋体"/>
                <w:spacing w:val="-5"/>
                <w:sz w:val="24"/>
                <w:szCs w:val="24"/>
              </w:rPr>
              <w:t>万。聚</w:t>
            </w:r>
            <w:r>
              <w:rPr>
                <w:rFonts w:ascii="宋体" w:hAnsi="宋体" w:eastAsia="宋体" w:cs="宋体"/>
                <w:spacing w:val="-2"/>
                <w:sz w:val="24"/>
                <w:szCs w:val="24"/>
              </w:rPr>
              <w:t>丙烯成型性好，但因收缩率大（为</w:t>
            </w:r>
            <w:r>
              <w:rPr>
                <w:rFonts w:ascii="宋体" w:hAnsi="宋体" w:eastAsia="宋体" w:cs="宋体"/>
                <w:spacing w:val="-31"/>
                <w:sz w:val="24"/>
                <w:szCs w:val="24"/>
              </w:rPr>
              <w:t xml:space="preserve"> </w:t>
            </w:r>
            <w:r>
              <w:rPr>
                <w:rFonts w:ascii="Times New Roman" w:hAnsi="Times New Roman" w:eastAsia="Times New Roman" w:cs="Times New Roman"/>
                <w:spacing w:val="-2"/>
                <w:sz w:val="24"/>
                <w:szCs w:val="24"/>
              </w:rPr>
              <w:t>1-2.5%</w:t>
            </w:r>
            <w:r>
              <w:rPr>
                <w:rFonts w:ascii="宋体" w:hAnsi="宋体" w:eastAsia="宋体" w:cs="宋体"/>
                <w:spacing w:val="10"/>
                <w:sz w:val="24"/>
                <w:szCs w:val="24"/>
              </w:rPr>
              <w:t>），</w:t>
            </w:r>
            <w:r>
              <w:rPr>
                <w:rFonts w:ascii="宋体" w:hAnsi="宋体" w:eastAsia="宋体" w:cs="宋体"/>
                <w:spacing w:val="-2"/>
                <w:sz w:val="24"/>
                <w:szCs w:val="24"/>
              </w:rPr>
              <w:t>厚壁制品易凹陷，对一些尺寸精度</w:t>
            </w:r>
            <w:r>
              <w:rPr>
                <w:rFonts w:ascii="宋体" w:hAnsi="宋体" w:eastAsia="宋体" w:cs="宋体"/>
                <w:sz w:val="24"/>
                <w:szCs w:val="24"/>
              </w:rPr>
              <w:t>较高的零件，还难以达到要求，制品表面光泽好，易于着色。聚丙烯的化学稳定性很好，除能被浓硫酸、浓硝酸侵蚀外，对其它各种化学试剂都比较稳定，防腐</w:t>
            </w:r>
            <w:r>
              <w:rPr>
                <w:rFonts w:ascii="宋体" w:hAnsi="宋体" w:eastAsia="宋体" w:cs="宋体"/>
                <w:spacing w:val="-2"/>
                <w:sz w:val="24"/>
                <w:szCs w:val="24"/>
              </w:rPr>
              <w:t>蚀效果良好。</w:t>
            </w:r>
          </w:p>
          <w:p w14:paraId="4D997AC8">
            <w:pPr>
              <w:spacing w:line="219" w:lineRule="auto"/>
              <w:ind w:left="586"/>
              <w:rPr>
                <w:rFonts w:ascii="宋体" w:hAnsi="宋体" w:eastAsia="宋体" w:cs="宋体"/>
                <w:sz w:val="24"/>
                <w:szCs w:val="24"/>
              </w:rPr>
            </w:pPr>
            <w:r>
              <w:rPr>
                <w:rFonts w:ascii="Times New Roman" w:hAnsi="Times New Roman" w:eastAsia="Times New Roman" w:cs="Times New Roman"/>
                <w:b/>
                <w:bCs/>
                <w:spacing w:val="-5"/>
                <w:sz w:val="24"/>
                <w:szCs w:val="24"/>
              </w:rPr>
              <w:t>6</w:t>
            </w:r>
            <w:r>
              <w:rPr>
                <w:rFonts w:ascii="Times New Roman" w:hAnsi="Times New Roman" w:eastAsia="Times New Roman" w:cs="Times New Roman"/>
                <w:b/>
                <w:bCs/>
                <w:spacing w:val="-31"/>
                <w:sz w:val="24"/>
                <w:szCs w:val="24"/>
              </w:rPr>
              <w:t xml:space="preserve"> </w:t>
            </w:r>
            <w:r>
              <w:rPr>
                <w:rFonts w:ascii="宋体" w:hAnsi="宋体" w:eastAsia="宋体" w:cs="宋体"/>
                <w:b/>
                <w:bCs/>
                <w:spacing w:val="-5"/>
                <w:sz w:val="24"/>
                <w:szCs w:val="24"/>
              </w:rPr>
              <w:t>、劳动定员及工作制度</w:t>
            </w:r>
          </w:p>
          <w:p w14:paraId="7751B395">
            <w:pPr>
              <w:spacing w:before="180" w:line="359" w:lineRule="auto"/>
              <w:ind w:left="108" w:right="102" w:firstLine="48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）劳动定员：本项目扩建增加工作人员</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5</w:t>
            </w:r>
            <w:r>
              <w:rPr>
                <w:rFonts w:ascii="Times New Roman" w:hAnsi="Times New Roman" w:eastAsia="Times New Roman" w:cs="Times New Roman"/>
                <w:spacing w:val="16"/>
                <w:w w:val="101"/>
                <w:sz w:val="24"/>
                <w:szCs w:val="24"/>
              </w:rPr>
              <w:t xml:space="preserve"> </w:t>
            </w:r>
            <w:r>
              <w:rPr>
                <w:rFonts w:ascii="宋体" w:hAnsi="宋体" w:eastAsia="宋体" w:cs="宋体"/>
                <w:spacing w:val="1"/>
                <w:sz w:val="24"/>
                <w:szCs w:val="24"/>
              </w:rPr>
              <w:t>人</w:t>
            </w:r>
            <w:r>
              <w:rPr>
                <w:rFonts w:ascii="宋体" w:hAnsi="宋体" w:eastAsia="宋体" w:cs="宋体"/>
                <w:sz w:val="24"/>
                <w:szCs w:val="24"/>
              </w:rPr>
              <w:t>，扩建完成后全厂员工共</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63</w:t>
            </w:r>
            <w:r>
              <w:rPr>
                <w:rFonts w:ascii="宋体" w:hAnsi="宋体" w:eastAsia="宋体" w:cs="宋体"/>
                <w:spacing w:val="-2"/>
                <w:sz w:val="24"/>
                <w:szCs w:val="24"/>
              </w:rPr>
              <w:t>人，均不设置食宿。</w:t>
            </w:r>
          </w:p>
          <w:p w14:paraId="05948C57">
            <w:pPr>
              <w:spacing w:before="1" w:line="219" w:lineRule="auto"/>
              <w:ind w:left="598"/>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）工作制度：年工作</w:t>
            </w:r>
            <w:r>
              <w:rPr>
                <w:rFonts w:ascii="宋体" w:hAnsi="宋体" w:eastAsia="宋体" w:cs="宋体"/>
                <w:spacing w:val="-45"/>
                <w:sz w:val="24"/>
                <w:szCs w:val="24"/>
              </w:rPr>
              <w:t xml:space="preserve"> </w:t>
            </w:r>
            <w:r>
              <w:rPr>
                <w:rFonts w:ascii="Times New Roman" w:hAnsi="Times New Roman" w:eastAsia="Times New Roman" w:cs="Times New Roman"/>
                <w:spacing w:val="-2"/>
                <w:sz w:val="24"/>
                <w:szCs w:val="24"/>
              </w:rPr>
              <w:t xml:space="preserve">300 </w:t>
            </w:r>
            <w:r>
              <w:rPr>
                <w:rFonts w:ascii="宋体" w:hAnsi="宋体" w:eastAsia="宋体" w:cs="宋体"/>
                <w:spacing w:val="-2"/>
                <w:sz w:val="24"/>
                <w:szCs w:val="24"/>
              </w:rPr>
              <w:t>天，每天</w:t>
            </w:r>
            <w:r>
              <w:rPr>
                <w:rFonts w:ascii="宋体" w:hAnsi="宋体" w:eastAsia="宋体" w:cs="宋体"/>
                <w:spacing w:val="-45"/>
                <w:sz w:val="24"/>
                <w:szCs w:val="24"/>
              </w:rPr>
              <w:t xml:space="preserve"> </w:t>
            </w:r>
            <w:r>
              <w:rPr>
                <w:rFonts w:ascii="Times New Roman" w:hAnsi="Times New Roman" w:eastAsia="Times New Roman" w:cs="Times New Roman"/>
                <w:spacing w:val="-2"/>
                <w:sz w:val="24"/>
                <w:szCs w:val="24"/>
              </w:rPr>
              <w:t xml:space="preserve">8h </w:t>
            </w:r>
            <w:r>
              <w:rPr>
                <w:rFonts w:ascii="宋体" w:hAnsi="宋体" w:eastAsia="宋体" w:cs="宋体"/>
                <w:spacing w:val="-2"/>
                <w:sz w:val="24"/>
                <w:szCs w:val="24"/>
              </w:rPr>
              <w:t>单班制。</w:t>
            </w:r>
          </w:p>
          <w:p w14:paraId="05062B60">
            <w:pPr>
              <w:spacing w:before="183" w:line="219" w:lineRule="auto"/>
              <w:ind w:left="585"/>
              <w:rPr>
                <w:rFonts w:ascii="宋体" w:hAnsi="宋体" w:eastAsia="宋体" w:cs="宋体"/>
                <w:sz w:val="24"/>
                <w:szCs w:val="24"/>
              </w:rPr>
            </w:pPr>
            <w:r>
              <w:rPr>
                <w:rFonts w:ascii="Times New Roman" w:hAnsi="Times New Roman" w:eastAsia="Times New Roman" w:cs="Times New Roman"/>
                <w:b/>
                <w:bCs/>
                <w:spacing w:val="-7"/>
                <w:sz w:val="24"/>
                <w:szCs w:val="24"/>
              </w:rPr>
              <w:t>7</w:t>
            </w:r>
            <w:r>
              <w:rPr>
                <w:rFonts w:ascii="Times New Roman" w:hAnsi="Times New Roman" w:eastAsia="Times New Roman" w:cs="Times New Roman"/>
                <w:b/>
                <w:bCs/>
                <w:spacing w:val="-31"/>
                <w:sz w:val="24"/>
                <w:szCs w:val="24"/>
              </w:rPr>
              <w:t xml:space="preserve"> </w:t>
            </w:r>
            <w:r>
              <w:rPr>
                <w:rFonts w:ascii="宋体" w:hAnsi="宋体" w:eastAsia="宋体" w:cs="宋体"/>
                <w:b/>
                <w:bCs/>
                <w:spacing w:val="-7"/>
                <w:sz w:val="24"/>
                <w:szCs w:val="24"/>
              </w:rPr>
              <w:t>、水平衡分析</w:t>
            </w:r>
          </w:p>
        </w:tc>
      </w:tr>
    </w:tbl>
    <w:p w14:paraId="03ABA94A">
      <w:pPr>
        <w:pStyle w:val="2"/>
      </w:pPr>
    </w:p>
    <w:p w14:paraId="00BACBE1">
      <w:pPr>
        <w:sectPr>
          <w:footerReference r:id="rId54" w:type="default"/>
          <w:pgSz w:w="11906" w:h="16839"/>
          <w:pgMar w:top="400" w:right="1413" w:bottom="1329" w:left="1413" w:header="0" w:footer="1113" w:gutter="0"/>
          <w:cols w:space="720" w:num="1"/>
        </w:sectPr>
      </w:pPr>
    </w:p>
    <w:p w14:paraId="256FBD65">
      <w:pPr>
        <w:spacing w:before="19"/>
      </w:pPr>
    </w:p>
    <w:p w14:paraId="66166BC1">
      <w:pPr>
        <w:spacing w:before="19"/>
      </w:pPr>
    </w:p>
    <w:p w14:paraId="687ED2E6">
      <w:pPr>
        <w:spacing w:before="19"/>
      </w:pPr>
    </w:p>
    <w:p w14:paraId="1FD04E6E">
      <w:pPr>
        <w:spacing w:before="18"/>
      </w:pPr>
    </w:p>
    <w:p w14:paraId="7FC66EBB">
      <w:pPr>
        <w:spacing w:before="18"/>
      </w:pPr>
    </w:p>
    <w:tbl>
      <w:tblPr>
        <w:tblStyle w:val="10"/>
        <w:tblW w:w="90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28"/>
        <w:gridCol w:w="8636"/>
      </w:tblGrid>
      <w:tr w14:paraId="4BC6B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69" w:hRule="atLeast"/>
        </w:trPr>
        <w:tc>
          <w:tcPr>
            <w:tcW w:w="428" w:type="dxa"/>
            <w:tcBorders>
              <w:right w:val="single" w:color="000000" w:sz="2" w:space="0"/>
            </w:tcBorders>
            <w:vAlign w:val="top"/>
          </w:tcPr>
          <w:p w14:paraId="5BF2DA2D">
            <w:pPr>
              <w:rPr>
                <w:rFonts w:ascii="Arial"/>
                <w:sz w:val="21"/>
              </w:rPr>
            </w:pPr>
          </w:p>
        </w:tc>
        <w:tc>
          <w:tcPr>
            <w:tcW w:w="8636" w:type="dxa"/>
            <w:tcBorders>
              <w:left w:val="single" w:color="000000" w:sz="2" w:space="0"/>
            </w:tcBorders>
            <w:vAlign w:val="top"/>
          </w:tcPr>
          <w:p w14:paraId="72E24DAE">
            <w:pPr>
              <w:spacing w:before="39" w:line="219" w:lineRule="auto"/>
              <w:ind w:left="598"/>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1</w:t>
            </w:r>
            <w:r>
              <w:rPr>
                <w:rFonts w:ascii="宋体" w:hAnsi="宋体" w:eastAsia="宋体" w:cs="宋体"/>
                <w:b/>
                <w:bCs/>
                <w:spacing w:val="-4"/>
                <w:sz w:val="24"/>
                <w:szCs w:val="24"/>
              </w:rPr>
              <w:t>）本项目水平衡分析</w:t>
            </w:r>
          </w:p>
          <w:p w14:paraId="5154A4D2">
            <w:pPr>
              <w:spacing w:before="184" w:line="217" w:lineRule="auto"/>
              <w:ind w:left="585"/>
              <w:rPr>
                <w:rFonts w:ascii="宋体" w:hAnsi="宋体" w:eastAsia="宋体" w:cs="宋体"/>
                <w:sz w:val="24"/>
                <w:szCs w:val="24"/>
              </w:rPr>
            </w:pPr>
            <w:r>
              <w:rPr>
                <w:rFonts w:ascii="宋体" w:hAnsi="宋体" w:eastAsia="宋体" w:cs="宋体"/>
                <w:b/>
                <w:bCs/>
                <w:spacing w:val="-4"/>
                <w:sz w:val="24"/>
                <w:szCs w:val="24"/>
              </w:rPr>
              <w:t>①生活用水</w:t>
            </w:r>
          </w:p>
          <w:p w14:paraId="1589FF4E">
            <w:pPr>
              <w:spacing w:before="180" w:line="360" w:lineRule="auto"/>
              <w:ind w:left="107" w:right="40" w:firstLine="480"/>
              <w:jc w:val="both"/>
              <w:rPr>
                <w:rFonts w:ascii="宋体" w:hAnsi="宋体" w:eastAsia="宋体" w:cs="宋体"/>
                <w:sz w:val="24"/>
                <w:szCs w:val="24"/>
              </w:rPr>
            </w:pPr>
            <w:r>
              <w:rPr>
                <w:rFonts w:ascii="宋体" w:hAnsi="宋体" w:eastAsia="宋体" w:cs="宋体"/>
                <w:spacing w:val="-1"/>
                <w:sz w:val="24"/>
                <w:szCs w:val="24"/>
              </w:rPr>
              <w:t>本项目新增员工</w:t>
            </w:r>
            <w:r>
              <w:rPr>
                <w:rFonts w:ascii="宋体" w:hAnsi="宋体" w:eastAsia="宋体" w:cs="宋体"/>
                <w:spacing w:val="-42"/>
                <w:sz w:val="24"/>
                <w:szCs w:val="24"/>
              </w:rPr>
              <w:t xml:space="preserve"> </w:t>
            </w:r>
            <w:r>
              <w:rPr>
                <w:rFonts w:ascii="Times New Roman" w:hAnsi="Times New Roman" w:eastAsia="Times New Roman" w:cs="Times New Roman"/>
                <w:spacing w:val="-1"/>
                <w:sz w:val="24"/>
                <w:szCs w:val="24"/>
              </w:rPr>
              <w:t xml:space="preserve">5 </w:t>
            </w:r>
            <w:r>
              <w:rPr>
                <w:rFonts w:ascii="宋体" w:hAnsi="宋体" w:eastAsia="宋体" w:cs="宋体"/>
                <w:spacing w:val="-1"/>
                <w:sz w:val="24"/>
                <w:szCs w:val="24"/>
              </w:rPr>
              <w:t>人，每天工作</w:t>
            </w:r>
            <w:r>
              <w:rPr>
                <w:rFonts w:ascii="宋体" w:hAnsi="宋体" w:eastAsia="宋体" w:cs="宋体"/>
                <w:spacing w:val="-45"/>
                <w:sz w:val="24"/>
                <w:szCs w:val="24"/>
              </w:rPr>
              <w:t xml:space="preserve"> </w:t>
            </w:r>
            <w:r>
              <w:rPr>
                <w:rFonts w:ascii="Times New Roman" w:hAnsi="Times New Roman" w:eastAsia="Times New Roman" w:cs="Times New Roman"/>
                <w:spacing w:val="-1"/>
                <w:sz w:val="24"/>
                <w:szCs w:val="24"/>
              </w:rPr>
              <w:t>8</w:t>
            </w:r>
            <w:r>
              <w:rPr>
                <w:rFonts w:ascii="Times New Roman" w:hAnsi="Times New Roman" w:eastAsia="Times New Roman" w:cs="Times New Roman"/>
                <w:spacing w:val="16"/>
                <w:sz w:val="24"/>
                <w:szCs w:val="24"/>
              </w:rPr>
              <w:t xml:space="preserve"> </w:t>
            </w:r>
            <w:r>
              <w:rPr>
                <w:rFonts w:ascii="宋体" w:hAnsi="宋体" w:eastAsia="宋体" w:cs="宋体"/>
                <w:spacing w:val="-1"/>
                <w:sz w:val="24"/>
                <w:szCs w:val="24"/>
              </w:rPr>
              <w:t>小时，不在厂区内食宿。根据《云南省地</w:t>
            </w:r>
            <w:r>
              <w:rPr>
                <w:rFonts w:ascii="宋体" w:hAnsi="宋体" w:eastAsia="宋体" w:cs="宋体"/>
                <w:spacing w:val="1"/>
                <w:sz w:val="24"/>
                <w:szCs w:val="24"/>
              </w:rPr>
              <w:t>方标准 用水定额》（</w:t>
            </w:r>
            <w:r>
              <w:rPr>
                <w:rFonts w:ascii="Times New Roman" w:hAnsi="Times New Roman" w:eastAsia="Times New Roman" w:cs="Times New Roman"/>
                <w:sz w:val="24"/>
                <w:szCs w:val="24"/>
              </w:rPr>
              <w:t>DB</w:t>
            </w:r>
            <w:r>
              <w:rPr>
                <w:rFonts w:ascii="Times New Roman" w:hAnsi="Times New Roman" w:eastAsia="Times New Roman" w:cs="Times New Roman"/>
                <w:spacing w:val="1"/>
                <w:sz w:val="24"/>
                <w:szCs w:val="24"/>
              </w:rPr>
              <w:t>53/T168-2026</w:t>
            </w:r>
            <w:r>
              <w:rPr>
                <w:rFonts w:ascii="宋体" w:hAnsi="宋体" w:eastAsia="宋体" w:cs="宋体"/>
                <w:spacing w:val="14"/>
                <w:sz w:val="24"/>
                <w:szCs w:val="24"/>
              </w:rPr>
              <w:t>），</w:t>
            </w:r>
            <w:r>
              <w:rPr>
                <w:rFonts w:ascii="宋体" w:hAnsi="宋体" w:eastAsia="宋体" w:cs="宋体"/>
                <w:spacing w:val="1"/>
                <w:sz w:val="24"/>
                <w:szCs w:val="24"/>
              </w:rPr>
              <w:t>员工用水量按</w:t>
            </w:r>
            <w:r>
              <w:rPr>
                <w:rFonts w:ascii="宋体" w:hAnsi="宋体" w:eastAsia="宋体" w:cs="宋体"/>
                <w:spacing w:val="-47"/>
                <w:sz w:val="24"/>
                <w:szCs w:val="24"/>
              </w:rPr>
              <w:t xml:space="preserve"> </w:t>
            </w:r>
            <w:r>
              <w:rPr>
                <w:rFonts w:ascii="Times New Roman" w:hAnsi="Times New Roman" w:eastAsia="Times New Roman" w:cs="Times New Roman"/>
                <w:spacing w:val="1"/>
                <w:sz w:val="24"/>
                <w:szCs w:val="24"/>
              </w:rPr>
              <w:t>60L</w:t>
            </w:r>
            <w:r>
              <w:rPr>
                <w:rFonts w:ascii="Times New Roman" w:hAnsi="Times New Roman" w:eastAsia="Times New Roman" w:cs="Times New Roman"/>
                <w:sz w:val="24"/>
                <w:szCs w:val="24"/>
              </w:rPr>
              <w:t>/</w:t>
            </w:r>
            <w:r>
              <w:rPr>
                <w:rFonts w:ascii="宋体" w:hAnsi="宋体" w:eastAsia="宋体" w:cs="宋体"/>
                <w:sz w:val="24"/>
                <w:szCs w:val="24"/>
              </w:rPr>
              <w:t xml:space="preserve">（人 </w:t>
            </w:r>
            <w:r>
              <w:rPr>
                <w:rFonts w:ascii="Times New Roman" w:hAnsi="Times New Roman" w:eastAsia="Times New Roman" w:cs="Times New Roman"/>
                <w:sz w:val="24"/>
                <w:szCs w:val="24"/>
              </w:rPr>
              <w:t>d</w:t>
            </w:r>
            <w:r>
              <w:rPr>
                <w:rFonts w:ascii="宋体" w:hAnsi="宋体" w:eastAsia="宋体" w:cs="宋体"/>
                <w:sz w:val="24"/>
                <w:szCs w:val="24"/>
              </w:rPr>
              <w:t>）计。项目</w:t>
            </w:r>
            <w:r>
              <w:rPr>
                <w:rFonts w:ascii="宋体" w:hAnsi="宋体" w:eastAsia="宋体" w:cs="宋体"/>
                <w:spacing w:val="-7"/>
                <w:sz w:val="24"/>
                <w:szCs w:val="24"/>
              </w:rPr>
              <w:t>生活用水量为</w:t>
            </w:r>
            <w:r>
              <w:rPr>
                <w:rFonts w:ascii="宋体" w:hAnsi="宋体" w:eastAsia="宋体" w:cs="宋体"/>
                <w:spacing w:val="-51"/>
                <w:sz w:val="24"/>
                <w:szCs w:val="24"/>
              </w:rPr>
              <w:t xml:space="preserve"> </w:t>
            </w:r>
            <w:r>
              <w:rPr>
                <w:rFonts w:ascii="Times New Roman" w:hAnsi="Times New Roman" w:eastAsia="Times New Roman" w:cs="Times New Roman"/>
                <w:spacing w:val="-7"/>
                <w:sz w:val="24"/>
                <w:szCs w:val="24"/>
              </w:rPr>
              <w:t>0.3m</w:t>
            </w:r>
            <w:r>
              <w:rPr>
                <w:rFonts w:ascii="Times New Roman" w:hAnsi="Times New Roman" w:eastAsia="Times New Roman" w:cs="Times New Roman"/>
                <w:spacing w:val="-7"/>
                <w:position w:val="7"/>
                <w:sz w:val="15"/>
                <w:szCs w:val="15"/>
              </w:rPr>
              <w:t>3</w:t>
            </w:r>
            <w:r>
              <w:rPr>
                <w:rFonts w:ascii="Times New Roman" w:hAnsi="Times New Roman" w:eastAsia="Times New Roman" w:cs="Times New Roman"/>
                <w:spacing w:val="-7"/>
                <w:sz w:val="24"/>
                <w:szCs w:val="24"/>
              </w:rPr>
              <w:t>/d</w:t>
            </w:r>
            <w:r>
              <w:rPr>
                <w:rFonts w:ascii="宋体" w:hAnsi="宋体" w:eastAsia="宋体" w:cs="宋体"/>
                <w:spacing w:val="-7"/>
                <w:sz w:val="24"/>
                <w:szCs w:val="24"/>
              </w:rPr>
              <w:t>，</w:t>
            </w:r>
            <w:r>
              <w:rPr>
                <w:rFonts w:ascii="Times New Roman" w:hAnsi="Times New Roman" w:eastAsia="Times New Roman" w:cs="Times New Roman"/>
                <w:spacing w:val="-7"/>
                <w:sz w:val="24"/>
                <w:szCs w:val="24"/>
              </w:rPr>
              <w:t>90t/a</w:t>
            </w:r>
            <w:r>
              <w:rPr>
                <w:rFonts w:ascii="宋体" w:hAnsi="宋体" w:eastAsia="宋体" w:cs="宋体"/>
                <w:spacing w:val="-7"/>
                <w:sz w:val="24"/>
                <w:szCs w:val="24"/>
              </w:rPr>
              <w:t>。产污系数为</w:t>
            </w:r>
            <w:r>
              <w:rPr>
                <w:rFonts w:ascii="宋体" w:hAnsi="宋体" w:eastAsia="宋体" w:cs="宋体"/>
                <w:spacing w:val="-46"/>
                <w:sz w:val="24"/>
                <w:szCs w:val="24"/>
              </w:rPr>
              <w:t xml:space="preserve"> </w:t>
            </w:r>
            <w:r>
              <w:rPr>
                <w:rFonts w:ascii="Times New Roman" w:hAnsi="Times New Roman" w:eastAsia="Times New Roman" w:cs="Times New Roman"/>
                <w:spacing w:val="-7"/>
                <w:sz w:val="24"/>
                <w:szCs w:val="24"/>
              </w:rPr>
              <w:t>80%</w:t>
            </w:r>
            <w:r>
              <w:rPr>
                <w:rFonts w:ascii="宋体" w:hAnsi="宋体" w:eastAsia="宋体" w:cs="宋体"/>
                <w:spacing w:val="-7"/>
                <w:sz w:val="24"/>
                <w:szCs w:val="24"/>
              </w:rPr>
              <w:t>，则生活污水量</w:t>
            </w:r>
            <w:r>
              <w:rPr>
                <w:rFonts w:ascii="宋体" w:hAnsi="宋体" w:eastAsia="宋体" w:cs="宋体"/>
                <w:spacing w:val="-8"/>
                <w:sz w:val="24"/>
                <w:szCs w:val="24"/>
              </w:rPr>
              <w:t>为</w:t>
            </w:r>
            <w:r>
              <w:rPr>
                <w:rFonts w:ascii="宋体" w:hAnsi="宋体" w:eastAsia="宋体" w:cs="宋体"/>
                <w:spacing w:val="-51"/>
                <w:sz w:val="24"/>
                <w:szCs w:val="24"/>
              </w:rPr>
              <w:t xml:space="preserve"> </w:t>
            </w:r>
            <w:r>
              <w:rPr>
                <w:rFonts w:ascii="Times New Roman" w:hAnsi="Times New Roman" w:eastAsia="Times New Roman" w:cs="Times New Roman"/>
                <w:spacing w:val="-8"/>
                <w:sz w:val="24"/>
                <w:szCs w:val="24"/>
              </w:rPr>
              <w:t>0.24m</w:t>
            </w:r>
            <w:r>
              <w:rPr>
                <w:rFonts w:ascii="Times New Roman" w:hAnsi="Times New Roman" w:eastAsia="Times New Roman" w:cs="Times New Roman"/>
                <w:spacing w:val="-8"/>
                <w:position w:val="7"/>
                <w:sz w:val="15"/>
                <w:szCs w:val="15"/>
              </w:rPr>
              <w:t>3</w:t>
            </w:r>
            <w:r>
              <w:rPr>
                <w:rFonts w:ascii="Times New Roman" w:hAnsi="Times New Roman" w:eastAsia="Times New Roman" w:cs="Times New Roman"/>
                <w:spacing w:val="-8"/>
                <w:sz w:val="24"/>
                <w:szCs w:val="24"/>
              </w:rPr>
              <w:t>/d</w:t>
            </w:r>
            <w:r>
              <w:rPr>
                <w:rFonts w:ascii="宋体" w:hAnsi="宋体" w:eastAsia="宋体" w:cs="宋体"/>
                <w:spacing w:val="-21"/>
                <w:w w:val="98"/>
                <w:sz w:val="24"/>
                <w:szCs w:val="24"/>
              </w:rPr>
              <w:t>，</w:t>
            </w:r>
            <w:r>
              <w:rPr>
                <w:rFonts w:ascii="Times New Roman" w:hAnsi="Times New Roman" w:eastAsia="Times New Roman" w:cs="Times New Roman"/>
                <w:spacing w:val="-21"/>
                <w:w w:val="98"/>
                <w:sz w:val="24"/>
                <w:szCs w:val="24"/>
              </w:rPr>
              <w:t>72m</w:t>
            </w:r>
            <w:r>
              <w:rPr>
                <w:rFonts w:ascii="Times New Roman" w:hAnsi="Times New Roman" w:eastAsia="Times New Roman" w:cs="Times New Roman"/>
                <w:spacing w:val="1"/>
                <w:position w:val="7"/>
                <w:sz w:val="15"/>
                <w:szCs w:val="15"/>
              </w:rPr>
              <w:t>3</w:t>
            </w:r>
            <w:r>
              <w:rPr>
                <w:rFonts w:ascii="Times New Roman" w:hAnsi="Times New Roman" w:eastAsia="Times New Roman" w:cs="Times New Roman"/>
                <w:spacing w:val="1"/>
                <w:sz w:val="24"/>
                <w:szCs w:val="24"/>
              </w:rPr>
              <w:t>/a</w:t>
            </w:r>
            <w:r>
              <w:rPr>
                <w:rFonts w:ascii="宋体" w:hAnsi="宋体" w:eastAsia="宋体" w:cs="宋体"/>
                <w:spacing w:val="-56"/>
                <w:sz w:val="24"/>
                <w:szCs w:val="24"/>
              </w:rPr>
              <w:t>，</w:t>
            </w:r>
            <w:r>
              <w:rPr>
                <w:rFonts w:ascii="宋体" w:hAnsi="宋体" w:eastAsia="宋体" w:cs="宋体"/>
                <w:sz w:val="24"/>
                <w:szCs w:val="24"/>
              </w:rPr>
              <w:t>生活污水经化粪池</w:t>
            </w:r>
            <w:r>
              <w:rPr>
                <w:rFonts w:ascii="Times New Roman" w:hAnsi="Times New Roman" w:eastAsia="Times New Roman" w:cs="Times New Roman"/>
                <w:sz w:val="24"/>
                <w:szCs w:val="24"/>
              </w:rPr>
              <w:t>+</w:t>
            </w:r>
            <w:r>
              <w:rPr>
                <w:rFonts w:ascii="宋体" w:hAnsi="宋体" w:eastAsia="宋体" w:cs="宋体"/>
                <w:sz w:val="24"/>
                <w:szCs w:val="24"/>
              </w:rPr>
              <w:t>一体化污水处理设施处</w:t>
            </w:r>
            <w:r>
              <w:rPr>
                <w:rFonts w:ascii="宋体" w:hAnsi="宋体" w:eastAsia="宋体" w:cs="宋体"/>
                <w:spacing w:val="-1"/>
                <w:sz w:val="24"/>
                <w:szCs w:val="24"/>
              </w:rPr>
              <w:t>理后回用于厂区绿化。</w:t>
            </w:r>
          </w:p>
          <w:p w14:paraId="070257C5">
            <w:pPr>
              <w:spacing w:line="217" w:lineRule="auto"/>
              <w:ind w:left="584"/>
              <w:rPr>
                <w:rFonts w:ascii="宋体" w:hAnsi="宋体" w:eastAsia="宋体" w:cs="宋体"/>
                <w:sz w:val="24"/>
                <w:szCs w:val="24"/>
              </w:rPr>
            </w:pPr>
            <w:r>
              <w:rPr>
                <w:rFonts w:ascii="宋体" w:hAnsi="宋体" w:eastAsia="宋体" w:cs="宋体"/>
                <w:b/>
                <w:bCs/>
                <w:spacing w:val="-3"/>
                <w:sz w:val="24"/>
                <w:szCs w:val="24"/>
              </w:rPr>
              <w:t>②冷却循环用水</w:t>
            </w:r>
          </w:p>
          <w:p w14:paraId="4F3D50A0">
            <w:pPr>
              <w:spacing w:before="182" w:line="348" w:lineRule="auto"/>
              <w:ind w:left="109" w:right="102" w:firstLine="480"/>
              <w:jc w:val="both"/>
              <w:rPr>
                <w:rFonts w:ascii="宋体" w:hAnsi="宋体" w:eastAsia="宋体" w:cs="宋体"/>
                <w:sz w:val="24"/>
                <w:szCs w:val="24"/>
              </w:rPr>
            </w:pPr>
            <w:r>
              <w:rPr>
                <w:rFonts w:ascii="宋体" w:hAnsi="宋体" w:eastAsia="宋体" w:cs="宋体"/>
                <w:spacing w:val="-3"/>
                <w:sz w:val="24"/>
                <w:szCs w:val="24"/>
              </w:rPr>
              <w:t>项目设置</w:t>
            </w:r>
            <w:r>
              <w:rPr>
                <w:rFonts w:ascii="宋体" w:hAnsi="宋体" w:eastAsia="宋体" w:cs="宋体"/>
                <w:spacing w:val="-26"/>
                <w:sz w:val="24"/>
                <w:szCs w:val="24"/>
              </w:rPr>
              <w:t xml:space="preserve"> </w:t>
            </w:r>
            <w:r>
              <w:rPr>
                <w:rFonts w:ascii="Times New Roman" w:hAnsi="Times New Roman" w:eastAsia="Times New Roman" w:cs="Times New Roman"/>
                <w:spacing w:val="-3"/>
                <w:sz w:val="24"/>
                <w:szCs w:val="24"/>
              </w:rPr>
              <w:t xml:space="preserve">1 </w:t>
            </w:r>
            <w:r>
              <w:rPr>
                <w:rFonts w:ascii="宋体" w:hAnsi="宋体" w:eastAsia="宋体" w:cs="宋体"/>
                <w:spacing w:val="-3"/>
                <w:sz w:val="24"/>
                <w:szCs w:val="24"/>
              </w:rPr>
              <w:t>座</w:t>
            </w:r>
            <w:r>
              <w:rPr>
                <w:rFonts w:ascii="宋体" w:hAnsi="宋体" w:eastAsia="宋体" w:cs="宋体"/>
                <w:spacing w:val="-49"/>
                <w:sz w:val="24"/>
                <w:szCs w:val="24"/>
              </w:rPr>
              <w:t xml:space="preserve"> </w:t>
            </w:r>
            <w:r>
              <w:rPr>
                <w:rFonts w:ascii="Times New Roman" w:hAnsi="Times New Roman" w:eastAsia="Times New Roman" w:cs="Times New Roman"/>
                <w:spacing w:val="-3"/>
                <w:sz w:val="24"/>
                <w:szCs w:val="24"/>
              </w:rPr>
              <w:t>60t/h</w:t>
            </w:r>
            <w:r>
              <w:rPr>
                <w:rFonts w:ascii="Times New Roman" w:hAnsi="Times New Roman" w:eastAsia="Times New Roman" w:cs="Times New Roman"/>
                <w:spacing w:val="29"/>
                <w:sz w:val="24"/>
                <w:szCs w:val="24"/>
              </w:rPr>
              <w:t xml:space="preserve"> </w:t>
            </w:r>
            <w:r>
              <w:rPr>
                <w:rFonts w:ascii="宋体" w:hAnsi="宋体" w:eastAsia="宋体" w:cs="宋体"/>
                <w:spacing w:val="-3"/>
                <w:sz w:val="24"/>
                <w:szCs w:val="24"/>
              </w:rPr>
              <w:t>的冷却塔，配套设置容积为</w:t>
            </w:r>
            <w:r>
              <w:rPr>
                <w:rFonts w:ascii="宋体" w:hAnsi="宋体" w:eastAsia="宋体" w:cs="宋体"/>
                <w:spacing w:val="-52"/>
                <w:sz w:val="24"/>
                <w:szCs w:val="24"/>
              </w:rPr>
              <w:t xml:space="preserve"> </w:t>
            </w:r>
            <w:r>
              <w:rPr>
                <w:rFonts w:ascii="Times New Roman" w:hAnsi="Times New Roman" w:eastAsia="Times New Roman" w:cs="Times New Roman"/>
                <w:spacing w:val="-3"/>
                <w:sz w:val="24"/>
                <w:szCs w:val="24"/>
              </w:rPr>
              <w:t>60m</w:t>
            </w:r>
            <w:r>
              <w:rPr>
                <w:rFonts w:ascii="Times New Roman" w:hAnsi="Times New Roman" w:eastAsia="Times New Roman" w:cs="Times New Roman"/>
                <w:spacing w:val="-3"/>
                <w:position w:val="8"/>
                <w:sz w:val="15"/>
                <w:szCs w:val="15"/>
              </w:rPr>
              <w:t xml:space="preserve">3  </w:t>
            </w:r>
            <w:r>
              <w:rPr>
                <w:rFonts w:ascii="宋体" w:hAnsi="宋体" w:eastAsia="宋体" w:cs="宋体"/>
                <w:spacing w:val="-3"/>
                <w:sz w:val="24"/>
                <w:szCs w:val="24"/>
              </w:rPr>
              <w:t>的循环水池，使用自来</w:t>
            </w:r>
            <w:r>
              <w:rPr>
                <w:rFonts w:ascii="宋体" w:hAnsi="宋体" w:eastAsia="宋体" w:cs="宋体"/>
                <w:spacing w:val="-1"/>
                <w:sz w:val="24"/>
                <w:szCs w:val="24"/>
              </w:rPr>
              <w:t>水进行补充，每天运行</w:t>
            </w:r>
            <w:r>
              <w:rPr>
                <w:rFonts w:ascii="宋体" w:hAnsi="宋体" w:eastAsia="宋体" w:cs="宋体"/>
                <w:spacing w:val="-42"/>
                <w:sz w:val="24"/>
                <w:szCs w:val="24"/>
              </w:rPr>
              <w:t xml:space="preserve"> </w:t>
            </w:r>
            <w:r>
              <w:rPr>
                <w:rFonts w:ascii="Times New Roman" w:hAnsi="Times New Roman" w:eastAsia="Times New Roman" w:cs="Times New Roman"/>
                <w:spacing w:val="-1"/>
                <w:sz w:val="24"/>
                <w:szCs w:val="24"/>
              </w:rPr>
              <w:t>8h</w:t>
            </w:r>
            <w:r>
              <w:rPr>
                <w:rFonts w:ascii="Times New Roman" w:hAnsi="Times New Roman" w:eastAsia="Times New Roman" w:cs="Times New Roman"/>
                <w:spacing w:val="-31"/>
                <w:sz w:val="24"/>
                <w:szCs w:val="24"/>
              </w:rPr>
              <w:t xml:space="preserve"> </w:t>
            </w:r>
            <w:r>
              <w:rPr>
                <w:rFonts w:ascii="宋体" w:hAnsi="宋体" w:eastAsia="宋体" w:cs="宋体"/>
                <w:spacing w:val="-1"/>
                <w:sz w:val="24"/>
                <w:szCs w:val="24"/>
              </w:rPr>
              <w:t>，冷却水塔循环水量为</w:t>
            </w:r>
            <w:r>
              <w:rPr>
                <w:rFonts w:ascii="宋体" w:hAnsi="宋体" w:eastAsia="宋体" w:cs="宋体"/>
                <w:spacing w:val="-57"/>
                <w:sz w:val="24"/>
                <w:szCs w:val="24"/>
              </w:rPr>
              <w:t xml:space="preserve"> </w:t>
            </w:r>
            <w:r>
              <w:rPr>
                <w:rFonts w:ascii="Times New Roman" w:hAnsi="Times New Roman" w:eastAsia="Times New Roman" w:cs="Times New Roman"/>
                <w:spacing w:val="-1"/>
                <w:sz w:val="24"/>
                <w:szCs w:val="24"/>
              </w:rPr>
              <w:t>480m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4"/>
                <w:szCs w:val="24"/>
              </w:rPr>
              <w:t>/d</w:t>
            </w:r>
            <w:r>
              <w:rPr>
                <w:rFonts w:ascii="Times New Roman" w:hAnsi="Times New Roman" w:eastAsia="Times New Roman" w:cs="Times New Roman"/>
                <w:spacing w:val="-25"/>
                <w:sz w:val="24"/>
                <w:szCs w:val="24"/>
              </w:rPr>
              <w:t xml:space="preserve"> </w:t>
            </w:r>
            <w:r>
              <w:rPr>
                <w:rFonts w:ascii="宋体" w:hAnsi="宋体" w:eastAsia="宋体" w:cs="宋体"/>
                <w:spacing w:val="-1"/>
                <w:sz w:val="24"/>
                <w:szCs w:val="24"/>
              </w:rPr>
              <w:t>。使用冷却塔对挤</w:t>
            </w:r>
            <w:r>
              <w:rPr>
                <w:rFonts w:ascii="宋体" w:hAnsi="宋体" w:eastAsia="宋体" w:cs="宋体"/>
                <w:spacing w:val="-2"/>
                <w:sz w:val="24"/>
                <w:szCs w:val="24"/>
              </w:rPr>
              <w:t>出的</w:t>
            </w:r>
            <w:r>
              <w:rPr>
                <w:rFonts w:ascii="宋体" w:hAnsi="宋体" w:eastAsia="宋体" w:cs="宋体"/>
                <w:sz w:val="24"/>
                <w:szCs w:val="24"/>
              </w:rPr>
              <w:t>塑料筐进行间接冷却，冷却塔采用风冷制冷</w:t>
            </w:r>
            <w:r>
              <w:rPr>
                <w:rFonts w:ascii="宋体" w:hAnsi="宋体" w:eastAsia="宋体" w:cs="宋体"/>
                <w:spacing w:val="-1"/>
                <w:sz w:val="24"/>
                <w:szCs w:val="24"/>
              </w:rPr>
              <w:t>，根据冷却塔蒸发量计算公式。</w:t>
            </w:r>
          </w:p>
          <w:p w14:paraId="5626EEDD">
            <w:pPr>
              <w:spacing w:line="322" w:lineRule="exact"/>
              <w:ind w:left="582"/>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E=0.00085</w:t>
            </w:r>
            <w:r>
              <w:rPr>
                <w:rFonts w:ascii="宋体" w:hAnsi="宋体" w:eastAsia="宋体" w:cs="宋体"/>
                <w:spacing w:val="-1"/>
                <w:position w:val="1"/>
                <w:sz w:val="24"/>
                <w:szCs w:val="24"/>
              </w:rPr>
              <w:t>×</w:t>
            </w:r>
            <w:r>
              <w:rPr>
                <w:rFonts w:ascii="Times New Roman" w:hAnsi="Times New Roman" w:eastAsia="Times New Roman" w:cs="Times New Roman"/>
                <w:spacing w:val="-1"/>
                <w:position w:val="1"/>
                <w:sz w:val="24"/>
                <w:szCs w:val="24"/>
              </w:rPr>
              <w:t>L</w:t>
            </w:r>
            <w:r>
              <w:rPr>
                <w:rFonts w:ascii="宋体" w:hAnsi="宋体" w:eastAsia="宋体" w:cs="宋体"/>
                <w:spacing w:val="-1"/>
                <w:position w:val="1"/>
                <w:sz w:val="24"/>
                <w:szCs w:val="24"/>
              </w:rPr>
              <w:t>×△</w:t>
            </w:r>
            <w:r>
              <w:rPr>
                <w:rFonts w:ascii="Times New Roman" w:hAnsi="Times New Roman" w:eastAsia="Times New Roman" w:cs="Times New Roman"/>
                <w:spacing w:val="-1"/>
                <w:position w:val="1"/>
                <w:sz w:val="24"/>
                <w:szCs w:val="24"/>
              </w:rPr>
              <w:t>t</w:t>
            </w:r>
          </w:p>
          <w:p w14:paraId="11645EB1">
            <w:pPr>
              <w:spacing w:before="188" w:line="219" w:lineRule="auto"/>
              <w:ind w:left="582"/>
              <w:rPr>
                <w:rFonts w:ascii="宋体" w:hAnsi="宋体" w:eastAsia="宋体" w:cs="宋体"/>
                <w:sz w:val="24"/>
                <w:szCs w:val="24"/>
              </w:rPr>
            </w:pPr>
            <w:r>
              <w:rPr>
                <w:rFonts w:ascii="Times New Roman" w:hAnsi="Times New Roman" w:eastAsia="Times New Roman" w:cs="Times New Roman"/>
                <w:spacing w:val="-1"/>
                <w:sz w:val="24"/>
                <w:szCs w:val="24"/>
              </w:rPr>
              <w:t>L</w:t>
            </w:r>
            <w:r>
              <w:rPr>
                <w:rFonts w:ascii="宋体" w:hAnsi="宋体" w:eastAsia="宋体" w:cs="宋体"/>
                <w:spacing w:val="-1"/>
                <w:sz w:val="24"/>
                <w:szCs w:val="24"/>
              </w:rPr>
              <w:t>：循环水流量（</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1"/>
                <w:position w:val="7"/>
                <w:sz w:val="15"/>
                <w:szCs w:val="15"/>
              </w:rPr>
              <w:t>3</w:t>
            </w:r>
            <w:r>
              <w:rPr>
                <w:rFonts w:ascii="Times New Roman" w:hAnsi="Times New Roman" w:eastAsia="Times New Roman" w:cs="Times New Roman"/>
                <w:spacing w:val="-1"/>
                <w:sz w:val="24"/>
                <w:szCs w:val="24"/>
              </w:rPr>
              <w:t>/h</w:t>
            </w:r>
            <w:r>
              <w:rPr>
                <w:rFonts w:ascii="宋体" w:hAnsi="宋体" w:eastAsia="宋体" w:cs="宋体"/>
                <w:spacing w:val="10"/>
                <w:sz w:val="24"/>
                <w:szCs w:val="24"/>
              </w:rPr>
              <w:t>），</w:t>
            </w:r>
            <w:r>
              <w:rPr>
                <w:rFonts w:ascii="Times New Roman" w:hAnsi="Times New Roman" w:eastAsia="Times New Roman" w:cs="Times New Roman"/>
                <w:spacing w:val="-1"/>
                <w:sz w:val="24"/>
                <w:szCs w:val="24"/>
              </w:rPr>
              <w:t>480m</w:t>
            </w:r>
            <w:r>
              <w:rPr>
                <w:rFonts w:ascii="Times New Roman" w:hAnsi="Times New Roman" w:eastAsia="Times New Roman" w:cs="Times New Roman"/>
                <w:spacing w:val="-1"/>
                <w:position w:val="7"/>
                <w:sz w:val="15"/>
                <w:szCs w:val="15"/>
              </w:rPr>
              <w:t>3</w:t>
            </w:r>
            <w:r>
              <w:rPr>
                <w:rFonts w:ascii="Times New Roman" w:hAnsi="Times New Roman" w:eastAsia="Times New Roman" w:cs="Times New Roman"/>
                <w:spacing w:val="-1"/>
                <w:sz w:val="24"/>
                <w:szCs w:val="24"/>
              </w:rPr>
              <w:t>/d</w:t>
            </w:r>
            <w:r>
              <w:rPr>
                <w:rFonts w:ascii="宋体" w:hAnsi="宋体" w:eastAsia="宋体" w:cs="宋体"/>
                <w:spacing w:val="-1"/>
                <w:sz w:val="24"/>
                <w:szCs w:val="24"/>
              </w:rPr>
              <w:t>。</w:t>
            </w:r>
          </w:p>
          <w:p w14:paraId="0D24AE81">
            <w:pPr>
              <w:spacing w:before="184" w:line="216" w:lineRule="auto"/>
              <w:ind w:left="594"/>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t</w:t>
            </w:r>
            <w:r>
              <w:rPr>
                <w:rFonts w:ascii="宋体" w:hAnsi="宋体" w:eastAsia="宋体" w:cs="宋体"/>
                <w:spacing w:val="-4"/>
                <w:sz w:val="24"/>
                <w:szCs w:val="24"/>
              </w:rPr>
              <w:t>：进出水温差 (℃)</w:t>
            </w:r>
            <w:r>
              <w:rPr>
                <w:rFonts w:ascii="宋体" w:hAnsi="宋体" w:eastAsia="宋体" w:cs="宋体"/>
                <w:spacing w:val="45"/>
                <w:sz w:val="24"/>
                <w:szCs w:val="24"/>
              </w:rPr>
              <w:t xml:space="preserve"> </w:t>
            </w:r>
            <w:r>
              <w:rPr>
                <w:rFonts w:ascii="宋体" w:hAnsi="宋体" w:eastAsia="宋体" w:cs="宋体"/>
                <w:spacing w:val="-4"/>
                <w:sz w:val="24"/>
                <w:szCs w:val="24"/>
              </w:rPr>
              <w:t>,</w:t>
            </w:r>
            <w:r>
              <w:rPr>
                <w:rFonts w:ascii="宋体" w:hAnsi="宋体" w:eastAsia="宋体" w:cs="宋体"/>
                <w:spacing w:val="81"/>
                <w:sz w:val="24"/>
                <w:szCs w:val="24"/>
              </w:rPr>
              <w:t xml:space="preserve"> </w:t>
            </w:r>
            <w:r>
              <w:rPr>
                <w:rFonts w:ascii="宋体" w:hAnsi="宋体" w:eastAsia="宋体" w:cs="宋体"/>
                <w:spacing w:val="-4"/>
                <w:sz w:val="24"/>
                <w:szCs w:val="24"/>
              </w:rPr>
              <w:t>即进水温度</w:t>
            </w:r>
            <w:r>
              <w:rPr>
                <w:rFonts w:ascii="宋体" w:hAnsi="宋体" w:eastAsia="宋体" w:cs="宋体"/>
                <w:spacing w:val="-53"/>
                <w:sz w:val="24"/>
                <w:szCs w:val="24"/>
              </w:rPr>
              <w:t xml:space="preserve"> </w:t>
            </w:r>
            <w:r>
              <w:rPr>
                <w:rFonts w:ascii="Times New Roman" w:hAnsi="Times New Roman" w:eastAsia="Times New Roman" w:cs="Times New Roman"/>
                <w:spacing w:val="-4"/>
                <w:sz w:val="24"/>
                <w:szCs w:val="24"/>
              </w:rPr>
              <w:t>T1</w:t>
            </w:r>
            <w:r>
              <w:rPr>
                <w:rFonts w:ascii="宋体" w:hAnsi="宋体" w:eastAsia="宋体" w:cs="宋体"/>
                <w:spacing w:val="-5"/>
                <w:sz w:val="24"/>
                <w:szCs w:val="24"/>
              </w:rPr>
              <w:t>（</w:t>
            </w:r>
            <w:r>
              <w:rPr>
                <w:rFonts w:ascii="Times New Roman" w:hAnsi="Times New Roman" w:eastAsia="Times New Roman" w:cs="Times New Roman"/>
                <w:spacing w:val="-5"/>
                <w:sz w:val="24"/>
                <w:szCs w:val="24"/>
              </w:rPr>
              <w:t>90</w:t>
            </w:r>
            <w:r>
              <w:rPr>
                <w:rFonts w:ascii="宋体" w:hAnsi="宋体" w:eastAsia="宋体" w:cs="宋体"/>
                <w:spacing w:val="-5"/>
                <w:sz w:val="24"/>
                <w:szCs w:val="24"/>
              </w:rPr>
              <w:t xml:space="preserve">℃) </w:t>
            </w:r>
            <w:r>
              <w:rPr>
                <w:rFonts w:ascii="Times New Roman" w:hAnsi="Times New Roman" w:eastAsia="Times New Roman" w:cs="Times New Roman"/>
                <w:spacing w:val="-5"/>
                <w:sz w:val="24"/>
                <w:szCs w:val="24"/>
              </w:rPr>
              <w:t>-</w:t>
            </w:r>
            <w:r>
              <w:rPr>
                <w:rFonts w:ascii="宋体" w:hAnsi="宋体" w:eastAsia="宋体" w:cs="宋体"/>
                <w:spacing w:val="-5"/>
                <w:sz w:val="24"/>
                <w:szCs w:val="24"/>
              </w:rPr>
              <w:t>出水温度</w:t>
            </w:r>
            <w:r>
              <w:rPr>
                <w:rFonts w:ascii="宋体" w:hAnsi="宋体" w:eastAsia="宋体" w:cs="宋体"/>
                <w:spacing w:val="-53"/>
                <w:sz w:val="24"/>
                <w:szCs w:val="24"/>
              </w:rPr>
              <w:t xml:space="preserve"> </w:t>
            </w:r>
            <w:r>
              <w:rPr>
                <w:rFonts w:ascii="Times New Roman" w:hAnsi="Times New Roman" w:eastAsia="Times New Roman" w:cs="Times New Roman"/>
                <w:spacing w:val="-5"/>
                <w:sz w:val="24"/>
                <w:szCs w:val="24"/>
              </w:rPr>
              <w:t>T2</w:t>
            </w:r>
            <w:r>
              <w:rPr>
                <w:rFonts w:ascii="宋体" w:hAnsi="宋体" w:eastAsia="宋体" w:cs="宋体"/>
                <w:spacing w:val="-5"/>
                <w:sz w:val="24"/>
                <w:szCs w:val="24"/>
              </w:rPr>
              <w:t>（</w:t>
            </w:r>
            <w:r>
              <w:rPr>
                <w:rFonts w:ascii="Times New Roman" w:hAnsi="Times New Roman" w:eastAsia="Times New Roman" w:cs="Times New Roman"/>
                <w:spacing w:val="-5"/>
                <w:sz w:val="24"/>
                <w:szCs w:val="24"/>
              </w:rPr>
              <w:t>30</w:t>
            </w:r>
            <w:r>
              <w:rPr>
                <w:rFonts w:ascii="宋体" w:hAnsi="宋体" w:eastAsia="宋体" w:cs="宋体"/>
                <w:spacing w:val="-5"/>
                <w:sz w:val="24"/>
                <w:szCs w:val="24"/>
              </w:rPr>
              <w:t>℃)</w:t>
            </w:r>
            <w:r>
              <w:rPr>
                <w:rFonts w:ascii="宋体" w:hAnsi="宋体" w:eastAsia="宋体" w:cs="宋体"/>
                <w:spacing w:val="16"/>
                <w:sz w:val="24"/>
                <w:szCs w:val="24"/>
              </w:rPr>
              <w:t xml:space="preserve"> </w:t>
            </w:r>
            <w:r>
              <w:rPr>
                <w:rFonts w:ascii="宋体" w:hAnsi="宋体" w:eastAsia="宋体" w:cs="宋体"/>
                <w:spacing w:val="-5"/>
                <w:sz w:val="24"/>
                <w:szCs w:val="24"/>
              </w:rPr>
              <w:t>。</w:t>
            </w:r>
          </w:p>
          <w:p w14:paraId="1D8AEB9E">
            <w:pPr>
              <w:spacing w:before="184" w:line="359" w:lineRule="auto"/>
              <w:ind w:left="146" w:right="104" w:firstLine="440"/>
              <w:rPr>
                <w:rFonts w:ascii="宋体" w:hAnsi="宋体" w:eastAsia="宋体" w:cs="宋体"/>
                <w:sz w:val="24"/>
                <w:szCs w:val="24"/>
              </w:rPr>
            </w:pPr>
            <w:r>
              <w:rPr>
                <w:rFonts w:ascii="宋体" w:hAnsi="宋体" w:eastAsia="宋体" w:cs="宋体"/>
                <w:spacing w:val="1"/>
                <w:sz w:val="24"/>
                <w:szCs w:val="24"/>
              </w:rPr>
              <w:t>计算得出项目项目冷却塔损失水量为</w:t>
            </w:r>
            <w:r>
              <w:rPr>
                <w:rFonts w:ascii="宋体" w:hAnsi="宋体" w:eastAsia="宋体" w:cs="宋体"/>
                <w:spacing w:val="-48"/>
                <w:sz w:val="24"/>
                <w:szCs w:val="24"/>
              </w:rPr>
              <w:t xml:space="preserve"> </w:t>
            </w:r>
            <w:r>
              <w:rPr>
                <w:rFonts w:ascii="Times New Roman" w:hAnsi="Times New Roman" w:eastAsia="Times New Roman" w:cs="Times New Roman"/>
                <w:spacing w:val="1"/>
                <w:sz w:val="24"/>
                <w:szCs w:val="24"/>
              </w:rPr>
              <w:t>24.5m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4"/>
                <w:szCs w:val="24"/>
              </w:rPr>
              <w:t>/d</w:t>
            </w:r>
            <w:r>
              <w:rPr>
                <w:rFonts w:ascii="Times New Roman" w:hAnsi="Times New Roman" w:eastAsia="Times New Roman" w:cs="Times New Roman"/>
                <w:spacing w:val="-23"/>
                <w:sz w:val="24"/>
                <w:szCs w:val="24"/>
              </w:rPr>
              <w:t xml:space="preserve"> </w:t>
            </w:r>
            <w:r>
              <w:rPr>
                <w:rFonts w:ascii="宋体" w:hAnsi="宋体" w:eastAsia="宋体" w:cs="宋体"/>
                <w:spacing w:val="1"/>
                <w:sz w:val="24"/>
                <w:szCs w:val="24"/>
              </w:rPr>
              <w:t>。</w:t>
            </w:r>
            <w:r>
              <w:rPr>
                <w:rFonts w:ascii="Times New Roman" w:hAnsi="Times New Roman" w:eastAsia="Times New Roman" w:cs="Times New Roman"/>
                <w:spacing w:val="1"/>
                <w:sz w:val="24"/>
                <w:szCs w:val="24"/>
              </w:rPr>
              <w:t>7350m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4"/>
                <w:szCs w:val="24"/>
              </w:rPr>
              <w:t>/a</w:t>
            </w:r>
            <w:r>
              <w:rPr>
                <w:rFonts w:ascii="宋体" w:hAnsi="宋体" w:eastAsia="宋体" w:cs="宋体"/>
                <w:spacing w:val="1"/>
                <w:sz w:val="24"/>
                <w:szCs w:val="24"/>
              </w:rPr>
              <w:t>；则冷却塔需补充</w:t>
            </w:r>
            <w:r>
              <w:rPr>
                <w:rFonts w:ascii="宋体" w:hAnsi="宋体" w:eastAsia="宋体" w:cs="宋体"/>
                <w:spacing w:val="-3"/>
                <w:sz w:val="24"/>
                <w:szCs w:val="24"/>
              </w:rPr>
              <w:t>自来水量为</w:t>
            </w:r>
            <w:r>
              <w:rPr>
                <w:rFonts w:ascii="宋体" w:hAnsi="宋体" w:eastAsia="宋体" w:cs="宋体"/>
                <w:spacing w:val="-43"/>
                <w:sz w:val="24"/>
                <w:szCs w:val="24"/>
              </w:rPr>
              <w:t xml:space="preserve"> </w:t>
            </w:r>
            <w:r>
              <w:rPr>
                <w:rFonts w:ascii="Times New Roman" w:hAnsi="Times New Roman" w:eastAsia="Times New Roman" w:cs="Times New Roman"/>
                <w:spacing w:val="-3"/>
                <w:sz w:val="24"/>
                <w:szCs w:val="24"/>
              </w:rPr>
              <w:t>48m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3"/>
                <w:sz w:val="24"/>
                <w:szCs w:val="24"/>
              </w:rPr>
              <w:t>/d</w:t>
            </w:r>
            <w:r>
              <w:rPr>
                <w:rFonts w:ascii="Times New Roman" w:hAnsi="Times New Roman" w:eastAsia="Times New Roman" w:cs="Times New Roman"/>
                <w:spacing w:val="-32"/>
                <w:sz w:val="24"/>
                <w:szCs w:val="24"/>
              </w:rPr>
              <w:t xml:space="preserve"> </w:t>
            </w:r>
            <w:r>
              <w:rPr>
                <w:rFonts w:ascii="宋体" w:hAnsi="宋体" w:eastAsia="宋体" w:cs="宋体"/>
                <w:spacing w:val="-3"/>
                <w:sz w:val="24"/>
                <w:szCs w:val="24"/>
              </w:rPr>
              <w:t>，</w:t>
            </w:r>
            <w:r>
              <w:rPr>
                <w:rFonts w:ascii="Times New Roman" w:hAnsi="Times New Roman" w:eastAsia="Times New Roman" w:cs="Times New Roman"/>
                <w:spacing w:val="-3"/>
                <w:sz w:val="24"/>
                <w:szCs w:val="24"/>
              </w:rPr>
              <w:t>7350m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3"/>
                <w:sz w:val="24"/>
                <w:szCs w:val="24"/>
              </w:rPr>
              <w:t>/a</w:t>
            </w:r>
            <w:r>
              <w:rPr>
                <w:rFonts w:ascii="Times New Roman" w:hAnsi="Times New Roman" w:eastAsia="Times New Roman" w:cs="Times New Roman"/>
                <w:spacing w:val="-27"/>
                <w:sz w:val="24"/>
                <w:szCs w:val="24"/>
              </w:rPr>
              <w:t xml:space="preserve"> </w:t>
            </w:r>
            <w:r>
              <w:rPr>
                <w:rFonts w:ascii="宋体" w:hAnsi="宋体" w:eastAsia="宋体" w:cs="宋体"/>
                <w:spacing w:val="-3"/>
                <w:sz w:val="24"/>
                <w:szCs w:val="24"/>
              </w:rPr>
              <w:t>。冷却塔用水为循环使用，定期补充，不外排。</w:t>
            </w:r>
          </w:p>
          <w:p w14:paraId="79B02500">
            <w:pPr>
              <w:spacing w:before="4" w:line="349" w:lineRule="auto"/>
              <w:ind w:left="107" w:right="91" w:firstLine="480"/>
              <w:jc w:val="both"/>
              <w:rPr>
                <w:rFonts w:ascii="宋体" w:hAnsi="宋体" w:eastAsia="宋体" w:cs="宋体"/>
                <w:sz w:val="24"/>
                <w:szCs w:val="24"/>
              </w:rPr>
            </w:pPr>
            <w:r>
              <w:rPr>
                <w:rFonts w:ascii="宋体" w:hAnsi="宋体" w:eastAsia="宋体" w:cs="宋体"/>
                <w:spacing w:val="-3"/>
                <w:sz w:val="24"/>
                <w:szCs w:val="24"/>
              </w:rPr>
              <w:t>本项目自来水用水量</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24.8m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3"/>
                <w:sz w:val="24"/>
                <w:szCs w:val="24"/>
              </w:rPr>
              <w:t>/d</w:t>
            </w:r>
            <w:r>
              <w:rPr>
                <w:rFonts w:ascii="Times New Roman" w:hAnsi="Times New Roman" w:eastAsia="Times New Roman" w:cs="Times New Roman"/>
                <w:spacing w:val="-34"/>
                <w:sz w:val="24"/>
                <w:szCs w:val="24"/>
              </w:rPr>
              <w:t xml:space="preserve"> </w:t>
            </w:r>
            <w:r>
              <w:rPr>
                <w:rFonts w:ascii="宋体" w:hAnsi="宋体" w:eastAsia="宋体" w:cs="宋体"/>
                <w:spacing w:val="-3"/>
                <w:sz w:val="24"/>
                <w:szCs w:val="24"/>
              </w:rPr>
              <w:t>、</w:t>
            </w:r>
            <w:r>
              <w:rPr>
                <w:rFonts w:ascii="Times New Roman" w:hAnsi="Times New Roman" w:eastAsia="Times New Roman" w:cs="Times New Roman"/>
                <w:spacing w:val="-3"/>
                <w:sz w:val="24"/>
                <w:szCs w:val="24"/>
              </w:rPr>
              <w:t>7440m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3"/>
                <w:sz w:val="24"/>
                <w:szCs w:val="24"/>
              </w:rPr>
              <w:t>/a</w:t>
            </w:r>
            <w:r>
              <w:rPr>
                <w:rFonts w:ascii="Times New Roman" w:hAnsi="Times New Roman" w:eastAsia="Times New Roman" w:cs="Times New Roman"/>
                <w:spacing w:val="-32"/>
                <w:sz w:val="24"/>
                <w:szCs w:val="24"/>
              </w:rPr>
              <w:t xml:space="preserve"> </w:t>
            </w:r>
            <w:r>
              <w:rPr>
                <w:rFonts w:ascii="宋体" w:hAnsi="宋体" w:eastAsia="宋体" w:cs="宋体"/>
                <w:spacing w:val="-3"/>
                <w:sz w:val="24"/>
                <w:szCs w:val="24"/>
              </w:rPr>
              <w:t>，生活污水量为</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0.24m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4"/>
                <w:sz w:val="24"/>
                <w:szCs w:val="24"/>
              </w:rPr>
              <w:t>/d</w:t>
            </w:r>
            <w:r>
              <w:rPr>
                <w:rFonts w:ascii="Times New Roman" w:hAnsi="Times New Roman" w:eastAsia="Times New Roman" w:cs="Times New Roman"/>
                <w:spacing w:val="-32"/>
                <w:sz w:val="24"/>
                <w:szCs w:val="24"/>
              </w:rPr>
              <w:t xml:space="preserve"> </w:t>
            </w:r>
            <w:r>
              <w:rPr>
                <w:rFonts w:ascii="宋体" w:hAnsi="宋体" w:eastAsia="宋体" w:cs="宋体"/>
                <w:spacing w:val="-4"/>
                <w:sz w:val="24"/>
                <w:szCs w:val="24"/>
              </w:rPr>
              <w:t>，</w:t>
            </w:r>
            <w:r>
              <w:rPr>
                <w:rFonts w:ascii="Times New Roman" w:hAnsi="Times New Roman" w:eastAsia="Times New Roman" w:cs="Times New Roman"/>
                <w:spacing w:val="-4"/>
                <w:sz w:val="24"/>
                <w:szCs w:val="24"/>
              </w:rPr>
              <w:t>72m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4"/>
                <w:sz w:val="24"/>
                <w:szCs w:val="24"/>
              </w:rPr>
              <w:t>/a</w:t>
            </w:r>
            <w:r>
              <w:rPr>
                <w:rFonts w:ascii="宋体" w:hAnsi="宋体" w:eastAsia="宋体" w:cs="宋体"/>
                <w:spacing w:val="-4"/>
                <w:sz w:val="24"/>
                <w:szCs w:val="24"/>
              </w:rPr>
              <w:t>，</w:t>
            </w:r>
            <w:r>
              <w:rPr>
                <w:rFonts w:ascii="宋体" w:hAnsi="宋体" w:eastAsia="宋体" w:cs="宋体"/>
                <w:spacing w:val="-3"/>
                <w:sz w:val="24"/>
                <w:szCs w:val="24"/>
              </w:rPr>
              <w:t>生活污水经化粪池</w:t>
            </w:r>
            <w:r>
              <w:rPr>
                <w:rFonts w:ascii="Times New Roman" w:hAnsi="Times New Roman" w:eastAsia="Times New Roman" w:cs="Times New Roman"/>
                <w:spacing w:val="-3"/>
                <w:sz w:val="24"/>
                <w:szCs w:val="24"/>
              </w:rPr>
              <w:t>+</w:t>
            </w:r>
            <w:r>
              <w:rPr>
                <w:rFonts w:ascii="宋体" w:hAnsi="宋体" w:eastAsia="宋体" w:cs="宋体"/>
                <w:spacing w:val="-3"/>
                <w:sz w:val="24"/>
                <w:szCs w:val="24"/>
              </w:rPr>
              <w:t>一体化污水处理设施处理后回用</w:t>
            </w:r>
            <w:r>
              <w:rPr>
                <w:rFonts w:ascii="宋体" w:hAnsi="宋体" w:eastAsia="宋体" w:cs="宋体"/>
                <w:spacing w:val="-4"/>
                <w:sz w:val="24"/>
                <w:szCs w:val="24"/>
              </w:rPr>
              <w:t>于厂区绿化。冷却塔需补充自</w:t>
            </w:r>
            <w:r>
              <w:rPr>
                <w:rFonts w:ascii="宋体" w:hAnsi="宋体" w:eastAsia="宋体" w:cs="宋体"/>
                <w:spacing w:val="-2"/>
                <w:sz w:val="24"/>
                <w:szCs w:val="24"/>
              </w:rPr>
              <w:t>来水量为</w:t>
            </w:r>
            <w:r>
              <w:rPr>
                <w:rFonts w:ascii="宋体" w:hAnsi="宋体" w:eastAsia="宋体" w:cs="宋体"/>
                <w:spacing w:val="-40"/>
                <w:sz w:val="24"/>
                <w:szCs w:val="24"/>
              </w:rPr>
              <w:t xml:space="preserve"> </w:t>
            </w:r>
            <w:r>
              <w:rPr>
                <w:rFonts w:ascii="Times New Roman" w:hAnsi="Times New Roman" w:eastAsia="Times New Roman" w:cs="Times New Roman"/>
                <w:spacing w:val="-2"/>
                <w:sz w:val="24"/>
                <w:szCs w:val="24"/>
              </w:rPr>
              <w:t>24.5m</w:t>
            </w:r>
            <w:r>
              <w:rPr>
                <w:rFonts w:ascii="Times New Roman" w:hAnsi="Times New Roman" w:eastAsia="Times New Roman" w:cs="Times New Roman"/>
                <w:spacing w:val="-2"/>
                <w:position w:val="8"/>
                <w:sz w:val="15"/>
                <w:szCs w:val="15"/>
              </w:rPr>
              <w:t>3</w:t>
            </w:r>
            <w:r>
              <w:rPr>
                <w:rFonts w:ascii="Times New Roman" w:hAnsi="Times New Roman" w:eastAsia="Times New Roman" w:cs="Times New Roman"/>
                <w:spacing w:val="-2"/>
                <w:sz w:val="24"/>
                <w:szCs w:val="24"/>
              </w:rPr>
              <w:t>/d</w:t>
            </w:r>
            <w:r>
              <w:rPr>
                <w:rFonts w:ascii="Times New Roman" w:hAnsi="Times New Roman" w:eastAsia="Times New Roman" w:cs="Times New Roman"/>
                <w:spacing w:val="-31"/>
                <w:sz w:val="24"/>
                <w:szCs w:val="24"/>
              </w:rPr>
              <w:t xml:space="preserve"> </w:t>
            </w:r>
            <w:r>
              <w:rPr>
                <w:rFonts w:ascii="宋体" w:hAnsi="宋体" w:eastAsia="宋体" w:cs="宋体"/>
                <w:spacing w:val="-2"/>
                <w:sz w:val="24"/>
                <w:szCs w:val="24"/>
              </w:rPr>
              <w:t>，</w:t>
            </w:r>
            <w:r>
              <w:rPr>
                <w:rFonts w:ascii="Times New Roman" w:hAnsi="Times New Roman" w:eastAsia="Times New Roman" w:cs="Times New Roman"/>
                <w:spacing w:val="-2"/>
                <w:sz w:val="24"/>
                <w:szCs w:val="24"/>
              </w:rPr>
              <w:t>7350m</w:t>
            </w:r>
            <w:r>
              <w:rPr>
                <w:rFonts w:ascii="Times New Roman" w:hAnsi="Times New Roman" w:eastAsia="Times New Roman" w:cs="Times New Roman"/>
                <w:spacing w:val="-2"/>
                <w:position w:val="8"/>
                <w:sz w:val="15"/>
                <w:szCs w:val="15"/>
              </w:rPr>
              <w:t>3</w:t>
            </w:r>
            <w:r>
              <w:rPr>
                <w:rFonts w:ascii="Times New Roman" w:hAnsi="Times New Roman" w:eastAsia="Times New Roman" w:cs="Times New Roman"/>
                <w:spacing w:val="-2"/>
                <w:sz w:val="24"/>
                <w:szCs w:val="24"/>
              </w:rPr>
              <w:t>/a</w:t>
            </w:r>
            <w:r>
              <w:rPr>
                <w:rFonts w:ascii="Times New Roman" w:hAnsi="Times New Roman" w:eastAsia="Times New Roman" w:cs="Times New Roman"/>
                <w:spacing w:val="-32"/>
                <w:sz w:val="24"/>
                <w:szCs w:val="24"/>
              </w:rPr>
              <w:t xml:space="preserve"> </w:t>
            </w:r>
            <w:r>
              <w:rPr>
                <w:rFonts w:ascii="宋体" w:hAnsi="宋体" w:eastAsia="宋体" w:cs="宋体"/>
                <w:spacing w:val="-2"/>
                <w:sz w:val="24"/>
                <w:szCs w:val="24"/>
              </w:rPr>
              <w:t>，冷却塔用水为循环使用，定期补充，不外排。</w:t>
            </w:r>
          </w:p>
          <w:p w14:paraId="2B52F1C7">
            <w:pPr>
              <w:spacing w:line="3405" w:lineRule="exact"/>
              <w:ind w:firstLine="99"/>
            </w:pPr>
            <w:r>
              <w:rPr>
                <w:position w:val="-68"/>
              </w:rPr>
              <w:drawing>
                <wp:inline distT="0" distB="0" distL="0" distR="0">
                  <wp:extent cx="5243830" cy="2162175"/>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24"/>
                          <a:stretch>
                            <a:fillRect/>
                          </a:stretch>
                        </pic:blipFill>
                        <pic:spPr>
                          <a:xfrm>
                            <a:off x="0" y="0"/>
                            <a:ext cx="5244083" cy="2162555"/>
                          </a:xfrm>
                          <a:prstGeom prst="rect">
                            <a:avLst/>
                          </a:prstGeom>
                        </pic:spPr>
                      </pic:pic>
                    </a:graphicData>
                  </a:graphic>
                </wp:inline>
              </w:drawing>
            </w:r>
          </w:p>
          <w:p w14:paraId="1ABF2AC8">
            <w:pPr>
              <w:spacing w:before="189" w:line="219" w:lineRule="auto"/>
              <w:ind w:left="2957"/>
              <w:rPr>
                <w:rFonts w:ascii="宋体" w:hAnsi="宋体" w:eastAsia="宋体" w:cs="宋体"/>
                <w:sz w:val="24"/>
                <w:szCs w:val="24"/>
              </w:rPr>
            </w:pPr>
            <w:r>
              <w:rPr>
                <w:rFonts w:ascii="宋体" w:hAnsi="宋体" w:eastAsia="宋体" w:cs="宋体"/>
                <w:b/>
                <w:bCs/>
                <w:spacing w:val="-3"/>
                <w:sz w:val="24"/>
                <w:szCs w:val="24"/>
              </w:rPr>
              <w:t>图</w:t>
            </w:r>
            <w:r>
              <w:rPr>
                <w:rFonts w:ascii="宋体" w:hAnsi="宋体" w:eastAsia="宋体" w:cs="宋体"/>
                <w:spacing w:val="-47"/>
                <w:sz w:val="24"/>
                <w:szCs w:val="24"/>
              </w:rPr>
              <w:t xml:space="preserve"> </w:t>
            </w:r>
            <w:r>
              <w:rPr>
                <w:rFonts w:ascii="Times New Roman" w:hAnsi="Times New Roman" w:eastAsia="Times New Roman" w:cs="Times New Roman"/>
                <w:b/>
                <w:bCs/>
                <w:spacing w:val="-3"/>
                <w:sz w:val="24"/>
                <w:szCs w:val="24"/>
              </w:rPr>
              <w:t xml:space="preserve">2-1    </w:t>
            </w:r>
            <w:r>
              <w:rPr>
                <w:rFonts w:ascii="宋体" w:hAnsi="宋体" w:eastAsia="宋体" w:cs="宋体"/>
                <w:b/>
                <w:bCs/>
                <w:spacing w:val="-3"/>
                <w:sz w:val="24"/>
                <w:szCs w:val="24"/>
              </w:rPr>
              <w:t>项目水平衡图（</w:t>
            </w:r>
            <w:r>
              <w:rPr>
                <w:rFonts w:ascii="Times New Roman" w:hAnsi="Times New Roman" w:eastAsia="Times New Roman" w:cs="Times New Roman"/>
                <w:b/>
                <w:bCs/>
                <w:spacing w:val="-3"/>
                <w:sz w:val="24"/>
                <w:szCs w:val="24"/>
              </w:rPr>
              <w:t>m</w:t>
            </w:r>
            <w:r>
              <w:rPr>
                <w:rFonts w:ascii="Times New Roman" w:hAnsi="Times New Roman" w:eastAsia="Times New Roman" w:cs="Times New Roman"/>
                <w:b/>
                <w:bCs/>
                <w:spacing w:val="-3"/>
                <w:position w:val="8"/>
                <w:sz w:val="15"/>
                <w:szCs w:val="15"/>
              </w:rPr>
              <w:t>3</w:t>
            </w:r>
            <w:r>
              <w:rPr>
                <w:rFonts w:ascii="Times New Roman" w:hAnsi="Times New Roman" w:eastAsia="Times New Roman" w:cs="Times New Roman"/>
                <w:b/>
                <w:bCs/>
                <w:spacing w:val="-3"/>
                <w:sz w:val="24"/>
                <w:szCs w:val="24"/>
              </w:rPr>
              <w:t>/a</w:t>
            </w:r>
            <w:r>
              <w:rPr>
                <w:rFonts w:ascii="宋体" w:hAnsi="宋体" w:eastAsia="宋体" w:cs="宋体"/>
                <w:b/>
                <w:bCs/>
                <w:spacing w:val="-3"/>
                <w:sz w:val="24"/>
                <w:szCs w:val="24"/>
              </w:rPr>
              <w:t>）</w:t>
            </w:r>
          </w:p>
          <w:p w14:paraId="6B1AFFEF">
            <w:pPr>
              <w:spacing w:before="183" w:line="220" w:lineRule="auto"/>
              <w:ind w:left="585"/>
              <w:rPr>
                <w:rFonts w:ascii="宋体" w:hAnsi="宋体" w:eastAsia="宋体" w:cs="宋体"/>
                <w:sz w:val="24"/>
                <w:szCs w:val="24"/>
              </w:rPr>
            </w:pPr>
            <w:r>
              <w:rPr>
                <w:rFonts w:ascii="Times New Roman" w:hAnsi="Times New Roman" w:eastAsia="Times New Roman" w:cs="Times New Roman"/>
                <w:b/>
                <w:bCs/>
                <w:spacing w:val="-8"/>
                <w:sz w:val="24"/>
                <w:szCs w:val="24"/>
              </w:rPr>
              <w:t>8</w:t>
            </w:r>
            <w:r>
              <w:rPr>
                <w:rFonts w:ascii="Times New Roman" w:hAnsi="Times New Roman" w:eastAsia="Times New Roman" w:cs="Times New Roman"/>
                <w:b/>
                <w:bCs/>
                <w:spacing w:val="-30"/>
                <w:sz w:val="24"/>
                <w:szCs w:val="24"/>
              </w:rPr>
              <w:t xml:space="preserve"> </w:t>
            </w:r>
            <w:r>
              <w:rPr>
                <w:rFonts w:ascii="宋体" w:hAnsi="宋体" w:eastAsia="宋体" w:cs="宋体"/>
                <w:b/>
                <w:bCs/>
                <w:spacing w:val="-8"/>
                <w:sz w:val="24"/>
                <w:szCs w:val="24"/>
              </w:rPr>
              <w:t>、环保投资</w:t>
            </w:r>
          </w:p>
          <w:p w14:paraId="52D2A58C">
            <w:pPr>
              <w:spacing w:before="179" w:line="219" w:lineRule="auto"/>
              <w:ind w:left="587"/>
              <w:rPr>
                <w:rFonts w:ascii="宋体" w:hAnsi="宋体" w:eastAsia="宋体" w:cs="宋体"/>
                <w:sz w:val="24"/>
                <w:szCs w:val="24"/>
              </w:rPr>
            </w:pPr>
            <w:r>
              <w:rPr>
                <w:rFonts w:ascii="宋体" w:hAnsi="宋体" w:eastAsia="宋体" w:cs="宋体"/>
                <w:spacing w:val="-5"/>
                <w:sz w:val="24"/>
                <w:szCs w:val="24"/>
              </w:rPr>
              <w:t>本项目总投资</w:t>
            </w:r>
            <w:r>
              <w:rPr>
                <w:rFonts w:ascii="宋体" w:hAnsi="宋体" w:eastAsia="宋体" w:cs="宋体"/>
                <w:spacing w:val="-35"/>
                <w:sz w:val="24"/>
                <w:szCs w:val="24"/>
              </w:rPr>
              <w:t xml:space="preserve"> </w:t>
            </w:r>
            <w:r>
              <w:rPr>
                <w:rFonts w:ascii="Times New Roman" w:hAnsi="Times New Roman" w:eastAsia="Times New Roman" w:cs="Times New Roman"/>
                <w:spacing w:val="-5"/>
                <w:sz w:val="24"/>
                <w:szCs w:val="24"/>
              </w:rPr>
              <w:t>550</w:t>
            </w:r>
            <w:r>
              <w:rPr>
                <w:rFonts w:ascii="Times New Roman" w:hAnsi="Times New Roman" w:eastAsia="Times New Roman" w:cs="Times New Roman"/>
                <w:spacing w:val="15"/>
                <w:w w:val="101"/>
                <w:sz w:val="24"/>
                <w:szCs w:val="24"/>
              </w:rPr>
              <w:t xml:space="preserve"> </w:t>
            </w:r>
            <w:r>
              <w:rPr>
                <w:rFonts w:ascii="宋体" w:hAnsi="宋体" w:eastAsia="宋体" w:cs="宋体"/>
                <w:spacing w:val="-5"/>
                <w:sz w:val="24"/>
                <w:szCs w:val="24"/>
              </w:rPr>
              <w:t>万元，其中环保投资</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 xml:space="preserve">11.7 </w:t>
            </w:r>
            <w:r>
              <w:rPr>
                <w:rFonts w:ascii="宋体" w:hAnsi="宋体" w:eastAsia="宋体" w:cs="宋体"/>
                <w:spacing w:val="-5"/>
                <w:sz w:val="24"/>
                <w:szCs w:val="24"/>
              </w:rPr>
              <w:t>万元，</w:t>
            </w:r>
            <w:r>
              <w:rPr>
                <w:rFonts w:ascii="宋体" w:hAnsi="宋体" w:eastAsia="宋体" w:cs="宋体"/>
                <w:spacing w:val="-69"/>
                <w:sz w:val="24"/>
                <w:szCs w:val="24"/>
              </w:rPr>
              <w:t xml:space="preserve"> </w:t>
            </w:r>
            <w:r>
              <w:rPr>
                <w:rFonts w:ascii="宋体" w:hAnsi="宋体" w:eastAsia="宋体" w:cs="宋体"/>
                <w:spacing w:val="-5"/>
                <w:sz w:val="24"/>
                <w:szCs w:val="24"/>
              </w:rPr>
              <w:t>占总投资的</w:t>
            </w:r>
            <w:r>
              <w:rPr>
                <w:rFonts w:ascii="宋体" w:hAnsi="宋体" w:eastAsia="宋体" w:cs="宋体"/>
                <w:spacing w:val="-53"/>
                <w:sz w:val="24"/>
                <w:szCs w:val="24"/>
              </w:rPr>
              <w:t xml:space="preserve"> </w:t>
            </w:r>
            <w:r>
              <w:rPr>
                <w:rFonts w:ascii="Times New Roman" w:hAnsi="Times New Roman" w:eastAsia="Times New Roman" w:cs="Times New Roman"/>
                <w:spacing w:val="-5"/>
                <w:sz w:val="24"/>
                <w:szCs w:val="24"/>
              </w:rPr>
              <w:t>2.</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5"/>
                <w:sz w:val="24"/>
                <w:szCs w:val="24"/>
              </w:rPr>
              <w:t>13%</w:t>
            </w:r>
            <w:r>
              <w:rPr>
                <w:rFonts w:ascii="Times New Roman" w:hAnsi="Times New Roman" w:eastAsia="Times New Roman" w:cs="Times New Roman"/>
                <w:spacing w:val="-27"/>
                <w:sz w:val="24"/>
                <w:szCs w:val="24"/>
              </w:rPr>
              <w:t xml:space="preserve"> </w:t>
            </w:r>
            <w:r>
              <w:rPr>
                <w:rFonts w:ascii="宋体" w:hAnsi="宋体" w:eastAsia="宋体" w:cs="宋体"/>
                <w:spacing w:val="-5"/>
                <w:sz w:val="24"/>
                <w:szCs w:val="24"/>
              </w:rPr>
              <w:t>。具体</w:t>
            </w:r>
          </w:p>
        </w:tc>
      </w:tr>
    </w:tbl>
    <w:p w14:paraId="3B7E0276">
      <w:pPr>
        <w:pStyle w:val="2"/>
      </w:pPr>
    </w:p>
    <w:p w14:paraId="15F5A302">
      <w:pPr>
        <w:sectPr>
          <w:footerReference r:id="rId55" w:type="default"/>
          <w:pgSz w:w="11906" w:h="16839"/>
          <w:pgMar w:top="400" w:right="1413" w:bottom="1329" w:left="1413" w:header="0" w:footer="1113" w:gutter="0"/>
          <w:cols w:space="720" w:num="1"/>
        </w:sectPr>
      </w:pPr>
    </w:p>
    <w:p w14:paraId="71B6B2DF">
      <w:pPr>
        <w:spacing w:before="19"/>
      </w:pPr>
    </w:p>
    <w:p w14:paraId="161BB361">
      <w:pPr>
        <w:spacing w:before="19"/>
      </w:pPr>
    </w:p>
    <w:p w14:paraId="00E9E876">
      <w:pPr>
        <w:spacing w:before="19"/>
      </w:pPr>
    </w:p>
    <w:p w14:paraId="59D690B8">
      <w:pPr>
        <w:spacing w:before="18"/>
      </w:pPr>
    </w:p>
    <w:p w14:paraId="24CB1869">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702"/>
        <w:gridCol w:w="1031"/>
        <w:gridCol w:w="4147"/>
        <w:gridCol w:w="1061"/>
        <w:gridCol w:w="1455"/>
        <w:gridCol w:w="127"/>
      </w:tblGrid>
      <w:tr w14:paraId="32C75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428" w:type="dxa"/>
            <w:vMerge w:val="restart"/>
            <w:tcBorders>
              <w:top w:val="single" w:color="000000" w:sz="6" w:space="0"/>
              <w:left w:val="single" w:color="000000" w:sz="6" w:space="0"/>
              <w:bottom w:val="nil"/>
            </w:tcBorders>
            <w:vAlign w:val="top"/>
          </w:tcPr>
          <w:p w14:paraId="30FD72F8">
            <w:pPr>
              <w:rPr>
                <w:rFonts w:ascii="Arial"/>
                <w:sz w:val="21"/>
              </w:rPr>
            </w:pPr>
          </w:p>
        </w:tc>
        <w:tc>
          <w:tcPr>
            <w:tcW w:w="8636" w:type="dxa"/>
            <w:gridSpan w:val="7"/>
            <w:tcBorders>
              <w:top w:val="single" w:color="000000" w:sz="6" w:space="0"/>
              <w:right w:val="single" w:color="000000" w:sz="6" w:space="0"/>
            </w:tcBorders>
            <w:vAlign w:val="top"/>
          </w:tcPr>
          <w:p w14:paraId="6FEB21F7">
            <w:pPr>
              <w:spacing w:before="40" w:line="219" w:lineRule="auto"/>
              <w:ind w:left="109"/>
              <w:rPr>
                <w:rFonts w:ascii="宋体" w:hAnsi="宋体" w:eastAsia="宋体" w:cs="宋体"/>
                <w:sz w:val="24"/>
                <w:szCs w:val="24"/>
              </w:rPr>
            </w:pPr>
            <w:r>
              <w:rPr>
                <w:rFonts w:ascii="宋体" w:hAnsi="宋体" w:eastAsia="宋体" w:cs="宋体"/>
                <w:spacing w:val="-2"/>
                <w:sz w:val="24"/>
                <w:szCs w:val="24"/>
              </w:rPr>
              <w:t>分项投资明细详见表</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2-5</w:t>
            </w:r>
            <w:r>
              <w:rPr>
                <w:rFonts w:ascii="宋体" w:hAnsi="宋体" w:eastAsia="宋体" w:cs="宋体"/>
                <w:spacing w:val="-2"/>
                <w:sz w:val="24"/>
                <w:szCs w:val="24"/>
              </w:rPr>
              <w:t>。</w:t>
            </w:r>
          </w:p>
          <w:p w14:paraId="00A5D1FB">
            <w:pPr>
              <w:spacing w:before="178" w:line="217" w:lineRule="auto"/>
              <w:ind w:left="3150"/>
              <w:rPr>
                <w:rFonts w:ascii="宋体" w:hAnsi="宋体" w:eastAsia="宋体" w:cs="宋体"/>
                <w:sz w:val="20"/>
                <w:szCs w:val="20"/>
              </w:rPr>
            </w:pPr>
            <w:r>
              <w:rPr>
                <w:rFonts w:ascii="宋体" w:hAnsi="宋体" w:eastAsia="宋体" w:cs="宋体"/>
                <w:b/>
                <w:bCs/>
                <w:spacing w:val="4"/>
                <w:sz w:val="20"/>
                <w:szCs w:val="20"/>
              </w:rPr>
              <w:t>表</w:t>
            </w:r>
            <w:r>
              <w:rPr>
                <w:rFonts w:ascii="宋体" w:hAnsi="宋体" w:eastAsia="宋体" w:cs="宋体"/>
                <w:spacing w:val="-27"/>
                <w:sz w:val="20"/>
                <w:szCs w:val="20"/>
              </w:rPr>
              <w:t xml:space="preserve"> </w:t>
            </w:r>
            <w:r>
              <w:rPr>
                <w:rFonts w:ascii="Times New Roman" w:hAnsi="Times New Roman" w:eastAsia="Times New Roman" w:cs="Times New Roman"/>
                <w:b/>
                <w:bCs/>
                <w:spacing w:val="4"/>
                <w:sz w:val="20"/>
                <w:szCs w:val="20"/>
              </w:rPr>
              <w:t xml:space="preserve">2-5      </w:t>
            </w:r>
            <w:r>
              <w:rPr>
                <w:rFonts w:ascii="宋体" w:hAnsi="宋体" w:eastAsia="宋体" w:cs="宋体"/>
                <w:b/>
                <w:bCs/>
                <w:spacing w:val="4"/>
                <w:sz w:val="20"/>
                <w:szCs w:val="20"/>
              </w:rPr>
              <w:t>环保投资估算表</w:t>
            </w:r>
          </w:p>
        </w:tc>
      </w:tr>
      <w:tr w14:paraId="17C28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trPr>
        <w:tc>
          <w:tcPr>
            <w:tcW w:w="428" w:type="dxa"/>
            <w:vMerge w:val="continue"/>
            <w:tcBorders>
              <w:top w:val="nil"/>
              <w:left w:val="single" w:color="000000" w:sz="6" w:space="0"/>
              <w:bottom w:val="nil"/>
            </w:tcBorders>
            <w:vAlign w:val="top"/>
          </w:tcPr>
          <w:p w14:paraId="46ADF91C">
            <w:pPr>
              <w:rPr>
                <w:rFonts w:ascii="Arial"/>
                <w:sz w:val="21"/>
              </w:rPr>
            </w:pPr>
          </w:p>
        </w:tc>
        <w:tc>
          <w:tcPr>
            <w:tcW w:w="113" w:type="dxa"/>
            <w:tcBorders>
              <w:top w:val="nil"/>
              <w:bottom w:val="nil"/>
            </w:tcBorders>
            <w:vAlign w:val="top"/>
          </w:tcPr>
          <w:p w14:paraId="5A1F8FC7">
            <w:pPr>
              <w:rPr>
                <w:rFonts w:ascii="Arial"/>
                <w:sz w:val="21"/>
              </w:rPr>
            </w:pPr>
          </w:p>
        </w:tc>
        <w:tc>
          <w:tcPr>
            <w:tcW w:w="702" w:type="dxa"/>
            <w:vAlign w:val="top"/>
          </w:tcPr>
          <w:p w14:paraId="12583C5A">
            <w:pPr>
              <w:spacing w:before="252" w:line="228" w:lineRule="auto"/>
              <w:ind w:left="142"/>
              <w:rPr>
                <w:rFonts w:ascii="宋体" w:hAnsi="宋体" w:eastAsia="宋体" w:cs="宋体"/>
                <w:sz w:val="20"/>
                <w:szCs w:val="20"/>
              </w:rPr>
            </w:pPr>
            <w:r>
              <w:rPr>
                <w:rFonts w:ascii="宋体" w:hAnsi="宋体" w:eastAsia="宋体" w:cs="宋体"/>
                <w:b/>
                <w:bCs/>
                <w:spacing w:val="2"/>
                <w:sz w:val="20"/>
                <w:szCs w:val="20"/>
              </w:rPr>
              <w:t>项目</w:t>
            </w:r>
          </w:p>
        </w:tc>
        <w:tc>
          <w:tcPr>
            <w:tcW w:w="5178" w:type="dxa"/>
            <w:gridSpan w:val="2"/>
            <w:vAlign w:val="top"/>
          </w:tcPr>
          <w:p w14:paraId="5FB92D1C">
            <w:pPr>
              <w:spacing w:before="252" w:line="228" w:lineRule="auto"/>
              <w:ind w:left="2170"/>
              <w:rPr>
                <w:rFonts w:ascii="宋体" w:hAnsi="宋体" w:eastAsia="宋体" w:cs="宋体"/>
                <w:sz w:val="20"/>
                <w:szCs w:val="20"/>
              </w:rPr>
            </w:pPr>
            <w:r>
              <w:rPr>
                <w:rFonts w:ascii="宋体" w:hAnsi="宋体" w:eastAsia="宋体" w:cs="宋体"/>
                <w:b/>
                <w:bCs/>
                <w:spacing w:val="6"/>
                <w:sz w:val="20"/>
                <w:szCs w:val="20"/>
              </w:rPr>
              <w:t>环保措施</w:t>
            </w:r>
          </w:p>
        </w:tc>
        <w:tc>
          <w:tcPr>
            <w:tcW w:w="1061" w:type="dxa"/>
            <w:vAlign w:val="top"/>
          </w:tcPr>
          <w:p w14:paraId="41D406BC">
            <w:pPr>
              <w:spacing w:before="46" w:line="367" w:lineRule="auto"/>
              <w:ind w:left="129" w:right="120" w:firstLine="95"/>
              <w:rPr>
                <w:rFonts w:ascii="宋体" w:hAnsi="宋体" w:eastAsia="宋体" w:cs="宋体"/>
                <w:sz w:val="20"/>
                <w:szCs w:val="20"/>
              </w:rPr>
            </w:pPr>
            <w:r>
              <w:rPr>
                <w:rFonts w:ascii="宋体" w:hAnsi="宋体" w:eastAsia="宋体" w:cs="宋体"/>
                <w:b/>
                <w:bCs/>
                <w:spacing w:val="4"/>
                <w:sz w:val="20"/>
                <w:szCs w:val="20"/>
              </w:rPr>
              <w:t>投资额</w:t>
            </w:r>
            <w:r>
              <w:rPr>
                <w:rFonts w:ascii="宋体" w:hAnsi="宋体" w:eastAsia="宋体" w:cs="宋体"/>
                <w:b/>
                <w:bCs/>
                <w:spacing w:val="-1"/>
                <w:sz w:val="20"/>
                <w:szCs w:val="20"/>
              </w:rPr>
              <w:t>（万元）</w:t>
            </w:r>
          </w:p>
        </w:tc>
        <w:tc>
          <w:tcPr>
            <w:tcW w:w="1455" w:type="dxa"/>
            <w:vAlign w:val="top"/>
          </w:tcPr>
          <w:p w14:paraId="0357A479">
            <w:pPr>
              <w:spacing w:before="251" w:line="229" w:lineRule="auto"/>
              <w:ind w:left="530"/>
              <w:rPr>
                <w:rFonts w:ascii="宋体" w:hAnsi="宋体" w:eastAsia="宋体" w:cs="宋体"/>
                <w:sz w:val="20"/>
                <w:szCs w:val="20"/>
              </w:rPr>
            </w:pPr>
            <w:r>
              <w:rPr>
                <w:rFonts w:ascii="宋体" w:hAnsi="宋体" w:eastAsia="宋体" w:cs="宋体"/>
                <w:b/>
                <w:bCs/>
                <w:spacing w:val="2"/>
                <w:sz w:val="20"/>
                <w:szCs w:val="20"/>
              </w:rPr>
              <w:t>备注</w:t>
            </w:r>
          </w:p>
        </w:tc>
        <w:tc>
          <w:tcPr>
            <w:tcW w:w="127" w:type="dxa"/>
            <w:vMerge w:val="restart"/>
            <w:tcBorders>
              <w:top w:val="nil"/>
              <w:bottom w:val="nil"/>
              <w:right w:val="single" w:color="000000" w:sz="6" w:space="0"/>
            </w:tcBorders>
            <w:vAlign w:val="top"/>
          </w:tcPr>
          <w:p w14:paraId="210F8B06">
            <w:pPr>
              <w:rPr>
                <w:rFonts w:ascii="Arial"/>
                <w:sz w:val="21"/>
              </w:rPr>
            </w:pPr>
          </w:p>
        </w:tc>
      </w:tr>
      <w:tr w14:paraId="79DAB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428" w:type="dxa"/>
            <w:vMerge w:val="continue"/>
            <w:tcBorders>
              <w:top w:val="nil"/>
              <w:left w:val="single" w:color="000000" w:sz="6" w:space="0"/>
              <w:bottom w:val="nil"/>
            </w:tcBorders>
            <w:vAlign w:val="top"/>
          </w:tcPr>
          <w:p w14:paraId="24C21638">
            <w:pPr>
              <w:rPr>
                <w:rFonts w:ascii="Arial"/>
                <w:sz w:val="21"/>
              </w:rPr>
            </w:pPr>
          </w:p>
        </w:tc>
        <w:tc>
          <w:tcPr>
            <w:tcW w:w="113" w:type="dxa"/>
            <w:tcBorders>
              <w:top w:val="nil"/>
              <w:bottom w:val="nil"/>
            </w:tcBorders>
            <w:vAlign w:val="top"/>
          </w:tcPr>
          <w:p w14:paraId="1003BDD9">
            <w:pPr>
              <w:rPr>
                <w:rFonts w:ascii="Arial"/>
                <w:sz w:val="21"/>
              </w:rPr>
            </w:pPr>
          </w:p>
        </w:tc>
        <w:tc>
          <w:tcPr>
            <w:tcW w:w="702" w:type="dxa"/>
            <w:vAlign w:val="top"/>
          </w:tcPr>
          <w:p w14:paraId="2ED21D37">
            <w:pPr>
              <w:spacing w:line="374" w:lineRule="auto"/>
              <w:rPr>
                <w:rFonts w:ascii="Arial"/>
                <w:sz w:val="21"/>
              </w:rPr>
            </w:pPr>
          </w:p>
          <w:p w14:paraId="47D8694C">
            <w:pPr>
              <w:spacing w:before="65" w:line="228" w:lineRule="auto"/>
              <w:ind w:left="141"/>
              <w:rPr>
                <w:rFonts w:ascii="宋体" w:hAnsi="宋体" w:eastAsia="宋体" w:cs="宋体"/>
                <w:sz w:val="20"/>
                <w:szCs w:val="20"/>
              </w:rPr>
            </w:pPr>
            <w:r>
              <w:rPr>
                <w:rFonts w:ascii="宋体" w:hAnsi="宋体" w:eastAsia="宋体" w:cs="宋体"/>
                <w:spacing w:val="3"/>
                <w:sz w:val="20"/>
                <w:szCs w:val="20"/>
              </w:rPr>
              <w:t>大气</w:t>
            </w:r>
          </w:p>
        </w:tc>
        <w:tc>
          <w:tcPr>
            <w:tcW w:w="5178" w:type="dxa"/>
            <w:gridSpan w:val="2"/>
            <w:vAlign w:val="top"/>
          </w:tcPr>
          <w:p w14:paraId="62872A48">
            <w:pPr>
              <w:spacing w:before="32" w:line="227" w:lineRule="auto"/>
              <w:ind w:left="105"/>
              <w:rPr>
                <w:rFonts w:ascii="宋体" w:hAnsi="宋体" w:eastAsia="宋体" w:cs="宋体"/>
                <w:sz w:val="20"/>
                <w:szCs w:val="20"/>
              </w:rPr>
            </w:pPr>
            <w:r>
              <w:rPr>
                <w:rFonts w:ascii="宋体" w:hAnsi="宋体" w:eastAsia="宋体" w:cs="宋体"/>
                <w:spacing w:val="6"/>
                <w:sz w:val="20"/>
                <w:szCs w:val="20"/>
              </w:rPr>
              <w:t>在每台注塑机上方设置集气罩，共设置</w:t>
            </w:r>
            <w:r>
              <w:rPr>
                <w:rFonts w:ascii="宋体" w:hAnsi="宋体" w:eastAsia="宋体" w:cs="宋体"/>
                <w:spacing w:val="-38"/>
                <w:sz w:val="20"/>
                <w:szCs w:val="20"/>
              </w:rPr>
              <w:t xml:space="preserve"> </w:t>
            </w:r>
            <w:r>
              <w:rPr>
                <w:rFonts w:ascii="Times New Roman" w:hAnsi="Times New Roman" w:eastAsia="Times New Roman" w:cs="Times New Roman"/>
                <w:spacing w:val="6"/>
                <w:sz w:val="20"/>
                <w:szCs w:val="20"/>
              </w:rPr>
              <w:t xml:space="preserve">4 </w:t>
            </w:r>
            <w:r>
              <w:rPr>
                <w:rFonts w:ascii="宋体" w:hAnsi="宋体" w:eastAsia="宋体" w:cs="宋体"/>
                <w:spacing w:val="6"/>
                <w:sz w:val="20"/>
                <w:szCs w:val="20"/>
              </w:rPr>
              <w:t>个集气罩（单</w:t>
            </w:r>
          </w:p>
          <w:p w14:paraId="5FDFC2D8">
            <w:pPr>
              <w:spacing w:before="161" w:line="228" w:lineRule="auto"/>
              <w:ind w:left="106"/>
              <w:rPr>
                <w:rFonts w:ascii="宋体" w:hAnsi="宋体" w:eastAsia="宋体" w:cs="宋体"/>
                <w:sz w:val="20"/>
                <w:szCs w:val="20"/>
              </w:rPr>
            </w:pPr>
            <w:r>
              <w:rPr>
                <w:rFonts w:ascii="宋体" w:hAnsi="宋体" w:eastAsia="宋体" w:cs="宋体"/>
                <w:spacing w:val="7"/>
                <w:sz w:val="20"/>
                <w:szCs w:val="20"/>
              </w:rPr>
              <w:t>个规格为</w:t>
            </w:r>
            <w:r>
              <w:rPr>
                <w:rFonts w:ascii="宋体" w:hAnsi="宋体" w:eastAsia="宋体" w:cs="宋体"/>
                <w:spacing w:val="-20"/>
                <w:sz w:val="20"/>
                <w:szCs w:val="20"/>
              </w:rPr>
              <w:t xml:space="preserve"> </w:t>
            </w:r>
            <w:r>
              <w:rPr>
                <w:rFonts w:ascii="Times New Roman" w:hAnsi="Times New Roman" w:eastAsia="Times New Roman" w:cs="Times New Roman"/>
                <w:spacing w:val="7"/>
                <w:sz w:val="20"/>
                <w:szCs w:val="20"/>
              </w:rPr>
              <w:t>1.8m×1m</w:t>
            </w:r>
            <w:r>
              <w:rPr>
                <w:rFonts w:ascii="宋体" w:hAnsi="宋体" w:eastAsia="宋体" w:cs="宋体"/>
                <w:spacing w:val="-33"/>
                <w:sz w:val="20"/>
                <w:szCs w:val="20"/>
              </w:rPr>
              <w:t>），</w:t>
            </w:r>
            <w:r>
              <w:rPr>
                <w:rFonts w:ascii="宋体" w:hAnsi="宋体" w:eastAsia="宋体" w:cs="宋体"/>
                <w:spacing w:val="7"/>
                <w:sz w:val="20"/>
                <w:szCs w:val="20"/>
              </w:rPr>
              <w:t>废气经集气罩收集后通过三</w:t>
            </w:r>
            <w:r>
              <w:rPr>
                <w:rFonts w:ascii="宋体" w:hAnsi="宋体" w:eastAsia="宋体" w:cs="宋体"/>
                <w:spacing w:val="6"/>
                <w:sz w:val="20"/>
                <w:szCs w:val="20"/>
              </w:rPr>
              <w:t>级活</w:t>
            </w:r>
          </w:p>
          <w:p w14:paraId="0453D13D">
            <w:pPr>
              <w:spacing w:before="163" w:line="227" w:lineRule="auto"/>
              <w:ind w:left="543"/>
              <w:rPr>
                <w:rFonts w:ascii="宋体" w:hAnsi="宋体" w:eastAsia="宋体" w:cs="宋体"/>
                <w:sz w:val="20"/>
                <w:szCs w:val="20"/>
              </w:rPr>
            </w:pPr>
            <w:r>
              <w:rPr>
                <w:rFonts w:ascii="宋体" w:hAnsi="宋体" w:eastAsia="宋体" w:cs="宋体"/>
                <w:spacing w:val="8"/>
                <w:sz w:val="20"/>
                <w:szCs w:val="20"/>
              </w:rPr>
              <w:t>性炭吸附</w:t>
            </w:r>
            <w:r>
              <w:rPr>
                <w:rFonts w:ascii="Times New Roman" w:hAnsi="Times New Roman" w:eastAsia="Times New Roman" w:cs="Times New Roman"/>
                <w:spacing w:val="8"/>
                <w:sz w:val="20"/>
                <w:szCs w:val="20"/>
              </w:rPr>
              <w:t xml:space="preserve">+15m </w:t>
            </w:r>
            <w:r>
              <w:rPr>
                <w:rFonts w:ascii="宋体" w:hAnsi="宋体" w:eastAsia="宋体" w:cs="宋体"/>
                <w:spacing w:val="8"/>
                <w:sz w:val="20"/>
                <w:szCs w:val="20"/>
              </w:rPr>
              <w:t>排气筒（</w:t>
            </w: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005</w:t>
            </w:r>
            <w:r>
              <w:rPr>
                <w:rFonts w:ascii="宋体" w:hAnsi="宋体" w:eastAsia="宋体" w:cs="宋体"/>
                <w:spacing w:val="8"/>
                <w:sz w:val="20"/>
                <w:szCs w:val="20"/>
              </w:rPr>
              <w:t>）处理后排放</w:t>
            </w:r>
          </w:p>
        </w:tc>
        <w:tc>
          <w:tcPr>
            <w:tcW w:w="1061" w:type="dxa"/>
            <w:vAlign w:val="top"/>
          </w:tcPr>
          <w:p w14:paraId="2C87C424">
            <w:pPr>
              <w:spacing w:line="424" w:lineRule="auto"/>
              <w:rPr>
                <w:rFonts w:ascii="Arial"/>
                <w:sz w:val="21"/>
              </w:rPr>
            </w:pPr>
          </w:p>
          <w:p w14:paraId="4300CBAA">
            <w:pPr>
              <w:spacing w:before="57" w:line="195" w:lineRule="auto"/>
              <w:ind w:left="45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455" w:type="dxa"/>
            <w:vAlign w:val="top"/>
          </w:tcPr>
          <w:p w14:paraId="6818A827">
            <w:pPr>
              <w:spacing w:line="374" w:lineRule="auto"/>
              <w:rPr>
                <w:rFonts w:ascii="Arial"/>
                <w:sz w:val="21"/>
              </w:rPr>
            </w:pPr>
          </w:p>
          <w:p w14:paraId="500D0D4B">
            <w:pPr>
              <w:spacing w:before="65" w:line="228" w:lineRule="auto"/>
              <w:ind w:left="528"/>
              <w:rPr>
                <w:rFonts w:ascii="宋体" w:hAnsi="宋体" w:eastAsia="宋体" w:cs="宋体"/>
                <w:sz w:val="20"/>
                <w:szCs w:val="20"/>
              </w:rPr>
            </w:pPr>
            <w:r>
              <w:rPr>
                <w:rFonts w:ascii="宋体" w:hAnsi="宋体" w:eastAsia="宋体" w:cs="宋体"/>
                <w:spacing w:val="4"/>
                <w:sz w:val="20"/>
                <w:szCs w:val="20"/>
              </w:rPr>
              <w:t>新增</w:t>
            </w:r>
          </w:p>
        </w:tc>
        <w:tc>
          <w:tcPr>
            <w:tcW w:w="127" w:type="dxa"/>
            <w:vMerge w:val="continue"/>
            <w:tcBorders>
              <w:top w:val="nil"/>
              <w:bottom w:val="nil"/>
              <w:right w:val="single" w:color="000000" w:sz="6" w:space="0"/>
            </w:tcBorders>
            <w:vAlign w:val="top"/>
          </w:tcPr>
          <w:p w14:paraId="3DCA8CF2">
            <w:pPr>
              <w:rPr>
                <w:rFonts w:ascii="Arial"/>
                <w:sz w:val="21"/>
              </w:rPr>
            </w:pPr>
          </w:p>
        </w:tc>
      </w:tr>
      <w:tr w14:paraId="583B7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vAlign w:val="top"/>
          </w:tcPr>
          <w:p w14:paraId="10B24B24">
            <w:pPr>
              <w:rPr>
                <w:rFonts w:ascii="Arial"/>
                <w:sz w:val="21"/>
              </w:rPr>
            </w:pPr>
          </w:p>
        </w:tc>
        <w:tc>
          <w:tcPr>
            <w:tcW w:w="113" w:type="dxa"/>
            <w:tcBorders>
              <w:top w:val="nil"/>
              <w:bottom w:val="nil"/>
            </w:tcBorders>
            <w:vAlign w:val="top"/>
          </w:tcPr>
          <w:p w14:paraId="6E8316CC">
            <w:pPr>
              <w:rPr>
                <w:rFonts w:ascii="Arial"/>
                <w:sz w:val="21"/>
              </w:rPr>
            </w:pPr>
          </w:p>
        </w:tc>
        <w:tc>
          <w:tcPr>
            <w:tcW w:w="702" w:type="dxa"/>
            <w:vAlign w:val="top"/>
          </w:tcPr>
          <w:p w14:paraId="5910DACE">
            <w:pPr>
              <w:spacing w:before="33" w:line="359" w:lineRule="auto"/>
              <w:ind w:left="246" w:right="148" w:hanging="108"/>
              <w:rPr>
                <w:rFonts w:ascii="宋体" w:hAnsi="宋体" w:eastAsia="宋体" w:cs="宋体"/>
                <w:sz w:val="20"/>
                <w:szCs w:val="20"/>
              </w:rPr>
            </w:pPr>
            <w:r>
              <w:rPr>
                <w:rFonts w:ascii="宋体" w:hAnsi="宋体" w:eastAsia="宋体" w:cs="宋体"/>
                <w:spacing w:val="4"/>
                <w:sz w:val="20"/>
                <w:szCs w:val="20"/>
              </w:rPr>
              <w:t>地表</w:t>
            </w:r>
            <w:r>
              <w:rPr>
                <w:rFonts w:ascii="宋体" w:hAnsi="宋体" w:eastAsia="宋体" w:cs="宋体"/>
                <w:sz w:val="20"/>
                <w:szCs w:val="20"/>
              </w:rPr>
              <w:t>水</w:t>
            </w:r>
          </w:p>
        </w:tc>
        <w:tc>
          <w:tcPr>
            <w:tcW w:w="5178" w:type="dxa"/>
            <w:gridSpan w:val="2"/>
            <w:vAlign w:val="top"/>
          </w:tcPr>
          <w:p w14:paraId="26266E5D">
            <w:pPr>
              <w:spacing w:before="237" w:line="227" w:lineRule="auto"/>
              <w:ind w:left="225"/>
              <w:rPr>
                <w:rFonts w:ascii="宋体" w:hAnsi="宋体" w:eastAsia="宋体" w:cs="宋体"/>
                <w:sz w:val="20"/>
                <w:szCs w:val="20"/>
              </w:rPr>
            </w:pPr>
            <w:r>
              <w:rPr>
                <w:rFonts w:ascii="宋体" w:hAnsi="宋体" w:eastAsia="宋体" w:cs="宋体"/>
                <w:spacing w:val="9"/>
                <w:sz w:val="20"/>
                <w:szCs w:val="20"/>
              </w:rPr>
              <w:t>生活污水依托已建化粪池</w:t>
            </w:r>
            <w:r>
              <w:rPr>
                <w:rFonts w:ascii="Times New Roman" w:hAnsi="Times New Roman" w:eastAsia="Times New Roman" w:cs="Times New Roman"/>
                <w:spacing w:val="9"/>
                <w:sz w:val="20"/>
                <w:szCs w:val="20"/>
              </w:rPr>
              <w:t>+</w:t>
            </w:r>
            <w:r>
              <w:rPr>
                <w:rFonts w:ascii="宋体" w:hAnsi="宋体" w:eastAsia="宋体" w:cs="宋体"/>
                <w:spacing w:val="9"/>
                <w:sz w:val="20"/>
                <w:szCs w:val="20"/>
              </w:rPr>
              <w:t>一体化污水处理设施处理</w:t>
            </w:r>
          </w:p>
        </w:tc>
        <w:tc>
          <w:tcPr>
            <w:tcW w:w="1061" w:type="dxa"/>
            <w:vAlign w:val="top"/>
          </w:tcPr>
          <w:p w14:paraId="769DBD17">
            <w:pPr>
              <w:spacing w:before="277" w:line="199" w:lineRule="auto"/>
              <w:ind w:left="5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455" w:type="dxa"/>
            <w:vAlign w:val="top"/>
          </w:tcPr>
          <w:p w14:paraId="653805D6">
            <w:pPr>
              <w:spacing w:before="237" w:line="227" w:lineRule="auto"/>
              <w:ind w:left="529"/>
              <w:rPr>
                <w:rFonts w:ascii="宋体" w:hAnsi="宋体" w:eastAsia="宋体" w:cs="宋体"/>
                <w:sz w:val="20"/>
                <w:szCs w:val="20"/>
              </w:rPr>
            </w:pPr>
            <w:r>
              <w:rPr>
                <w:rFonts w:ascii="宋体" w:hAnsi="宋体" w:eastAsia="宋体" w:cs="宋体"/>
                <w:spacing w:val="3"/>
                <w:sz w:val="20"/>
                <w:szCs w:val="20"/>
              </w:rPr>
              <w:t>依托</w:t>
            </w:r>
          </w:p>
        </w:tc>
        <w:tc>
          <w:tcPr>
            <w:tcW w:w="127" w:type="dxa"/>
            <w:vMerge w:val="continue"/>
            <w:tcBorders>
              <w:top w:val="nil"/>
              <w:bottom w:val="nil"/>
              <w:right w:val="single" w:color="000000" w:sz="6" w:space="0"/>
            </w:tcBorders>
            <w:vAlign w:val="top"/>
          </w:tcPr>
          <w:p w14:paraId="47835BDA">
            <w:pPr>
              <w:rPr>
                <w:rFonts w:ascii="Arial"/>
                <w:sz w:val="21"/>
              </w:rPr>
            </w:pPr>
          </w:p>
        </w:tc>
      </w:tr>
      <w:tr w14:paraId="3B7C7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57186F93">
            <w:pPr>
              <w:rPr>
                <w:rFonts w:ascii="Arial"/>
                <w:sz w:val="21"/>
              </w:rPr>
            </w:pPr>
          </w:p>
        </w:tc>
        <w:tc>
          <w:tcPr>
            <w:tcW w:w="113" w:type="dxa"/>
            <w:tcBorders>
              <w:top w:val="nil"/>
              <w:bottom w:val="nil"/>
            </w:tcBorders>
            <w:vAlign w:val="top"/>
          </w:tcPr>
          <w:p w14:paraId="597A3098">
            <w:pPr>
              <w:rPr>
                <w:rFonts w:ascii="Arial"/>
                <w:sz w:val="21"/>
              </w:rPr>
            </w:pPr>
          </w:p>
        </w:tc>
        <w:tc>
          <w:tcPr>
            <w:tcW w:w="702" w:type="dxa"/>
            <w:vAlign w:val="top"/>
          </w:tcPr>
          <w:p w14:paraId="4B4FDF28">
            <w:pPr>
              <w:spacing w:before="34" w:line="228" w:lineRule="auto"/>
              <w:ind w:left="156"/>
              <w:rPr>
                <w:rFonts w:ascii="宋体" w:hAnsi="宋体" w:eastAsia="宋体" w:cs="宋体"/>
                <w:sz w:val="20"/>
                <w:szCs w:val="20"/>
              </w:rPr>
            </w:pPr>
            <w:r>
              <w:rPr>
                <w:rFonts w:ascii="宋体" w:hAnsi="宋体" w:eastAsia="宋体" w:cs="宋体"/>
                <w:spacing w:val="-5"/>
                <w:sz w:val="20"/>
                <w:szCs w:val="20"/>
              </w:rPr>
              <w:t>固废</w:t>
            </w:r>
          </w:p>
        </w:tc>
        <w:tc>
          <w:tcPr>
            <w:tcW w:w="5178" w:type="dxa"/>
            <w:gridSpan w:val="2"/>
            <w:vAlign w:val="top"/>
          </w:tcPr>
          <w:p w14:paraId="4630B95B">
            <w:pPr>
              <w:spacing w:before="33" w:line="227" w:lineRule="auto"/>
              <w:ind w:left="1859"/>
              <w:rPr>
                <w:rFonts w:ascii="宋体" w:hAnsi="宋体" w:eastAsia="宋体" w:cs="宋体"/>
                <w:sz w:val="20"/>
                <w:szCs w:val="20"/>
              </w:rPr>
            </w:pPr>
            <w:r>
              <w:rPr>
                <w:rFonts w:ascii="宋体" w:hAnsi="宋体" w:eastAsia="宋体" w:cs="宋体"/>
                <w:spacing w:val="8"/>
                <w:sz w:val="20"/>
                <w:szCs w:val="20"/>
              </w:rPr>
              <w:t>新增若干垃圾桶</w:t>
            </w:r>
          </w:p>
        </w:tc>
        <w:tc>
          <w:tcPr>
            <w:tcW w:w="1061" w:type="dxa"/>
            <w:vAlign w:val="top"/>
          </w:tcPr>
          <w:p w14:paraId="3534F025">
            <w:pPr>
              <w:spacing w:before="76" w:line="195" w:lineRule="auto"/>
              <w:ind w:left="40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455" w:type="dxa"/>
            <w:vAlign w:val="top"/>
          </w:tcPr>
          <w:p w14:paraId="028C6C40">
            <w:pPr>
              <w:spacing w:before="34" w:line="228" w:lineRule="auto"/>
              <w:ind w:left="528"/>
              <w:rPr>
                <w:rFonts w:ascii="宋体" w:hAnsi="宋体" w:eastAsia="宋体" w:cs="宋体"/>
                <w:sz w:val="20"/>
                <w:szCs w:val="20"/>
              </w:rPr>
            </w:pPr>
            <w:r>
              <w:rPr>
                <w:rFonts w:ascii="宋体" w:hAnsi="宋体" w:eastAsia="宋体" w:cs="宋体"/>
                <w:spacing w:val="4"/>
                <w:sz w:val="20"/>
                <w:szCs w:val="20"/>
              </w:rPr>
              <w:t>新增</w:t>
            </w:r>
          </w:p>
        </w:tc>
        <w:tc>
          <w:tcPr>
            <w:tcW w:w="127" w:type="dxa"/>
            <w:vMerge w:val="continue"/>
            <w:tcBorders>
              <w:top w:val="nil"/>
              <w:bottom w:val="nil"/>
              <w:right w:val="single" w:color="000000" w:sz="6" w:space="0"/>
            </w:tcBorders>
            <w:vAlign w:val="top"/>
          </w:tcPr>
          <w:p w14:paraId="06C76C75">
            <w:pPr>
              <w:rPr>
                <w:rFonts w:ascii="Arial"/>
                <w:sz w:val="21"/>
              </w:rPr>
            </w:pPr>
          </w:p>
        </w:tc>
      </w:tr>
      <w:tr w14:paraId="06E0E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785D24AC">
            <w:pPr>
              <w:rPr>
                <w:rFonts w:ascii="Arial"/>
                <w:sz w:val="21"/>
              </w:rPr>
            </w:pPr>
          </w:p>
        </w:tc>
        <w:tc>
          <w:tcPr>
            <w:tcW w:w="113" w:type="dxa"/>
            <w:tcBorders>
              <w:top w:val="nil"/>
              <w:bottom w:val="nil"/>
            </w:tcBorders>
            <w:vAlign w:val="top"/>
          </w:tcPr>
          <w:p w14:paraId="6E30A8BC">
            <w:pPr>
              <w:rPr>
                <w:rFonts w:ascii="Arial"/>
                <w:sz w:val="21"/>
              </w:rPr>
            </w:pPr>
          </w:p>
        </w:tc>
        <w:tc>
          <w:tcPr>
            <w:tcW w:w="702" w:type="dxa"/>
            <w:vAlign w:val="top"/>
          </w:tcPr>
          <w:p w14:paraId="5D874945">
            <w:pPr>
              <w:spacing w:before="36" w:line="228" w:lineRule="auto"/>
              <w:ind w:left="148"/>
              <w:rPr>
                <w:rFonts w:ascii="宋体" w:hAnsi="宋体" w:eastAsia="宋体" w:cs="宋体"/>
                <w:sz w:val="20"/>
                <w:szCs w:val="20"/>
              </w:rPr>
            </w:pPr>
            <w:r>
              <w:rPr>
                <w:rFonts w:ascii="宋体" w:hAnsi="宋体" w:eastAsia="宋体" w:cs="宋体"/>
                <w:spacing w:val="-1"/>
                <w:sz w:val="20"/>
                <w:szCs w:val="20"/>
              </w:rPr>
              <w:t>噪声</w:t>
            </w:r>
          </w:p>
        </w:tc>
        <w:tc>
          <w:tcPr>
            <w:tcW w:w="5178" w:type="dxa"/>
            <w:gridSpan w:val="2"/>
            <w:vAlign w:val="top"/>
          </w:tcPr>
          <w:p w14:paraId="186ED1C7">
            <w:pPr>
              <w:spacing w:before="36" w:line="228" w:lineRule="auto"/>
              <w:ind w:left="1649"/>
              <w:rPr>
                <w:rFonts w:ascii="宋体" w:hAnsi="宋体" w:eastAsia="宋体" w:cs="宋体"/>
                <w:sz w:val="20"/>
                <w:szCs w:val="20"/>
              </w:rPr>
            </w:pPr>
            <w:r>
              <w:rPr>
                <w:rFonts w:ascii="宋体" w:hAnsi="宋体" w:eastAsia="宋体" w:cs="宋体"/>
                <w:spacing w:val="8"/>
                <w:sz w:val="20"/>
                <w:szCs w:val="20"/>
              </w:rPr>
              <w:t>厂房隔声、基础减震</w:t>
            </w:r>
          </w:p>
        </w:tc>
        <w:tc>
          <w:tcPr>
            <w:tcW w:w="1061" w:type="dxa"/>
            <w:vAlign w:val="top"/>
          </w:tcPr>
          <w:p w14:paraId="65D96DBD">
            <w:pPr>
              <w:spacing w:before="78" w:line="195" w:lineRule="auto"/>
              <w:ind w:left="40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1455" w:type="dxa"/>
            <w:vAlign w:val="top"/>
          </w:tcPr>
          <w:p w14:paraId="6812465C">
            <w:pPr>
              <w:spacing w:before="36" w:line="228" w:lineRule="auto"/>
              <w:ind w:left="528"/>
              <w:rPr>
                <w:rFonts w:ascii="宋体" w:hAnsi="宋体" w:eastAsia="宋体" w:cs="宋体"/>
                <w:sz w:val="20"/>
                <w:szCs w:val="20"/>
              </w:rPr>
            </w:pPr>
            <w:r>
              <w:rPr>
                <w:rFonts w:ascii="宋体" w:hAnsi="宋体" w:eastAsia="宋体" w:cs="宋体"/>
                <w:spacing w:val="4"/>
                <w:sz w:val="20"/>
                <w:szCs w:val="20"/>
              </w:rPr>
              <w:t>新增</w:t>
            </w:r>
          </w:p>
        </w:tc>
        <w:tc>
          <w:tcPr>
            <w:tcW w:w="127" w:type="dxa"/>
            <w:vMerge w:val="continue"/>
            <w:tcBorders>
              <w:top w:val="nil"/>
              <w:bottom w:val="nil"/>
              <w:right w:val="single" w:color="000000" w:sz="6" w:space="0"/>
            </w:tcBorders>
            <w:vAlign w:val="top"/>
          </w:tcPr>
          <w:p w14:paraId="2646BCD7">
            <w:pPr>
              <w:rPr>
                <w:rFonts w:ascii="Arial"/>
                <w:sz w:val="21"/>
              </w:rPr>
            </w:pPr>
          </w:p>
        </w:tc>
      </w:tr>
      <w:tr w14:paraId="082C1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3" w:hRule="atLeast"/>
        </w:trPr>
        <w:tc>
          <w:tcPr>
            <w:tcW w:w="428" w:type="dxa"/>
            <w:vMerge w:val="continue"/>
            <w:tcBorders>
              <w:top w:val="nil"/>
              <w:left w:val="single" w:color="000000" w:sz="6" w:space="0"/>
              <w:bottom w:val="nil"/>
            </w:tcBorders>
            <w:vAlign w:val="top"/>
          </w:tcPr>
          <w:p w14:paraId="0D310C47">
            <w:pPr>
              <w:rPr>
                <w:rFonts w:ascii="Arial"/>
                <w:sz w:val="21"/>
              </w:rPr>
            </w:pPr>
          </w:p>
        </w:tc>
        <w:tc>
          <w:tcPr>
            <w:tcW w:w="113" w:type="dxa"/>
            <w:tcBorders>
              <w:top w:val="nil"/>
              <w:bottom w:val="nil"/>
            </w:tcBorders>
            <w:vAlign w:val="top"/>
          </w:tcPr>
          <w:p w14:paraId="4A04AB0C">
            <w:pPr>
              <w:rPr>
                <w:rFonts w:ascii="Arial"/>
                <w:sz w:val="21"/>
              </w:rPr>
            </w:pPr>
          </w:p>
        </w:tc>
        <w:tc>
          <w:tcPr>
            <w:tcW w:w="702" w:type="dxa"/>
            <w:vAlign w:val="top"/>
          </w:tcPr>
          <w:p w14:paraId="5D9AAFCE">
            <w:pPr>
              <w:spacing w:line="289" w:lineRule="auto"/>
              <w:rPr>
                <w:rFonts w:ascii="Arial"/>
                <w:sz w:val="21"/>
              </w:rPr>
            </w:pPr>
          </w:p>
          <w:p w14:paraId="52DCE630">
            <w:pPr>
              <w:spacing w:line="289" w:lineRule="auto"/>
              <w:rPr>
                <w:rFonts w:ascii="Arial"/>
                <w:sz w:val="21"/>
              </w:rPr>
            </w:pPr>
          </w:p>
          <w:p w14:paraId="7140535B">
            <w:pPr>
              <w:spacing w:before="65" w:line="378" w:lineRule="auto"/>
              <w:ind w:left="138" w:right="148"/>
              <w:jc w:val="both"/>
              <w:rPr>
                <w:rFonts w:ascii="宋体" w:hAnsi="宋体" w:eastAsia="宋体" w:cs="宋体"/>
                <w:sz w:val="20"/>
                <w:szCs w:val="20"/>
              </w:rPr>
            </w:pPr>
            <w:r>
              <w:rPr>
                <w:rFonts w:ascii="宋体" w:hAnsi="宋体" w:eastAsia="宋体" w:cs="宋体"/>
                <w:spacing w:val="4"/>
                <w:sz w:val="20"/>
                <w:szCs w:val="20"/>
              </w:rPr>
              <w:t>风险防范措施</w:t>
            </w:r>
          </w:p>
        </w:tc>
        <w:tc>
          <w:tcPr>
            <w:tcW w:w="1031" w:type="dxa"/>
            <w:vAlign w:val="top"/>
          </w:tcPr>
          <w:p w14:paraId="0CD59271">
            <w:pPr>
              <w:spacing w:line="260" w:lineRule="auto"/>
              <w:rPr>
                <w:rFonts w:ascii="Arial"/>
                <w:sz w:val="21"/>
              </w:rPr>
            </w:pPr>
          </w:p>
          <w:p w14:paraId="630688B4">
            <w:pPr>
              <w:spacing w:line="260" w:lineRule="auto"/>
              <w:rPr>
                <w:rFonts w:ascii="Arial"/>
                <w:sz w:val="21"/>
              </w:rPr>
            </w:pPr>
          </w:p>
          <w:p w14:paraId="0EF5954E">
            <w:pPr>
              <w:spacing w:line="261" w:lineRule="auto"/>
              <w:rPr>
                <w:rFonts w:ascii="Arial"/>
                <w:sz w:val="21"/>
              </w:rPr>
            </w:pPr>
          </w:p>
          <w:p w14:paraId="774453E9">
            <w:pPr>
              <w:spacing w:before="65" w:line="378" w:lineRule="auto"/>
              <w:ind w:left="304" w:right="205" w:hanging="102"/>
              <w:rPr>
                <w:rFonts w:ascii="宋体" w:hAnsi="宋体" w:eastAsia="宋体" w:cs="宋体"/>
                <w:sz w:val="20"/>
                <w:szCs w:val="20"/>
              </w:rPr>
            </w:pPr>
            <w:r>
              <w:rPr>
                <w:rFonts w:ascii="宋体" w:hAnsi="宋体" w:eastAsia="宋体" w:cs="宋体"/>
                <w:spacing w:val="6"/>
                <w:sz w:val="20"/>
                <w:szCs w:val="20"/>
              </w:rPr>
              <w:t>危废暂</w:t>
            </w:r>
            <w:r>
              <w:rPr>
                <w:rFonts w:ascii="宋体" w:hAnsi="宋体" w:eastAsia="宋体" w:cs="宋体"/>
                <w:spacing w:val="5"/>
                <w:sz w:val="20"/>
                <w:szCs w:val="20"/>
              </w:rPr>
              <w:t>存间</w:t>
            </w:r>
          </w:p>
        </w:tc>
        <w:tc>
          <w:tcPr>
            <w:tcW w:w="4147" w:type="dxa"/>
            <w:vAlign w:val="top"/>
          </w:tcPr>
          <w:p w14:paraId="39B4ECE1">
            <w:pPr>
              <w:spacing w:line="260" w:lineRule="auto"/>
              <w:rPr>
                <w:rFonts w:ascii="Arial"/>
                <w:sz w:val="21"/>
              </w:rPr>
            </w:pPr>
          </w:p>
          <w:p w14:paraId="36C209C3">
            <w:pPr>
              <w:spacing w:line="260" w:lineRule="auto"/>
              <w:rPr>
                <w:rFonts w:ascii="Arial"/>
                <w:sz w:val="21"/>
              </w:rPr>
            </w:pPr>
          </w:p>
          <w:p w14:paraId="3513AB9C">
            <w:pPr>
              <w:spacing w:line="261" w:lineRule="auto"/>
              <w:rPr>
                <w:rFonts w:ascii="Arial"/>
                <w:sz w:val="21"/>
              </w:rPr>
            </w:pPr>
          </w:p>
          <w:p w14:paraId="10F67756">
            <w:pPr>
              <w:spacing w:before="65" w:line="228" w:lineRule="auto"/>
              <w:ind w:left="133"/>
              <w:rPr>
                <w:rFonts w:ascii="宋体" w:hAnsi="宋体" w:eastAsia="宋体" w:cs="宋体"/>
                <w:sz w:val="20"/>
                <w:szCs w:val="20"/>
              </w:rPr>
            </w:pPr>
            <w:r>
              <w:rPr>
                <w:rFonts w:ascii="宋体" w:hAnsi="宋体" w:eastAsia="宋体" w:cs="宋体"/>
                <w:spacing w:val="3"/>
                <w:sz w:val="20"/>
                <w:szCs w:val="20"/>
              </w:rPr>
              <w:t>在已建的</w:t>
            </w:r>
            <w:r>
              <w:rPr>
                <w:rFonts w:ascii="宋体" w:hAnsi="宋体" w:eastAsia="宋体" w:cs="宋体"/>
                <w:spacing w:val="-19"/>
                <w:sz w:val="20"/>
                <w:szCs w:val="20"/>
              </w:rPr>
              <w:t xml:space="preserve"> </w:t>
            </w:r>
            <w:r>
              <w:rPr>
                <w:rFonts w:ascii="Times New Roman" w:hAnsi="Times New Roman" w:eastAsia="Times New Roman" w:cs="Times New Roman"/>
                <w:spacing w:val="3"/>
                <w:sz w:val="20"/>
                <w:szCs w:val="20"/>
              </w:rPr>
              <w:t>1</w:t>
            </w:r>
            <w:r>
              <w:rPr>
                <w:rFonts w:ascii="Times New Roman" w:hAnsi="Times New Roman" w:eastAsia="Times New Roman" w:cs="Times New Roman"/>
                <w:spacing w:val="28"/>
                <w:w w:val="101"/>
                <w:sz w:val="20"/>
                <w:szCs w:val="20"/>
              </w:rPr>
              <w:t xml:space="preserve"> </w:t>
            </w:r>
            <w:r>
              <w:rPr>
                <w:rFonts w:ascii="宋体" w:hAnsi="宋体" w:eastAsia="宋体" w:cs="宋体"/>
                <w:spacing w:val="3"/>
                <w:sz w:val="20"/>
                <w:szCs w:val="20"/>
              </w:rPr>
              <w:t>间建筑面积</w:t>
            </w:r>
            <w:r>
              <w:rPr>
                <w:rFonts w:ascii="宋体" w:hAnsi="宋体" w:eastAsia="宋体" w:cs="宋体"/>
                <w:spacing w:val="-23"/>
                <w:sz w:val="20"/>
                <w:szCs w:val="20"/>
              </w:rPr>
              <w:t xml:space="preserve"> </w:t>
            </w:r>
            <w:r>
              <w:rPr>
                <w:rFonts w:ascii="Times New Roman" w:hAnsi="Times New Roman" w:eastAsia="Times New Roman" w:cs="Times New Roman"/>
                <w:spacing w:val="3"/>
                <w:sz w:val="20"/>
                <w:szCs w:val="20"/>
              </w:rPr>
              <w:t>10m</w:t>
            </w:r>
            <w:r>
              <w:rPr>
                <w:rFonts w:ascii="Times New Roman" w:hAnsi="Times New Roman" w:eastAsia="Times New Roman" w:cs="Times New Roman"/>
                <w:spacing w:val="3"/>
                <w:position w:val="6"/>
                <w:sz w:val="13"/>
                <w:szCs w:val="13"/>
              </w:rPr>
              <w:t>2</w:t>
            </w:r>
            <w:r>
              <w:rPr>
                <w:rFonts w:ascii="Times New Roman" w:hAnsi="Times New Roman" w:eastAsia="Times New Roman" w:cs="Times New Roman"/>
                <w:spacing w:val="27"/>
                <w:w w:val="102"/>
                <w:position w:val="6"/>
                <w:sz w:val="13"/>
                <w:szCs w:val="13"/>
              </w:rPr>
              <w:t xml:space="preserve"> </w:t>
            </w:r>
            <w:r>
              <w:rPr>
                <w:rFonts w:ascii="宋体" w:hAnsi="宋体" w:eastAsia="宋体" w:cs="宋体"/>
                <w:spacing w:val="3"/>
                <w:sz w:val="20"/>
                <w:szCs w:val="20"/>
              </w:rPr>
              <w:t>的危废暂存间</w:t>
            </w:r>
          </w:p>
          <w:p w14:paraId="68C00A72">
            <w:pPr>
              <w:spacing w:before="160" w:line="228" w:lineRule="auto"/>
              <w:ind w:left="1154"/>
              <w:rPr>
                <w:rFonts w:ascii="宋体" w:hAnsi="宋体" w:eastAsia="宋体" w:cs="宋体"/>
                <w:sz w:val="20"/>
                <w:szCs w:val="20"/>
              </w:rPr>
            </w:pPr>
            <w:r>
              <w:rPr>
                <w:rFonts w:ascii="宋体" w:hAnsi="宋体" w:eastAsia="宋体" w:cs="宋体"/>
                <w:spacing w:val="6"/>
                <w:sz w:val="20"/>
                <w:szCs w:val="20"/>
              </w:rPr>
              <w:t>中新增托盘、盛装桶</w:t>
            </w:r>
          </w:p>
        </w:tc>
        <w:tc>
          <w:tcPr>
            <w:tcW w:w="1061" w:type="dxa"/>
            <w:vAlign w:val="top"/>
          </w:tcPr>
          <w:p w14:paraId="7FDE1025">
            <w:pPr>
              <w:spacing w:line="259" w:lineRule="auto"/>
              <w:rPr>
                <w:rFonts w:ascii="Arial"/>
                <w:sz w:val="21"/>
              </w:rPr>
            </w:pPr>
          </w:p>
          <w:p w14:paraId="4BA0C97E">
            <w:pPr>
              <w:spacing w:line="259" w:lineRule="auto"/>
              <w:rPr>
                <w:rFonts w:ascii="Arial"/>
                <w:sz w:val="21"/>
              </w:rPr>
            </w:pPr>
          </w:p>
          <w:p w14:paraId="48872583">
            <w:pPr>
              <w:spacing w:line="259" w:lineRule="auto"/>
              <w:rPr>
                <w:rFonts w:ascii="Arial"/>
                <w:sz w:val="21"/>
              </w:rPr>
            </w:pPr>
          </w:p>
          <w:p w14:paraId="7EB502C7">
            <w:pPr>
              <w:spacing w:line="259" w:lineRule="auto"/>
              <w:rPr>
                <w:rFonts w:ascii="Arial"/>
                <w:sz w:val="21"/>
              </w:rPr>
            </w:pPr>
          </w:p>
          <w:p w14:paraId="3CE806DD">
            <w:pPr>
              <w:spacing w:before="58" w:line="195" w:lineRule="auto"/>
              <w:ind w:left="40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1455" w:type="dxa"/>
            <w:vAlign w:val="top"/>
          </w:tcPr>
          <w:p w14:paraId="78726465">
            <w:pPr>
              <w:spacing w:before="35" w:line="227" w:lineRule="auto"/>
              <w:ind w:left="214"/>
              <w:rPr>
                <w:rFonts w:ascii="宋体" w:hAnsi="宋体" w:eastAsia="宋体" w:cs="宋体"/>
                <w:sz w:val="20"/>
                <w:szCs w:val="20"/>
              </w:rPr>
            </w:pPr>
            <w:r>
              <w:rPr>
                <w:rFonts w:ascii="宋体" w:hAnsi="宋体" w:eastAsia="宋体" w:cs="宋体"/>
                <w:spacing w:val="7"/>
                <w:sz w:val="20"/>
                <w:szCs w:val="20"/>
              </w:rPr>
              <w:t>依托已建危</w:t>
            </w:r>
          </w:p>
          <w:p w14:paraId="77C4351F">
            <w:pPr>
              <w:spacing w:before="161" w:line="228" w:lineRule="auto"/>
              <w:ind w:left="118"/>
              <w:rPr>
                <w:rFonts w:ascii="宋体" w:hAnsi="宋体" w:eastAsia="宋体" w:cs="宋体"/>
                <w:sz w:val="20"/>
                <w:szCs w:val="20"/>
              </w:rPr>
            </w:pPr>
            <w:r>
              <w:rPr>
                <w:rFonts w:ascii="宋体" w:hAnsi="宋体" w:eastAsia="宋体" w:cs="宋体"/>
                <w:spacing w:val="5"/>
                <w:sz w:val="20"/>
                <w:szCs w:val="20"/>
              </w:rPr>
              <w:t>废暂存间，在</w:t>
            </w:r>
          </w:p>
          <w:p w14:paraId="36FBCDC6">
            <w:pPr>
              <w:spacing w:before="161" w:line="228" w:lineRule="auto"/>
              <w:ind w:left="235"/>
              <w:rPr>
                <w:rFonts w:ascii="宋体" w:hAnsi="宋体" w:eastAsia="宋体" w:cs="宋体"/>
                <w:sz w:val="20"/>
                <w:szCs w:val="20"/>
              </w:rPr>
            </w:pPr>
            <w:r>
              <w:rPr>
                <w:rFonts w:ascii="宋体" w:hAnsi="宋体" w:eastAsia="宋体" w:cs="宋体"/>
                <w:spacing w:val="3"/>
                <w:sz w:val="20"/>
                <w:szCs w:val="20"/>
              </w:rPr>
              <w:t>已建的危废</w:t>
            </w:r>
          </w:p>
          <w:p w14:paraId="508FF030">
            <w:pPr>
              <w:spacing w:before="160" w:line="228" w:lineRule="auto"/>
              <w:ind w:left="219"/>
              <w:rPr>
                <w:rFonts w:ascii="宋体" w:hAnsi="宋体" w:eastAsia="宋体" w:cs="宋体"/>
                <w:sz w:val="20"/>
                <w:szCs w:val="20"/>
              </w:rPr>
            </w:pPr>
            <w:r>
              <w:rPr>
                <w:rFonts w:ascii="宋体" w:hAnsi="宋体" w:eastAsia="宋体" w:cs="宋体"/>
                <w:spacing w:val="6"/>
                <w:sz w:val="20"/>
                <w:szCs w:val="20"/>
              </w:rPr>
              <w:t>暂存间内新</w:t>
            </w:r>
          </w:p>
          <w:p w14:paraId="36FF089F">
            <w:pPr>
              <w:spacing w:before="164" w:line="228" w:lineRule="auto"/>
              <w:ind w:left="120"/>
              <w:rPr>
                <w:rFonts w:ascii="宋体" w:hAnsi="宋体" w:eastAsia="宋体" w:cs="宋体"/>
                <w:sz w:val="20"/>
                <w:szCs w:val="20"/>
              </w:rPr>
            </w:pPr>
            <w:r>
              <w:rPr>
                <w:rFonts w:ascii="宋体" w:hAnsi="宋体" w:eastAsia="宋体" w:cs="宋体"/>
                <w:spacing w:val="4"/>
                <w:sz w:val="20"/>
                <w:szCs w:val="20"/>
              </w:rPr>
              <w:t>增托盘、盛装</w:t>
            </w:r>
          </w:p>
          <w:p w14:paraId="6B020E42">
            <w:pPr>
              <w:spacing w:before="160" w:line="228" w:lineRule="auto"/>
              <w:ind w:left="529"/>
              <w:rPr>
                <w:rFonts w:ascii="宋体" w:hAnsi="宋体" w:eastAsia="宋体" w:cs="宋体"/>
                <w:sz w:val="20"/>
                <w:szCs w:val="20"/>
              </w:rPr>
            </w:pPr>
            <w:r>
              <w:rPr>
                <w:rFonts w:ascii="宋体" w:hAnsi="宋体" w:eastAsia="宋体" w:cs="宋体"/>
                <w:spacing w:val="-1"/>
                <w:sz w:val="20"/>
                <w:szCs w:val="20"/>
              </w:rPr>
              <w:t>桶；</w:t>
            </w:r>
          </w:p>
        </w:tc>
        <w:tc>
          <w:tcPr>
            <w:tcW w:w="127" w:type="dxa"/>
            <w:vMerge w:val="continue"/>
            <w:tcBorders>
              <w:top w:val="nil"/>
              <w:bottom w:val="nil"/>
              <w:right w:val="single" w:color="000000" w:sz="6" w:space="0"/>
            </w:tcBorders>
            <w:vAlign w:val="top"/>
          </w:tcPr>
          <w:p w14:paraId="42367298">
            <w:pPr>
              <w:rPr>
                <w:rFonts w:ascii="Arial"/>
                <w:sz w:val="21"/>
              </w:rPr>
            </w:pPr>
          </w:p>
        </w:tc>
      </w:tr>
      <w:tr w14:paraId="1DD11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vAlign w:val="top"/>
          </w:tcPr>
          <w:p w14:paraId="1F33B9CB">
            <w:pPr>
              <w:rPr>
                <w:rFonts w:ascii="Arial"/>
                <w:sz w:val="21"/>
              </w:rPr>
            </w:pPr>
          </w:p>
        </w:tc>
        <w:tc>
          <w:tcPr>
            <w:tcW w:w="113" w:type="dxa"/>
            <w:tcBorders>
              <w:top w:val="nil"/>
              <w:bottom w:val="nil"/>
            </w:tcBorders>
            <w:vAlign w:val="top"/>
          </w:tcPr>
          <w:p w14:paraId="235875BB">
            <w:pPr>
              <w:rPr>
                <w:rFonts w:ascii="Arial"/>
                <w:sz w:val="21"/>
              </w:rPr>
            </w:pPr>
          </w:p>
        </w:tc>
        <w:tc>
          <w:tcPr>
            <w:tcW w:w="1733" w:type="dxa"/>
            <w:gridSpan w:val="2"/>
            <w:vAlign w:val="top"/>
          </w:tcPr>
          <w:p w14:paraId="5EA8DB1E">
            <w:pPr>
              <w:spacing w:before="240" w:line="228" w:lineRule="auto"/>
              <w:ind w:left="451"/>
              <w:rPr>
                <w:rFonts w:ascii="宋体" w:hAnsi="宋体" w:eastAsia="宋体" w:cs="宋体"/>
                <w:sz w:val="20"/>
                <w:szCs w:val="20"/>
              </w:rPr>
            </w:pPr>
            <w:r>
              <w:rPr>
                <w:rFonts w:ascii="宋体" w:hAnsi="宋体" w:eastAsia="宋体" w:cs="宋体"/>
                <w:spacing w:val="6"/>
                <w:sz w:val="20"/>
                <w:szCs w:val="20"/>
              </w:rPr>
              <w:t>管理运行</w:t>
            </w:r>
          </w:p>
        </w:tc>
        <w:tc>
          <w:tcPr>
            <w:tcW w:w="4147" w:type="dxa"/>
            <w:vAlign w:val="top"/>
          </w:tcPr>
          <w:p w14:paraId="65923685">
            <w:pPr>
              <w:spacing w:before="37" w:line="227" w:lineRule="auto"/>
              <w:ind w:left="114"/>
              <w:rPr>
                <w:rFonts w:ascii="宋体" w:hAnsi="宋体" w:eastAsia="宋体" w:cs="宋体"/>
                <w:sz w:val="20"/>
                <w:szCs w:val="20"/>
              </w:rPr>
            </w:pPr>
            <w:r>
              <w:rPr>
                <w:rFonts w:ascii="宋体" w:hAnsi="宋体" w:eastAsia="宋体" w:cs="宋体"/>
                <w:spacing w:val="6"/>
                <w:sz w:val="20"/>
                <w:szCs w:val="20"/>
              </w:rPr>
              <w:t>与有资质单位签订处置协议，定期清运废机</w:t>
            </w:r>
          </w:p>
          <w:p w14:paraId="2BFE825A">
            <w:pPr>
              <w:spacing w:before="162" w:line="228" w:lineRule="auto"/>
              <w:ind w:left="1241"/>
              <w:rPr>
                <w:rFonts w:ascii="宋体" w:hAnsi="宋体" w:eastAsia="宋体" w:cs="宋体"/>
                <w:sz w:val="20"/>
                <w:szCs w:val="20"/>
              </w:rPr>
            </w:pPr>
            <w:r>
              <w:rPr>
                <w:rFonts w:ascii="宋体" w:hAnsi="宋体" w:eastAsia="宋体" w:cs="宋体"/>
                <w:spacing w:val="7"/>
                <w:sz w:val="20"/>
                <w:szCs w:val="20"/>
              </w:rPr>
              <w:t>油和废旧活性炭。</w:t>
            </w:r>
          </w:p>
        </w:tc>
        <w:tc>
          <w:tcPr>
            <w:tcW w:w="1061" w:type="dxa"/>
            <w:vAlign w:val="top"/>
          </w:tcPr>
          <w:p w14:paraId="6B3DD3AB">
            <w:pPr>
              <w:spacing w:before="286" w:line="195" w:lineRule="auto"/>
              <w:ind w:left="40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1455" w:type="dxa"/>
            <w:vAlign w:val="top"/>
          </w:tcPr>
          <w:p w14:paraId="472DD864">
            <w:pPr>
              <w:spacing w:before="241" w:line="228" w:lineRule="auto"/>
              <w:ind w:left="528"/>
              <w:rPr>
                <w:rFonts w:ascii="宋体" w:hAnsi="宋体" w:eastAsia="宋体" w:cs="宋体"/>
                <w:sz w:val="20"/>
                <w:szCs w:val="20"/>
              </w:rPr>
            </w:pPr>
            <w:r>
              <w:rPr>
                <w:rFonts w:ascii="宋体" w:hAnsi="宋体" w:eastAsia="宋体" w:cs="宋体"/>
                <w:spacing w:val="4"/>
                <w:sz w:val="20"/>
                <w:szCs w:val="20"/>
              </w:rPr>
              <w:t>新增</w:t>
            </w:r>
          </w:p>
        </w:tc>
        <w:tc>
          <w:tcPr>
            <w:tcW w:w="127" w:type="dxa"/>
            <w:vMerge w:val="continue"/>
            <w:tcBorders>
              <w:top w:val="nil"/>
              <w:bottom w:val="nil"/>
              <w:right w:val="single" w:color="000000" w:sz="6" w:space="0"/>
            </w:tcBorders>
            <w:vAlign w:val="top"/>
          </w:tcPr>
          <w:p w14:paraId="47DB84BF">
            <w:pPr>
              <w:rPr>
                <w:rFonts w:ascii="Arial"/>
                <w:sz w:val="21"/>
              </w:rPr>
            </w:pPr>
          </w:p>
        </w:tc>
      </w:tr>
      <w:tr w14:paraId="29827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428" w:type="dxa"/>
            <w:vMerge w:val="continue"/>
            <w:tcBorders>
              <w:top w:val="nil"/>
              <w:left w:val="single" w:color="000000" w:sz="6" w:space="0"/>
            </w:tcBorders>
            <w:vAlign w:val="top"/>
          </w:tcPr>
          <w:p w14:paraId="1E9F1D0F">
            <w:pPr>
              <w:rPr>
                <w:rFonts w:ascii="Arial"/>
                <w:sz w:val="21"/>
              </w:rPr>
            </w:pPr>
          </w:p>
        </w:tc>
        <w:tc>
          <w:tcPr>
            <w:tcW w:w="113" w:type="dxa"/>
            <w:tcBorders>
              <w:top w:val="nil"/>
            </w:tcBorders>
            <w:vAlign w:val="top"/>
          </w:tcPr>
          <w:p w14:paraId="65DE32A6">
            <w:pPr>
              <w:rPr>
                <w:rFonts w:ascii="Arial"/>
                <w:sz w:val="21"/>
              </w:rPr>
            </w:pPr>
          </w:p>
        </w:tc>
        <w:tc>
          <w:tcPr>
            <w:tcW w:w="5880" w:type="dxa"/>
            <w:gridSpan w:val="3"/>
            <w:vAlign w:val="top"/>
          </w:tcPr>
          <w:p w14:paraId="607E132D">
            <w:pPr>
              <w:spacing w:before="39" w:line="229" w:lineRule="auto"/>
              <w:ind w:left="2734"/>
              <w:rPr>
                <w:rFonts w:ascii="宋体" w:hAnsi="宋体" w:eastAsia="宋体" w:cs="宋体"/>
                <w:sz w:val="20"/>
                <w:szCs w:val="20"/>
              </w:rPr>
            </w:pPr>
            <w:r>
              <w:rPr>
                <w:rFonts w:ascii="宋体" w:hAnsi="宋体" w:eastAsia="宋体" w:cs="宋体"/>
                <w:spacing w:val="4"/>
                <w:sz w:val="20"/>
                <w:szCs w:val="20"/>
              </w:rPr>
              <w:t>合计</w:t>
            </w:r>
          </w:p>
        </w:tc>
        <w:tc>
          <w:tcPr>
            <w:tcW w:w="1061" w:type="dxa"/>
            <w:vAlign w:val="top"/>
          </w:tcPr>
          <w:p w14:paraId="64C5A470">
            <w:pPr>
              <w:spacing w:before="82" w:line="195" w:lineRule="auto"/>
              <w:ind w:left="3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11.7</w:t>
            </w:r>
          </w:p>
        </w:tc>
        <w:tc>
          <w:tcPr>
            <w:tcW w:w="1455" w:type="dxa"/>
            <w:vAlign w:val="top"/>
          </w:tcPr>
          <w:p w14:paraId="653E519F">
            <w:pPr>
              <w:spacing w:before="78" w:line="199" w:lineRule="auto"/>
              <w:ind w:left="7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7" w:type="dxa"/>
            <w:vMerge w:val="continue"/>
            <w:tcBorders>
              <w:top w:val="nil"/>
              <w:right w:val="single" w:color="000000" w:sz="6" w:space="0"/>
            </w:tcBorders>
            <w:vAlign w:val="top"/>
          </w:tcPr>
          <w:p w14:paraId="0CEFD6AB">
            <w:pPr>
              <w:rPr>
                <w:rFonts w:ascii="Arial"/>
                <w:sz w:val="21"/>
              </w:rPr>
            </w:pPr>
          </w:p>
        </w:tc>
      </w:tr>
      <w:tr w14:paraId="23903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1" w:hRule="atLeast"/>
        </w:trPr>
        <w:tc>
          <w:tcPr>
            <w:tcW w:w="428" w:type="dxa"/>
            <w:vMerge w:val="restart"/>
            <w:tcBorders>
              <w:left w:val="single" w:color="000000" w:sz="6" w:space="0"/>
              <w:bottom w:val="nil"/>
            </w:tcBorders>
            <w:textDirection w:val="tbRlV"/>
            <w:vAlign w:val="top"/>
          </w:tcPr>
          <w:p w14:paraId="263BB7C9">
            <w:pPr>
              <w:spacing w:before="74" w:line="209" w:lineRule="auto"/>
              <w:ind w:left="306"/>
              <w:rPr>
                <w:rFonts w:ascii="宋体" w:hAnsi="宋体" w:eastAsia="宋体" w:cs="宋体"/>
                <w:sz w:val="24"/>
                <w:szCs w:val="24"/>
              </w:rPr>
            </w:pPr>
            <w:r>
              <w:rPr>
                <w:rFonts w:ascii="宋体" w:hAnsi="宋体" w:eastAsia="宋体" w:cs="宋体"/>
                <w:spacing w:val="-1"/>
                <w:sz w:val="24"/>
                <w:szCs w:val="24"/>
              </w:rPr>
              <w:t>工</w:t>
            </w:r>
            <w:r>
              <w:rPr>
                <w:rFonts w:ascii="宋体" w:hAnsi="宋体" w:eastAsia="宋体" w:cs="宋体"/>
                <w:spacing w:val="112"/>
                <w:sz w:val="24"/>
                <w:szCs w:val="24"/>
              </w:rPr>
              <w:t xml:space="preserve"> </w:t>
            </w:r>
            <w:r>
              <w:rPr>
                <w:rFonts w:ascii="宋体" w:hAnsi="宋体" w:eastAsia="宋体" w:cs="宋体"/>
                <w:spacing w:val="-1"/>
                <w:sz w:val="24"/>
                <w:szCs w:val="24"/>
              </w:rPr>
              <w:t>艺</w:t>
            </w:r>
            <w:r>
              <w:rPr>
                <w:rFonts w:ascii="宋体" w:hAnsi="宋体" w:eastAsia="宋体" w:cs="宋体"/>
                <w:spacing w:val="108"/>
                <w:sz w:val="24"/>
                <w:szCs w:val="24"/>
              </w:rPr>
              <w:t xml:space="preserve"> </w:t>
            </w:r>
            <w:r>
              <w:rPr>
                <w:rFonts w:ascii="宋体" w:hAnsi="宋体" w:eastAsia="宋体" w:cs="宋体"/>
                <w:spacing w:val="-1"/>
                <w:sz w:val="24"/>
                <w:szCs w:val="24"/>
              </w:rPr>
              <w:t>流</w:t>
            </w:r>
            <w:r>
              <w:rPr>
                <w:rFonts w:ascii="宋体" w:hAnsi="宋体" w:eastAsia="宋体" w:cs="宋体"/>
                <w:spacing w:val="109"/>
                <w:sz w:val="24"/>
                <w:szCs w:val="24"/>
              </w:rPr>
              <w:t xml:space="preserve"> </w:t>
            </w:r>
            <w:r>
              <w:rPr>
                <w:rFonts w:ascii="宋体" w:hAnsi="宋体" w:eastAsia="宋体" w:cs="宋体"/>
                <w:spacing w:val="-1"/>
                <w:sz w:val="24"/>
                <w:szCs w:val="24"/>
              </w:rPr>
              <w:t>程</w:t>
            </w:r>
            <w:r>
              <w:rPr>
                <w:rFonts w:ascii="宋体" w:hAnsi="宋体" w:eastAsia="宋体" w:cs="宋体"/>
                <w:spacing w:val="105"/>
                <w:sz w:val="24"/>
                <w:szCs w:val="24"/>
              </w:rPr>
              <w:t xml:space="preserve"> </w:t>
            </w:r>
            <w:r>
              <w:rPr>
                <w:rFonts w:ascii="宋体" w:hAnsi="宋体" w:eastAsia="宋体" w:cs="宋体"/>
                <w:spacing w:val="-1"/>
                <w:sz w:val="24"/>
                <w:szCs w:val="24"/>
              </w:rPr>
              <w:t>和</w:t>
            </w:r>
            <w:r>
              <w:rPr>
                <w:rFonts w:ascii="宋体" w:hAnsi="宋体" w:eastAsia="宋体" w:cs="宋体"/>
                <w:spacing w:val="109"/>
                <w:sz w:val="24"/>
                <w:szCs w:val="24"/>
              </w:rPr>
              <w:t xml:space="preserve"> </w:t>
            </w:r>
            <w:r>
              <w:rPr>
                <w:rFonts w:ascii="宋体" w:hAnsi="宋体" w:eastAsia="宋体" w:cs="宋体"/>
                <w:spacing w:val="-1"/>
                <w:sz w:val="24"/>
                <w:szCs w:val="24"/>
              </w:rPr>
              <w:t>产</w:t>
            </w:r>
            <w:r>
              <w:rPr>
                <w:rFonts w:ascii="宋体" w:hAnsi="宋体" w:eastAsia="宋体" w:cs="宋体"/>
                <w:spacing w:val="106"/>
                <w:sz w:val="24"/>
                <w:szCs w:val="24"/>
              </w:rPr>
              <w:t xml:space="preserve"> </w:t>
            </w:r>
            <w:r>
              <w:rPr>
                <w:rFonts w:ascii="宋体" w:hAnsi="宋体" w:eastAsia="宋体" w:cs="宋体"/>
                <w:spacing w:val="-1"/>
                <w:sz w:val="24"/>
                <w:szCs w:val="24"/>
              </w:rPr>
              <w:t>排</w:t>
            </w:r>
            <w:r>
              <w:rPr>
                <w:rFonts w:ascii="宋体" w:hAnsi="宋体" w:eastAsia="宋体" w:cs="宋体"/>
                <w:spacing w:val="108"/>
                <w:sz w:val="24"/>
                <w:szCs w:val="24"/>
              </w:rPr>
              <w:t xml:space="preserve"> </w:t>
            </w:r>
            <w:r>
              <w:rPr>
                <w:rFonts w:ascii="宋体" w:hAnsi="宋体" w:eastAsia="宋体" w:cs="宋体"/>
                <w:spacing w:val="-1"/>
                <w:sz w:val="24"/>
                <w:szCs w:val="24"/>
              </w:rPr>
              <w:t>污</w:t>
            </w:r>
            <w:r>
              <w:rPr>
                <w:rFonts w:ascii="宋体" w:hAnsi="宋体" w:eastAsia="宋体" w:cs="宋体"/>
                <w:spacing w:val="108"/>
                <w:sz w:val="24"/>
                <w:szCs w:val="24"/>
              </w:rPr>
              <w:t xml:space="preserve"> </w:t>
            </w:r>
            <w:r>
              <w:rPr>
                <w:rFonts w:ascii="宋体" w:hAnsi="宋体" w:eastAsia="宋体" w:cs="宋体"/>
                <w:spacing w:val="-1"/>
                <w:sz w:val="24"/>
                <w:szCs w:val="24"/>
              </w:rPr>
              <w:t>环</w:t>
            </w:r>
            <w:r>
              <w:rPr>
                <w:rFonts w:ascii="宋体" w:hAnsi="宋体" w:eastAsia="宋体" w:cs="宋体"/>
                <w:spacing w:val="106"/>
                <w:sz w:val="24"/>
                <w:szCs w:val="24"/>
              </w:rPr>
              <w:t xml:space="preserve"> </w:t>
            </w:r>
            <w:r>
              <w:rPr>
                <w:rFonts w:ascii="宋体" w:hAnsi="宋体" w:eastAsia="宋体" w:cs="宋体"/>
                <w:spacing w:val="-1"/>
                <w:sz w:val="24"/>
                <w:szCs w:val="24"/>
              </w:rPr>
              <w:t>节</w:t>
            </w:r>
          </w:p>
        </w:tc>
        <w:tc>
          <w:tcPr>
            <w:tcW w:w="8636" w:type="dxa"/>
            <w:gridSpan w:val="7"/>
            <w:tcBorders>
              <w:bottom w:val="nil"/>
              <w:right w:val="single" w:color="000000" w:sz="6" w:space="0"/>
            </w:tcBorders>
            <w:vAlign w:val="top"/>
          </w:tcPr>
          <w:p w14:paraId="6D862D1A">
            <w:pPr>
              <w:spacing w:before="56" w:line="219" w:lineRule="auto"/>
              <w:ind w:left="590"/>
              <w:rPr>
                <w:rFonts w:ascii="宋体" w:hAnsi="宋体" w:eastAsia="宋体" w:cs="宋体"/>
                <w:sz w:val="24"/>
                <w:szCs w:val="24"/>
              </w:rPr>
            </w:pPr>
            <w:r>
              <w:rPr>
                <w:rFonts w:ascii="宋体" w:hAnsi="宋体" w:eastAsia="宋体" w:cs="宋体"/>
                <w:b/>
                <w:bCs/>
                <w:spacing w:val="-3"/>
                <w:sz w:val="24"/>
                <w:szCs w:val="24"/>
              </w:rPr>
              <w:t>一、施工期工艺流程及产污环节</w:t>
            </w:r>
          </w:p>
          <w:p w14:paraId="4D840D5E">
            <w:pPr>
              <w:spacing w:before="181" w:line="325" w:lineRule="auto"/>
              <w:ind w:left="108" w:right="104" w:firstLine="479"/>
              <w:jc w:val="both"/>
              <w:rPr>
                <w:rFonts w:ascii="宋体" w:hAnsi="宋体" w:eastAsia="宋体" w:cs="宋体"/>
                <w:sz w:val="24"/>
                <w:szCs w:val="24"/>
              </w:rPr>
            </w:pPr>
            <w:r>
              <w:rPr>
                <w:rFonts w:ascii="宋体" w:hAnsi="宋体" w:eastAsia="宋体" w:cs="宋体"/>
                <w:sz w:val="24"/>
                <w:szCs w:val="24"/>
              </w:rPr>
              <w:t>本项目在已建厂房进行生产，施工期不进行土建等，主要为设备安装调试，主要产生的污染物有噪声、废气、固废，以及施工人员产生的少量生活垃圾和生</w:t>
            </w:r>
            <w:r>
              <w:rPr>
                <w:rFonts w:ascii="宋体" w:hAnsi="宋体" w:eastAsia="宋体" w:cs="宋体"/>
                <w:spacing w:val="-1"/>
                <w:sz w:val="24"/>
                <w:szCs w:val="24"/>
              </w:rPr>
              <w:t>活污水，施工期工艺流程如下图所示：</w:t>
            </w:r>
          </w:p>
        </w:tc>
      </w:tr>
      <w:tr w14:paraId="4C427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8" w:hRule="atLeast"/>
        </w:trPr>
        <w:tc>
          <w:tcPr>
            <w:tcW w:w="428" w:type="dxa"/>
            <w:vMerge w:val="continue"/>
            <w:tcBorders>
              <w:top w:val="nil"/>
              <w:left w:val="single" w:color="000000" w:sz="6" w:space="0"/>
              <w:bottom w:val="nil"/>
            </w:tcBorders>
            <w:textDirection w:val="tbRlV"/>
            <w:vAlign w:val="top"/>
          </w:tcPr>
          <w:p w14:paraId="060A9F9C">
            <w:pPr>
              <w:rPr>
                <w:rFonts w:ascii="Arial"/>
                <w:sz w:val="21"/>
              </w:rPr>
            </w:pPr>
          </w:p>
        </w:tc>
        <w:tc>
          <w:tcPr>
            <w:tcW w:w="8636" w:type="dxa"/>
            <w:gridSpan w:val="7"/>
            <w:tcBorders>
              <w:top w:val="nil"/>
              <w:bottom w:val="nil"/>
              <w:right w:val="single" w:color="000000" w:sz="6" w:space="0"/>
            </w:tcBorders>
            <w:vAlign w:val="top"/>
          </w:tcPr>
          <w:p w14:paraId="52423631">
            <w:pPr>
              <w:spacing w:before="290" w:line="240" w:lineRule="exact"/>
              <w:ind w:left="550"/>
              <w:rPr>
                <w:rFonts w:ascii="宋体" w:hAnsi="宋体" w:eastAsia="宋体" w:cs="宋体"/>
                <w:sz w:val="24"/>
                <w:szCs w:val="24"/>
              </w:rPr>
            </w:pPr>
            <w:r>
              <w:pict>
                <v:shape id="_x0000_s1047" o:spid="_x0000_s1047" o:spt="202" type="#_x0000_t202" style="position:absolute;left:0pt;margin-left:187.75pt;margin-top:20.85pt;height:16.35pt;width:25pt;z-index:251671552;mso-width-relative:page;mso-height-relative:page;" filled="f" stroked="f" coordsize="21600,21600">
                  <v:path/>
                  <v:fill on="f" focussize="0,0"/>
                  <v:stroke on="f"/>
                  <v:imagedata o:title=""/>
                  <o:lock v:ext="edit" aspectratio="f"/>
                  <v:textbox inset="0mm,0mm,0mm,0mm">
                    <w:txbxContent>
                      <w:p w14:paraId="3B31CF43">
                        <w:pPr>
                          <w:spacing w:before="20" w:line="220" w:lineRule="auto"/>
                          <w:ind w:left="20"/>
                          <w:rPr>
                            <w:rFonts w:ascii="宋体" w:hAnsi="宋体" w:eastAsia="宋体" w:cs="宋体"/>
                            <w:sz w:val="24"/>
                            <w:szCs w:val="24"/>
                          </w:rPr>
                        </w:pPr>
                        <w:r>
                          <w:rPr>
                            <w:rFonts w:ascii="宋体" w:hAnsi="宋体" w:eastAsia="宋体" w:cs="宋体"/>
                            <w:spacing w:val="-11"/>
                            <w:sz w:val="24"/>
                            <w:szCs w:val="24"/>
                          </w:rPr>
                          <w:t>噪声</w:t>
                        </w:r>
                      </w:p>
                    </w:txbxContent>
                  </v:textbox>
                </v:shape>
              </w:pict>
            </w:r>
            <w:r>
              <w:drawing>
                <wp:anchor distT="0" distB="0" distL="0" distR="0" simplePos="0" relativeHeight="251670528" behindDoc="1" locked="0" layoutInCell="1" allowOverlap="1">
                  <wp:simplePos x="0" y="0"/>
                  <wp:positionH relativeFrom="column">
                    <wp:posOffset>219075</wp:posOffset>
                  </wp:positionH>
                  <wp:positionV relativeFrom="paragraph">
                    <wp:posOffset>79375</wp:posOffset>
                  </wp:positionV>
                  <wp:extent cx="4176395" cy="1167130"/>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25"/>
                          <a:stretch>
                            <a:fillRect/>
                          </a:stretch>
                        </pic:blipFill>
                        <pic:spPr>
                          <a:xfrm>
                            <a:off x="0" y="0"/>
                            <a:ext cx="4176395" cy="1167130"/>
                          </a:xfrm>
                          <a:prstGeom prst="rect">
                            <a:avLst/>
                          </a:prstGeom>
                        </pic:spPr>
                      </pic:pic>
                    </a:graphicData>
                  </a:graphic>
                </wp:anchor>
              </w:drawing>
            </w:r>
            <w:r>
              <w:rPr>
                <w:rFonts w:ascii="宋体" w:hAnsi="宋体" w:eastAsia="宋体" w:cs="宋体"/>
                <w:spacing w:val="-10"/>
                <w:position w:val="-1"/>
                <w:sz w:val="24"/>
                <w:szCs w:val="24"/>
              </w:rPr>
              <w:t>噪声、</w:t>
            </w:r>
            <w:r>
              <w:rPr>
                <w:rFonts w:ascii="微软雅黑" w:hAnsi="微软雅黑" w:eastAsia="微软雅黑" w:cs="微软雅黑"/>
                <w:spacing w:val="-10"/>
                <w:position w:val="-1"/>
                <w:sz w:val="24"/>
                <w:szCs w:val="24"/>
              </w:rPr>
              <w:t>废气</w:t>
            </w:r>
            <w:r>
              <w:rPr>
                <w:rFonts w:ascii="宋体" w:hAnsi="宋体" w:eastAsia="宋体" w:cs="宋体"/>
                <w:spacing w:val="-10"/>
                <w:position w:val="-1"/>
                <w:sz w:val="24"/>
                <w:szCs w:val="24"/>
              </w:rPr>
              <w:t>、建筑垃圾</w:t>
            </w:r>
          </w:p>
          <w:p w14:paraId="1513A910">
            <w:pPr>
              <w:spacing w:before="74" w:line="220" w:lineRule="auto"/>
              <w:ind w:left="6046"/>
              <w:rPr>
                <w:rFonts w:ascii="宋体" w:hAnsi="宋体" w:eastAsia="宋体" w:cs="宋体"/>
                <w:sz w:val="24"/>
                <w:szCs w:val="24"/>
              </w:rPr>
            </w:pPr>
            <w:r>
              <w:rPr>
                <w:rFonts w:ascii="宋体" w:hAnsi="宋体" w:eastAsia="宋体" w:cs="宋体"/>
                <w:spacing w:val="-11"/>
                <w:sz w:val="24"/>
                <w:szCs w:val="24"/>
              </w:rPr>
              <w:t>噪声</w:t>
            </w:r>
          </w:p>
          <w:p w14:paraId="622CF621">
            <w:pPr>
              <w:spacing w:before="157" w:line="224" w:lineRule="auto"/>
              <w:ind w:left="604"/>
              <w:rPr>
                <w:rFonts w:ascii="宋体" w:hAnsi="宋体" w:eastAsia="宋体" w:cs="宋体"/>
                <w:sz w:val="24"/>
                <w:szCs w:val="24"/>
              </w:rPr>
            </w:pPr>
            <w:r>
              <w:pict>
                <v:shape id="_x0000_s1048" o:spid="_x0000_s1048" o:spt="202" type="#_x0000_t202" style="position:absolute;left:0pt;margin-left:220.45pt;margin-top:10.8pt;height:16.35pt;width:49.4pt;z-index:251672576;mso-width-relative:page;mso-height-relative:page;" filled="f" stroked="f" coordsize="21600,21600">
                  <v:path/>
                  <v:fill on="f" focussize="0,0"/>
                  <v:stroke on="f"/>
                  <v:imagedata o:title=""/>
                  <o:lock v:ext="edit" aspectratio="f"/>
                  <v:textbox inset="0mm,0mm,0mm,0mm">
                    <w:txbxContent>
                      <w:p w14:paraId="434CEC76">
                        <w:pPr>
                          <w:spacing w:before="20" w:line="220" w:lineRule="auto"/>
                          <w:ind w:left="20"/>
                          <w:rPr>
                            <w:rFonts w:ascii="宋体" w:hAnsi="宋体" w:eastAsia="宋体" w:cs="宋体"/>
                            <w:sz w:val="24"/>
                            <w:szCs w:val="24"/>
                          </w:rPr>
                        </w:pPr>
                        <w:r>
                          <w:rPr>
                            <w:rFonts w:ascii="宋体" w:hAnsi="宋体" w:eastAsia="宋体" w:cs="宋体"/>
                            <w:spacing w:val="-4"/>
                            <w:sz w:val="24"/>
                            <w:szCs w:val="24"/>
                          </w:rPr>
                          <w:t>投入运营</w:t>
                        </w:r>
                      </w:p>
                    </w:txbxContent>
                  </v:textbox>
                </v:shape>
              </w:pict>
            </w:r>
            <w:r>
              <w:rPr>
                <w:rFonts w:ascii="宋体" w:hAnsi="宋体" w:eastAsia="宋体" w:cs="宋体"/>
                <w:spacing w:val="-4"/>
                <w:sz w:val="24"/>
                <w:szCs w:val="24"/>
              </w:rPr>
              <w:t>设备安装</w:t>
            </w:r>
            <w:r>
              <w:rPr>
                <w:rFonts w:ascii="宋体" w:hAnsi="宋体" w:eastAsia="宋体" w:cs="宋体"/>
                <w:spacing w:val="11"/>
                <w:sz w:val="24"/>
                <w:szCs w:val="24"/>
              </w:rPr>
              <w:t xml:space="preserve">       </w:t>
            </w:r>
            <w:r>
              <w:rPr>
                <w:rFonts w:ascii="宋体" w:hAnsi="宋体" w:eastAsia="宋体" w:cs="宋体"/>
                <w:spacing w:val="-4"/>
                <w:sz w:val="24"/>
                <w:szCs w:val="24"/>
              </w:rPr>
              <w:t>设备调试</w:t>
            </w:r>
          </w:p>
          <w:p w14:paraId="656305AF">
            <w:pPr>
              <w:spacing w:before="231" w:line="231" w:lineRule="auto"/>
              <w:ind w:left="1335"/>
              <w:rPr>
                <w:rFonts w:ascii="宋体" w:hAnsi="宋体" w:eastAsia="宋体" w:cs="宋体"/>
                <w:sz w:val="24"/>
                <w:szCs w:val="24"/>
              </w:rPr>
            </w:pPr>
            <w:r>
              <w:pict>
                <v:shape id="_x0000_s1049" o:spid="_x0000_s1049" o:spt="202" type="#_x0000_t202" style="position:absolute;left:0pt;margin-left:274.4pt;margin-top:10.2pt;height:16.35pt;width:49.45pt;z-index:251673600;mso-width-relative:page;mso-height-relative:page;" filled="f" stroked="f" coordsize="21600,21600">
                  <v:path/>
                  <v:fill on="f" focussize="0,0"/>
                  <v:stroke on="f"/>
                  <v:imagedata o:title=""/>
                  <o:lock v:ext="edit" aspectratio="f"/>
                  <v:textbox inset="0mm,0mm,0mm,0mm">
                    <w:txbxContent>
                      <w:p w14:paraId="0A19BA18">
                        <w:pPr>
                          <w:spacing w:before="20" w:line="220" w:lineRule="auto"/>
                          <w:ind w:left="20"/>
                          <w:rPr>
                            <w:rFonts w:ascii="宋体" w:hAnsi="宋体" w:eastAsia="宋体" w:cs="宋体"/>
                            <w:sz w:val="24"/>
                            <w:szCs w:val="24"/>
                          </w:rPr>
                        </w:pPr>
                        <w:r>
                          <w:rPr>
                            <w:rFonts w:ascii="宋体" w:hAnsi="宋体" w:eastAsia="宋体" w:cs="宋体"/>
                            <w:spacing w:val="-3"/>
                            <w:sz w:val="24"/>
                            <w:szCs w:val="24"/>
                          </w:rPr>
                          <w:t>生活垃圾</w:t>
                        </w:r>
                      </w:p>
                    </w:txbxContent>
                  </v:textbox>
                </v:shape>
              </w:pict>
            </w:r>
            <w:r>
              <w:rPr>
                <w:rFonts w:ascii="宋体" w:hAnsi="宋体" w:eastAsia="宋体" w:cs="宋体"/>
                <w:spacing w:val="-3"/>
                <w:position w:val="-1"/>
                <w:sz w:val="24"/>
                <w:szCs w:val="24"/>
              </w:rPr>
              <w:t>生活垃圾</w:t>
            </w:r>
            <w:r>
              <w:rPr>
                <w:rFonts w:ascii="宋体" w:hAnsi="宋体" w:eastAsia="宋体" w:cs="宋体"/>
                <w:spacing w:val="2"/>
                <w:position w:val="-1"/>
                <w:sz w:val="24"/>
                <w:szCs w:val="24"/>
              </w:rPr>
              <w:t xml:space="preserve">         </w:t>
            </w:r>
            <w:r>
              <w:rPr>
                <w:rFonts w:ascii="宋体" w:hAnsi="宋体" w:eastAsia="宋体" w:cs="宋体"/>
                <w:spacing w:val="-3"/>
                <w:position w:val="1"/>
                <w:sz w:val="24"/>
                <w:szCs w:val="24"/>
              </w:rPr>
              <w:t>施工人员</w:t>
            </w:r>
          </w:p>
        </w:tc>
      </w:tr>
      <w:tr w14:paraId="01AC1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428" w:type="dxa"/>
            <w:vMerge w:val="continue"/>
            <w:tcBorders>
              <w:top w:val="nil"/>
              <w:left w:val="single" w:color="000000" w:sz="6" w:space="0"/>
              <w:bottom w:val="single" w:color="000000" w:sz="6" w:space="0"/>
            </w:tcBorders>
            <w:textDirection w:val="tbRlV"/>
            <w:vAlign w:val="top"/>
          </w:tcPr>
          <w:p w14:paraId="6CA321C7">
            <w:pPr>
              <w:rPr>
                <w:rFonts w:ascii="Arial"/>
                <w:sz w:val="21"/>
              </w:rPr>
            </w:pPr>
          </w:p>
        </w:tc>
        <w:tc>
          <w:tcPr>
            <w:tcW w:w="8636" w:type="dxa"/>
            <w:gridSpan w:val="7"/>
            <w:tcBorders>
              <w:top w:val="nil"/>
              <w:bottom w:val="single" w:color="000000" w:sz="6" w:space="0"/>
              <w:right w:val="single" w:color="000000" w:sz="6" w:space="0"/>
            </w:tcBorders>
            <w:vAlign w:val="top"/>
          </w:tcPr>
          <w:p w14:paraId="0D25803E">
            <w:pPr>
              <w:spacing w:before="98" w:line="228" w:lineRule="auto"/>
              <w:ind w:left="3118"/>
              <w:rPr>
                <w:rFonts w:ascii="宋体" w:hAnsi="宋体" w:eastAsia="宋体" w:cs="宋体"/>
                <w:sz w:val="20"/>
                <w:szCs w:val="20"/>
              </w:rPr>
            </w:pPr>
            <w:r>
              <w:rPr>
                <w:rFonts w:ascii="宋体" w:hAnsi="宋体" w:eastAsia="宋体" w:cs="宋体"/>
                <w:b/>
                <w:bCs/>
                <w:spacing w:val="4"/>
                <w:sz w:val="20"/>
                <w:szCs w:val="20"/>
              </w:rPr>
              <w:t>图</w:t>
            </w:r>
            <w:r>
              <w:rPr>
                <w:rFonts w:ascii="宋体" w:hAnsi="宋体" w:eastAsia="宋体" w:cs="宋体"/>
                <w:spacing w:val="-40"/>
                <w:sz w:val="20"/>
                <w:szCs w:val="20"/>
              </w:rPr>
              <w:t xml:space="preserve"> </w:t>
            </w:r>
            <w:r>
              <w:rPr>
                <w:rFonts w:ascii="Times New Roman" w:hAnsi="Times New Roman" w:eastAsia="Times New Roman" w:cs="Times New Roman"/>
                <w:b/>
                <w:bCs/>
                <w:spacing w:val="4"/>
                <w:sz w:val="20"/>
                <w:szCs w:val="20"/>
              </w:rPr>
              <w:t xml:space="preserve">2-2    </w:t>
            </w:r>
            <w:r>
              <w:rPr>
                <w:rFonts w:ascii="宋体" w:hAnsi="宋体" w:eastAsia="宋体" w:cs="宋体"/>
                <w:b/>
                <w:bCs/>
                <w:spacing w:val="4"/>
                <w:sz w:val="20"/>
                <w:szCs w:val="20"/>
              </w:rPr>
              <w:t>施工期工艺流程图</w:t>
            </w:r>
          </w:p>
          <w:p w14:paraId="2E61A30C">
            <w:pPr>
              <w:spacing w:before="165" w:line="219" w:lineRule="auto"/>
              <w:ind w:left="590"/>
              <w:rPr>
                <w:rFonts w:ascii="宋体" w:hAnsi="宋体" w:eastAsia="宋体" w:cs="宋体"/>
                <w:sz w:val="24"/>
                <w:szCs w:val="24"/>
              </w:rPr>
            </w:pPr>
            <w:r>
              <w:rPr>
                <w:rFonts w:ascii="宋体" w:hAnsi="宋体" w:eastAsia="宋体" w:cs="宋体"/>
                <w:b/>
                <w:bCs/>
                <w:spacing w:val="-3"/>
                <w:sz w:val="24"/>
                <w:szCs w:val="24"/>
              </w:rPr>
              <w:t>二、运营期工艺流程及产污环节</w:t>
            </w:r>
          </w:p>
          <w:p w14:paraId="518EBDCA">
            <w:pPr>
              <w:spacing w:before="179" w:line="219" w:lineRule="auto"/>
              <w:ind w:left="587"/>
              <w:rPr>
                <w:rFonts w:ascii="宋体" w:hAnsi="宋体" w:eastAsia="宋体" w:cs="宋体"/>
                <w:sz w:val="24"/>
                <w:szCs w:val="24"/>
              </w:rPr>
            </w:pPr>
            <w:r>
              <w:rPr>
                <w:rFonts w:ascii="宋体" w:hAnsi="宋体" w:eastAsia="宋体" w:cs="宋体"/>
                <w:spacing w:val="4"/>
                <w:sz w:val="24"/>
                <w:szCs w:val="24"/>
              </w:rPr>
              <w:t>本项目扩建</w:t>
            </w:r>
            <w:r>
              <w:rPr>
                <w:rFonts w:ascii="宋体" w:hAnsi="宋体" w:eastAsia="宋体" w:cs="宋体"/>
                <w:spacing w:val="-24"/>
                <w:sz w:val="24"/>
                <w:szCs w:val="24"/>
              </w:rPr>
              <w:t xml:space="preserve"> </w:t>
            </w:r>
            <w:r>
              <w:rPr>
                <w:rFonts w:ascii="Times New Roman" w:hAnsi="Times New Roman" w:eastAsia="Times New Roman" w:cs="Times New Roman"/>
                <w:spacing w:val="4"/>
                <w:sz w:val="24"/>
                <w:szCs w:val="24"/>
              </w:rPr>
              <w:t xml:space="preserve">1 </w:t>
            </w:r>
            <w:r>
              <w:rPr>
                <w:rFonts w:ascii="宋体" w:hAnsi="宋体" w:eastAsia="宋体" w:cs="宋体"/>
                <w:spacing w:val="4"/>
                <w:sz w:val="24"/>
                <w:szCs w:val="24"/>
              </w:rPr>
              <w:t>条塑料筐生产线，使用</w:t>
            </w:r>
            <w:r>
              <w:rPr>
                <w:rFonts w:ascii="Times New Roman" w:hAnsi="Times New Roman" w:eastAsia="Times New Roman" w:cs="Times New Roman"/>
                <w:sz w:val="24"/>
                <w:szCs w:val="24"/>
              </w:rPr>
              <w:t>PP</w:t>
            </w:r>
            <w:r>
              <w:rPr>
                <w:rFonts w:ascii="Times New Roman" w:hAnsi="Times New Roman" w:eastAsia="Times New Roman" w:cs="Times New Roman"/>
                <w:spacing w:val="4"/>
                <w:sz w:val="24"/>
                <w:szCs w:val="24"/>
              </w:rPr>
              <w:t xml:space="preserve"> </w:t>
            </w:r>
            <w:r>
              <w:rPr>
                <w:rFonts w:ascii="宋体" w:hAnsi="宋体" w:eastAsia="宋体" w:cs="宋体"/>
                <w:spacing w:val="4"/>
                <w:sz w:val="24"/>
                <w:szCs w:val="24"/>
              </w:rPr>
              <w:t>为原料生产塑料筐，具体工艺如下</w:t>
            </w:r>
          </w:p>
        </w:tc>
      </w:tr>
    </w:tbl>
    <w:p w14:paraId="75083D49">
      <w:pPr>
        <w:pStyle w:val="2"/>
      </w:pPr>
    </w:p>
    <w:p w14:paraId="67072719">
      <w:pPr>
        <w:sectPr>
          <w:footerReference r:id="rId56" w:type="default"/>
          <w:pgSz w:w="11906" w:h="16839"/>
          <w:pgMar w:top="400" w:right="1413" w:bottom="1329" w:left="1413" w:header="0" w:footer="1113" w:gutter="0"/>
          <w:cols w:space="720" w:num="1"/>
        </w:sectPr>
      </w:pPr>
    </w:p>
    <w:p w14:paraId="463597B7">
      <w:pPr>
        <w:spacing w:before="19"/>
      </w:pPr>
    </w:p>
    <w:p w14:paraId="49772006">
      <w:pPr>
        <w:spacing w:before="19"/>
      </w:pPr>
    </w:p>
    <w:p w14:paraId="2766FEA4">
      <w:pPr>
        <w:spacing w:before="19"/>
      </w:pPr>
    </w:p>
    <w:p w14:paraId="45459D08">
      <w:pPr>
        <w:spacing w:before="18"/>
      </w:pPr>
    </w:p>
    <w:p w14:paraId="29493DC5">
      <w:pPr>
        <w:spacing w:before="18"/>
      </w:pPr>
    </w:p>
    <w:tbl>
      <w:tblPr>
        <w:tblStyle w:val="10"/>
        <w:tblW w:w="90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28"/>
        <w:gridCol w:w="8636"/>
      </w:tblGrid>
      <w:tr w14:paraId="0F984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82" w:hRule="atLeast"/>
        </w:trPr>
        <w:tc>
          <w:tcPr>
            <w:tcW w:w="428" w:type="dxa"/>
            <w:tcBorders>
              <w:right w:val="single" w:color="000000" w:sz="2" w:space="0"/>
            </w:tcBorders>
            <w:vAlign w:val="top"/>
          </w:tcPr>
          <w:p w14:paraId="0250DEB2">
            <w:pPr>
              <w:rPr>
                <w:rFonts w:ascii="Arial"/>
                <w:sz w:val="21"/>
              </w:rPr>
            </w:pPr>
          </w:p>
        </w:tc>
        <w:tc>
          <w:tcPr>
            <w:tcW w:w="8636" w:type="dxa"/>
            <w:tcBorders>
              <w:left w:val="single" w:color="000000" w:sz="2" w:space="0"/>
            </w:tcBorders>
            <w:vAlign w:val="top"/>
          </w:tcPr>
          <w:p w14:paraId="2479594E">
            <w:pPr>
              <w:spacing w:before="30" w:line="220" w:lineRule="auto"/>
              <w:ind w:left="106"/>
              <w:rPr>
                <w:rFonts w:ascii="宋体" w:hAnsi="宋体" w:eastAsia="宋体" w:cs="宋体"/>
                <w:sz w:val="24"/>
                <w:szCs w:val="24"/>
              </w:rPr>
            </w:pPr>
            <w:r>
              <w:rPr>
                <w:rFonts w:ascii="宋体" w:hAnsi="宋体" w:eastAsia="宋体" w:cs="宋体"/>
                <w:spacing w:val="-4"/>
                <w:sz w:val="24"/>
                <w:szCs w:val="24"/>
              </w:rPr>
              <w:t>所述。</w:t>
            </w:r>
          </w:p>
          <w:p w14:paraId="43ABCF30">
            <w:pPr>
              <w:spacing w:before="179" w:line="219" w:lineRule="auto"/>
              <w:ind w:left="589"/>
              <w:rPr>
                <w:rFonts w:ascii="宋体" w:hAnsi="宋体" w:eastAsia="宋体" w:cs="宋体"/>
                <w:sz w:val="24"/>
                <w:szCs w:val="24"/>
              </w:rPr>
            </w:pPr>
            <w:r>
              <w:rPr>
                <w:rFonts w:ascii="宋体" w:hAnsi="宋体" w:eastAsia="宋体" w:cs="宋体"/>
                <w:b/>
                <w:bCs/>
                <w:spacing w:val="-4"/>
                <w:sz w:val="24"/>
                <w:szCs w:val="24"/>
              </w:rPr>
              <w:t>工艺流程简述</w:t>
            </w:r>
            <w:r>
              <w:rPr>
                <w:rFonts w:ascii="宋体" w:hAnsi="宋体" w:eastAsia="宋体" w:cs="宋体"/>
                <w:spacing w:val="-4"/>
                <w:sz w:val="24"/>
                <w:szCs w:val="24"/>
              </w:rPr>
              <w:t>：</w:t>
            </w:r>
          </w:p>
          <w:p w14:paraId="09B96678">
            <w:pPr>
              <w:spacing w:before="184" w:line="359" w:lineRule="auto"/>
              <w:ind w:left="107" w:right="22" w:firstLine="490"/>
              <w:rPr>
                <w:rFonts w:ascii="宋体" w:hAnsi="宋体" w:eastAsia="宋体" w:cs="宋体"/>
                <w:sz w:val="24"/>
                <w:szCs w:val="24"/>
              </w:rPr>
            </w:pPr>
            <w:r>
              <w:rPr>
                <w:rFonts w:ascii="宋体" w:hAnsi="宋体" w:eastAsia="宋体" w:cs="宋体"/>
                <w:b/>
                <w:bCs/>
                <w:sz w:val="24"/>
                <w:szCs w:val="24"/>
              </w:rPr>
              <w:t>（</w:t>
            </w:r>
            <w:r>
              <w:rPr>
                <w:rFonts w:ascii="Times New Roman" w:hAnsi="Times New Roman" w:eastAsia="Times New Roman" w:cs="Times New Roman"/>
                <w:b/>
                <w:bCs/>
                <w:sz w:val="24"/>
                <w:szCs w:val="24"/>
              </w:rPr>
              <w:t>1</w:t>
            </w:r>
            <w:r>
              <w:rPr>
                <w:rFonts w:ascii="宋体" w:hAnsi="宋体" w:eastAsia="宋体" w:cs="宋体"/>
                <w:b/>
                <w:bCs/>
                <w:sz w:val="24"/>
                <w:szCs w:val="24"/>
              </w:rPr>
              <w:t>）上料</w:t>
            </w:r>
            <w:r>
              <w:rPr>
                <w:rFonts w:ascii="宋体" w:hAnsi="宋体" w:eastAsia="宋体" w:cs="宋体"/>
                <w:sz w:val="24"/>
                <w:szCs w:val="24"/>
              </w:rPr>
              <w:t>：</w:t>
            </w:r>
            <w:r>
              <w:rPr>
                <w:rFonts w:ascii="Times New Roman" w:hAnsi="Times New Roman" w:eastAsia="Times New Roman" w:cs="Times New Roman"/>
                <w:sz w:val="24"/>
                <w:szCs w:val="24"/>
              </w:rPr>
              <w:t>PP</w:t>
            </w:r>
            <w:r>
              <w:rPr>
                <w:rFonts w:ascii="Times New Roman" w:hAnsi="Times New Roman" w:eastAsia="Times New Roman" w:cs="Times New Roman"/>
                <w:spacing w:val="18"/>
                <w:sz w:val="24"/>
                <w:szCs w:val="24"/>
              </w:rPr>
              <w:t xml:space="preserve"> </w:t>
            </w:r>
            <w:r>
              <w:rPr>
                <w:rFonts w:ascii="宋体" w:hAnsi="宋体" w:eastAsia="宋体" w:cs="宋体"/>
                <w:sz w:val="24"/>
                <w:szCs w:val="24"/>
              </w:rPr>
              <w:t>聚丙烯塑料颗粒（粒径约</w:t>
            </w:r>
            <w:r>
              <w:rPr>
                <w:rFonts w:ascii="Times New Roman" w:hAnsi="Times New Roman" w:eastAsia="Times New Roman" w:cs="Times New Roman"/>
                <w:sz w:val="24"/>
                <w:szCs w:val="24"/>
              </w:rPr>
              <w:t>5mm</w:t>
            </w:r>
            <w:r>
              <w:rPr>
                <w:rFonts w:ascii="宋体" w:hAnsi="宋体" w:eastAsia="宋体" w:cs="宋体"/>
                <w:sz w:val="24"/>
                <w:szCs w:val="24"/>
              </w:rPr>
              <w:t>）投入到上料机料仓</w:t>
            </w:r>
            <w:r>
              <w:rPr>
                <w:rFonts w:ascii="宋体" w:hAnsi="宋体" w:eastAsia="宋体" w:cs="宋体"/>
                <w:spacing w:val="-1"/>
                <w:sz w:val="24"/>
                <w:szCs w:val="24"/>
              </w:rPr>
              <w:t>，然后通</w:t>
            </w:r>
            <w:r>
              <w:rPr>
                <w:rFonts w:ascii="宋体" w:hAnsi="宋体" w:eastAsia="宋体" w:cs="宋体"/>
                <w:spacing w:val="-4"/>
                <w:sz w:val="24"/>
                <w:szCs w:val="24"/>
              </w:rPr>
              <w:t>过螺旋上料机自动将原料送入注塑机机。此过程产生设备噪声、粉尘、废包装袋。</w:t>
            </w:r>
          </w:p>
          <w:p w14:paraId="1D8F580A">
            <w:pPr>
              <w:spacing w:before="3" w:line="359" w:lineRule="auto"/>
              <w:ind w:left="105" w:right="94" w:firstLine="492"/>
              <w:rPr>
                <w:rFonts w:ascii="宋体" w:hAnsi="宋体" w:eastAsia="宋体" w:cs="宋体"/>
                <w:sz w:val="24"/>
                <w:szCs w:val="24"/>
              </w:rPr>
            </w:pPr>
            <w:r>
              <w:rPr>
                <w:rFonts w:ascii="宋体" w:hAnsi="宋体" w:eastAsia="宋体" w:cs="宋体"/>
                <w:b/>
                <w:bCs/>
                <w:spacing w:val="11"/>
                <w:sz w:val="24"/>
                <w:szCs w:val="24"/>
              </w:rPr>
              <w:t>（</w:t>
            </w:r>
            <w:r>
              <w:rPr>
                <w:rFonts w:ascii="Times New Roman" w:hAnsi="Times New Roman" w:eastAsia="Times New Roman" w:cs="Times New Roman"/>
                <w:b/>
                <w:bCs/>
                <w:spacing w:val="11"/>
                <w:sz w:val="24"/>
                <w:szCs w:val="24"/>
              </w:rPr>
              <w:t>2</w:t>
            </w:r>
            <w:r>
              <w:rPr>
                <w:rFonts w:ascii="宋体" w:hAnsi="宋体" w:eastAsia="宋体" w:cs="宋体"/>
                <w:b/>
                <w:bCs/>
                <w:spacing w:val="11"/>
                <w:sz w:val="24"/>
                <w:szCs w:val="24"/>
              </w:rPr>
              <w:t>）注塑：</w:t>
            </w:r>
            <w:r>
              <w:rPr>
                <w:rFonts w:ascii="宋体" w:hAnsi="宋体" w:eastAsia="宋体" w:cs="宋体"/>
                <w:spacing w:val="11"/>
                <w:sz w:val="24"/>
                <w:szCs w:val="24"/>
              </w:rPr>
              <w:t>原料进入注塑机后，经加热熔融（电加热，熔融温度控制在</w:t>
            </w:r>
            <w:r>
              <w:rPr>
                <w:rFonts w:ascii="Times New Roman" w:hAnsi="Times New Roman" w:eastAsia="Times New Roman" w:cs="Times New Roman"/>
                <w:spacing w:val="-3"/>
                <w:sz w:val="24"/>
                <w:szCs w:val="24"/>
              </w:rPr>
              <w:t>180℃~210℃</w:t>
            </w:r>
            <w:r>
              <w:rPr>
                <w:rFonts w:ascii="宋体" w:hAnsi="宋体" w:eastAsia="宋体" w:cs="宋体"/>
                <w:spacing w:val="-3"/>
                <w:sz w:val="24"/>
                <w:szCs w:val="24"/>
              </w:rPr>
              <w:t>左右）使原料熔融，熔融状态的物料通过螺杆</w:t>
            </w:r>
            <w:r>
              <w:rPr>
                <w:rFonts w:ascii="宋体" w:hAnsi="宋体" w:eastAsia="宋体" w:cs="宋体"/>
                <w:spacing w:val="-4"/>
                <w:sz w:val="24"/>
                <w:szCs w:val="24"/>
              </w:rPr>
              <w:t>向前推进，注入产品模</w:t>
            </w:r>
            <w:r>
              <w:rPr>
                <w:rFonts w:ascii="宋体" w:hAnsi="宋体" w:eastAsia="宋体" w:cs="宋体"/>
                <w:sz w:val="24"/>
                <w:szCs w:val="24"/>
              </w:rPr>
              <w:t>具内，通过锁模系统对进入模具的产品进行锁模（锁模系统是保证模具闭合、开启及顶出制品</w:t>
            </w:r>
            <w:r>
              <w:rPr>
                <w:rFonts w:ascii="宋体" w:hAnsi="宋体" w:eastAsia="宋体" w:cs="宋体"/>
                <w:spacing w:val="8"/>
                <w:sz w:val="24"/>
                <w:szCs w:val="24"/>
              </w:rPr>
              <w:t>），</w:t>
            </w:r>
            <w:r>
              <w:rPr>
                <w:rFonts w:ascii="宋体" w:hAnsi="宋体" w:eastAsia="宋体" w:cs="宋体"/>
                <w:sz w:val="24"/>
                <w:szCs w:val="24"/>
              </w:rPr>
              <w:t>产品锁模后通过锁模系统顶出制品。锁模过程经过一定时间和压力保持（又称保压）、使其固化成型，保压目的是防止模腔中熔料的反流、向模腔内补充物料，以及保证制品具有一定的密度和尺寸公差。注塑时，模腔内的平均压力一般在</w:t>
            </w:r>
            <w:r>
              <w:rPr>
                <w:rFonts w:ascii="宋体" w:hAnsi="宋体" w:eastAsia="宋体" w:cs="宋体"/>
                <w:spacing w:val="-53"/>
                <w:sz w:val="24"/>
                <w:szCs w:val="24"/>
              </w:rPr>
              <w:t xml:space="preserve"> </w:t>
            </w:r>
            <w:r>
              <w:rPr>
                <w:rFonts w:ascii="Times New Roman" w:hAnsi="Times New Roman" w:eastAsia="Times New Roman" w:cs="Times New Roman"/>
                <w:sz w:val="24"/>
                <w:szCs w:val="24"/>
              </w:rPr>
              <w:t>2MPa</w:t>
            </w:r>
            <w:r>
              <w:rPr>
                <w:rFonts w:ascii="Times New Roman" w:hAnsi="Times New Roman" w:eastAsia="Times New Roman" w:cs="Times New Roman"/>
                <w:spacing w:val="39"/>
                <w:sz w:val="24"/>
                <w:szCs w:val="24"/>
              </w:rPr>
              <w:t xml:space="preserve"> </w:t>
            </w:r>
            <w:r>
              <w:rPr>
                <w:rFonts w:ascii="宋体" w:hAnsi="宋体" w:eastAsia="宋体" w:cs="宋体"/>
                <w:sz w:val="24"/>
                <w:szCs w:val="24"/>
              </w:rPr>
              <w:t>以内，注塑所用模具均为外够，将熔化后的塑</w:t>
            </w:r>
            <w:r>
              <w:rPr>
                <w:rFonts w:ascii="宋体" w:hAnsi="宋体" w:eastAsia="宋体" w:cs="宋体"/>
                <w:spacing w:val="-1"/>
                <w:sz w:val="24"/>
                <w:szCs w:val="24"/>
              </w:rPr>
              <w:t>料注射入闭</w:t>
            </w:r>
            <w:r>
              <w:rPr>
                <w:rFonts w:ascii="宋体" w:hAnsi="宋体" w:eastAsia="宋体" w:cs="宋体"/>
                <w:sz w:val="24"/>
                <w:szCs w:val="24"/>
              </w:rPr>
              <w:t>合好的模腔内。此过程产生非甲烷总烃及设备噪声，产生的非甲烷总烃经集气罩</w:t>
            </w:r>
            <w:r>
              <w:rPr>
                <w:rFonts w:ascii="宋体" w:hAnsi="宋体" w:eastAsia="宋体" w:cs="宋体"/>
                <w:spacing w:val="-3"/>
                <w:sz w:val="24"/>
                <w:szCs w:val="24"/>
              </w:rPr>
              <w:t>收集后引至三级活性炭吸附处理设施后处理后经</w:t>
            </w:r>
            <w:r>
              <w:rPr>
                <w:rFonts w:ascii="宋体" w:hAnsi="宋体" w:eastAsia="宋体" w:cs="宋体"/>
                <w:spacing w:val="-16"/>
                <w:sz w:val="24"/>
                <w:szCs w:val="24"/>
              </w:rPr>
              <w:t xml:space="preserve"> </w:t>
            </w:r>
            <w:r>
              <w:rPr>
                <w:rFonts w:ascii="Times New Roman" w:hAnsi="Times New Roman" w:eastAsia="Times New Roman" w:cs="Times New Roman"/>
                <w:spacing w:val="-3"/>
                <w:sz w:val="24"/>
                <w:szCs w:val="24"/>
              </w:rPr>
              <w:t xml:space="preserve">1 </w:t>
            </w:r>
            <w:r>
              <w:rPr>
                <w:rFonts w:ascii="宋体" w:hAnsi="宋体" w:eastAsia="宋体" w:cs="宋体"/>
                <w:spacing w:val="-3"/>
                <w:sz w:val="24"/>
                <w:szCs w:val="24"/>
              </w:rPr>
              <w:t>根</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15m</w:t>
            </w:r>
            <w:r>
              <w:rPr>
                <w:rFonts w:ascii="Times New Roman" w:hAnsi="Times New Roman" w:eastAsia="Times New Roman" w:cs="Times New Roman"/>
                <w:spacing w:val="16"/>
                <w:w w:val="101"/>
                <w:sz w:val="24"/>
                <w:szCs w:val="24"/>
              </w:rPr>
              <w:t xml:space="preserve"> </w:t>
            </w:r>
            <w:r>
              <w:rPr>
                <w:rFonts w:ascii="宋体" w:hAnsi="宋体" w:eastAsia="宋体" w:cs="宋体"/>
                <w:spacing w:val="-3"/>
                <w:sz w:val="24"/>
                <w:szCs w:val="24"/>
              </w:rPr>
              <w:t>高的排气筒（</w:t>
            </w:r>
            <w:r>
              <w:rPr>
                <w:rFonts w:ascii="Times New Roman" w:hAnsi="Times New Roman" w:eastAsia="Times New Roman" w:cs="Times New Roman"/>
                <w:spacing w:val="-3"/>
                <w:sz w:val="24"/>
                <w:szCs w:val="24"/>
              </w:rPr>
              <w:t>DA005</w:t>
            </w:r>
            <w:r>
              <w:rPr>
                <w:rFonts w:ascii="宋体" w:hAnsi="宋体" w:eastAsia="宋体" w:cs="宋体"/>
                <w:spacing w:val="-3"/>
                <w:sz w:val="24"/>
                <w:szCs w:val="24"/>
              </w:rPr>
              <w:t>）排放。</w:t>
            </w:r>
          </w:p>
          <w:p w14:paraId="1A393B0E">
            <w:pPr>
              <w:spacing w:line="359" w:lineRule="auto"/>
              <w:ind w:left="108" w:right="102" w:firstLine="489"/>
              <w:rPr>
                <w:rFonts w:ascii="宋体" w:hAnsi="宋体" w:eastAsia="宋体" w:cs="宋体"/>
                <w:sz w:val="24"/>
                <w:szCs w:val="24"/>
              </w:rPr>
            </w:pPr>
            <w:r>
              <w:rPr>
                <w:rFonts w:ascii="宋体" w:hAnsi="宋体" w:eastAsia="宋体" w:cs="宋体"/>
                <w:b/>
                <w:bCs/>
                <w:spacing w:val="-1"/>
                <w:sz w:val="24"/>
                <w:szCs w:val="24"/>
              </w:rPr>
              <w:t>（</w:t>
            </w:r>
            <w:r>
              <w:rPr>
                <w:rFonts w:ascii="Times New Roman" w:hAnsi="Times New Roman" w:eastAsia="Times New Roman" w:cs="Times New Roman"/>
                <w:b/>
                <w:bCs/>
                <w:spacing w:val="-1"/>
                <w:sz w:val="24"/>
                <w:szCs w:val="24"/>
              </w:rPr>
              <w:t>3</w:t>
            </w:r>
            <w:r>
              <w:rPr>
                <w:rFonts w:ascii="宋体" w:hAnsi="宋体" w:eastAsia="宋体" w:cs="宋体"/>
                <w:b/>
                <w:bCs/>
                <w:spacing w:val="-1"/>
                <w:sz w:val="24"/>
                <w:szCs w:val="24"/>
              </w:rPr>
              <w:t>）冷却定型：</w:t>
            </w:r>
            <w:r>
              <w:rPr>
                <w:rFonts w:ascii="宋体" w:hAnsi="宋体" w:eastAsia="宋体" w:cs="宋体"/>
                <w:spacing w:val="-1"/>
                <w:sz w:val="24"/>
                <w:szCs w:val="24"/>
              </w:rPr>
              <w:t>产品在模具内初步成型后，通</w:t>
            </w:r>
            <w:r>
              <w:rPr>
                <w:rFonts w:ascii="宋体" w:hAnsi="宋体" w:eastAsia="宋体" w:cs="宋体"/>
                <w:spacing w:val="-2"/>
                <w:sz w:val="24"/>
                <w:szCs w:val="24"/>
              </w:rPr>
              <w:t>过外接水管将冷却水（</w:t>
            </w:r>
            <w:r>
              <w:rPr>
                <w:rFonts w:ascii="Times New Roman" w:hAnsi="Times New Roman" w:eastAsia="Times New Roman" w:cs="Times New Roman"/>
                <w:spacing w:val="-2"/>
                <w:sz w:val="24"/>
                <w:szCs w:val="24"/>
              </w:rPr>
              <w:t>30</w:t>
            </w:r>
            <w:r>
              <w:rPr>
                <w:rFonts w:ascii="宋体" w:hAnsi="宋体" w:eastAsia="宋体" w:cs="宋体"/>
                <w:spacing w:val="-2"/>
                <w:sz w:val="24"/>
                <w:szCs w:val="24"/>
              </w:rPr>
              <w:t>℃)</w:t>
            </w:r>
            <w:r>
              <w:rPr>
                <w:rFonts w:ascii="宋体" w:hAnsi="宋体" w:eastAsia="宋体" w:cs="宋体"/>
                <w:sz w:val="24"/>
                <w:szCs w:val="24"/>
              </w:rPr>
              <w:t>引入注塑机模具内置冷却管道，采用间接水冷却。注塑设备冷却水使用后由模具箱底部出水口（</w:t>
            </w:r>
            <w:r>
              <w:rPr>
                <w:rFonts w:ascii="Times New Roman" w:hAnsi="Times New Roman" w:eastAsia="Times New Roman" w:cs="Times New Roman"/>
                <w:sz w:val="24"/>
                <w:szCs w:val="24"/>
              </w:rPr>
              <w:t>90</w:t>
            </w:r>
            <w:r>
              <w:rPr>
                <w:rFonts w:ascii="宋体" w:hAnsi="宋体" w:eastAsia="宋体" w:cs="宋体"/>
                <w:sz w:val="24"/>
                <w:szCs w:val="24"/>
              </w:rPr>
              <w:t>℃) 排出进入循环冷却水系统，经冷却水塔冷却后循环使用不</w:t>
            </w:r>
            <w:r>
              <w:rPr>
                <w:rFonts w:ascii="宋体" w:hAnsi="宋体" w:eastAsia="宋体" w:cs="宋体"/>
                <w:spacing w:val="-1"/>
                <w:sz w:val="24"/>
                <w:szCs w:val="24"/>
              </w:rPr>
              <w:t>外排。冷却塔采用风冷制冷，此过程产生冷却水及设备噪声。</w:t>
            </w:r>
          </w:p>
          <w:p w14:paraId="356647E5">
            <w:pPr>
              <w:spacing w:line="360" w:lineRule="auto"/>
              <w:ind w:left="106" w:right="102" w:firstLine="491"/>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4</w:t>
            </w:r>
            <w:r>
              <w:rPr>
                <w:rFonts w:ascii="宋体" w:hAnsi="宋体" w:eastAsia="宋体" w:cs="宋体"/>
                <w:b/>
                <w:bCs/>
                <w:spacing w:val="-4"/>
                <w:sz w:val="24"/>
                <w:szCs w:val="24"/>
              </w:rPr>
              <w:t>）开模取件、检验修整：</w:t>
            </w:r>
            <w:r>
              <w:rPr>
                <w:rFonts w:ascii="宋体" w:hAnsi="宋体" w:eastAsia="宋体" w:cs="宋体"/>
                <w:spacing w:val="-4"/>
                <w:sz w:val="24"/>
                <w:szCs w:val="24"/>
              </w:rPr>
              <w:t>注塑后经冷却定型、开模</w:t>
            </w:r>
            <w:r>
              <w:rPr>
                <w:rFonts w:ascii="宋体" w:hAnsi="宋体" w:eastAsia="宋体" w:cs="宋体"/>
                <w:spacing w:val="-5"/>
                <w:sz w:val="24"/>
                <w:szCs w:val="24"/>
              </w:rPr>
              <w:t>取件。取件后在人工操</w:t>
            </w:r>
            <w:r>
              <w:rPr>
                <w:rFonts w:ascii="宋体" w:hAnsi="宋体" w:eastAsia="宋体" w:cs="宋体"/>
                <w:sz w:val="24"/>
                <w:szCs w:val="24"/>
              </w:rPr>
              <w:t>作的条件下，采用剪刀、压棒对塑料筐边口进行剔除。经人工剔除边口的产品，经检验合格后入库。此过程会产生边角料及不合格产品，边角料及不合格产品外</w:t>
            </w:r>
            <w:r>
              <w:rPr>
                <w:rFonts w:ascii="宋体" w:hAnsi="宋体" w:eastAsia="宋体" w:cs="宋体"/>
                <w:spacing w:val="-5"/>
                <w:sz w:val="24"/>
                <w:szCs w:val="24"/>
              </w:rPr>
              <w:t>售。</w:t>
            </w:r>
          </w:p>
        </w:tc>
      </w:tr>
    </w:tbl>
    <w:p w14:paraId="75E55E5D">
      <w:pPr>
        <w:pStyle w:val="2"/>
      </w:pPr>
    </w:p>
    <w:p w14:paraId="7019B479">
      <w:pPr>
        <w:sectPr>
          <w:footerReference r:id="rId57" w:type="default"/>
          <w:pgSz w:w="11906" w:h="16839"/>
          <w:pgMar w:top="400" w:right="1413" w:bottom="1329" w:left="1413" w:header="0" w:footer="1113" w:gutter="0"/>
          <w:cols w:space="720" w:num="1"/>
        </w:sectPr>
      </w:pPr>
    </w:p>
    <w:p w14:paraId="5B3D7981">
      <w:pPr>
        <w:spacing w:before="19"/>
      </w:pPr>
    </w:p>
    <w:p w14:paraId="469EBDDC">
      <w:pPr>
        <w:spacing w:before="19"/>
      </w:pPr>
    </w:p>
    <w:p w14:paraId="16C1F08B">
      <w:pPr>
        <w:spacing w:before="19"/>
      </w:pPr>
    </w:p>
    <w:p w14:paraId="13589697">
      <w:pPr>
        <w:spacing w:before="18"/>
      </w:pPr>
    </w:p>
    <w:p w14:paraId="674732C6">
      <w:pPr>
        <w:spacing w:before="18"/>
      </w:pPr>
    </w:p>
    <w:tbl>
      <w:tblPr>
        <w:tblStyle w:val="10"/>
        <w:tblW w:w="90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28"/>
        <w:gridCol w:w="8636"/>
      </w:tblGrid>
      <w:tr w14:paraId="24957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85" w:hRule="atLeast"/>
        </w:trPr>
        <w:tc>
          <w:tcPr>
            <w:tcW w:w="428" w:type="dxa"/>
            <w:tcBorders>
              <w:right w:val="single" w:color="000000" w:sz="2" w:space="0"/>
            </w:tcBorders>
            <w:vAlign w:val="top"/>
          </w:tcPr>
          <w:p w14:paraId="38609559">
            <w:pPr>
              <w:rPr>
                <w:rFonts w:ascii="Arial"/>
                <w:sz w:val="21"/>
              </w:rPr>
            </w:pPr>
          </w:p>
        </w:tc>
        <w:tc>
          <w:tcPr>
            <w:tcW w:w="8636" w:type="dxa"/>
            <w:tcBorders>
              <w:left w:val="single" w:color="000000" w:sz="2" w:space="0"/>
            </w:tcBorders>
            <w:vAlign w:val="top"/>
          </w:tcPr>
          <w:p w14:paraId="36D0A5FD">
            <w:pPr>
              <w:spacing w:line="371" w:lineRule="auto"/>
              <w:rPr>
                <w:rFonts w:ascii="Arial"/>
                <w:sz w:val="21"/>
              </w:rPr>
            </w:pPr>
          </w:p>
          <w:p w14:paraId="24D2FCC7">
            <w:pPr>
              <w:spacing w:line="8071" w:lineRule="exact"/>
              <w:ind w:firstLine="799"/>
            </w:pPr>
            <w:r>
              <w:rPr>
                <w:position w:val="-161"/>
              </w:rPr>
              <w:drawing>
                <wp:inline distT="0" distB="0" distL="0" distR="0">
                  <wp:extent cx="4631055" cy="512508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26"/>
                          <a:stretch>
                            <a:fillRect/>
                          </a:stretch>
                        </pic:blipFill>
                        <pic:spPr>
                          <a:xfrm>
                            <a:off x="0" y="0"/>
                            <a:ext cx="4631520" cy="5125103"/>
                          </a:xfrm>
                          <a:prstGeom prst="rect">
                            <a:avLst/>
                          </a:prstGeom>
                        </pic:spPr>
                      </pic:pic>
                    </a:graphicData>
                  </a:graphic>
                </wp:inline>
              </w:drawing>
            </w:r>
          </w:p>
          <w:p w14:paraId="14B5997E">
            <w:pPr>
              <w:spacing w:before="186" w:line="228" w:lineRule="auto"/>
              <w:ind w:left="2590"/>
              <w:rPr>
                <w:rFonts w:ascii="宋体" w:hAnsi="宋体" w:eastAsia="宋体" w:cs="宋体"/>
                <w:sz w:val="20"/>
                <w:szCs w:val="20"/>
              </w:rPr>
            </w:pPr>
            <w:r>
              <w:rPr>
                <w:rFonts w:ascii="宋体" w:hAnsi="宋体" w:eastAsia="宋体" w:cs="宋体"/>
                <w:b/>
                <w:bCs/>
                <w:spacing w:val="5"/>
                <w:sz w:val="20"/>
                <w:szCs w:val="20"/>
              </w:rPr>
              <w:t>图</w:t>
            </w:r>
            <w:r>
              <w:rPr>
                <w:rFonts w:ascii="宋体" w:hAnsi="宋体" w:eastAsia="宋体" w:cs="宋体"/>
                <w:spacing w:val="-31"/>
                <w:sz w:val="20"/>
                <w:szCs w:val="20"/>
              </w:rPr>
              <w:t xml:space="preserve"> </w:t>
            </w:r>
            <w:r>
              <w:rPr>
                <w:rFonts w:ascii="Times New Roman" w:hAnsi="Times New Roman" w:eastAsia="Times New Roman" w:cs="Times New Roman"/>
                <w:b/>
                <w:bCs/>
                <w:spacing w:val="5"/>
                <w:sz w:val="20"/>
                <w:szCs w:val="20"/>
              </w:rPr>
              <w:t xml:space="preserve">2-3    </w:t>
            </w:r>
            <w:r>
              <w:rPr>
                <w:rFonts w:ascii="宋体" w:hAnsi="宋体" w:eastAsia="宋体" w:cs="宋体"/>
                <w:b/>
                <w:bCs/>
                <w:spacing w:val="5"/>
                <w:sz w:val="20"/>
                <w:szCs w:val="20"/>
              </w:rPr>
              <w:t>项目生产工艺流程图及产污节点图</w:t>
            </w:r>
          </w:p>
          <w:p w14:paraId="42ED04F6">
            <w:pPr>
              <w:spacing w:line="259" w:lineRule="auto"/>
              <w:rPr>
                <w:rFonts w:ascii="Arial"/>
                <w:sz w:val="21"/>
              </w:rPr>
            </w:pPr>
          </w:p>
          <w:p w14:paraId="6788C629">
            <w:pPr>
              <w:spacing w:before="78" w:line="219" w:lineRule="auto"/>
              <w:ind w:left="699"/>
              <w:rPr>
                <w:rFonts w:ascii="宋体" w:hAnsi="宋体" w:eastAsia="宋体" w:cs="宋体"/>
                <w:sz w:val="24"/>
                <w:szCs w:val="24"/>
              </w:rPr>
            </w:pPr>
            <w:r>
              <w:rPr>
                <w:rFonts w:ascii="宋体" w:hAnsi="宋体" w:eastAsia="宋体" w:cs="宋体"/>
                <w:b/>
                <w:bCs/>
                <w:spacing w:val="-13"/>
                <w:sz w:val="24"/>
                <w:szCs w:val="24"/>
              </w:rPr>
              <w:t>（二）产排污环节</w:t>
            </w:r>
          </w:p>
          <w:p w14:paraId="56A87B6B">
            <w:pPr>
              <w:spacing w:before="183" w:line="219" w:lineRule="auto"/>
              <w:ind w:left="595"/>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）废水：员工生活废水（</w:t>
            </w:r>
            <w:r>
              <w:rPr>
                <w:rFonts w:ascii="Times New Roman" w:hAnsi="Times New Roman" w:eastAsia="Times New Roman" w:cs="Times New Roman"/>
                <w:spacing w:val="-3"/>
                <w:sz w:val="24"/>
                <w:szCs w:val="24"/>
              </w:rPr>
              <w:t>W1</w:t>
            </w:r>
            <w:r>
              <w:rPr>
                <w:rFonts w:ascii="宋体" w:hAnsi="宋体" w:eastAsia="宋体" w:cs="宋体"/>
                <w:spacing w:val="-3"/>
                <w:sz w:val="24"/>
                <w:szCs w:val="24"/>
              </w:rPr>
              <w:t>）。</w:t>
            </w:r>
          </w:p>
          <w:p w14:paraId="2255D8A3">
            <w:pPr>
              <w:spacing w:before="180" w:line="220" w:lineRule="auto"/>
              <w:ind w:left="595"/>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2</w:t>
            </w:r>
            <w:r>
              <w:rPr>
                <w:rFonts w:ascii="宋体" w:hAnsi="宋体" w:eastAsia="宋体" w:cs="宋体"/>
                <w:spacing w:val="-3"/>
                <w:sz w:val="24"/>
                <w:szCs w:val="24"/>
              </w:rPr>
              <w:t>）废气：上料废气（</w:t>
            </w:r>
            <w:r>
              <w:rPr>
                <w:rFonts w:ascii="Times New Roman" w:hAnsi="Times New Roman" w:eastAsia="Times New Roman" w:cs="Times New Roman"/>
                <w:spacing w:val="-3"/>
                <w:sz w:val="24"/>
                <w:szCs w:val="24"/>
              </w:rPr>
              <w:t>G1</w:t>
            </w:r>
            <w:r>
              <w:rPr>
                <w:rFonts w:ascii="宋体" w:hAnsi="宋体" w:eastAsia="宋体" w:cs="宋体"/>
                <w:spacing w:val="2"/>
                <w:sz w:val="24"/>
                <w:szCs w:val="24"/>
              </w:rPr>
              <w:t>），</w:t>
            </w:r>
            <w:r>
              <w:rPr>
                <w:rFonts w:ascii="宋体" w:hAnsi="宋体" w:eastAsia="宋体" w:cs="宋体"/>
                <w:spacing w:val="-3"/>
                <w:sz w:val="24"/>
                <w:szCs w:val="24"/>
              </w:rPr>
              <w:t>注塑废气（</w:t>
            </w:r>
            <w:r>
              <w:rPr>
                <w:rFonts w:ascii="Times New Roman" w:hAnsi="Times New Roman" w:eastAsia="Times New Roman" w:cs="Times New Roman"/>
                <w:spacing w:val="-3"/>
                <w:sz w:val="24"/>
                <w:szCs w:val="24"/>
              </w:rPr>
              <w:t>G2</w:t>
            </w:r>
            <w:r>
              <w:rPr>
                <w:rFonts w:ascii="宋体" w:hAnsi="宋体" w:eastAsia="宋体" w:cs="宋体"/>
                <w:spacing w:val="-3"/>
                <w:sz w:val="24"/>
                <w:szCs w:val="24"/>
              </w:rPr>
              <w:t>）。</w:t>
            </w:r>
          </w:p>
          <w:p w14:paraId="3CD40F0B">
            <w:pPr>
              <w:spacing w:before="183" w:line="359" w:lineRule="auto"/>
              <w:ind w:left="123" w:right="118" w:firstLine="467"/>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3</w:t>
            </w:r>
            <w:r>
              <w:rPr>
                <w:rFonts w:ascii="宋体" w:hAnsi="宋体" w:eastAsia="宋体" w:cs="宋体"/>
                <w:spacing w:val="-3"/>
                <w:sz w:val="24"/>
                <w:szCs w:val="24"/>
              </w:rPr>
              <w:t>）噪声：上料（</w:t>
            </w:r>
            <w:r>
              <w:rPr>
                <w:rFonts w:ascii="Times New Roman" w:hAnsi="Times New Roman" w:eastAsia="Times New Roman" w:cs="Times New Roman"/>
                <w:spacing w:val="-3"/>
                <w:sz w:val="24"/>
                <w:szCs w:val="24"/>
              </w:rPr>
              <w:t>N1</w:t>
            </w:r>
            <w:r>
              <w:rPr>
                <w:rFonts w:ascii="宋体" w:hAnsi="宋体" w:eastAsia="宋体" w:cs="宋体"/>
                <w:spacing w:val="-3"/>
                <w:sz w:val="24"/>
                <w:szCs w:val="24"/>
              </w:rPr>
              <w:t>）、注塑机（</w:t>
            </w:r>
            <w:r>
              <w:rPr>
                <w:rFonts w:ascii="Times New Roman" w:hAnsi="Times New Roman" w:eastAsia="Times New Roman" w:cs="Times New Roman"/>
                <w:spacing w:val="-3"/>
                <w:sz w:val="24"/>
                <w:szCs w:val="24"/>
              </w:rPr>
              <w:t>N2</w:t>
            </w:r>
            <w:r>
              <w:rPr>
                <w:rFonts w:ascii="宋体" w:hAnsi="宋体" w:eastAsia="宋体" w:cs="宋体"/>
                <w:spacing w:val="3"/>
                <w:sz w:val="24"/>
                <w:szCs w:val="24"/>
              </w:rPr>
              <w:t>），</w:t>
            </w:r>
            <w:r>
              <w:rPr>
                <w:rFonts w:ascii="宋体" w:hAnsi="宋体" w:eastAsia="宋体" w:cs="宋体"/>
                <w:spacing w:val="-3"/>
                <w:sz w:val="24"/>
                <w:szCs w:val="24"/>
              </w:rPr>
              <w:t>冷</w:t>
            </w:r>
            <w:r>
              <w:rPr>
                <w:rFonts w:ascii="宋体" w:hAnsi="宋体" w:eastAsia="宋体" w:cs="宋体"/>
                <w:spacing w:val="-4"/>
                <w:sz w:val="24"/>
                <w:szCs w:val="24"/>
              </w:rPr>
              <w:t>却塔风扇（</w:t>
            </w:r>
            <w:r>
              <w:rPr>
                <w:rFonts w:ascii="Times New Roman" w:hAnsi="Times New Roman" w:eastAsia="Times New Roman" w:cs="Times New Roman"/>
                <w:spacing w:val="-4"/>
                <w:sz w:val="24"/>
                <w:szCs w:val="24"/>
              </w:rPr>
              <w:t>N3</w:t>
            </w:r>
            <w:r>
              <w:rPr>
                <w:rFonts w:ascii="宋体" w:hAnsi="宋体" w:eastAsia="宋体" w:cs="宋体"/>
                <w:spacing w:val="3"/>
                <w:sz w:val="24"/>
                <w:szCs w:val="24"/>
              </w:rPr>
              <w:t>），</w:t>
            </w:r>
            <w:r>
              <w:rPr>
                <w:rFonts w:ascii="宋体" w:hAnsi="宋体" w:eastAsia="宋体" w:cs="宋体"/>
                <w:spacing w:val="-4"/>
                <w:sz w:val="24"/>
                <w:szCs w:val="24"/>
              </w:rPr>
              <w:t>风机（</w:t>
            </w:r>
            <w:r>
              <w:rPr>
                <w:rFonts w:ascii="Times New Roman" w:hAnsi="Times New Roman" w:eastAsia="Times New Roman" w:cs="Times New Roman"/>
                <w:spacing w:val="-4"/>
                <w:sz w:val="24"/>
                <w:szCs w:val="24"/>
              </w:rPr>
              <w:t>N4</w:t>
            </w:r>
            <w:r>
              <w:rPr>
                <w:rFonts w:ascii="宋体" w:hAnsi="宋体" w:eastAsia="宋体" w:cs="宋体"/>
                <w:spacing w:val="-4"/>
                <w:sz w:val="24"/>
                <w:szCs w:val="24"/>
              </w:rPr>
              <w:t>）</w:t>
            </w:r>
            <w:r>
              <w:rPr>
                <w:rFonts w:ascii="宋体" w:hAnsi="宋体" w:eastAsia="宋体" w:cs="宋体"/>
                <w:spacing w:val="2"/>
                <w:sz w:val="24"/>
                <w:szCs w:val="24"/>
              </w:rPr>
              <w:t xml:space="preserve"> </w:t>
            </w:r>
            <w:r>
              <w:rPr>
                <w:rFonts w:ascii="宋体" w:hAnsi="宋体" w:eastAsia="宋体" w:cs="宋体"/>
                <w:spacing w:val="-5"/>
                <w:sz w:val="24"/>
                <w:szCs w:val="24"/>
              </w:rPr>
              <w:t>、修边噪声（</w:t>
            </w:r>
            <w:r>
              <w:rPr>
                <w:rFonts w:ascii="Times New Roman" w:hAnsi="Times New Roman" w:eastAsia="Times New Roman" w:cs="Times New Roman"/>
                <w:spacing w:val="-5"/>
                <w:sz w:val="24"/>
                <w:szCs w:val="24"/>
              </w:rPr>
              <w:t>N5</w:t>
            </w:r>
            <w:r>
              <w:rPr>
                <w:rFonts w:ascii="宋体" w:hAnsi="宋体" w:eastAsia="宋体" w:cs="宋体"/>
                <w:spacing w:val="-5"/>
                <w:sz w:val="24"/>
                <w:szCs w:val="24"/>
              </w:rPr>
              <w:t>）等生产工段设备运行噪声。</w:t>
            </w:r>
          </w:p>
          <w:p w14:paraId="7A7D4203">
            <w:pPr>
              <w:spacing w:before="1" w:line="368" w:lineRule="auto"/>
              <w:ind w:left="132" w:right="99" w:firstLine="463"/>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4</w:t>
            </w:r>
            <w:r>
              <w:rPr>
                <w:rFonts w:ascii="宋体" w:hAnsi="宋体" w:eastAsia="宋体" w:cs="宋体"/>
                <w:spacing w:val="-4"/>
                <w:sz w:val="24"/>
                <w:szCs w:val="24"/>
              </w:rPr>
              <w:t>）固废：修边废料、不合格产品（</w:t>
            </w:r>
            <w:r>
              <w:rPr>
                <w:rFonts w:ascii="Times New Roman" w:hAnsi="Times New Roman" w:eastAsia="Times New Roman" w:cs="Times New Roman"/>
                <w:spacing w:val="-4"/>
                <w:sz w:val="24"/>
                <w:szCs w:val="24"/>
              </w:rPr>
              <w:t>S1</w:t>
            </w:r>
            <w:r>
              <w:rPr>
                <w:rFonts w:ascii="宋体" w:hAnsi="宋体" w:eastAsia="宋体" w:cs="宋体"/>
                <w:spacing w:val="-5"/>
                <w:sz w:val="24"/>
                <w:szCs w:val="24"/>
              </w:rPr>
              <w:t>），</w:t>
            </w:r>
            <w:r>
              <w:rPr>
                <w:rFonts w:ascii="宋体" w:hAnsi="宋体" w:eastAsia="宋体" w:cs="宋体"/>
                <w:spacing w:val="-4"/>
                <w:sz w:val="24"/>
                <w:szCs w:val="24"/>
              </w:rPr>
              <w:t>生活垃圾（</w:t>
            </w:r>
            <w:r>
              <w:rPr>
                <w:rFonts w:ascii="Times New Roman" w:hAnsi="Times New Roman" w:eastAsia="Times New Roman" w:cs="Times New Roman"/>
                <w:spacing w:val="-4"/>
                <w:sz w:val="24"/>
                <w:szCs w:val="24"/>
              </w:rPr>
              <w:t>S2</w:t>
            </w:r>
            <w:r>
              <w:rPr>
                <w:rFonts w:ascii="宋体" w:hAnsi="宋体" w:eastAsia="宋体" w:cs="宋体"/>
                <w:spacing w:val="-5"/>
                <w:sz w:val="24"/>
                <w:szCs w:val="24"/>
              </w:rPr>
              <w:t>），</w:t>
            </w:r>
            <w:r>
              <w:rPr>
                <w:rFonts w:ascii="宋体" w:hAnsi="宋体" w:eastAsia="宋体" w:cs="宋体"/>
                <w:spacing w:val="-4"/>
                <w:sz w:val="24"/>
                <w:szCs w:val="24"/>
              </w:rPr>
              <w:t>废包装袋（</w:t>
            </w:r>
            <w:r>
              <w:rPr>
                <w:rFonts w:ascii="Times New Roman" w:hAnsi="Times New Roman" w:eastAsia="Times New Roman" w:cs="Times New Roman"/>
                <w:spacing w:val="-4"/>
                <w:sz w:val="24"/>
                <w:szCs w:val="24"/>
              </w:rPr>
              <w:t>S3</w:t>
            </w:r>
            <w:r>
              <w:rPr>
                <w:rFonts w:ascii="Times New Roman" w:hAnsi="Times New Roman" w:eastAsia="Times New Roman" w:cs="Times New Roman"/>
                <w:sz w:val="24"/>
                <w:szCs w:val="24"/>
              </w:rPr>
              <w:t xml:space="preserve"> </w:t>
            </w:r>
            <w:r>
              <w:rPr>
                <w:rFonts w:ascii="宋体" w:hAnsi="宋体" w:eastAsia="宋体" w:cs="宋体"/>
                <w:spacing w:val="-11"/>
                <w:sz w:val="24"/>
                <w:szCs w:val="24"/>
              </w:rPr>
              <w:t>)</w:t>
            </w:r>
            <w:r>
              <w:rPr>
                <w:rFonts w:ascii="宋体" w:hAnsi="宋体" w:eastAsia="宋体" w:cs="宋体"/>
                <w:spacing w:val="55"/>
                <w:sz w:val="24"/>
                <w:szCs w:val="24"/>
              </w:rPr>
              <w:t xml:space="preserve"> </w:t>
            </w:r>
            <w:r>
              <w:rPr>
                <w:rFonts w:ascii="宋体" w:hAnsi="宋体" w:eastAsia="宋体" w:cs="宋体"/>
                <w:spacing w:val="-11"/>
                <w:sz w:val="24"/>
                <w:szCs w:val="24"/>
              </w:rPr>
              <w:t>,</w:t>
            </w:r>
            <w:r>
              <w:rPr>
                <w:rFonts w:ascii="宋体" w:hAnsi="宋体" w:eastAsia="宋体" w:cs="宋体"/>
                <w:spacing w:val="59"/>
                <w:sz w:val="24"/>
                <w:szCs w:val="24"/>
              </w:rPr>
              <w:t xml:space="preserve"> </w:t>
            </w:r>
            <w:r>
              <w:rPr>
                <w:rFonts w:ascii="宋体" w:hAnsi="宋体" w:eastAsia="宋体" w:cs="宋体"/>
                <w:spacing w:val="-11"/>
                <w:sz w:val="24"/>
                <w:szCs w:val="24"/>
              </w:rPr>
              <w:t>废活性炭（</w:t>
            </w:r>
            <w:r>
              <w:rPr>
                <w:rFonts w:ascii="Times New Roman" w:hAnsi="Times New Roman" w:eastAsia="Times New Roman" w:cs="Times New Roman"/>
                <w:spacing w:val="-11"/>
                <w:sz w:val="24"/>
                <w:szCs w:val="24"/>
              </w:rPr>
              <w:t>S4</w:t>
            </w:r>
            <w:r>
              <w:rPr>
                <w:rFonts w:ascii="宋体" w:hAnsi="宋体" w:eastAsia="宋体" w:cs="宋体"/>
                <w:spacing w:val="-11"/>
                <w:sz w:val="24"/>
                <w:szCs w:val="24"/>
              </w:rPr>
              <w:t>）、废机油等。</w:t>
            </w:r>
          </w:p>
          <w:p w14:paraId="0FD18F86">
            <w:pPr>
              <w:spacing w:line="363" w:lineRule="auto"/>
              <w:rPr>
                <w:rFonts w:ascii="Arial"/>
                <w:sz w:val="21"/>
              </w:rPr>
            </w:pPr>
          </w:p>
          <w:p w14:paraId="12E85791">
            <w:pPr>
              <w:spacing w:before="66" w:line="215" w:lineRule="auto"/>
              <w:ind w:left="2819"/>
              <w:rPr>
                <w:rFonts w:ascii="宋体" w:hAnsi="宋体" w:eastAsia="宋体" w:cs="宋体"/>
                <w:sz w:val="20"/>
                <w:szCs w:val="20"/>
              </w:rPr>
            </w:pPr>
            <w:r>
              <w:rPr>
                <w:rFonts w:ascii="宋体" w:hAnsi="宋体" w:eastAsia="宋体" w:cs="宋体"/>
                <w:b/>
                <w:bCs/>
                <w:spacing w:val="3"/>
                <w:sz w:val="20"/>
                <w:szCs w:val="20"/>
              </w:rPr>
              <w:t>表</w:t>
            </w:r>
            <w:r>
              <w:rPr>
                <w:rFonts w:ascii="宋体" w:hAnsi="宋体" w:eastAsia="宋体" w:cs="宋体"/>
                <w:spacing w:val="-41"/>
                <w:sz w:val="20"/>
                <w:szCs w:val="20"/>
              </w:rPr>
              <w:t xml:space="preserve"> </w:t>
            </w:r>
            <w:r>
              <w:rPr>
                <w:rFonts w:ascii="Times New Roman" w:hAnsi="Times New Roman" w:eastAsia="Times New Roman" w:cs="Times New Roman"/>
                <w:b/>
                <w:bCs/>
                <w:spacing w:val="3"/>
                <w:sz w:val="20"/>
                <w:szCs w:val="20"/>
              </w:rPr>
              <w:t>2-6</w:t>
            </w:r>
            <w:r>
              <w:rPr>
                <w:rFonts w:ascii="Times New Roman" w:hAnsi="Times New Roman" w:eastAsia="Times New Roman" w:cs="Times New Roman"/>
                <w:b/>
                <w:bCs/>
                <w:spacing w:val="1"/>
                <w:sz w:val="20"/>
                <w:szCs w:val="20"/>
              </w:rPr>
              <w:t xml:space="preserve">        </w:t>
            </w:r>
            <w:r>
              <w:rPr>
                <w:rFonts w:ascii="宋体" w:hAnsi="宋体" w:eastAsia="宋体" w:cs="宋体"/>
                <w:b/>
                <w:bCs/>
                <w:spacing w:val="3"/>
                <w:sz w:val="20"/>
                <w:szCs w:val="20"/>
              </w:rPr>
              <w:t>本项目生产过程产污明细表</w:t>
            </w:r>
          </w:p>
        </w:tc>
      </w:tr>
    </w:tbl>
    <w:p w14:paraId="11A206EF">
      <w:pPr>
        <w:pStyle w:val="2"/>
      </w:pPr>
    </w:p>
    <w:p w14:paraId="5DB71427">
      <w:pPr>
        <w:sectPr>
          <w:footerReference r:id="rId58" w:type="default"/>
          <w:pgSz w:w="11906" w:h="16839"/>
          <w:pgMar w:top="400" w:right="1413" w:bottom="1329" w:left="1413" w:header="0" w:footer="1113" w:gutter="0"/>
          <w:cols w:space="720" w:num="1"/>
        </w:sectPr>
      </w:pPr>
    </w:p>
    <w:p w14:paraId="79A01877">
      <w:pPr>
        <w:spacing w:before="19"/>
      </w:pPr>
    </w:p>
    <w:p w14:paraId="4F44619D">
      <w:pPr>
        <w:spacing w:before="19"/>
      </w:pPr>
    </w:p>
    <w:p w14:paraId="77E4F283">
      <w:pPr>
        <w:spacing w:before="19"/>
      </w:pPr>
    </w:p>
    <w:p w14:paraId="7BC96C93">
      <w:pPr>
        <w:spacing w:before="18"/>
      </w:pPr>
    </w:p>
    <w:p w14:paraId="460680EB">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719"/>
        <w:gridCol w:w="159"/>
        <w:gridCol w:w="732"/>
        <w:gridCol w:w="765"/>
        <w:gridCol w:w="402"/>
        <w:gridCol w:w="879"/>
        <w:gridCol w:w="4744"/>
        <w:gridCol w:w="123"/>
      </w:tblGrid>
      <w:tr w14:paraId="5C233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428" w:type="dxa"/>
            <w:vMerge w:val="restart"/>
            <w:tcBorders>
              <w:top w:val="single" w:color="000000" w:sz="6" w:space="0"/>
              <w:left w:val="single" w:color="000000" w:sz="6" w:space="0"/>
              <w:bottom w:val="nil"/>
            </w:tcBorders>
            <w:vAlign w:val="top"/>
          </w:tcPr>
          <w:p w14:paraId="3A0F1877">
            <w:pPr>
              <w:rPr>
                <w:rFonts w:ascii="Arial"/>
                <w:sz w:val="21"/>
              </w:rPr>
            </w:pPr>
          </w:p>
        </w:tc>
        <w:tc>
          <w:tcPr>
            <w:tcW w:w="113" w:type="dxa"/>
            <w:vMerge w:val="restart"/>
            <w:tcBorders>
              <w:top w:val="single" w:color="000000" w:sz="6" w:space="0"/>
              <w:bottom w:val="nil"/>
            </w:tcBorders>
            <w:vAlign w:val="top"/>
          </w:tcPr>
          <w:p w14:paraId="4839562F">
            <w:pPr>
              <w:rPr>
                <w:rFonts w:ascii="Arial"/>
                <w:sz w:val="21"/>
              </w:rPr>
            </w:pPr>
          </w:p>
        </w:tc>
        <w:tc>
          <w:tcPr>
            <w:tcW w:w="878" w:type="dxa"/>
            <w:gridSpan w:val="2"/>
            <w:tcBorders>
              <w:top w:val="single" w:color="000000" w:sz="6" w:space="0"/>
            </w:tcBorders>
            <w:vAlign w:val="top"/>
          </w:tcPr>
          <w:p w14:paraId="6D6ABF56">
            <w:pPr>
              <w:spacing w:before="241" w:line="228" w:lineRule="auto"/>
              <w:ind w:left="218"/>
              <w:rPr>
                <w:rFonts w:ascii="宋体" w:hAnsi="宋体" w:eastAsia="宋体" w:cs="宋体"/>
                <w:sz w:val="20"/>
                <w:szCs w:val="20"/>
              </w:rPr>
            </w:pPr>
            <w:r>
              <w:rPr>
                <w:rFonts w:ascii="宋体" w:hAnsi="宋体" w:eastAsia="宋体" w:cs="宋体"/>
                <w:b/>
                <w:bCs/>
                <w:spacing w:val="7"/>
                <w:sz w:val="20"/>
                <w:szCs w:val="20"/>
              </w:rPr>
              <w:t>类别</w:t>
            </w:r>
          </w:p>
        </w:tc>
        <w:tc>
          <w:tcPr>
            <w:tcW w:w="1497" w:type="dxa"/>
            <w:gridSpan w:val="2"/>
            <w:tcBorders>
              <w:top w:val="single" w:color="000000" w:sz="6" w:space="0"/>
            </w:tcBorders>
            <w:vAlign w:val="top"/>
          </w:tcPr>
          <w:p w14:paraId="6D63DFD7">
            <w:pPr>
              <w:spacing w:before="241" w:line="228" w:lineRule="auto"/>
              <w:ind w:left="417"/>
              <w:rPr>
                <w:rFonts w:ascii="宋体" w:hAnsi="宋体" w:eastAsia="宋体" w:cs="宋体"/>
                <w:sz w:val="20"/>
                <w:szCs w:val="20"/>
              </w:rPr>
            </w:pPr>
            <w:r>
              <w:rPr>
                <w:rFonts w:ascii="宋体" w:hAnsi="宋体" w:eastAsia="宋体" w:cs="宋体"/>
                <w:b/>
                <w:bCs/>
                <w:spacing w:val="13"/>
                <w:sz w:val="20"/>
                <w:szCs w:val="20"/>
              </w:rPr>
              <w:t>污染源</w:t>
            </w:r>
          </w:p>
        </w:tc>
        <w:tc>
          <w:tcPr>
            <w:tcW w:w="1281" w:type="dxa"/>
            <w:gridSpan w:val="2"/>
            <w:tcBorders>
              <w:top w:val="single" w:color="000000" w:sz="6" w:space="0"/>
            </w:tcBorders>
            <w:vAlign w:val="top"/>
          </w:tcPr>
          <w:p w14:paraId="64EFBC34">
            <w:pPr>
              <w:spacing w:before="38" w:line="359" w:lineRule="auto"/>
              <w:ind w:left="530" w:right="208" w:hanging="336"/>
              <w:rPr>
                <w:rFonts w:ascii="宋体" w:hAnsi="宋体" w:eastAsia="宋体" w:cs="宋体"/>
                <w:sz w:val="20"/>
                <w:szCs w:val="20"/>
              </w:rPr>
            </w:pPr>
            <w:r>
              <w:rPr>
                <w:rFonts w:ascii="宋体" w:hAnsi="宋体" w:eastAsia="宋体" w:cs="宋体"/>
                <w:b/>
                <w:bCs/>
                <w:spacing w:val="16"/>
                <w:sz w:val="20"/>
                <w:szCs w:val="20"/>
              </w:rPr>
              <w:t>主要污染</w:t>
            </w:r>
            <w:r>
              <w:rPr>
                <w:rFonts w:ascii="宋体" w:hAnsi="宋体" w:eastAsia="宋体" w:cs="宋体"/>
                <w:b/>
                <w:bCs/>
                <w:spacing w:val="-2"/>
                <w:sz w:val="20"/>
                <w:szCs w:val="20"/>
              </w:rPr>
              <w:t>物</w:t>
            </w:r>
          </w:p>
        </w:tc>
        <w:tc>
          <w:tcPr>
            <w:tcW w:w="4744" w:type="dxa"/>
            <w:tcBorders>
              <w:top w:val="single" w:color="000000" w:sz="6" w:space="0"/>
            </w:tcBorders>
            <w:vAlign w:val="top"/>
          </w:tcPr>
          <w:p w14:paraId="2D25CE0E">
            <w:pPr>
              <w:spacing w:before="241" w:line="229" w:lineRule="auto"/>
              <w:ind w:left="1363"/>
              <w:rPr>
                <w:rFonts w:ascii="宋体" w:hAnsi="宋体" w:eastAsia="宋体" w:cs="宋体"/>
                <w:sz w:val="20"/>
                <w:szCs w:val="20"/>
              </w:rPr>
            </w:pPr>
            <w:r>
              <w:rPr>
                <w:rFonts w:ascii="宋体" w:hAnsi="宋体" w:eastAsia="宋体" w:cs="宋体"/>
                <w:b/>
                <w:bCs/>
                <w:spacing w:val="21"/>
                <w:sz w:val="20"/>
                <w:szCs w:val="20"/>
              </w:rPr>
              <w:t>处置方式及排放去向</w:t>
            </w:r>
          </w:p>
        </w:tc>
        <w:tc>
          <w:tcPr>
            <w:tcW w:w="123" w:type="dxa"/>
            <w:tcBorders>
              <w:top w:val="single" w:color="000000" w:sz="6" w:space="0"/>
              <w:bottom w:val="nil"/>
              <w:right w:val="single" w:color="000000" w:sz="6" w:space="0"/>
            </w:tcBorders>
            <w:vAlign w:val="top"/>
          </w:tcPr>
          <w:p w14:paraId="6AF61FA5">
            <w:pPr>
              <w:rPr>
                <w:rFonts w:ascii="Arial"/>
                <w:sz w:val="21"/>
              </w:rPr>
            </w:pPr>
          </w:p>
        </w:tc>
      </w:tr>
      <w:tr w14:paraId="1658A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vAlign w:val="top"/>
          </w:tcPr>
          <w:p w14:paraId="0C9B82ED">
            <w:pPr>
              <w:rPr>
                <w:rFonts w:ascii="Arial"/>
                <w:sz w:val="21"/>
              </w:rPr>
            </w:pPr>
          </w:p>
        </w:tc>
        <w:tc>
          <w:tcPr>
            <w:tcW w:w="113" w:type="dxa"/>
            <w:vMerge w:val="continue"/>
            <w:tcBorders>
              <w:top w:val="nil"/>
              <w:bottom w:val="nil"/>
            </w:tcBorders>
            <w:vAlign w:val="top"/>
          </w:tcPr>
          <w:p w14:paraId="4116CD3C">
            <w:pPr>
              <w:rPr>
                <w:rFonts w:ascii="Arial"/>
                <w:sz w:val="21"/>
              </w:rPr>
            </w:pPr>
          </w:p>
        </w:tc>
        <w:tc>
          <w:tcPr>
            <w:tcW w:w="878" w:type="dxa"/>
            <w:gridSpan w:val="2"/>
            <w:vMerge w:val="restart"/>
            <w:tcBorders>
              <w:bottom w:val="nil"/>
            </w:tcBorders>
            <w:vAlign w:val="top"/>
          </w:tcPr>
          <w:p w14:paraId="3EBC1B79">
            <w:pPr>
              <w:spacing w:line="290" w:lineRule="auto"/>
              <w:rPr>
                <w:rFonts w:ascii="Arial"/>
                <w:sz w:val="21"/>
              </w:rPr>
            </w:pPr>
          </w:p>
          <w:p w14:paraId="7CA98DDC">
            <w:pPr>
              <w:spacing w:line="290" w:lineRule="auto"/>
              <w:rPr>
                <w:rFonts w:ascii="Arial"/>
                <w:sz w:val="21"/>
              </w:rPr>
            </w:pPr>
          </w:p>
          <w:p w14:paraId="24AA5698">
            <w:pPr>
              <w:spacing w:before="65" w:line="228" w:lineRule="auto"/>
              <w:ind w:left="217"/>
              <w:rPr>
                <w:rFonts w:ascii="宋体" w:hAnsi="宋体" w:eastAsia="宋体" w:cs="宋体"/>
                <w:sz w:val="20"/>
                <w:szCs w:val="20"/>
              </w:rPr>
            </w:pPr>
            <w:r>
              <w:rPr>
                <w:rFonts w:ascii="宋体" w:hAnsi="宋体" w:eastAsia="宋体" w:cs="宋体"/>
                <w:spacing w:val="11"/>
                <w:sz w:val="20"/>
                <w:szCs w:val="20"/>
              </w:rPr>
              <w:t>废气</w:t>
            </w:r>
          </w:p>
        </w:tc>
        <w:tc>
          <w:tcPr>
            <w:tcW w:w="1497" w:type="dxa"/>
            <w:gridSpan w:val="2"/>
            <w:vAlign w:val="top"/>
          </w:tcPr>
          <w:p w14:paraId="61672BB0">
            <w:pPr>
              <w:spacing w:before="236" w:line="228" w:lineRule="auto"/>
              <w:ind w:left="335"/>
              <w:rPr>
                <w:rFonts w:ascii="宋体" w:hAnsi="宋体" w:eastAsia="宋体" w:cs="宋体"/>
                <w:sz w:val="20"/>
                <w:szCs w:val="20"/>
              </w:rPr>
            </w:pPr>
            <w:r>
              <w:rPr>
                <w:rFonts w:ascii="宋体" w:hAnsi="宋体" w:eastAsia="宋体" w:cs="宋体"/>
                <w:spacing w:val="5"/>
                <w:sz w:val="20"/>
                <w:szCs w:val="20"/>
              </w:rPr>
              <w:t>上料废气</w:t>
            </w:r>
          </w:p>
        </w:tc>
        <w:tc>
          <w:tcPr>
            <w:tcW w:w="1281" w:type="dxa"/>
            <w:gridSpan w:val="2"/>
            <w:vAlign w:val="top"/>
          </w:tcPr>
          <w:p w14:paraId="49AB7330">
            <w:pPr>
              <w:spacing w:before="236" w:line="228" w:lineRule="auto"/>
              <w:ind w:left="199"/>
              <w:rPr>
                <w:rFonts w:ascii="宋体" w:hAnsi="宋体" w:eastAsia="宋体" w:cs="宋体"/>
                <w:sz w:val="20"/>
                <w:szCs w:val="20"/>
              </w:rPr>
            </w:pPr>
            <w:r>
              <w:rPr>
                <w:rFonts w:ascii="Times New Roman" w:hAnsi="Times New Roman" w:eastAsia="Times New Roman" w:cs="Times New Roman"/>
                <w:spacing w:val="6"/>
                <w:sz w:val="20"/>
                <w:szCs w:val="20"/>
              </w:rPr>
              <w:t>G1</w:t>
            </w:r>
            <w:r>
              <w:rPr>
                <w:rFonts w:ascii="宋体" w:hAnsi="宋体" w:eastAsia="宋体" w:cs="宋体"/>
                <w:spacing w:val="6"/>
                <w:sz w:val="20"/>
                <w:szCs w:val="20"/>
              </w:rPr>
              <w:t>颗粒物</w:t>
            </w:r>
          </w:p>
        </w:tc>
        <w:tc>
          <w:tcPr>
            <w:tcW w:w="4744" w:type="dxa"/>
            <w:vAlign w:val="top"/>
          </w:tcPr>
          <w:p w14:paraId="61A70D32">
            <w:pPr>
              <w:spacing w:before="31" w:line="227" w:lineRule="auto"/>
              <w:ind w:left="176"/>
              <w:rPr>
                <w:rFonts w:ascii="宋体" w:hAnsi="宋体" w:eastAsia="宋体" w:cs="宋体"/>
                <w:sz w:val="20"/>
                <w:szCs w:val="20"/>
              </w:rPr>
            </w:pPr>
            <w:r>
              <w:rPr>
                <w:rFonts w:ascii="宋体" w:hAnsi="宋体" w:eastAsia="宋体" w:cs="宋体"/>
                <w:spacing w:val="9"/>
                <w:sz w:val="20"/>
                <w:szCs w:val="20"/>
              </w:rPr>
              <w:t>通过在上料机投料口设置防尘罩处理后无组织排</w:t>
            </w:r>
          </w:p>
          <w:p w14:paraId="3F2D6D00">
            <w:pPr>
              <w:spacing w:before="162" w:line="229" w:lineRule="auto"/>
              <w:ind w:left="2170"/>
              <w:rPr>
                <w:rFonts w:ascii="宋体" w:hAnsi="宋体" w:eastAsia="宋体" w:cs="宋体"/>
                <w:sz w:val="20"/>
                <w:szCs w:val="20"/>
              </w:rPr>
            </w:pPr>
            <w:r>
              <w:rPr>
                <w:rFonts w:ascii="宋体" w:hAnsi="宋体" w:eastAsia="宋体" w:cs="宋体"/>
                <w:sz w:val="20"/>
                <w:szCs w:val="20"/>
              </w:rPr>
              <w:t>放。</w:t>
            </w:r>
          </w:p>
        </w:tc>
        <w:tc>
          <w:tcPr>
            <w:tcW w:w="123" w:type="dxa"/>
            <w:tcBorders>
              <w:top w:val="nil"/>
              <w:bottom w:val="nil"/>
              <w:right w:val="single" w:color="000000" w:sz="6" w:space="0"/>
            </w:tcBorders>
            <w:vAlign w:val="top"/>
          </w:tcPr>
          <w:p w14:paraId="695ED5F6">
            <w:pPr>
              <w:rPr>
                <w:rFonts w:ascii="Arial"/>
                <w:sz w:val="21"/>
              </w:rPr>
            </w:pPr>
          </w:p>
        </w:tc>
      </w:tr>
      <w:tr w14:paraId="298AB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vAlign w:val="top"/>
          </w:tcPr>
          <w:p w14:paraId="3ED20091">
            <w:pPr>
              <w:rPr>
                <w:rFonts w:ascii="Arial"/>
                <w:sz w:val="21"/>
              </w:rPr>
            </w:pPr>
          </w:p>
        </w:tc>
        <w:tc>
          <w:tcPr>
            <w:tcW w:w="113" w:type="dxa"/>
            <w:vMerge w:val="continue"/>
            <w:tcBorders>
              <w:top w:val="nil"/>
              <w:bottom w:val="nil"/>
            </w:tcBorders>
            <w:vAlign w:val="top"/>
          </w:tcPr>
          <w:p w14:paraId="747A7D2C">
            <w:pPr>
              <w:rPr>
                <w:rFonts w:ascii="Arial"/>
                <w:sz w:val="21"/>
              </w:rPr>
            </w:pPr>
          </w:p>
        </w:tc>
        <w:tc>
          <w:tcPr>
            <w:tcW w:w="878" w:type="dxa"/>
            <w:gridSpan w:val="2"/>
            <w:vMerge w:val="continue"/>
            <w:tcBorders>
              <w:top w:val="nil"/>
            </w:tcBorders>
            <w:vAlign w:val="top"/>
          </w:tcPr>
          <w:p w14:paraId="53EA132E">
            <w:pPr>
              <w:rPr>
                <w:rFonts w:ascii="Arial"/>
                <w:sz w:val="21"/>
              </w:rPr>
            </w:pPr>
          </w:p>
        </w:tc>
        <w:tc>
          <w:tcPr>
            <w:tcW w:w="1497" w:type="dxa"/>
            <w:gridSpan w:val="2"/>
            <w:vAlign w:val="top"/>
          </w:tcPr>
          <w:p w14:paraId="1F4CE033">
            <w:pPr>
              <w:spacing w:before="237" w:line="227" w:lineRule="auto"/>
              <w:ind w:left="124"/>
              <w:rPr>
                <w:rFonts w:ascii="宋体" w:hAnsi="宋体" w:eastAsia="宋体" w:cs="宋体"/>
                <w:sz w:val="20"/>
                <w:szCs w:val="20"/>
              </w:rPr>
            </w:pPr>
            <w:r>
              <w:rPr>
                <w:rFonts w:ascii="宋体" w:hAnsi="宋体" w:eastAsia="宋体" w:cs="宋体"/>
                <w:spacing w:val="6"/>
                <w:sz w:val="20"/>
                <w:szCs w:val="20"/>
              </w:rPr>
              <w:t>挤塑有机废气</w:t>
            </w:r>
          </w:p>
        </w:tc>
        <w:tc>
          <w:tcPr>
            <w:tcW w:w="1281" w:type="dxa"/>
            <w:gridSpan w:val="2"/>
            <w:vAlign w:val="top"/>
          </w:tcPr>
          <w:p w14:paraId="389E0FE1">
            <w:pPr>
              <w:spacing w:before="33" w:line="359" w:lineRule="auto"/>
              <w:ind w:left="438" w:right="198" w:hanging="239"/>
              <w:rPr>
                <w:rFonts w:ascii="宋体" w:hAnsi="宋体" w:eastAsia="宋体" w:cs="宋体"/>
                <w:sz w:val="20"/>
                <w:szCs w:val="20"/>
              </w:rPr>
            </w:pPr>
            <w:r>
              <w:rPr>
                <w:rFonts w:ascii="Times New Roman" w:hAnsi="Times New Roman" w:eastAsia="Times New Roman" w:cs="Times New Roman"/>
                <w:spacing w:val="6"/>
                <w:sz w:val="20"/>
                <w:szCs w:val="20"/>
              </w:rPr>
              <w:t>G2</w:t>
            </w:r>
            <w:r>
              <w:rPr>
                <w:rFonts w:ascii="宋体" w:hAnsi="宋体" w:eastAsia="宋体" w:cs="宋体"/>
                <w:spacing w:val="6"/>
                <w:sz w:val="20"/>
                <w:szCs w:val="20"/>
              </w:rPr>
              <w:t>非甲烷</w:t>
            </w:r>
            <w:r>
              <w:rPr>
                <w:rFonts w:ascii="宋体" w:hAnsi="宋体" w:eastAsia="宋体" w:cs="宋体"/>
                <w:spacing w:val="2"/>
                <w:sz w:val="20"/>
                <w:szCs w:val="20"/>
              </w:rPr>
              <w:t>总烃</w:t>
            </w:r>
          </w:p>
        </w:tc>
        <w:tc>
          <w:tcPr>
            <w:tcW w:w="4744" w:type="dxa"/>
            <w:vAlign w:val="top"/>
          </w:tcPr>
          <w:p w14:paraId="035E97A0">
            <w:pPr>
              <w:spacing w:before="33" w:line="359" w:lineRule="auto"/>
              <w:ind w:left="365" w:right="161" w:hanging="189"/>
              <w:rPr>
                <w:rFonts w:ascii="宋体" w:hAnsi="宋体" w:eastAsia="宋体" w:cs="宋体"/>
                <w:sz w:val="20"/>
                <w:szCs w:val="20"/>
              </w:rPr>
            </w:pPr>
            <w:r>
              <w:rPr>
                <w:rFonts w:ascii="宋体" w:hAnsi="宋体" w:eastAsia="宋体" w:cs="宋体"/>
                <w:spacing w:val="9"/>
                <w:sz w:val="20"/>
                <w:szCs w:val="20"/>
              </w:rPr>
              <w:t>集气罩收集后引至三级活性炭吸附处理设施后处</w:t>
            </w:r>
            <w:r>
              <w:rPr>
                <w:rFonts w:ascii="宋体" w:hAnsi="宋体" w:eastAsia="宋体" w:cs="宋体"/>
                <w:spacing w:val="8"/>
                <w:sz w:val="20"/>
                <w:szCs w:val="20"/>
              </w:rPr>
              <w:t>理后经</w:t>
            </w:r>
            <w:r>
              <w:rPr>
                <w:rFonts w:ascii="Times New Roman" w:hAnsi="Times New Roman" w:eastAsia="Times New Roman" w:cs="Times New Roman"/>
                <w:spacing w:val="8"/>
                <w:sz w:val="20"/>
                <w:szCs w:val="20"/>
              </w:rPr>
              <w:t>1</w:t>
            </w:r>
            <w:r>
              <w:rPr>
                <w:rFonts w:ascii="宋体" w:hAnsi="宋体" w:eastAsia="宋体" w:cs="宋体"/>
                <w:spacing w:val="8"/>
                <w:sz w:val="20"/>
                <w:szCs w:val="20"/>
              </w:rPr>
              <w:t>根</w:t>
            </w:r>
            <w:r>
              <w:rPr>
                <w:rFonts w:ascii="Times New Roman" w:hAnsi="Times New Roman" w:eastAsia="Times New Roman" w:cs="Times New Roman"/>
                <w:spacing w:val="8"/>
                <w:sz w:val="20"/>
                <w:szCs w:val="20"/>
              </w:rPr>
              <w:t>15m</w:t>
            </w:r>
            <w:r>
              <w:rPr>
                <w:rFonts w:ascii="宋体" w:hAnsi="宋体" w:eastAsia="宋体" w:cs="宋体"/>
                <w:spacing w:val="8"/>
                <w:sz w:val="20"/>
                <w:szCs w:val="20"/>
              </w:rPr>
              <w:t>高的排气筒（</w:t>
            </w: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005</w:t>
            </w:r>
            <w:r>
              <w:rPr>
                <w:rFonts w:ascii="宋体" w:hAnsi="宋体" w:eastAsia="宋体" w:cs="宋体"/>
                <w:spacing w:val="8"/>
                <w:sz w:val="20"/>
                <w:szCs w:val="20"/>
              </w:rPr>
              <w:t>）排放。</w:t>
            </w:r>
          </w:p>
        </w:tc>
        <w:tc>
          <w:tcPr>
            <w:tcW w:w="123" w:type="dxa"/>
            <w:tcBorders>
              <w:top w:val="nil"/>
              <w:bottom w:val="nil"/>
              <w:right w:val="single" w:color="000000" w:sz="6" w:space="0"/>
            </w:tcBorders>
            <w:vAlign w:val="top"/>
          </w:tcPr>
          <w:p w14:paraId="7116D17E">
            <w:pPr>
              <w:rPr>
                <w:rFonts w:ascii="Arial"/>
                <w:sz w:val="21"/>
              </w:rPr>
            </w:pPr>
          </w:p>
        </w:tc>
      </w:tr>
      <w:tr w14:paraId="4D5A3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9" w:hRule="atLeast"/>
        </w:trPr>
        <w:tc>
          <w:tcPr>
            <w:tcW w:w="428" w:type="dxa"/>
            <w:vMerge w:val="continue"/>
            <w:tcBorders>
              <w:top w:val="nil"/>
              <w:left w:val="single" w:color="000000" w:sz="6" w:space="0"/>
              <w:bottom w:val="nil"/>
            </w:tcBorders>
            <w:vAlign w:val="top"/>
          </w:tcPr>
          <w:p w14:paraId="58FF34D7">
            <w:pPr>
              <w:rPr>
                <w:rFonts w:ascii="Arial"/>
                <w:sz w:val="21"/>
              </w:rPr>
            </w:pPr>
          </w:p>
        </w:tc>
        <w:tc>
          <w:tcPr>
            <w:tcW w:w="113" w:type="dxa"/>
            <w:vMerge w:val="continue"/>
            <w:tcBorders>
              <w:top w:val="nil"/>
              <w:bottom w:val="nil"/>
            </w:tcBorders>
            <w:vAlign w:val="top"/>
          </w:tcPr>
          <w:p w14:paraId="7C13E33C">
            <w:pPr>
              <w:rPr>
                <w:rFonts w:ascii="Arial"/>
                <w:sz w:val="21"/>
              </w:rPr>
            </w:pPr>
          </w:p>
        </w:tc>
        <w:tc>
          <w:tcPr>
            <w:tcW w:w="878" w:type="dxa"/>
            <w:gridSpan w:val="2"/>
            <w:vAlign w:val="top"/>
          </w:tcPr>
          <w:p w14:paraId="038C8069">
            <w:pPr>
              <w:spacing w:before="33" w:line="228" w:lineRule="auto"/>
              <w:ind w:left="106"/>
              <w:rPr>
                <w:rFonts w:ascii="宋体" w:hAnsi="宋体" w:eastAsia="宋体" w:cs="宋体"/>
                <w:sz w:val="20"/>
                <w:szCs w:val="20"/>
              </w:rPr>
            </w:pPr>
            <w:r>
              <w:rPr>
                <w:rFonts w:ascii="宋体" w:hAnsi="宋体" w:eastAsia="宋体" w:cs="宋体"/>
                <w:spacing w:val="4"/>
                <w:sz w:val="20"/>
                <w:szCs w:val="20"/>
              </w:rPr>
              <w:t>废水</w:t>
            </w:r>
          </w:p>
        </w:tc>
        <w:tc>
          <w:tcPr>
            <w:tcW w:w="1497" w:type="dxa"/>
            <w:gridSpan w:val="2"/>
            <w:vAlign w:val="top"/>
          </w:tcPr>
          <w:p w14:paraId="74C2E8FE">
            <w:pPr>
              <w:spacing w:before="33" w:line="228" w:lineRule="auto"/>
              <w:ind w:left="335"/>
              <w:rPr>
                <w:rFonts w:ascii="宋体" w:hAnsi="宋体" w:eastAsia="宋体" w:cs="宋体"/>
                <w:sz w:val="20"/>
                <w:szCs w:val="20"/>
              </w:rPr>
            </w:pPr>
            <w:r>
              <w:rPr>
                <w:rFonts w:ascii="宋体" w:hAnsi="宋体" w:eastAsia="宋体" w:cs="宋体"/>
                <w:spacing w:val="5"/>
                <w:sz w:val="20"/>
                <w:szCs w:val="20"/>
              </w:rPr>
              <w:t>生活污水</w:t>
            </w:r>
          </w:p>
        </w:tc>
        <w:tc>
          <w:tcPr>
            <w:tcW w:w="1281" w:type="dxa"/>
            <w:gridSpan w:val="2"/>
            <w:vAlign w:val="top"/>
          </w:tcPr>
          <w:p w14:paraId="5E61457D">
            <w:pPr>
              <w:spacing w:before="33" w:line="231" w:lineRule="auto"/>
              <w:ind w:left="103"/>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W1</w:t>
            </w:r>
            <w:r>
              <w:rPr>
                <w:rFonts w:ascii="宋体" w:hAnsi="宋体" w:eastAsia="宋体" w:cs="宋体"/>
                <w:spacing w:val="-7"/>
                <w:sz w:val="20"/>
                <w:szCs w:val="20"/>
              </w:rPr>
              <w:t>，主要</w:t>
            </w:r>
            <w:r>
              <w:rPr>
                <w:rFonts w:ascii="Times New Roman" w:hAnsi="Times New Roman" w:eastAsia="Times New Roman" w:cs="Times New Roman"/>
                <w:spacing w:val="-7"/>
                <w:sz w:val="20"/>
                <w:szCs w:val="20"/>
              </w:rPr>
              <w:t>SS</w:t>
            </w:r>
          </w:p>
          <w:p w14:paraId="2E36979E">
            <w:pPr>
              <w:spacing w:before="158" w:line="228" w:lineRule="auto"/>
              <w:ind w:left="123"/>
              <w:rPr>
                <w:rFonts w:ascii="宋体" w:hAnsi="宋体" w:eastAsia="宋体" w:cs="宋体"/>
                <w:sz w:val="20"/>
                <w:szCs w:val="20"/>
              </w:rPr>
            </w:pPr>
            <w:r>
              <w:rPr>
                <w:rFonts w:ascii="宋体" w:hAnsi="宋体" w:eastAsia="宋体" w:cs="宋体"/>
                <w:sz w:val="20"/>
                <w:szCs w:val="20"/>
              </w:rPr>
              <w:t>、</w:t>
            </w:r>
            <w:r>
              <w:rPr>
                <w:rFonts w:ascii="Times New Roman" w:hAnsi="Times New Roman" w:eastAsia="Times New Roman" w:cs="Times New Roman"/>
                <w:sz w:val="20"/>
                <w:szCs w:val="20"/>
              </w:rPr>
              <w:t>COD</w:t>
            </w:r>
            <w:r>
              <w:rPr>
                <w:rFonts w:ascii="Times New Roman" w:hAnsi="Times New Roman" w:eastAsia="Times New Roman" w:cs="Times New Roman"/>
                <w:spacing w:val="-27"/>
                <w:sz w:val="20"/>
                <w:szCs w:val="20"/>
              </w:rPr>
              <w:t xml:space="preserve"> </w:t>
            </w:r>
            <w:r>
              <w:rPr>
                <w:rFonts w:ascii="宋体" w:hAnsi="宋体" w:eastAsia="宋体" w:cs="宋体"/>
                <w:sz w:val="20"/>
                <w:szCs w:val="20"/>
              </w:rPr>
              <w:t>、氨</w:t>
            </w:r>
          </w:p>
          <w:p w14:paraId="435BE521">
            <w:pPr>
              <w:spacing w:before="162" w:line="227" w:lineRule="auto"/>
              <w:ind w:left="157"/>
              <w:rPr>
                <w:rFonts w:ascii="Times New Roman" w:hAnsi="Times New Roman" w:eastAsia="Times New Roman" w:cs="Times New Roman"/>
                <w:sz w:val="20"/>
                <w:szCs w:val="20"/>
              </w:rPr>
            </w:pPr>
            <w:r>
              <w:rPr>
                <w:rFonts w:ascii="宋体" w:hAnsi="宋体" w:eastAsia="宋体" w:cs="宋体"/>
                <w:spacing w:val="12"/>
                <w:sz w:val="20"/>
                <w:szCs w:val="20"/>
              </w:rPr>
              <w:t>氮、</w:t>
            </w:r>
            <w:r>
              <w:rPr>
                <w:rFonts w:ascii="Times New Roman" w:hAnsi="Times New Roman" w:eastAsia="Times New Roman" w:cs="Times New Roman"/>
                <w:sz w:val="20"/>
                <w:szCs w:val="20"/>
              </w:rPr>
              <w:t>BOD</w:t>
            </w:r>
            <w:r>
              <w:rPr>
                <w:rFonts w:ascii="Times New Roman" w:hAnsi="Times New Roman" w:eastAsia="Times New Roman" w:cs="Times New Roman"/>
                <w:spacing w:val="12"/>
                <w:sz w:val="20"/>
                <w:szCs w:val="20"/>
              </w:rPr>
              <w:t>5</w:t>
            </w:r>
          </w:p>
          <w:p w14:paraId="27724CAF">
            <w:pPr>
              <w:spacing w:before="161" w:line="228" w:lineRule="auto"/>
              <w:ind w:left="540"/>
              <w:rPr>
                <w:rFonts w:ascii="宋体" w:hAnsi="宋体" w:eastAsia="宋体" w:cs="宋体"/>
                <w:sz w:val="20"/>
                <w:szCs w:val="20"/>
              </w:rPr>
            </w:pPr>
            <w:r>
              <w:rPr>
                <w:rFonts w:ascii="宋体" w:hAnsi="宋体" w:eastAsia="宋体" w:cs="宋体"/>
                <w:sz w:val="20"/>
                <w:szCs w:val="20"/>
              </w:rPr>
              <w:t>等</w:t>
            </w:r>
          </w:p>
        </w:tc>
        <w:tc>
          <w:tcPr>
            <w:tcW w:w="4744" w:type="dxa"/>
            <w:vAlign w:val="top"/>
          </w:tcPr>
          <w:p w14:paraId="6C2D3516">
            <w:pPr>
              <w:spacing w:before="34" w:line="378" w:lineRule="auto"/>
              <w:ind w:left="111" w:right="99" w:firstLine="421"/>
              <w:jc w:val="both"/>
              <w:rPr>
                <w:rFonts w:ascii="宋体" w:hAnsi="宋体" w:eastAsia="宋体" w:cs="宋体"/>
                <w:sz w:val="20"/>
                <w:szCs w:val="20"/>
              </w:rPr>
            </w:pPr>
            <w:r>
              <w:rPr>
                <w:rFonts w:ascii="宋体" w:hAnsi="宋体" w:eastAsia="宋体" w:cs="宋体"/>
                <w:spacing w:val="9"/>
                <w:sz w:val="20"/>
                <w:szCs w:val="20"/>
              </w:rPr>
              <w:t>生活污水经化粪池</w:t>
            </w:r>
            <w:r>
              <w:rPr>
                <w:rFonts w:ascii="Times New Roman" w:hAnsi="Times New Roman" w:eastAsia="Times New Roman" w:cs="Times New Roman"/>
                <w:spacing w:val="9"/>
                <w:sz w:val="20"/>
                <w:szCs w:val="20"/>
              </w:rPr>
              <w:t>+</w:t>
            </w:r>
            <w:r>
              <w:rPr>
                <w:rFonts w:ascii="宋体" w:hAnsi="宋体" w:eastAsia="宋体" w:cs="宋体"/>
                <w:spacing w:val="9"/>
                <w:sz w:val="20"/>
                <w:szCs w:val="20"/>
              </w:rPr>
              <w:t>一体化污水处理设施处理</w:t>
            </w:r>
            <w:r>
              <w:rPr>
                <w:rFonts w:ascii="宋体" w:hAnsi="宋体" w:eastAsia="宋体" w:cs="宋体"/>
                <w:spacing w:val="5"/>
                <w:sz w:val="20"/>
                <w:szCs w:val="20"/>
              </w:rPr>
              <w:t>后，各指标浓度均达到《城市污水再生利用城市杂</w:t>
            </w:r>
            <w:r>
              <w:rPr>
                <w:rFonts w:ascii="宋体" w:hAnsi="宋体" w:eastAsia="宋体" w:cs="宋体"/>
                <w:spacing w:val="10"/>
                <w:sz w:val="20"/>
                <w:szCs w:val="20"/>
              </w:rPr>
              <w:t>用水水质》</w:t>
            </w:r>
            <w:r>
              <w:rPr>
                <w:rFonts w:ascii="宋体" w:hAnsi="宋体" w:eastAsia="宋体" w:cs="宋体"/>
                <w:spacing w:val="-67"/>
                <w:sz w:val="20"/>
                <w:szCs w:val="20"/>
              </w:rPr>
              <w:t xml:space="preserve"> </w:t>
            </w:r>
            <w:r>
              <w:rPr>
                <w:rFonts w:ascii="宋体" w:hAnsi="宋体" w:eastAsia="宋体" w:cs="宋体"/>
                <w:spacing w:val="10"/>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10"/>
                <w:sz w:val="20"/>
                <w:szCs w:val="20"/>
              </w:rPr>
              <w:t>-T18920-2020</w:t>
            </w:r>
            <w:r>
              <w:rPr>
                <w:rFonts w:ascii="宋体" w:hAnsi="宋体" w:eastAsia="宋体" w:cs="宋体"/>
                <w:spacing w:val="10"/>
                <w:sz w:val="20"/>
                <w:szCs w:val="20"/>
              </w:rPr>
              <w:t>）城市绿化、道路</w:t>
            </w:r>
            <w:r>
              <w:rPr>
                <w:rFonts w:ascii="宋体" w:hAnsi="宋体" w:eastAsia="宋体" w:cs="宋体"/>
                <w:spacing w:val="6"/>
                <w:sz w:val="20"/>
                <w:szCs w:val="20"/>
              </w:rPr>
              <w:t>清扫、标准。</w:t>
            </w:r>
          </w:p>
        </w:tc>
        <w:tc>
          <w:tcPr>
            <w:tcW w:w="123" w:type="dxa"/>
            <w:tcBorders>
              <w:top w:val="nil"/>
              <w:bottom w:val="nil"/>
              <w:right w:val="single" w:color="000000" w:sz="6" w:space="0"/>
            </w:tcBorders>
            <w:vAlign w:val="top"/>
          </w:tcPr>
          <w:p w14:paraId="54C73D74">
            <w:pPr>
              <w:rPr>
                <w:rFonts w:ascii="Arial"/>
                <w:sz w:val="21"/>
              </w:rPr>
            </w:pPr>
          </w:p>
        </w:tc>
      </w:tr>
      <w:tr w14:paraId="1BC32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428" w:type="dxa"/>
            <w:vMerge w:val="continue"/>
            <w:tcBorders>
              <w:top w:val="nil"/>
              <w:left w:val="single" w:color="000000" w:sz="6" w:space="0"/>
              <w:bottom w:val="nil"/>
            </w:tcBorders>
            <w:vAlign w:val="top"/>
          </w:tcPr>
          <w:p w14:paraId="7EA1117A">
            <w:pPr>
              <w:rPr>
                <w:rFonts w:ascii="Arial"/>
                <w:sz w:val="21"/>
              </w:rPr>
            </w:pPr>
          </w:p>
        </w:tc>
        <w:tc>
          <w:tcPr>
            <w:tcW w:w="113" w:type="dxa"/>
            <w:vMerge w:val="continue"/>
            <w:tcBorders>
              <w:top w:val="nil"/>
              <w:bottom w:val="nil"/>
            </w:tcBorders>
            <w:vAlign w:val="top"/>
          </w:tcPr>
          <w:p w14:paraId="5D86B703">
            <w:pPr>
              <w:rPr>
                <w:rFonts w:ascii="Arial"/>
                <w:sz w:val="21"/>
              </w:rPr>
            </w:pPr>
          </w:p>
        </w:tc>
        <w:tc>
          <w:tcPr>
            <w:tcW w:w="878" w:type="dxa"/>
            <w:gridSpan w:val="2"/>
            <w:vAlign w:val="top"/>
          </w:tcPr>
          <w:p w14:paraId="6A2D5ADF">
            <w:pPr>
              <w:spacing w:line="377" w:lineRule="auto"/>
              <w:rPr>
                <w:rFonts w:ascii="Arial"/>
                <w:sz w:val="21"/>
              </w:rPr>
            </w:pPr>
          </w:p>
          <w:p w14:paraId="6E7D3CB4">
            <w:pPr>
              <w:spacing w:before="65" w:line="228" w:lineRule="auto"/>
              <w:ind w:left="134"/>
              <w:rPr>
                <w:rFonts w:ascii="宋体" w:hAnsi="宋体" w:eastAsia="宋体" w:cs="宋体"/>
                <w:sz w:val="20"/>
                <w:szCs w:val="20"/>
              </w:rPr>
            </w:pPr>
            <w:r>
              <w:rPr>
                <w:rFonts w:ascii="宋体" w:hAnsi="宋体" w:eastAsia="宋体" w:cs="宋体"/>
                <w:spacing w:val="2"/>
                <w:sz w:val="20"/>
                <w:szCs w:val="20"/>
              </w:rPr>
              <w:t>噪噪声</w:t>
            </w:r>
          </w:p>
        </w:tc>
        <w:tc>
          <w:tcPr>
            <w:tcW w:w="1497" w:type="dxa"/>
            <w:gridSpan w:val="2"/>
            <w:vAlign w:val="top"/>
          </w:tcPr>
          <w:p w14:paraId="7A491C15">
            <w:pPr>
              <w:spacing w:before="37" w:line="364" w:lineRule="auto"/>
              <w:ind w:left="109" w:right="127"/>
              <w:jc w:val="both"/>
              <w:rPr>
                <w:rFonts w:ascii="宋体" w:hAnsi="宋体" w:eastAsia="宋体" w:cs="宋体"/>
                <w:sz w:val="20"/>
                <w:szCs w:val="20"/>
              </w:rPr>
            </w:pPr>
            <w:r>
              <w:rPr>
                <w:rFonts w:ascii="宋体" w:hAnsi="宋体" w:eastAsia="宋体" w:cs="宋体"/>
                <w:spacing w:val="9"/>
                <w:sz w:val="20"/>
                <w:szCs w:val="20"/>
              </w:rPr>
              <w:t>生产设备、人工操作、废气</w:t>
            </w:r>
            <w:r>
              <w:rPr>
                <w:rFonts w:ascii="宋体" w:hAnsi="宋体" w:eastAsia="宋体" w:cs="宋体"/>
                <w:spacing w:val="34"/>
                <w:sz w:val="20"/>
                <w:szCs w:val="20"/>
              </w:rPr>
              <w:t>处理风机等</w:t>
            </w:r>
          </w:p>
        </w:tc>
        <w:tc>
          <w:tcPr>
            <w:tcW w:w="1281" w:type="dxa"/>
            <w:gridSpan w:val="2"/>
            <w:vAlign w:val="top"/>
          </w:tcPr>
          <w:p w14:paraId="6455C7F8">
            <w:pPr>
              <w:spacing w:line="377" w:lineRule="auto"/>
              <w:rPr>
                <w:rFonts w:ascii="Arial"/>
                <w:sz w:val="21"/>
              </w:rPr>
            </w:pPr>
          </w:p>
          <w:p w14:paraId="4214A0F5">
            <w:pPr>
              <w:spacing w:before="65" w:line="228" w:lineRule="auto"/>
              <w:ind w:left="444"/>
              <w:rPr>
                <w:rFonts w:ascii="宋体" w:hAnsi="宋体" w:eastAsia="宋体" w:cs="宋体"/>
                <w:sz w:val="20"/>
                <w:szCs w:val="20"/>
              </w:rPr>
            </w:pPr>
            <w:r>
              <w:rPr>
                <w:rFonts w:ascii="宋体" w:hAnsi="宋体" w:eastAsia="宋体" w:cs="宋体"/>
                <w:spacing w:val="-1"/>
                <w:sz w:val="20"/>
                <w:szCs w:val="20"/>
              </w:rPr>
              <w:t>噪声</w:t>
            </w:r>
          </w:p>
        </w:tc>
        <w:tc>
          <w:tcPr>
            <w:tcW w:w="4744" w:type="dxa"/>
            <w:vAlign w:val="top"/>
          </w:tcPr>
          <w:p w14:paraId="08944FAB">
            <w:pPr>
              <w:spacing w:line="376" w:lineRule="auto"/>
              <w:rPr>
                <w:rFonts w:ascii="Arial"/>
                <w:sz w:val="21"/>
              </w:rPr>
            </w:pPr>
          </w:p>
          <w:p w14:paraId="7CB33893">
            <w:pPr>
              <w:spacing w:before="65" w:line="227" w:lineRule="auto"/>
              <w:ind w:left="326"/>
              <w:rPr>
                <w:rFonts w:ascii="宋体" w:hAnsi="宋体" w:eastAsia="宋体" w:cs="宋体"/>
                <w:sz w:val="20"/>
                <w:szCs w:val="20"/>
              </w:rPr>
            </w:pPr>
            <w:r>
              <w:rPr>
                <w:rFonts w:ascii="宋体" w:hAnsi="宋体" w:eastAsia="宋体" w:cs="宋体"/>
                <w:spacing w:val="18"/>
                <w:sz w:val="20"/>
                <w:szCs w:val="20"/>
              </w:rPr>
              <w:t>采取降噪</w:t>
            </w:r>
            <w:r>
              <w:rPr>
                <w:rFonts w:ascii="宋体" w:hAnsi="宋体" w:eastAsia="宋体" w:cs="宋体"/>
                <w:spacing w:val="-43"/>
                <w:sz w:val="20"/>
                <w:szCs w:val="20"/>
              </w:rPr>
              <w:t xml:space="preserve"> </w:t>
            </w:r>
            <w:r>
              <w:rPr>
                <w:rFonts w:ascii="宋体" w:hAnsi="宋体" w:eastAsia="宋体" w:cs="宋体"/>
                <w:spacing w:val="18"/>
                <w:sz w:val="20"/>
                <w:szCs w:val="20"/>
              </w:rPr>
              <w:t>、减振</w:t>
            </w:r>
            <w:r>
              <w:rPr>
                <w:rFonts w:ascii="宋体" w:hAnsi="宋体" w:eastAsia="宋体" w:cs="宋体"/>
                <w:spacing w:val="-58"/>
                <w:sz w:val="20"/>
                <w:szCs w:val="20"/>
              </w:rPr>
              <w:t xml:space="preserve"> </w:t>
            </w:r>
            <w:r>
              <w:rPr>
                <w:rFonts w:ascii="宋体" w:hAnsi="宋体" w:eastAsia="宋体" w:cs="宋体"/>
                <w:spacing w:val="18"/>
                <w:sz w:val="20"/>
                <w:szCs w:val="20"/>
              </w:rPr>
              <w:t>、</w:t>
            </w:r>
            <w:r>
              <w:rPr>
                <w:rFonts w:ascii="宋体" w:hAnsi="宋体" w:eastAsia="宋体" w:cs="宋体"/>
                <w:spacing w:val="-55"/>
                <w:sz w:val="20"/>
                <w:szCs w:val="20"/>
              </w:rPr>
              <w:t xml:space="preserve"> </w:t>
            </w:r>
            <w:r>
              <w:rPr>
                <w:rFonts w:ascii="宋体" w:hAnsi="宋体" w:eastAsia="宋体" w:cs="宋体"/>
                <w:spacing w:val="18"/>
                <w:sz w:val="20"/>
                <w:szCs w:val="20"/>
              </w:rPr>
              <w:t>隔声等综合降噪措施。</w:t>
            </w:r>
          </w:p>
        </w:tc>
        <w:tc>
          <w:tcPr>
            <w:tcW w:w="123" w:type="dxa"/>
            <w:tcBorders>
              <w:top w:val="nil"/>
              <w:bottom w:val="nil"/>
              <w:right w:val="single" w:color="000000" w:sz="6" w:space="0"/>
            </w:tcBorders>
            <w:vAlign w:val="top"/>
          </w:tcPr>
          <w:p w14:paraId="3EE0F880">
            <w:pPr>
              <w:rPr>
                <w:rFonts w:ascii="Arial"/>
                <w:sz w:val="21"/>
              </w:rPr>
            </w:pPr>
          </w:p>
        </w:tc>
      </w:tr>
      <w:tr w14:paraId="22A35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vAlign w:val="top"/>
          </w:tcPr>
          <w:p w14:paraId="67989D0C">
            <w:pPr>
              <w:rPr>
                <w:rFonts w:ascii="Arial"/>
                <w:sz w:val="21"/>
              </w:rPr>
            </w:pPr>
          </w:p>
        </w:tc>
        <w:tc>
          <w:tcPr>
            <w:tcW w:w="113" w:type="dxa"/>
            <w:vMerge w:val="continue"/>
            <w:tcBorders>
              <w:top w:val="nil"/>
              <w:bottom w:val="nil"/>
            </w:tcBorders>
            <w:vAlign w:val="top"/>
          </w:tcPr>
          <w:p w14:paraId="30B77D8D">
            <w:pPr>
              <w:rPr>
                <w:rFonts w:ascii="Arial"/>
                <w:sz w:val="21"/>
              </w:rPr>
            </w:pPr>
          </w:p>
        </w:tc>
        <w:tc>
          <w:tcPr>
            <w:tcW w:w="878" w:type="dxa"/>
            <w:gridSpan w:val="2"/>
            <w:vMerge w:val="restart"/>
            <w:tcBorders>
              <w:bottom w:val="nil"/>
            </w:tcBorders>
            <w:vAlign w:val="top"/>
          </w:tcPr>
          <w:p w14:paraId="08C93F54">
            <w:pPr>
              <w:spacing w:before="37" w:line="378" w:lineRule="auto"/>
              <w:ind w:left="231" w:right="130" w:hanging="84"/>
              <w:rPr>
                <w:rFonts w:ascii="宋体" w:hAnsi="宋体" w:eastAsia="宋体" w:cs="宋体"/>
                <w:sz w:val="20"/>
                <w:szCs w:val="20"/>
              </w:rPr>
            </w:pPr>
            <w:r>
              <w:rPr>
                <w:rFonts w:ascii="宋体" w:hAnsi="宋体" w:eastAsia="宋体" w:cs="宋体"/>
                <w:spacing w:val="-2"/>
                <w:sz w:val="20"/>
                <w:szCs w:val="20"/>
              </w:rPr>
              <w:t>固固体</w:t>
            </w:r>
            <w:r>
              <w:rPr>
                <w:rFonts w:ascii="宋体" w:hAnsi="宋体" w:eastAsia="宋体" w:cs="宋体"/>
                <w:spacing w:val="4"/>
                <w:sz w:val="20"/>
                <w:szCs w:val="20"/>
              </w:rPr>
              <w:t>废物</w:t>
            </w:r>
          </w:p>
        </w:tc>
        <w:tc>
          <w:tcPr>
            <w:tcW w:w="1497" w:type="dxa"/>
            <w:gridSpan w:val="2"/>
            <w:vAlign w:val="top"/>
          </w:tcPr>
          <w:p w14:paraId="66882018">
            <w:pPr>
              <w:spacing w:before="37" w:line="357" w:lineRule="auto"/>
              <w:ind w:left="333" w:right="127" w:hanging="209"/>
              <w:rPr>
                <w:rFonts w:ascii="宋体" w:hAnsi="宋体" w:eastAsia="宋体" w:cs="宋体"/>
                <w:sz w:val="20"/>
                <w:szCs w:val="20"/>
              </w:rPr>
            </w:pPr>
            <w:r>
              <w:rPr>
                <w:rFonts w:ascii="宋体" w:hAnsi="宋体" w:eastAsia="宋体" w:cs="宋体"/>
                <w:spacing w:val="6"/>
                <w:sz w:val="20"/>
                <w:szCs w:val="20"/>
              </w:rPr>
              <w:t>修边废料、不</w:t>
            </w:r>
            <w:r>
              <w:rPr>
                <w:rFonts w:ascii="宋体" w:hAnsi="宋体" w:eastAsia="宋体" w:cs="宋体"/>
                <w:spacing w:val="5"/>
                <w:sz w:val="20"/>
                <w:szCs w:val="20"/>
              </w:rPr>
              <w:t>合格产品</w:t>
            </w:r>
          </w:p>
        </w:tc>
        <w:tc>
          <w:tcPr>
            <w:tcW w:w="1281" w:type="dxa"/>
            <w:gridSpan w:val="2"/>
            <w:vAlign w:val="top"/>
          </w:tcPr>
          <w:p w14:paraId="06D0A067">
            <w:pPr>
              <w:spacing w:before="37" w:line="357" w:lineRule="auto"/>
              <w:ind w:left="109" w:right="107" w:firstLine="4"/>
              <w:rPr>
                <w:rFonts w:ascii="宋体" w:hAnsi="宋体" w:eastAsia="宋体" w:cs="宋体"/>
                <w:sz w:val="20"/>
                <w:szCs w:val="20"/>
              </w:rPr>
            </w:pPr>
            <w:r>
              <w:rPr>
                <w:rFonts w:ascii="Times New Roman" w:hAnsi="Times New Roman" w:eastAsia="Times New Roman" w:cs="Times New Roman"/>
                <w:spacing w:val="7"/>
                <w:sz w:val="20"/>
                <w:szCs w:val="20"/>
              </w:rPr>
              <w:t>S1</w:t>
            </w:r>
            <w:r>
              <w:rPr>
                <w:rFonts w:ascii="宋体" w:hAnsi="宋体" w:eastAsia="宋体" w:cs="宋体"/>
                <w:spacing w:val="7"/>
                <w:sz w:val="20"/>
                <w:szCs w:val="20"/>
              </w:rPr>
              <w:t>废料、不</w:t>
            </w:r>
            <w:r>
              <w:rPr>
                <w:rFonts w:ascii="宋体" w:hAnsi="宋体" w:eastAsia="宋体" w:cs="宋体"/>
                <w:spacing w:val="5"/>
                <w:sz w:val="20"/>
                <w:szCs w:val="20"/>
              </w:rPr>
              <w:t>合格产品</w:t>
            </w:r>
          </w:p>
        </w:tc>
        <w:tc>
          <w:tcPr>
            <w:tcW w:w="4744" w:type="dxa"/>
            <w:vAlign w:val="top"/>
          </w:tcPr>
          <w:p w14:paraId="541CF568">
            <w:pPr>
              <w:spacing w:before="36" w:line="228" w:lineRule="auto"/>
              <w:ind w:left="119"/>
              <w:rPr>
                <w:rFonts w:ascii="宋体" w:hAnsi="宋体" w:eastAsia="宋体" w:cs="宋体"/>
                <w:sz w:val="20"/>
                <w:szCs w:val="20"/>
              </w:rPr>
            </w:pPr>
            <w:r>
              <w:rPr>
                <w:rFonts w:ascii="宋体" w:hAnsi="宋体" w:eastAsia="宋体" w:cs="宋体"/>
                <w:spacing w:val="5"/>
                <w:sz w:val="20"/>
                <w:szCs w:val="20"/>
              </w:rPr>
              <w:t>收集后外售。</w:t>
            </w:r>
          </w:p>
        </w:tc>
        <w:tc>
          <w:tcPr>
            <w:tcW w:w="123" w:type="dxa"/>
            <w:tcBorders>
              <w:top w:val="nil"/>
              <w:bottom w:val="nil"/>
              <w:right w:val="single" w:color="000000" w:sz="6" w:space="0"/>
            </w:tcBorders>
            <w:vAlign w:val="top"/>
          </w:tcPr>
          <w:p w14:paraId="020C9BFD">
            <w:pPr>
              <w:rPr>
                <w:rFonts w:ascii="Arial"/>
                <w:sz w:val="21"/>
              </w:rPr>
            </w:pPr>
          </w:p>
        </w:tc>
      </w:tr>
      <w:tr w14:paraId="3499E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1A46998D">
            <w:pPr>
              <w:rPr>
                <w:rFonts w:ascii="Arial"/>
                <w:sz w:val="21"/>
              </w:rPr>
            </w:pPr>
          </w:p>
        </w:tc>
        <w:tc>
          <w:tcPr>
            <w:tcW w:w="113" w:type="dxa"/>
            <w:vMerge w:val="continue"/>
            <w:tcBorders>
              <w:top w:val="nil"/>
              <w:bottom w:val="nil"/>
            </w:tcBorders>
            <w:vAlign w:val="top"/>
          </w:tcPr>
          <w:p w14:paraId="248142E1">
            <w:pPr>
              <w:rPr>
                <w:rFonts w:ascii="Arial"/>
                <w:sz w:val="21"/>
              </w:rPr>
            </w:pPr>
          </w:p>
        </w:tc>
        <w:tc>
          <w:tcPr>
            <w:tcW w:w="878" w:type="dxa"/>
            <w:gridSpan w:val="2"/>
            <w:vMerge w:val="continue"/>
            <w:tcBorders>
              <w:top w:val="nil"/>
              <w:bottom w:val="nil"/>
            </w:tcBorders>
            <w:vAlign w:val="top"/>
          </w:tcPr>
          <w:p w14:paraId="2309BDEC">
            <w:pPr>
              <w:rPr>
                <w:rFonts w:ascii="Arial"/>
                <w:sz w:val="21"/>
              </w:rPr>
            </w:pPr>
          </w:p>
        </w:tc>
        <w:tc>
          <w:tcPr>
            <w:tcW w:w="1497" w:type="dxa"/>
            <w:gridSpan w:val="2"/>
            <w:vAlign w:val="top"/>
          </w:tcPr>
          <w:p w14:paraId="4E9C5F05">
            <w:pPr>
              <w:spacing w:before="37" w:line="228" w:lineRule="auto"/>
              <w:ind w:left="335"/>
              <w:rPr>
                <w:rFonts w:ascii="宋体" w:hAnsi="宋体" w:eastAsia="宋体" w:cs="宋体"/>
                <w:sz w:val="20"/>
                <w:szCs w:val="20"/>
              </w:rPr>
            </w:pPr>
            <w:r>
              <w:rPr>
                <w:rFonts w:ascii="宋体" w:hAnsi="宋体" w:eastAsia="宋体" w:cs="宋体"/>
                <w:spacing w:val="5"/>
                <w:sz w:val="20"/>
                <w:szCs w:val="20"/>
              </w:rPr>
              <w:t>生活垃圾</w:t>
            </w:r>
          </w:p>
        </w:tc>
        <w:tc>
          <w:tcPr>
            <w:tcW w:w="1281" w:type="dxa"/>
            <w:gridSpan w:val="2"/>
            <w:vAlign w:val="top"/>
          </w:tcPr>
          <w:p w14:paraId="60F76BB6">
            <w:pPr>
              <w:spacing w:before="37" w:line="228" w:lineRule="auto"/>
              <w:ind w:left="123"/>
              <w:rPr>
                <w:rFonts w:ascii="宋体" w:hAnsi="宋体" w:eastAsia="宋体" w:cs="宋体"/>
                <w:sz w:val="20"/>
                <w:szCs w:val="20"/>
              </w:rPr>
            </w:pPr>
            <w:r>
              <w:rPr>
                <w:rFonts w:ascii="Times New Roman" w:hAnsi="Times New Roman" w:eastAsia="Times New Roman" w:cs="Times New Roman"/>
                <w:spacing w:val="4"/>
                <w:sz w:val="20"/>
                <w:szCs w:val="20"/>
              </w:rPr>
              <w:t>S2</w:t>
            </w:r>
            <w:r>
              <w:rPr>
                <w:rFonts w:ascii="宋体" w:hAnsi="宋体" w:eastAsia="宋体" w:cs="宋体"/>
                <w:spacing w:val="4"/>
                <w:sz w:val="20"/>
                <w:szCs w:val="20"/>
              </w:rPr>
              <w:t>生活垃圾</w:t>
            </w:r>
          </w:p>
        </w:tc>
        <w:tc>
          <w:tcPr>
            <w:tcW w:w="4744" w:type="dxa"/>
            <w:vAlign w:val="top"/>
          </w:tcPr>
          <w:p w14:paraId="6915B9A9">
            <w:pPr>
              <w:spacing w:before="36" w:line="228" w:lineRule="auto"/>
              <w:ind w:left="110"/>
              <w:rPr>
                <w:rFonts w:ascii="宋体" w:hAnsi="宋体" w:eastAsia="宋体" w:cs="宋体"/>
                <w:sz w:val="20"/>
                <w:szCs w:val="20"/>
              </w:rPr>
            </w:pPr>
            <w:r>
              <w:rPr>
                <w:rFonts w:ascii="宋体" w:hAnsi="宋体" w:eastAsia="宋体" w:cs="宋体"/>
                <w:spacing w:val="7"/>
                <w:sz w:val="20"/>
                <w:szCs w:val="20"/>
              </w:rPr>
              <w:t>委托环卫部门清运。</w:t>
            </w:r>
          </w:p>
        </w:tc>
        <w:tc>
          <w:tcPr>
            <w:tcW w:w="123" w:type="dxa"/>
            <w:tcBorders>
              <w:top w:val="nil"/>
              <w:bottom w:val="nil"/>
              <w:right w:val="single" w:color="000000" w:sz="6" w:space="0"/>
            </w:tcBorders>
            <w:vAlign w:val="top"/>
          </w:tcPr>
          <w:p w14:paraId="68413147">
            <w:pPr>
              <w:rPr>
                <w:rFonts w:ascii="Arial"/>
                <w:sz w:val="21"/>
              </w:rPr>
            </w:pPr>
          </w:p>
        </w:tc>
      </w:tr>
      <w:tr w14:paraId="28FC6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487AC031">
            <w:pPr>
              <w:rPr>
                <w:rFonts w:ascii="Arial"/>
                <w:sz w:val="21"/>
              </w:rPr>
            </w:pPr>
          </w:p>
        </w:tc>
        <w:tc>
          <w:tcPr>
            <w:tcW w:w="113" w:type="dxa"/>
            <w:vMerge w:val="continue"/>
            <w:tcBorders>
              <w:top w:val="nil"/>
              <w:bottom w:val="nil"/>
            </w:tcBorders>
            <w:vAlign w:val="top"/>
          </w:tcPr>
          <w:p w14:paraId="050698BA">
            <w:pPr>
              <w:rPr>
                <w:rFonts w:ascii="Arial"/>
                <w:sz w:val="21"/>
              </w:rPr>
            </w:pPr>
          </w:p>
        </w:tc>
        <w:tc>
          <w:tcPr>
            <w:tcW w:w="878" w:type="dxa"/>
            <w:gridSpan w:val="2"/>
            <w:vMerge w:val="continue"/>
            <w:tcBorders>
              <w:top w:val="nil"/>
              <w:bottom w:val="nil"/>
            </w:tcBorders>
            <w:vAlign w:val="top"/>
          </w:tcPr>
          <w:p w14:paraId="08264034">
            <w:pPr>
              <w:rPr>
                <w:rFonts w:ascii="Arial"/>
                <w:sz w:val="21"/>
              </w:rPr>
            </w:pPr>
          </w:p>
        </w:tc>
        <w:tc>
          <w:tcPr>
            <w:tcW w:w="1497" w:type="dxa"/>
            <w:gridSpan w:val="2"/>
            <w:vAlign w:val="top"/>
          </w:tcPr>
          <w:p w14:paraId="448FBC87">
            <w:pPr>
              <w:spacing w:before="39" w:line="228" w:lineRule="auto"/>
              <w:ind w:left="332"/>
              <w:rPr>
                <w:rFonts w:ascii="宋体" w:hAnsi="宋体" w:eastAsia="宋体" w:cs="宋体"/>
                <w:sz w:val="20"/>
                <w:szCs w:val="20"/>
              </w:rPr>
            </w:pPr>
            <w:r>
              <w:rPr>
                <w:rFonts w:ascii="宋体" w:hAnsi="宋体" w:eastAsia="宋体" w:cs="宋体"/>
                <w:spacing w:val="6"/>
                <w:sz w:val="20"/>
                <w:szCs w:val="20"/>
              </w:rPr>
              <w:t>废包装袋</w:t>
            </w:r>
          </w:p>
        </w:tc>
        <w:tc>
          <w:tcPr>
            <w:tcW w:w="1281" w:type="dxa"/>
            <w:gridSpan w:val="2"/>
            <w:vAlign w:val="top"/>
          </w:tcPr>
          <w:p w14:paraId="50209448">
            <w:pPr>
              <w:spacing w:before="39" w:line="228" w:lineRule="auto"/>
              <w:ind w:left="123"/>
              <w:rPr>
                <w:rFonts w:ascii="宋体" w:hAnsi="宋体" w:eastAsia="宋体" w:cs="宋体"/>
                <w:sz w:val="20"/>
                <w:szCs w:val="20"/>
              </w:rPr>
            </w:pPr>
            <w:r>
              <w:rPr>
                <w:rFonts w:ascii="Times New Roman" w:hAnsi="Times New Roman" w:eastAsia="Times New Roman" w:cs="Times New Roman"/>
                <w:spacing w:val="4"/>
                <w:sz w:val="20"/>
                <w:szCs w:val="20"/>
              </w:rPr>
              <w:t>S3</w:t>
            </w:r>
            <w:r>
              <w:rPr>
                <w:rFonts w:ascii="宋体" w:hAnsi="宋体" w:eastAsia="宋体" w:cs="宋体"/>
                <w:spacing w:val="4"/>
                <w:sz w:val="20"/>
                <w:szCs w:val="20"/>
              </w:rPr>
              <w:t>废包装袋</w:t>
            </w:r>
          </w:p>
        </w:tc>
        <w:tc>
          <w:tcPr>
            <w:tcW w:w="4744" w:type="dxa"/>
            <w:vAlign w:val="top"/>
          </w:tcPr>
          <w:p w14:paraId="6198523A">
            <w:pPr>
              <w:spacing w:before="38" w:line="228" w:lineRule="auto"/>
              <w:ind w:left="119"/>
              <w:rPr>
                <w:rFonts w:ascii="宋体" w:hAnsi="宋体" w:eastAsia="宋体" w:cs="宋体"/>
                <w:sz w:val="20"/>
                <w:szCs w:val="20"/>
              </w:rPr>
            </w:pPr>
            <w:r>
              <w:rPr>
                <w:rFonts w:ascii="宋体" w:hAnsi="宋体" w:eastAsia="宋体" w:cs="宋体"/>
                <w:spacing w:val="5"/>
                <w:sz w:val="20"/>
                <w:szCs w:val="20"/>
              </w:rPr>
              <w:t>收集后外售。</w:t>
            </w:r>
          </w:p>
        </w:tc>
        <w:tc>
          <w:tcPr>
            <w:tcW w:w="123" w:type="dxa"/>
            <w:tcBorders>
              <w:top w:val="nil"/>
              <w:bottom w:val="nil"/>
              <w:right w:val="single" w:color="000000" w:sz="6" w:space="0"/>
            </w:tcBorders>
            <w:vAlign w:val="top"/>
          </w:tcPr>
          <w:p w14:paraId="2B5540ED">
            <w:pPr>
              <w:rPr>
                <w:rFonts w:ascii="Arial"/>
                <w:sz w:val="21"/>
              </w:rPr>
            </w:pPr>
          </w:p>
        </w:tc>
      </w:tr>
      <w:tr w14:paraId="42D74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vAlign w:val="top"/>
          </w:tcPr>
          <w:p w14:paraId="4CA18547">
            <w:pPr>
              <w:rPr>
                <w:rFonts w:ascii="Arial"/>
                <w:sz w:val="21"/>
              </w:rPr>
            </w:pPr>
          </w:p>
        </w:tc>
        <w:tc>
          <w:tcPr>
            <w:tcW w:w="113" w:type="dxa"/>
            <w:vMerge w:val="continue"/>
            <w:tcBorders>
              <w:top w:val="nil"/>
              <w:bottom w:val="nil"/>
            </w:tcBorders>
            <w:vAlign w:val="top"/>
          </w:tcPr>
          <w:p w14:paraId="60A61D59">
            <w:pPr>
              <w:rPr>
                <w:rFonts w:ascii="Arial"/>
                <w:sz w:val="21"/>
              </w:rPr>
            </w:pPr>
          </w:p>
        </w:tc>
        <w:tc>
          <w:tcPr>
            <w:tcW w:w="878" w:type="dxa"/>
            <w:gridSpan w:val="2"/>
            <w:vMerge w:val="continue"/>
            <w:tcBorders>
              <w:top w:val="nil"/>
              <w:bottom w:val="nil"/>
            </w:tcBorders>
            <w:vAlign w:val="top"/>
          </w:tcPr>
          <w:p w14:paraId="74B68F13">
            <w:pPr>
              <w:rPr>
                <w:rFonts w:ascii="Arial"/>
                <w:sz w:val="21"/>
              </w:rPr>
            </w:pPr>
          </w:p>
        </w:tc>
        <w:tc>
          <w:tcPr>
            <w:tcW w:w="1497" w:type="dxa"/>
            <w:gridSpan w:val="2"/>
            <w:vAlign w:val="top"/>
          </w:tcPr>
          <w:p w14:paraId="073A7224">
            <w:pPr>
              <w:spacing w:before="38" w:line="228" w:lineRule="auto"/>
              <w:ind w:left="332"/>
              <w:rPr>
                <w:rFonts w:ascii="宋体" w:hAnsi="宋体" w:eastAsia="宋体" w:cs="宋体"/>
                <w:sz w:val="20"/>
                <w:szCs w:val="20"/>
              </w:rPr>
            </w:pPr>
            <w:r>
              <w:rPr>
                <w:rFonts w:ascii="宋体" w:hAnsi="宋体" w:eastAsia="宋体" w:cs="宋体"/>
                <w:spacing w:val="6"/>
                <w:sz w:val="20"/>
                <w:szCs w:val="20"/>
              </w:rPr>
              <w:t>废活性炭</w:t>
            </w:r>
          </w:p>
        </w:tc>
        <w:tc>
          <w:tcPr>
            <w:tcW w:w="1281" w:type="dxa"/>
            <w:gridSpan w:val="2"/>
            <w:vAlign w:val="top"/>
          </w:tcPr>
          <w:p w14:paraId="497C26B3">
            <w:pPr>
              <w:spacing w:before="38" w:line="228" w:lineRule="auto"/>
              <w:ind w:left="113"/>
              <w:rPr>
                <w:rFonts w:ascii="宋体" w:hAnsi="宋体" w:eastAsia="宋体" w:cs="宋体"/>
                <w:sz w:val="20"/>
                <w:szCs w:val="20"/>
              </w:rPr>
            </w:pPr>
            <w:r>
              <w:rPr>
                <w:rFonts w:ascii="Times New Roman" w:hAnsi="Times New Roman" w:eastAsia="Times New Roman" w:cs="Times New Roman"/>
                <w:spacing w:val="4"/>
                <w:sz w:val="20"/>
                <w:szCs w:val="20"/>
              </w:rPr>
              <w:t>S4</w:t>
            </w:r>
            <w:r>
              <w:rPr>
                <w:rFonts w:ascii="宋体" w:hAnsi="宋体" w:eastAsia="宋体" w:cs="宋体"/>
                <w:spacing w:val="4"/>
                <w:sz w:val="20"/>
                <w:szCs w:val="20"/>
              </w:rPr>
              <w:t>废活性炭</w:t>
            </w:r>
          </w:p>
        </w:tc>
        <w:tc>
          <w:tcPr>
            <w:tcW w:w="4744" w:type="dxa"/>
            <w:vAlign w:val="top"/>
          </w:tcPr>
          <w:p w14:paraId="719042A0">
            <w:pPr>
              <w:spacing w:before="37" w:line="357" w:lineRule="auto"/>
              <w:ind w:left="115" w:right="99" w:hanging="4"/>
              <w:rPr>
                <w:rFonts w:ascii="宋体" w:hAnsi="宋体" w:eastAsia="宋体" w:cs="宋体"/>
                <w:sz w:val="20"/>
                <w:szCs w:val="20"/>
              </w:rPr>
            </w:pPr>
            <w:r>
              <w:rPr>
                <w:rFonts w:ascii="宋体" w:hAnsi="宋体" w:eastAsia="宋体" w:cs="宋体"/>
                <w:spacing w:val="5"/>
                <w:sz w:val="20"/>
                <w:szCs w:val="20"/>
              </w:rPr>
              <w:t>集中收集后放入危废暂存间，最终委托有资质单位</w:t>
            </w:r>
            <w:r>
              <w:rPr>
                <w:rFonts w:ascii="宋体" w:hAnsi="宋体" w:eastAsia="宋体" w:cs="宋体"/>
                <w:spacing w:val="1"/>
                <w:sz w:val="20"/>
                <w:szCs w:val="20"/>
              </w:rPr>
              <w:t>处置。</w:t>
            </w:r>
          </w:p>
        </w:tc>
        <w:tc>
          <w:tcPr>
            <w:tcW w:w="123" w:type="dxa"/>
            <w:tcBorders>
              <w:top w:val="nil"/>
              <w:bottom w:val="nil"/>
              <w:right w:val="single" w:color="000000" w:sz="6" w:space="0"/>
            </w:tcBorders>
            <w:vAlign w:val="top"/>
          </w:tcPr>
          <w:p w14:paraId="168D6C31">
            <w:pPr>
              <w:rPr>
                <w:rFonts w:ascii="Arial"/>
                <w:sz w:val="21"/>
              </w:rPr>
            </w:pPr>
          </w:p>
        </w:tc>
      </w:tr>
      <w:tr w14:paraId="77CDC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428" w:type="dxa"/>
            <w:vMerge w:val="continue"/>
            <w:tcBorders>
              <w:top w:val="nil"/>
              <w:left w:val="single" w:color="000000" w:sz="6" w:space="0"/>
            </w:tcBorders>
            <w:vAlign w:val="top"/>
          </w:tcPr>
          <w:p w14:paraId="3A6256FE">
            <w:pPr>
              <w:rPr>
                <w:rFonts w:ascii="Arial"/>
                <w:sz w:val="21"/>
              </w:rPr>
            </w:pPr>
          </w:p>
        </w:tc>
        <w:tc>
          <w:tcPr>
            <w:tcW w:w="113" w:type="dxa"/>
            <w:vMerge w:val="continue"/>
            <w:tcBorders>
              <w:top w:val="nil"/>
            </w:tcBorders>
            <w:vAlign w:val="top"/>
          </w:tcPr>
          <w:p w14:paraId="2C2506D9">
            <w:pPr>
              <w:rPr>
                <w:rFonts w:ascii="Arial"/>
                <w:sz w:val="21"/>
              </w:rPr>
            </w:pPr>
          </w:p>
        </w:tc>
        <w:tc>
          <w:tcPr>
            <w:tcW w:w="878" w:type="dxa"/>
            <w:gridSpan w:val="2"/>
            <w:vMerge w:val="continue"/>
            <w:tcBorders>
              <w:top w:val="nil"/>
            </w:tcBorders>
            <w:vAlign w:val="top"/>
          </w:tcPr>
          <w:p w14:paraId="42131298">
            <w:pPr>
              <w:rPr>
                <w:rFonts w:ascii="Arial"/>
                <w:sz w:val="21"/>
              </w:rPr>
            </w:pPr>
          </w:p>
        </w:tc>
        <w:tc>
          <w:tcPr>
            <w:tcW w:w="1497" w:type="dxa"/>
            <w:gridSpan w:val="2"/>
            <w:vAlign w:val="top"/>
          </w:tcPr>
          <w:p w14:paraId="5E0BD62D">
            <w:pPr>
              <w:spacing w:before="40" w:line="227" w:lineRule="auto"/>
              <w:ind w:left="438"/>
              <w:rPr>
                <w:rFonts w:ascii="宋体" w:hAnsi="宋体" w:eastAsia="宋体" w:cs="宋体"/>
                <w:sz w:val="20"/>
                <w:szCs w:val="20"/>
              </w:rPr>
            </w:pPr>
            <w:r>
              <w:rPr>
                <w:rFonts w:ascii="宋体" w:hAnsi="宋体" w:eastAsia="宋体" w:cs="宋体"/>
                <w:spacing w:val="4"/>
                <w:sz w:val="20"/>
                <w:szCs w:val="20"/>
              </w:rPr>
              <w:t>废机油</w:t>
            </w:r>
          </w:p>
        </w:tc>
        <w:tc>
          <w:tcPr>
            <w:tcW w:w="1281" w:type="dxa"/>
            <w:gridSpan w:val="2"/>
            <w:vAlign w:val="top"/>
          </w:tcPr>
          <w:p w14:paraId="1B0BD80F">
            <w:pPr>
              <w:spacing w:before="40" w:line="227" w:lineRule="auto"/>
              <w:ind w:left="107"/>
              <w:rPr>
                <w:rFonts w:ascii="宋体" w:hAnsi="宋体" w:eastAsia="宋体" w:cs="宋体"/>
                <w:sz w:val="20"/>
                <w:szCs w:val="20"/>
              </w:rPr>
            </w:pPr>
            <w:r>
              <w:rPr>
                <w:rFonts w:ascii="宋体" w:hAnsi="宋体" w:eastAsia="宋体" w:cs="宋体"/>
                <w:spacing w:val="4"/>
                <w:sz w:val="20"/>
                <w:szCs w:val="20"/>
              </w:rPr>
              <w:t>废机油</w:t>
            </w:r>
          </w:p>
        </w:tc>
        <w:tc>
          <w:tcPr>
            <w:tcW w:w="4744" w:type="dxa"/>
            <w:vAlign w:val="top"/>
          </w:tcPr>
          <w:p w14:paraId="6D9CFC59">
            <w:pPr>
              <w:spacing w:before="40" w:line="355" w:lineRule="auto"/>
              <w:ind w:left="115" w:right="99" w:hanging="4"/>
              <w:rPr>
                <w:rFonts w:ascii="宋体" w:hAnsi="宋体" w:eastAsia="宋体" w:cs="宋体"/>
                <w:sz w:val="20"/>
                <w:szCs w:val="20"/>
              </w:rPr>
            </w:pPr>
            <w:r>
              <w:rPr>
                <w:rFonts w:ascii="宋体" w:hAnsi="宋体" w:eastAsia="宋体" w:cs="宋体"/>
                <w:spacing w:val="5"/>
                <w:sz w:val="20"/>
                <w:szCs w:val="20"/>
              </w:rPr>
              <w:t>集中收集后放入危废暂存间，最终委托有资质单位</w:t>
            </w:r>
            <w:r>
              <w:rPr>
                <w:rFonts w:ascii="宋体" w:hAnsi="宋体" w:eastAsia="宋体" w:cs="宋体"/>
                <w:spacing w:val="1"/>
                <w:sz w:val="20"/>
                <w:szCs w:val="20"/>
              </w:rPr>
              <w:t>处置。</w:t>
            </w:r>
          </w:p>
        </w:tc>
        <w:tc>
          <w:tcPr>
            <w:tcW w:w="123" w:type="dxa"/>
            <w:tcBorders>
              <w:top w:val="nil"/>
              <w:right w:val="single" w:color="000000" w:sz="6" w:space="0"/>
            </w:tcBorders>
            <w:vAlign w:val="top"/>
          </w:tcPr>
          <w:p w14:paraId="2D3B0622">
            <w:pPr>
              <w:rPr>
                <w:rFonts w:ascii="Arial"/>
                <w:sz w:val="21"/>
              </w:rPr>
            </w:pPr>
          </w:p>
        </w:tc>
      </w:tr>
      <w:tr w14:paraId="34CFC4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1" w:hRule="atLeast"/>
        </w:trPr>
        <w:tc>
          <w:tcPr>
            <w:tcW w:w="428" w:type="dxa"/>
            <w:vMerge w:val="restart"/>
            <w:tcBorders>
              <w:left w:val="single" w:color="000000" w:sz="6" w:space="0"/>
              <w:bottom w:val="nil"/>
            </w:tcBorders>
            <w:textDirection w:val="tbRlV"/>
            <w:vAlign w:val="top"/>
          </w:tcPr>
          <w:p w14:paraId="53178027">
            <w:pPr>
              <w:spacing w:before="106" w:line="207" w:lineRule="auto"/>
              <w:ind w:left="139"/>
              <w:rPr>
                <w:rFonts w:ascii="宋体" w:hAnsi="宋体" w:eastAsia="宋体" w:cs="宋体"/>
                <w:sz w:val="20"/>
                <w:szCs w:val="20"/>
              </w:rPr>
            </w:pPr>
            <w:r>
              <w:rPr>
                <w:rFonts w:ascii="宋体" w:hAnsi="宋体" w:eastAsia="宋体" w:cs="宋体"/>
                <w:spacing w:val="8"/>
                <w:sz w:val="20"/>
                <w:szCs w:val="20"/>
              </w:rPr>
              <w:t>项</w:t>
            </w:r>
            <w:r>
              <w:rPr>
                <w:rFonts w:ascii="宋体" w:hAnsi="宋体" w:eastAsia="宋体" w:cs="宋体"/>
                <w:spacing w:val="106"/>
                <w:sz w:val="20"/>
                <w:szCs w:val="20"/>
              </w:rPr>
              <w:t xml:space="preserve"> </w:t>
            </w:r>
            <w:r>
              <w:rPr>
                <w:rFonts w:ascii="宋体" w:hAnsi="宋体" w:eastAsia="宋体" w:cs="宋体"/>
                <w:spacing w:val="8"/>
                <w:position w:val="1"/>
                <w:sz w:val="20"/>
                <w:szCs w:val="20"/>
              </w:rPr>
              <w:t>目</w:t>
            </w:r>
            <w:r>
              <w:rPr>
                <w:rFonts w:ascii="宋体" w:hAnsi="宋体" w:eastAsia="宋体" w:cs="宋体"/>
                <w:spacing w:val="99"/>
                <w:position w:val="1"/>
                <w:sz w:val="20"/>
                <w:szCs w:val="20"/>
              </w:rPr>
              <w:t xml:space="preserve"> </w:t>
            </w:r>
            <w:r>
              <w:rPr>
                <w:rFonts w:ascii="宋体" w:hAnsi="宋体" w:eastAsia="宋体" w:cs="宋体"/>
                <w:spacing w:val="8"/>
                <w:sz w:val="20"/>
                <w:szCs w:val="20"/>
              </w:rPr>
              <w:t>有</w:t>
            </w:r>
            <w:r>
              <w:rPr>
                <w:rFonts w:ascii="宋体" w:hAnsi="宋体" w:eastAsia="宋体" w:cs="宋体"/>
                <w:spacing w:val="99"/>
                <w:sz w:val="20"/>
                <w:szCs w:val="20"/>
              </w:rPr>
              <w:t xml:space="preserve"> </w:t>
            </w:r>
            <w:r>
              <w:rPr>
                <w:rFonts w:ascii="宋体" w:hAnsi="宋体" w:eastAsia="宋体" w:cs="宋体"/>
                <w:spacing w:val="8"/>
                <w:sz w:val="20"/>
                <w:szCs w:val="20"/>
              </w:rPr>
              <w:t>关</w:t>
            </w:r>
            <w:r>
              <w:rPr>
                <w:rFonts w:ascii="宋体" w:hAnsi="宋体" w:eastAsia="宋体" w:cs="宋体"/>
                <w:spacing w:val="1"/>
                <w:sz w:val="20"/>
                <w:szCs w:val="20"/>
              </w:rPr>
              <w:t xml:space="preserve">  </w:t>
            </w:r>
            <w:r>
              <w:rPr>
                <w:rFonts w:ascii="宋体" w:hAnsi="宋体" w:eastAsia="宋体" w:cs="宋体"/>
                <w:spacing w:val="8"/>
                <w:sz w:val="20"/>
                <w:szCs w:val="20"/>
              </w:rPr>
              <w:t>的</w:t>
            </w:r>
            <w:r>
              <w:rPr>
                <w:rFonts w:ascii="宋体" w:hAnsi="宋体" w:eastAsia="宋体" w:cs="宋体"/>
                <w:spacing w:val="99"/>
                <w:sz w:val="20"/>
                <w:szCs w:val="20"/>
              </w:rPr>
              <w:t xml:space="preserve"> </w:t>
            </w:r>
            <w:r>
              <w:rPr>
                <w:rFonts w:ascii="宋体" w:hAnsi="宋体" w:eastAsia="宋体" w:cs="宋体"/>
                <w:spacing w:val="8"/>
                <w:sz w:val="20"/>
                <w:szCs w:val="20"/>
              </w:rPr>
              <w:t>原</w:t>
            </w:r>
            <w:r>
              <w:rPr>
                <w:rFonts w:ascii="宋体" w:hAnsi="宋体" w:eastAsia="宋体" w:cs="宋体"/>
                <w:spacing w:val="99"/>
                <w:sz w:val="20"/>
                <w:szCs w:val="20"/>
              </w:rPr>
              <w:t xml:space="preserve"> </w:t>
            </w:r>
            <w:r>
              <w:rPr>
                <w:rFonts w:ascii="宋体" w:hAnsi="宋体" w:eastAsia="宋体" w:cs="宋体"/>
                <w:spacing w:val="8"/>
                <w:sz w:val="20"/>
                <w:szCs w:val="20"/>
              </w:rPr>
              <w:t>有</w:t>
            </w:r>
            <w:r>
              <w:rPr>
                <w:rFonts w:ascii="宋体" w:hAnsi="宋体" w:eastAsia="宋体" w:cs="宋体"/>
                <w:spacing w:val="99"/>
                <w:sz w:val="20"/>
                <w:szCs w:val="20"/>
              </w:rPr>
              <w:t xml:space="preserve"> </w:t>
            </w:r>
            <w:r>
              <w:rPr>
                <w:rFonts w:ascii="宋体" w:hAnsi="宋体" w:eastAsia="宋体" w:cs="宋体"/>
                <w:spacing w:val="8"/>
                <w:sz w:val="20"/>
                <w:szCs w:val="20"/>
              </w:rPr>
              <w:t>环</w:t>
            </w:r>
            <w:r>
              <w:rPr>
                <w:rFonts w:ascii="宋体" w:hAnsi="宋体" w:eastAsia="宋体" w:cs="宋体"/>
                <w:spacing w:val="1"/>
                <w:sz w:val="20"/>
                <w:szCs w:val="20"/>
              </w:rPr>
              <w:t xml:space="preserve">  </w:t>
            </w:r>
            <w:r>
              <w:rPr>
                <w:rFonts w:ascii="宋体" w:hAnsi="宋体" w:eastAsia="宋体" w:cs="宋体"/>
                <w:spacing w:val="8"/>
                <w:sz w:val="20"/>
                <w:szCs w:val="20"/>
              </w:rPr>
              <w:t>境</w:t>
            </w:r>
            <w:r>
              <w:rPr>
                <w:rFonts w:ascii="宋体" w:hAnsi="宋体" w:eastAsia="宋体" w:cs="宋体"/>
                <w:spacing w:val="99"/>
                <w:sz w:val="20"/>
                <w:szCs w:val="20"/>
              </w:rPr>
              <w:t xml:space="preserve"> </w:t>
            </w:r>
            <w:r>
              <w:rPr>
                <w:rFonts w:ascii="宋体" w:hAnsi="宋体" w:eastAsia="宋体" w:cs="宋体"/>
                <w:spacing w:val="8"/>
                <w:sz w:val="20"/>
                <w:szCs w:val="20"/>
              </w:rPr>
              <w:t>污</w:t>
            </w:r>
          </w:p>
        </w:tc>
        <w:tc>
          <w:tcPr>
            <w:tcW w:w="8636" w:type="dxa"/>
            <w:gridSpan w:val="9"/>
            <w:tcBorders>
              <w:right w:val="single" w:color="000000" w:sz="6" w:space="0"/>
            </w:tcBorders>
            <w:vAlign w:val="top"/>
          </w:tcPr>
          <w:p w14:paraId="0A440834">
            <w:pPr>
              <w:spacing w:before="57" w:line="220" w:lineRule="auto"/>
              <w:ind w:left="593"/>
              <w:rPr>
                <w:rFonts w:ascii="宋体" w:hAnsi="宋体" w:eastAsia="宋体" w:cs="宋体"/>
                <w:sz w:val="24"/>
                <w:szCs w:val="24"/>
              </w:rPr>
            </w:pPr>
            <w:r>
              <w:rPr>
                <w:rFonts w:ascii="Times New Roman" w:hAnsi="Times New Roman" w:eastAsia="Times New Roman" w:cs="Times New Roman"/>
                <w:b/>
                <w:bCs/>
                <w:spacing w:val="-5"/>
                <w:sz w:val="24"/>
                <w:szCs w:val="24"/>
              </w:rPr>
              <w:t>1</w:t>
            </w:r>
            <w:r>
              <w:rPr>
                <w:rFonts w:ascii="Times New Roman" w:hAnsi="Times New Roman" w:eastAsia="Times New Roman" w:cs="Times New Roman"/>
                <w:b/>
                <w:bCs/>
                <w:spacing w:val="-31"/>
                <w:sz w:val="24"/>
                <w:szCs w:val="24"/>
              </w:rPr>
              <w:t xml:space="preserve"> </w:t>
            </w:r>
            <w:r>
              <w:rPr>
                <w:rFonts w:ascii="宋体" w:hAnsi="宋体" w:eastAsia="宋体" w:cs="宋体"/>
                <w:b/>
                <w:bCs/>
                <w:spacing w:val="-5"/>
                <w:sz w:val="24"/>
                <w:szCs w:val="24"/>
              </w:rPr>
              <w:t>、现有项目环保手续履行情况</w:t>
            </w:r>
          </w:p>
          <w:p w14:paraId="0E0CC38F">
            <w:pPr>
              <w:spacing w:before="180" w:line="358" w:lineRule="auto"/>
              <w:ind w:left="106" w:right="102" w:firstLine="509"/>
              <w:jc w:val="both"/>
              <w:rPr>
                <w:rFonts w:ascii="宋体" w:hAnsi="宋体" w:eastAsia="宋体" w:cs="宋体"/>
                <w:sz w:val="24"/>
                <w:szCs w:val="24"/>
              </w:rPr>
            </w:pPr>
            <w:r>
              <w:rPr>
                <w:rFonts w:ascii="宋体" w:hAnsi="宋体" w:eastAsia="宋体" w:cs="宋体"/>
                <w:spacing w:val="-1"/>
                <w:sz w:val="24"/>
                <w:szCs w:val="24"/>
              </w:rPr>
              <w:t>昆明欧铂瑞木制品有限公司于</w:t>
            </w:r>
            <w:r>
              <w:rPr>
                <w:rFonts w:ascii="宋体" w:hAnsi="宋体" w:eastAsia="宋体" w:cs="宋体"/>
                <w:spacing w:val="-40"/>
                <w:sz w:val="24"/>
                <w:szCs w:val="24"/>
              </w:rPr>
              <w:t xml:space="preserve"> </w:t>
            </w:r>
            <w:r>
              <w:rPr>
                <w:rFonts w:ascii="Times New Roman" w:hAnsi="Times New Roman" w:eastAsia="Times New Roman" w:cs="Times New Roman"/>
                <w:spacing w:val="-1"/>
                <w:sz w:val="24"/>
                <w:szCs w:val="24"/>
              </w:rPr>
              <w:t>2019</w:t>
            </w:r>
            <w:r>
              <w:rPr>
                <w:rFonts w:ascii="Times New Roman" w:hAnsi="Times New Roman" w:eastAsia="Times New Roman" w:cs="Times New Roman"/>
                <w:spacing w:val="15"/>
                <w:sz w:val="24"/>
                <w:szCs w:val="24"/>
              </w:rPr>
              <w:t xml:space="preserve"> </w:t>
            </w:r>
            <w:r>
              <w:rPr>
                <w:rFonts w:ascii="宋体" w:hAnsi="宋体" w:eastAsia="宋体" w:cs="宋体"/>
                <w:spacing w:val="-1"/>
                <w:sz w:val="24"/>
                <w:szCs w:val="24"/>
              </w:rPr>
              <w:t>年</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5</w:t>
            </w:r>
            <w:r>
              <w:rPr>
                <w:rFonts w:ascii="Times New Roman" w:hAnsi="Times New Roman" w:eastAsia="Times New Roman" w:cs="Times New Roman"/>
                <w:spacing w:val="17"/>
                <w:w w:val="101"/>
                <w:sz w:val="24"/>
                <w:szCs w:val="24"/>
              </w:rPr>
              <w:t xml:space="preserve"> </w:t>
            </w:r>
            <w:r>
              <w:rPr>
                <w:rFonts w:ascii="宋体" w:hAnsi="宋体" w:eastAsia="宋体" w:cs="宋体"/>
                <w:spacing w:val="-1"/>
                <w:sz w:val="24"/>
                <w:szCs w:val="24"/>
              </w:rPr>
              <w:t>月购买寻甸县金所工业园区土地</w:t>
            </w:r>
            <w:r>
              <w:rPr>
                <w:rFonts w:ascii="宋体" w:hAnsi="宋体" w:eastAsia="宋体" w:cs="宋体"/>
                <w:spacing w:val="-45"/>
                <w:sz w:val="24"/>
                <w:szCs w:val="24"/>
              </w:rPr>
              <w:t xml:space="preserve"> </w:t>
            </w:r>
            <w:r>
              <w:rPr>
                <w:rFonts w:ascii="Times New Roman" w:hAnsi="Times New Roman" w:eastAsia="Times New Roman" w:cs="Times New Roman"/>
                <w:spacing w:val="-1"/>
                <w:sz w:val="24"/>
                <w:szCs w:val="24"/>
              </w:rPr>
              <w:t>69</w:t>
            </w:r>
            <w:r>
              <w:rPr>
                <w:rFonts w:ascii="宋体" w:hAnsi="宋体" w:eastAsia="宋体" w:cs="宋体"/>
                <w:spacing w:val="-4"/>
                <w:sz w:val="24"/>
                <w:szCs w:val="24"/>
              </w:rPr>
              <w:t>亩，总建筑面积约</w:t>
            </w:r>
            <w:r>
              <w:rPr>
                <w:rFonts w:ascii="宋体" w:hAnsi="宋体" w:eastAsia="宋体" w:cs="宋体"/>
                <w:spacing w:val="-49"/>
                <w:sz w:val="24"/>
                <w:szCs w:val="24"/>
              </w:rPr>
              <w:t xml:space="preserve"> </w:t>
            </w:r>
            <w:r>
              <w:rPr>
                <w:rFonts w:ascii="Times New Roman" w:hAnsi="Times New Roman" w:eastAsia="Times New Roman" w:cs="Times New Roman"/>
                <w:spacing w:val="-4"/>
                <w:sz w:val="24"/>
                <w:szCs w:val="24"/>
              </w:rPr>
              <w:t>30898.85m</w:t>
            </w:r>
            <w:r>
              <w:rPr>
                <w:rFonts w:ascii="Times New Roman" w:hAnsi="Times New Roman" w:eastAsia="Times New Roman" w:cs="Times New Roman"/>
                <w:spacing w:val="-4"/>
                <w:position w:val="7"/>
                <w:sz w:val="15"/>
                <w:szCs w:val="15"/>
              </w:rPr>
              <w:t xml:space="preserve">2 </w:t>
            </w:r>
            <w:r>
              <w:rPr>
                <w:rFonts w:ascii="宋体" w:hAnsi="宋体" w:eastAsia="宋体" w:cs="宋体"/>
                <w:spacing w:val="-4"/>
                <w:sz w:val="24"/>
                <w:szCs w:val="24"/>
              </w:rPr>
              <w:t>。目前正常运营中，年产</w:t>
            </w:r>
            <w:r>
              <w:rPr>
                <w:rFonts w:ascii="宋体" w:hAnsi="宋体" w:eastAsia="宋体" w:cs="宋体"/>
                <w:spacing w:val="-50"/>
                <w:sz w:val="24"/>
                <w:szCs w:val="24"/>
              </w:rPr>
              <w:t xml:space="preserve"> </w:t>
            </w:r>
            <w:r>
              <w:rPr>
                <w:rFonts w:ascii="Times New Roman" w:hAnsi="Times New Roman" w:eastAsia="Times New Roman" w:cs="Times New Roman"/>
                <w:spacing w:val="-4"/>
                <w:sz w:val="24"/>
                <w:szCs w:val="24"/>
              </w:rPr>
              <w:t>3</w:t>
            </w:r>
            <w:r>
              <w:rPr>
                <w:rFonts w:ascii="Times New Roman" w:hAnsi="Times New Roman" w:eastAsia="Times New Roman" w:cs="Times New Roman"/>
                <w:spacing w:val="15"/>
                <w:w w:val="101"/>
                <w:sz w:val="24"/>
                <w:szCs w:val="24"/>
              </w:rPr>
              <w:t xml:space="preserve"> </w:t>
            </w:r>
            <w:r>
              <w:rPr>
                <w:rFonts w:ascii="宋体" w:hAnsi="宋体" w:eastAsia="宋体" w:cs="宋体"/>
                <w:spacing w:val="-4"/>
                <w:sz w:val="24"/>
                <w:szCs w:val="24"/>
              </w:rPr>
              <w:t>万</w:t>
            </w:r>
            <w:r>
              <w:rPr>
                <w:rFonts w:ascii="宋体" w:hAnsi="宋体" w:eastAsia="宋体" w:cs="宋体"/>
                <w:spacing w:val="-58"/>
                <w:sz w:val="24"/>
                <w:szCs w:val="24"/>
              </w:rPr>
              <w:t xml:space="preserve"> </w:t>
            </w:r>
            <w:r>
              <w:rPr>
                <w:rFonts w:ascii="Times New Roman" w:hAnsi="Times New Roman" w:eastAsia="Times New Roman" w:cs="Times New Roman"/>
                <w:spacing w:val="-4"/>
                <w:sz w:val="24"/>
                <w:szCs w:val="24"/>
              </w:rPr>
              <w:t>m³</w:t>
            </w:r>
            <w:r>
              <w:rPr>
                <w:rFonts w:ascii="Times New Roman" w:hAnsi="Times New Roman" w:eastAsia="Times New Roman" w:cs="Times New Roman"/>
                <w:spacing w:val="-45"/>
                <w:sz w:val="24"/>
                <w:szCs w:val="24"/>
              </w:rPr>
              <w:t xml:space="preserve"> </w:t>
            </w:r>
            <w:r>
              <w:rPr>
                <w:rFonts w:ascii="宋体" w:hAnsi="宋体" w:eastAsia="宋体" w:cs="宋体"/>
                <w:spacing w:val="-4"/>
                <w:sz w:val="24"/>
                <w:szCs w:val="24"/>
              </w:rPr>
              <w:t>免漆生态板、</w:t>
            </w:r>
            <w:r>
              <w:rPr>
                <w:rFonts w:ascii="Times New Roman" w:hAnsi="Times New Roman" w:eastAsia="Times New Roman" w:cs="Times New Roman"/>
                <w:spacing w:val="-4"/>
                <w:sz w:val="24"/>
                <w:szCs w:val="24"/>
              </w:rPr>
              <w:t>3000</w:t>
            </w:r>
            <w:r>
              <w:rPr>
                <w:rFonts w:ascii="宋体" w:hAnsi="宋体" w:eastAsia="宋体" w:cs="宋体"/>
                <w:spacing w:val="-2"/>
                <w:sz w:val="24"/>
                <w:szCs w:val="24"/>
              </w:rPr>
              <w:t>套成套衣柜、</w:t>
            </w:r>
            <w:r>
              <w:rPr>
                <w:rFonts w:ascii="Times New Roman" w:hAnsi="Times New Roman" w:eastAsia="Times New Roman" w:cs="Times New Roman"/>
                <w:spacing w:val="-2"/>
                <w:sz w:val="24"/>
                <w:szCs w:val="24"/>
              </w:rPr>
              <w:t>1000</w:t>
            </w:r>
            <w:r>
              <w:rPr>
                <w:rFonts w:ascii="Times New Roman" w:hAnsi="Times New Roman" w:eastAsia="Times New Roman" w:cs="Times New Roman"/>
                <w:spacing w:val="17"/>
                <w:sz w:val="24"/>
                <w:szCs w:val="24"/>
              </w:rPr>
              <w:t xml:space="preserve"> </w:t>
            </w:r>
            <w:r>
              <w:rPr>
                <w:rFonts w:ascii="宋体" w:hAnsi="宋体" w:eastAsia="宋体" w:cs="宋体"/>
                <w:spacing w:val="-2"/>
                <w:sz w:val="24"/>
                <w:szCs w:val="24"/>
              </w:rPr>
              <w:t>张床，</w:t>
            </w:r>
            <w:r>
              <w:rPr>
                <w:rFonts w:ascii="Times New Roman" w:hAnsi="Times New Roman" w:eastAsia="Times New Roman" w:cs="Times New Roman"/>
                <w:spacing w:val="-2"/>
                <w:sz w:val="24"/>
                <w:szCs w:val="24"/>
              </w:rPr>
              <w:t xml:space="preserve">2000 </w:t>
            </w:r>
            <w:r>
              <w:rPr>
                <w:rFonts w:ascii="宋体" w:hAnsi="宋体" w:eastAsia="宋体" w:cs="宋体"/>
                <w:spacing w:val="-2"/>
                <w:sz w:val="24"/>
                <w:szCs w:val="24"/>
              </w:rPr>
              <w:t>套鞋柜、</w:t>
            </w:r>
            <w:r>
              <w:rPr>
                <w:rFonts w:ascii="Times New Roman" w:hAnsi="Times New Roman" w:eastAsia="Times New Roman" w:cs="Times New Roman"/>
                <w:spacing w:val="-2"/>
                <w:sz w:val="24"/>
                <w:szCs w:val="24"/>
              </w:rPr>
              <w:t>500</w:t>
            </w:r>
            <w:r>
              <w:rPr>
                <w:rFonts w:ascii="Times New Roman" w:hAnsi="Times New Roman" w:eastAsia="Times New Roman" w:cs="Times New Roman"/>
                <w:spacing w:val="21"/>
                <w:sz w:val="24"/>
                <w:szCs w:val="24"/>
              </w:rPr>
              <w:t xml:space="preserve"> </w:t>
            </w:r>
            <w:r>
              <w:rPr>
                <w:rFonts w:ascii="宋体" w:hAnsi="宋体" w:eastAsia="宋体" w:cs="宋体"/>
                <w:spacing w:val="-2"/>
                <w:sz w:val="24"/>
                <w:szCs w:val="24"/>
              </w:rPr>
              <w:t>吨三聚氰胺纸。现有项目环保手续办理情况详见下表。</w:t>
            </w:r>
          </w:p>
          <w:p w14:paraId="4D274B06">
            <w:pPr>
              <w:spacing w:line="208" w:lineRule="auto"/>
              <w:ind w:left="2595"/>
              <w:rPr>
                <w:rFonts w:ascii="宋体" w:hAnsi="宋体" w:eastAsia="宋体" w:cs="宋体"/>
                <w:sz w:val="20"/>
                <w:szCs w:val="20"/>
              </w:rPr>
            </w:pPr>
            <w:r>
              <w:rPr>
                <w:rFonts w:ascii="宋体" w:hAnsi="宋体" w:eastAsia="宋体" w:cs="宋体"/>
                <w:b/>
                <w:bCs/>
                <w:spacing w:val="6"/>
                <w:sz w:val="20"/>
                <w:szCs w:val="20"/>
              </w:rPr>
              <w:t>表</w:t>
            </w:r>
            <w:r>
              <w:rPr>
                <w:rFonts w:ascii="Times New Roman" w:hAnsi="Times New Roman" w:eastAsia="Times New Roman" w:cs="Times New Roman"/>
                <w:b/>
                <w:bCs/>
                <w:spacing w:val="6"/>
                <w:sz w:val="20"/>
                <w:szCs w:val="20"/>
              </w:rPr>
              <w:t xml:space="preserve">2-7    </w:t>
            </w:r>
            <w:r>
              <w:rPr>
                <w:rFonts w:ascii="宋体" w:hAnsi="宋体" w:eastAsia="宋体" w:cs="宋体"/>
                <w:b/>
                <w:bCs/>
                <w:spacing w:val="6"/>
                <w:sz w:val="20"/>
                <w:szCs w:val="20"/>
              </w:rPr>
              <w:t>现有项目环评验收办理情况一览表</w:t>
            </w:r>
          </w:p>
        </w:tc>
      </w:tr>
      <w:tr w14:paraId="5DEAF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textDirection w:val="tbRlV"/>
            <w:vAlign w:val="top"/>
          </w:tcPr>
          <w:p w14:paraId="2D082611">
            <w:pPr>
              <w:rPr>
                <w:rFonts w:ascii="Arial"/>
                <w:sz w:val="21"/>
              </w:rPr>
            </w:pPr>
          </w:p>
        </w:tc>
        <w:tc>
          <w:tcPr>
            <w:tcW w:w="113" w:type="dxa"/>
            <w:vMerge w:val="restart"/>
            <w:tcBorders>
              <w:top w:val="nil"/>
              <w:bottom w:val="nil"/>
            </w:tcBorders>
            <w:vAlign w:val="top"/>
          </w:tcPr>
          <w:p w14:paraId="457278AE">
            <w:pPr>
              <w:rPr>
                <w:rFonts w:ascii="Arial"/>
                <w:sz w:val="21"/>
              </w:rPr>
            </w:pPr>
          </w:p>
        </w:tc>
        <w:tc>
          <w:tcPr>
            <w:tcW w:w="719" w:type="dxa"/>
            <w:vAlign w:val="top"/>
          </w:tcPr>
          <w:p w14:paraId="13D23A03">
            <w:pPr>
              <w:spacing w:before="246" w:line="229" w:lineRule="auto"/>
              <w:ind w:left="147"/>
              <w:rPr>
                <w:rFonts w:ascii="宋体" w:hAnsi="宋体" w:eastAsia="宋体" w:cs="宋体"/>
                <w:sz w:val="20"/>
                <w:szCs w:val="20"/>
              </w:rPr>
            </w:pPr>
            <w:r>
              <w:rPr>
                <w:rFonts w:ascii="宋体" w:hAnsi="宋体" w:eastAsia="宋体" w:cs="宋体"/>
                <w:b/>
                <w:bCs/>
                <w:spacing w:val="4"/>
                <w:sz w:val="20"/>
                <w:szCs w:val="20"/>
              </w:rPr>
              <w:t>序号</w:t>
            </w:r>
          </w:p>
        </w:tc>
        <w:tc>
          <w:tcPr>
            <w:tcW w:w="891" w:type="dxa"/>
            <w:gridSpan w:val="2"/>
            <w:vAlign w:val="top"/>
          </w:tcPr>
          <w:p w14:paraId="752F90BD">
            <w:pPr>
              <w:spacing w:before="41" w:line="355" w:lineRule="auto"/>
              <w:ind w:left="340" w:right="130" w:hanging="204"/>
              <w:rPr>
                <w:rFonts w:ascii="宋体" w:hAnsi="宋体" w:eastAsia="宋体" w:cs="宋体"/>
                <w:sz w:val="20"/>
                <w:szCs w:val="20"/>
              </w:rPr>
            </w:pPr>
            <w:r>
              <w:rPr>
                <w:rFonts w:ascii="宋体" w:hAnsi="宋体" w:eastAsia="宋体" w:cs="宋体"/>
                <w:b/>
                <w:bCs/>
                <w:spacing w:val="4"/>
                <w:sz w:val="20"/>
                <w:szCs w:val="20"/>
              </w:rPr>
              <w:t>项目名</w:t>
            </w:r>
            <w:r>
              <w:rPr>
                <w:rFonts w:ascii="宋体" w:hAnsi="宋体" w:eastAsia="宋体" w:cs="宋体"/>
                <w:b/>
                <w:bCs/>
                <w:spacing w:val="-1"/>
                <w:sz w:val="20"/>
                <w:szCs w:val="20"/>
              </w:rPr>
              <w:t>称</w:t>
            </w:r>
          </w:p>
        </w:tc>
        <w:tc>
          <w:tcPr>
            <w:tcW w:w="1167" w:type="dxa"/>
            <w:gridSpan w:val="2"/>
            <w:vAlign w:val="top"/>
          </w:tcPr>
          <w:p w14:paraId="2ED1676A">
            <w:pPr>
              <w:spacing w:before="246" w:line="228" w:lineRule="auto"/>
              <w:ind w:left="374"/>
              <w:rPr>
                <w:rFonts w:ascii="宋体" w:hAnsi="宋体" w:eastAsia="宋体" w:cs="宋体"/>
                <w:sz w:val="20"/>
                <w:szCs w:val="20"/>
              </w:rPr>
            </w:pPr>
            <w:r>
              <w:rPr>
                <w:rFonts w:ascii="宋体" w:hAnsi="宋体" w:eastAsia="宋体" w:cs="宋体"/>
                <w:b/>
                <w:bCs/>
                <w:spacing w:val="3"/>
                <w:sz w:val="20"/>
                <w:szCs w:val="20"/>
              </w:rPr>
              <w:t>类别</w:t>
            </w:r>
          </w:p>
        </w:tc>
        <w:tc>
          <w:tcPr>
            <w:tcW w:w="5623" w:type="dxa"/>
            <w:gridSpan w:val="2"/>
            <w:vAlign w:val="top"/>
          </w:tcPr>
          <w:p w14:paraId="5FC949A4">
            <w:pPr>
              <w:spacing w:before="247" w:line="228" w:lineRule="auto"/>
              <w:ind w:left="2610"/>
              <w:rPr>
                <w:rFonts w:ascii="宋体" w:hAnsi="宋体" w:eastAsia="宋体" w:cs="宋体"/>
                <w:sz w:val="20"/>
                <w:szCs w:val="20"/>
              </w:rPr>
            </w:pPr>
            <w:r>
              <w:rPr>
                <w:rFonts w:ascii="宋体" w:hAnsi="宋体" w:eastAsia="宋体" w:cs="宋体"/>
                <w:b/>
                <w:bCs/>
                <w:spacing w:val="2"/>
                <w:sz w:val="20"/>
                <w:szCs w:val="20"/>
              </w:rPr>
              <w:t>详情</w:t>
            </w:r>
          </w:p>
        </w:tc>
        <w:tc>
          <w:tcPr>
            <w:tcW w:w="123" w:type="dxa"/>
            <w:tcBorders>
              <w:top w:val="nil"/>
              <w:bottom w:val="nil"/>
              <w:right w:val="single" w:color="000000" w:sz="6" w:space="0"/>
            </w:tcBorders>
            <w:vAlign w:val="top"/>
          </w:tcPr>
          <w:p w14:paraId="3A67C326">
            <w:pPr>
              <w:rPr>
                <w:rFonts w:ascii="Arial"/>
                <w:sz w:val="21"/>
              </w:rPr>
            </w:pPr>
          </w:p>
        </w:tc>
      </w:tr>
      <w:tr w14:paraId="2966F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trPr>
        <w:tc>
          <w:tcPr>
            <w:tcW w:w="428" w:type="dxa"/>
            <w:vMerge w:val="continue"/>
            <w:tcBorders>
              <w:top w:val="nil"/>
              <w:left w:val="single" w:color="000000" w:sz="6" w:space="0"/>
              <w:bottom w:val="single" w:color="000000" w:sz="6" w:space="0"/>
            </w:tcBorders>
            <w:textDirection w:val="tbRlV"/>
            <w:vAlign w:val="top"/>
          </w:tcPr>
          <w:p w14:paraId="53AC6BAF">
            <w:pPr>
              <w:rPr>
                <w:rFonts w:ascii="Arial"/>
                <w:sz w:val="21"/>
              </w:rPr>
            </w:pPr>
          </w:p>
        </w:tc>
        <w:tc>
          <w:tcPr>
            <w:tcW w:w="113" w:type="dxa"/>
            <w:vMerge w:val="continue"/>
            <w:tcBorders>
              <w:top w:val="nil"/>
              <w:bottom w:val="single" w:color="000000" w:sz="6" w:space="0"/>
            </w:tcBorders>
            <w:vAlign w:val="top"/>
          </w:tcPr>
          <w:p w14:paraId="1179097B">
            <w:pPr>
              <w:rPr>
                <w:rFonts w:ascii="Arial"/>
                <w:sz w:val="21"/>
              </w:rPr>
            </w:pPr>
          </w:p>
        </w:tc>
        <w:tc>
          <w:tcPr>
            <w:tcW w:w="719" w:type="dxa"/>
            <w:tcBorders>
              <w:bottom w:val="single" w:color="000000" w:sz="6" w:space="0"/>
            </w:tcBorders>
            <w:vAlign w:val="top"/>
          </w:tcPr>
          <w:p w14:paraId="45B6EA2B">
            <w:pPr>
              <w:spacing w:before="292" w:line="195" w:lineRule="auto"/>
              <w:ind w:left="323"/>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891" w:type="dxa"/>
            <w:gridSpan w:val="2"/>
            <w:tcBorders>
              <w:bottom w:val="single" w:color="000000" w:sz="6" w:space="0"/>
            </w:tcBorders>
            <w:vAlign w:val="top"/>
          </w:tcPr>
          <w:p w14:paraId="3F252AEA">
            <w:pPr>
              <w:spacing w:before="42" w:line="228" w:lineRule="auto"/>
              <w:ind w:left="158"/>
              <w:rPr>
                <w:rFonts w:ascii="宋体" w:hAnsi="宋体" w:eastAsia="宋体" w:cs="宋体"/>
                <w:sz w:val="20"/>
                <w:szCs w:val="20"/>
              </w:rPr>
            </w:pPr>
            <w:r>
              <w:rPr>
                <w:rFonts w:ascii="宋体" w:hAnsi="宋体" w:eastAsia="宋体" w:cs="宋体"/>
                <w:spacing w:val="-2"/>
                <w:sz w:val="20"/>
                <w:szCs w:val="20"/>
              </w:rPr>
              <w:t>昆明欧</w:t>
            </w:r>
          </w:p>
          <w:p w14:paraId="0A4FA5EF">
            <w:pPr>
              <w:spacing w:before="161" w:line="228" w:lineRule="auto"/>
              <w:ind w:left="133"/>
              <w:rPr>
                <w:rFonts w:ascii="宋体" w:hAnsi="宋体" w:eastAsia="宋体" w:cs="宋体"/>
                <w:sz w:val="20"/>
                <w:szCs w:val="20"/>
              </w:rPr>
            </w:pPr>
            <w:r>
              <w:rPr>
                <w:rFonts w:ascii="宋体" w:hAnsi="宋体" w:eastAsia="宋体" w:cs="宋体"/>
                <w:spacing w:val="6"/>
                <w:sz w:val="20"/>
                <w:szCs w:val="20"/>
              </w:rPr>
              <w:t>铂瑞木</w:t>
            </w:r>
          </w:p>
        </w:tc>
        <w:tc>
          <w:tcPr>
            <w:tcW w:w="1167" w:type="dxa"/>
            <w:gridSpan w:val="2"/>
            <w:tcBorders>
              <w:bottom w:val="single" w:color="000000" w:sz="6" w:space="0"/>
            </w:tcBorders>
            <w:vAlign w:val="top"/>
          </w:tcPr>
          <w:p w14:paraId="3007E40F">
            <w:pPr>
              <w:spacing w:before="246" w:line="228" w:lineRule="auto"/>
              <w:ind w:left="376"/>
              <w:rPr>
                <w:rFonts w:ascii="宋体" w:hAnsi="宋体" w:eastAsia="宋体" w:cs="宋体"/>
                <w:sz w:val="20"/>
                <w:szCs w:val="20"/>
              </w:rPr>
            </w:pPr>
            <w:r>
              <w:rPr>
                <w:rFonts w:ascii="宋体" w:hAnsi="宋体" w:eastAsia="宋体" w:cs="宋体"/>
                <w:spacing w:val="4"/>
                <w:sz w:val="20"/>
                <w:szCs w:val="20"/>
              </w:rPr>
              <w:t>环评</w:t>
            </w:r>
          </w:p>
        </w:tc>
        <w:tc>
          <w:tcPr>
            <w:tcW w:w="5623" w:type="dxa"/>
            <w:gridSpan w:val="2"/>
            <w:tcBorders>
              <w:bottom w:val="single" w:color="000000" w:sz="6" w:space="0"/>
            </w:tcBorders>
            <w:vAlign w:val="top"/>
          </w:tcPr>
          <w:p w14:paraId="49B96A94">
            <w:pPr>
              <w:spacing w:before="42" w:line="369" w:lineRule="auto"/>
              <w:ind w:left="185" w:right="132" w:hanging="41"/>
              <w:rPr>
                <w:rFonts w:ascii="宋体" w:hAnsi="宋体" w:eastAsia="宋体" w:cs="宋体"/>
                <w:sz w:val="20"/>
                <w:szCs w:val="20"/>
              </w:rPr>
            </w:pPr>
            <w:r>
              <w:rPr>
                <w:rFonts w:ascii="宋体" w:hAnsi="宋体" w:eastAsia="宋体" w:cs="宋体"/>
                <w:spacing w:val="7"/>
                <w:sz w:val="20"/>
                <w:szCs w:val="20"/>
              </w:rPr>
              <w:t>于</w:t>
            </w:r>
            <w:r>
              <w:rPr>
                <w:rFonts w:ascii="宋体" w:hAnsi="宋体" w:eastAsia="宋体" w:cs="宋体"/>
                <w:spacing w:val="-27"/>
                <w:sz w:val="20"/>
                <w:szCs w:val="20"/>
              </w:rPr>
              <w:t xml:space="preserve"> </w:t>
            </w:r>
            <w:r>
              <w:rPr>
                <w:rFonts w:ascii="Times New Roman" w:hAnsi="Times New Roman" w:eastAsia="Times New Roman" w:cs="Times New Roman"/>
                <w:spacing w:val="7"/>
                <w:sz w:val="20"/>
                <w:szCs w:val="20"/>
              </w:rPr>
              <w:t xml:space="preserve">2020 </w:t>
            </w:r>
            <w:r>
              <w:rPr>
                <w:rFonts w:ascii="宋体" w:hAnsi="宋体" w:eastAsia="宋体" w:cs="宋体"/>
                <w:spacing w:val="7"/>
                <w:sz w:val="20"/>
                <w:szCs w:val="20"/>
              </w:rPr>
              <w:t>年</w:t>
            </w:r>
            <w:r>
              <w:rPr>
                <w:rFonts w:ascii="宋体" w:hAnsi="宋体" w:eastAsia="宋体" w:cs="宋体"/>
                <w:spacing w:val="-37"/>
                <w:sz w:val="20"/>
                <w:szCs w:val="20"/>
              </w:rPr>
              <w:t xml:space="preserve"> </w:t>
            </w:r>
            <w:r>
              <w:rPr>
                <w:rFonts w:ascii="Times New Roman" w:hAnsi="Times New Roman" w:eastAsia="Times New Roman" w:cs="Times New Roman"/>
                <w:spacing w:val="7"/>
                <w:sz w:val="20"/>
                <w:szCs w:val="20"/>
              </w:rPr>
              <w:t xml:space="preserve">9 </w:t>
            </w:r>
            <w:r>
              <w:rPr>
                <w:rFonts w:ascii="宋体" w:hAnsi="宋体" w:eastAsia="宋体" w:cs="宋体"/>
                <w:spacing w:val="7"/>
                <w:sz w:val="20"/>
                <w:szCs w:val="20"/>
              </w:rPr>
              <w:t>月委托云南莱恩环保技术工程有限公司编制了</w:t>
            </w:r>
            <w:r>
              <w:rPr>
                <w:rFonts w:ascii="宋体" w:hAnsi="宋体" w:eastAsia="宋体" w:cs="宋体"/>
                <w:spacing w:val="6"/>
                <w:sz w:val="20"/>
                <w:szCs w:val="20"/>
              </w:rPr>
              <w:t>昆明欧铂瑞木制品有限公司年产</w:t>
            </w:r>
            <w:r>
              <w:rPr>
                <w:rFonts w:ascii="宋体" w:hAnsi="宋体" w:eastAsia="宋体" w:cs="宋体"/>
                <w:spacing w:val="-27"/>
                <w:sz w:val="20"/>
                <w:szCs w:val="20"/>
              </w:rPr>
              <w:t xml:space="preserve"> </w:t>
            </w:r>
            <w:r>
              <w:rPr>
                <w:rFonts w:ascii="Times New Roman" w:hAnsi="Times New Roman" w:eastAsia="Times New Roman" w:cs="Times New Roman"/>
                <w:spacing w:val="6"/>
                <w:sz w:val="20"/>
                <w:szCs w:val="20"/>
              </w:rPr>
              <w:t>3</w:t>
            </w:r>
            <w:r>
              <w:rPr>
                <w:rFonts w:ascii="Times New Roman" w:hAnsi="Times New Roman" w:eastAsia="Times New Roman" w:cs="Times New Roman"/>
                <w:spacing w:val="17"/>
                <w:sz w:val="20"/>
                <w:szCs w:val="20"/>
              </w:rPr>
              <w:t xml:space="preserve"> </w:t>
            </w:r>
            <w:r>
              <w:rPr>
                <w:rFonts w:ascii="宋体" w:hAnsi="宋体" w:eastAsia="宋体" w:cs="宋体"/>
                <w:spacing w:val="6"/>
                <w:sz w:val="20"/>
                <w:szCs w:val="20"/>
              </w:rPr>
              <w:t>万</w:t>
            </w:r>
            <w:r>
              <w:rPr>
                <w:rFonts w:ascii="宋体" w:hAnsi="宋体" w:eastAsia="宋体" w:cs="宋体"/>
                <w:spacing w:val="-46"/>
                <w:sz w:val="20"/>
                <w:szCs w:val="20"/>
              </w:rPr>
              <w:t xml:space="preserve"> </w:t>
            </w:r>
            <w:r>
              <w:rPr>
                <w:rFonts w:ascii="Times New Roman" w:hAnsi="Times New Roman" w:eastAsia="Times New Roman" w:cs="Times New Roman"/>
                <w:spacing w:val="6"/>
                <w:sz w:val="20"/>
                <w:szCs w:val="20"/>
              </w:rPr>
              <w:t>m³</w:t>
            </w:r>
            <w:r>
              <w:rPr>
                <w:rFonts w:ascii="Times New Roman" w:hAnsi="Times New Roman" w:eastAsia="Times New Roman" w:cs="Times New Roman"/>
                <w:spacing w:val="-34"/>
                <w:sz w:val="20"/>
                <w:szCs w:val="20"/>
              </w:rPr>
              <w:t xml:space="preserve"> </w:t>
            </w:r>
            <w:r>
              <w:rPr>
                <w:rFonts w:ascii="宋体" w:hAnsi="宋体" w:eastAsia="宋体" w:cs="宋体"/>
                <w:spacing w:val="6"/>
                <w:sz w:val="20"/>
                <w:szCs w:val="20"/>
              </w:rPr>
              <w:t>免漆生态板及深加</w:t>
            </w:r>
          </w:p>
        </w:tc>
        <w:tc>
          <w:tcPr>
            <w:tcW w:w="123" w:type="dxa"/>
            <w:tcBorders>
              <w:top w:val="nil"/>
              <w:bottom w:val="single" w:color="000000" w:sz="6" w:space="0"/>
              <w:right w:val="single" w:color="000000" w:sz="6" w:space="0"/>
            </w:tcBorders>
            <w:vAlign w:val="top"/>
          </w:tcPr>
          <w:p w14:paraId="0E975DBE">
            <w:pPr>
              <w:rPr>
                <w:rFonts w:ascii="Arial"/>
                <w:sz w:val="21"/>
              </w:rPr>
            </w:pPr>
          </w:p>
        </w:tc>
      </w:tr>
    </w:tbl>
    <w:p w14:paraId="3B864443">
      <w:pPr>
        <w:pStyle w:val="2"/>
      </w:pPr>
    </w:p>
    <w:p w14:paraId="0C8EEE56">
      <w:pPr>
        <w:sectPr>
          <w:footerReference r:id="rId59" w:type="default"/>
          <w:pgSz w:w="11906" w:h="16839"/>
          <w:pgMar w:top="400" w:right="1413" w:bottom="1329" w:left="1413" w:header="0" w:footer="1113" w:gutter="0"/>
          <w:cols w:space="720" w:num="1"/>
        </w:sectPr>
      </w:pPr>
    </w:p>
    <w:p w14:paraId="0D170DB1">
      <w:pPr>
        <w:spacing w:before="19"/>
      </w:pPr>
    </w:p>
    <w:p w14:paraId="522ED90E">
      <w:pPr>
        <w:spacing w:before="19"/>
      </w:pPr>
    </w:p>
    <w:p w14:paraId="5FFC69E9">
      <w:pPr>
        <w:spacing w:before="19"/>
      </w:pPr>
    </w:p>
    <w:p w14:paraId="7A17B489">
      <w:pPr>
        <w:spacing w:before="18"/>
      </w:pPr>
    </w:p>
    <w:p w14:paraId="70FDD3DA">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4"/>
        <w:gridCol w:w="473"/>
        <w:gridCol w:w="246"/>
        <w:gridCol w:w="890"/>
        <w:gridCol w:w="216"/>
        <w:gridCol w:w="951"/>
        <w:gridCol w:w="3954"/>
        <w:gridCol w:w="1665"/>
        <w:gridCol w:w="127"/>
      </w:tblGrid>
      <w:tr w14:paraId="49958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0" w:hRule="atLeast"/>
        </w:trPr>
        <w:tc>
          <w:tcPr>
            <w:tcW w:w="428" w:type="dxa"/>
            <w:vMerge w:val="restart"/>
            <w:tcBorders>
              <w:top w:val="single" w:color="000000" w:sz="6" w:space="0"/>
              <w:left w:val="single" w:color="000000" w:sz="6" w:space="0"/>
              <w:bottom w:val="nil"/>
            </w:tcBorders>
            <w:textDirection w:val="tbRlV"/>
            <w:vAlign w:val="top"/>
          </w:tcPr>
          <w:p w14:paraId="71E49E1C">
            <w:pPr>
              <w:spacing w:before="106" w:line="216" w:lineRule="auto"/>
              <w:ind w:left="25"/>
              <w:rPr>
                <w:rFonts w:ascii="宋体" w:hAnsi="宋体" w:eastAsia="宋体" w:cs="宋体"/>
                <w:sz w:val="20"/>
                <w:szCs w:val="20"/>
              </w:rPr>
            </w:pPr>
            <w:r>
              <w:rPr>
                <w:rFonts w:ascii="宋体" w:hAnsi="宋体" w:eastAsia="宋体" w:cs="宋体"/>
                <w:spacing w:val="8"/>
                <w:sz w:val="20"/>
                <w:szCs w:val="20"/>
              </w:rPr>
              <w:t>染</w:t>
            </w:r>
            <w:r>
              <w:rPr>
                <w:rFonts w:ascii="宋体" w:hAnsi="宋体" w:eastAsia="宋体" w:cs="宋体"/>
                <w:spacing w:val="100"/>
                <w:sz w:val="20"/>
                <w:szCs w:val="20"/>
              </w:rPr>
              <w:t xml:space="preserve"> </w:t>
            </w:r>
            <w:r>
              <w:rPr>
                <w:rFonts w:ascii="宋体" w:hAnsi="宋体" w:eastAsia="宋体" w:cs="宋体"/>
                <w:spacing w:val="8"/>
                <w:sz w:val="20"/>
                <w:szCs w:val="20"/>
              </w:rPr>
              <w:t>问</w:t>
            </w:r>
            <w:r>
              <w:rPr>
                <w:rFonts w:ascii="宋体" w:hAnsi="宋体" w:eastAsia="宋体" w:cs="宋体"/>
                <w:spacing w:val="1"/>
                <w:sz w:val="20"/>
                <w:szCs w:val="20"/>
              </w:rPr>
              <w:t xml:space="preserve">  </w:t>
            </w:r>
            <w:r>
              <w:rPr>
                <w:rFonts w:ascii="宋体" w:hAnsi="宋体" w:eastAsia="宋体" w:cs="宋体"/>
                <w:spacing w:val="8"/>
                <w:sz w:val="20"/>
                <w:szCs w:val="20"/>
              </w:rPr>
              <w:t>题</w:t>
            </w:r>
          </w:p>
        </w:tc>
        <w:tc>
          <w:tcPr>
            <w:tcW w:w="114" w:type="dxa"/>
            <w:tcBorders>
              <w:top w:val="single" w:color="000000" w:sz="6" w:space="0"/>
              <w:bottom w:val="nil"/>
            </w:tcBorders>
            <w:vAlign w:val="top"/>
          </w:tcPr>
          <w:p w14:paraId="1867CE6E">
            <w:pPr>
              <w:rPr>
                <w:rFonts w:ascii="Arial"/>
                <w:sz w:val="21"/>
              </w:rPr>
            </w:pPr>
          </w:p>
        </w:tc>
        <w:tc>
          <w:tcPr>
            <w:tcW w:w="719" w:type="dxa"/>
            <w:gridSpan w:val="2"/>
            <w:tcBorders>
              <w:top w:val="single" w:color="000000" w:sz="6" w:space="0"/>
            </w:tcBorders>
            <w:vAlign w:val="top"/>
          </w:tcPr>
          <w:p w14:paraId="6DF54C26">
            <w:pPr>
              <w:rPr>
                <w:rFonts w:ascii="Arial"/>
                <w:sz w:val="21"/>
              </w:rPr>
            </w:pPr>
          </w:p>
        </w:tc>
        <w:tc>
          <w:tcPr>
            <w:tcW w:w="890" w:type="dxa"/>
            <w:vMerge w:val="restart"/>
            <w:tcBorders>
              <w:top w:val="single" w:color="000000" w:sz="6" w:space="0"/>
              <w:bottom w:val="nil"/>
            </w:tcBorders>
            <w:vAlign w:val="top"/>
          </w:tcPr>
          <w:p w14:paraId="1C578C06">
            <w:pPr>
              <w:spacing w:before="37" w:line="228" w:lineRule="auto"/>
              <w:ind w:left="132"/>
              <w:rPr>
                <w:rFonts w:ascii="宋体" w:hAnsi="宋体" w:eastAsia="宋体" w:cs="宋体"/>
                <w:sz w:val="20"/>
                <w:szCs w:val="20"/>
              </w:rPr>
            </w:pPr>
            <w:r>
              <w:rPr>
                <w:rFonts w:ascii="宋体" w:hAnsi="宋体" w:eastAsia="宋体" w:cs="宋体"/>
                <w:spacing w:val="6"/>
                <w:sz w:val="20"/>
                <w:szCs w:val="20"/>
              </w:rPr>
              <w:t>制品有</w:t>
            </w:r>
          </w:p>
          <w:p w14:paraId="2584184F">
            <w:pPr>
              <w:spacing w:before="160" w:line="228" w:lineRule="auto"/>
              <w:ind w:left="146"/>
              <w:rPr>
                <w:rFonts w:ascii="宋体" w:hAnsi="宋体" w:eastAsia="宋体" w:cs="宋体"/>
                <w:sz w:val="20"/>
                <w:szCs w:val="20"/>
              </w:rPr>
            </w:pPr>
            <w:r>
              <w:rPr>
                <w:rFonts w:ascii="宋体" w:hAnsi="宋体" w:eastAsia="宋体" w:cs="宋体"/>
                <w:spacing w:val="2"/>
                <w:sz w:val="20"/>
                <w:szCs w:val="20"/>
              </w:rPr>
              <w:t>限公司</w:t>
            </w:r>
          </w:p>
          <w:p w14:paraId="64FCC814">
            <w:pPr>
              <w:spacing w:before="160" w:line="228" w:lineRule="auto"/>
              <w:ind w:left="158"/>
              <w:rPr>
                <w:rFonts w:ascii="Times New Roman" w:hAnsi="Times New Roman" w:eastAsia="Times New Roman" w:cs="Times New Roman"/>
                <w:sz w:val="20"/>
                <w:szCs w:val="20"/>
              </w:rPr>
            </w:pPr>
            <w:r>
              <w:rPr>
                <w:rFonts w:ascii="宋体" w:hAnsi="宋体" w:eastAsia="宋体" w:cs="宋体"/>
                <w:spacing w:val="2"/>
                <w:sz w:val="20"/>
                <w:szCs w:val="20"/>
              </w:rPr>
              <w:t>年产</w:t>
            </w:r>
            <w:r>
              <w:rPr>
                <w:rFonts w:ascii="宋体" w:hAnsi="宋体" w:eastAsia="宋体" w:cs="宋体"/>
                <w:spacing w:val="-38"/>
                <w:sz w:val="20"/>
                <w:szCs w:val="20"/>
              </w:rPr>
              <w:t xml:space="preserve"> </w:t>
            </w:r>
            <w:r>
              <w:rPr>
                <w:rFonts w:ascii="Times New Roman" w:hAnsi="Times New Roman" w:eastAsia="Times New Roman" w:cs="Times New Roman"/>
                <w:spacing w:val="2"/>
                <w:sz w:val="20"/>
                <w:szCs w:val="20"/>
              </w:rPr>
              <w:t>3</w:t>
            </w:r>
          </w:p>
          <w:p w14:paraId="23CEFA1D">
            <w:pPr>
              <w:spacing w:before="161" w:line="228" w:lineRule="auto"/>
              <w:ind w:left="112"/>
              <w:rPr>
                <w:rFonts w:ascii="宋体" w:hAnsi="宋体" w:eastAsia="宋体" w:cs="宋体"/>
                <w:sz w:val="20"/>
                <w:szCs w:val="20"/>
              </w:rPr>
            </w:pPr>
            <w:r>
              <w:rPr>
                <w:rFonts w:ascii="宋体" w:hAnsi="宋体" w:eastAsia="宋体" w:cs="宋体"/>
                <w:spacing w:val="9"/>
                <w:sz w:val="20"/>
                <w:szCs w:val="20"/>
              </w:rPr>
              <w:t>万</w:t>
            </w:r>
            <w:r>
              <w:rPr>
                <w:rFonts w:ascii="Times New Roman" w:hAnsi="Times New Roman" w:eastAsia="Times New Roman" w:cs="Times New Roman"/>
                <w:spacing w:val="9"/>
                <w:sz w:val="20"/>
                <w:szCs w:val="20"/>
              </w:rPr>
              <w:t>m³</w:t>
            </w:r>
            <w:r>
              <w:rPr>
                <w:rFonts w:ascii="Times New Roman" w:hAnsi="Times New Roman" w:eastAsia="Times New Roman" w:cs="Times New Roman"/>
                <w:spacing w:val="-35"/>
                <w:sz w:val="20"/>
                <w:szCs w:val="20"/>
              </w:rPr>
              <w:t xml:space="preserve"> </w:t>
            </w:r>
            <w:r>
              <w:rPr>
                <w:rFonts w:ascii="宋体" w:hAnsi="宋体" w:eastAsia="宋体" w:cs="宋体"/>
                <w:spacing w:val="9"/>
                <w:sz w:val="20"/>
                <w:szCs w:val="20"/>
              </w:rPr>
              <w:t>免</w:t>
            </w:r>
          </w:p>
          <w:p w14:paraId="2AFDACB9">
            <w:pPr>
              <w:spacing w:before="161" w:line="229" w:lineRule="auto"/>
              <w:ind w:left="131"/>
              <w:rPr>
                <w:rFonts w:ascii="宋体" w:hAnsi="宋体" w:eastAsia="宋体" w:cs="宋体"/>
                <w:sz w:val="20"/>
                <w:szCs w:val="20"/>
              </w:rPr>
            </w:pPr>
            <w:r>
              <w:rPr>
                <w:rFonts w:ascii="宋体" w:hAnsi="宋体" w:eastAsia="宋体" w:cs="宋体"/>
                <w:spacing w:val="6"/>
                <w:sz w:val="20"/>
                <w:szCs w:val="20"/>
              </w:rPr>
              <w:t>漆生态</w:t>
            </w:r>
          </w:p>
          <w:p w14:paraId="3F26338B">
            <w:pPr>
              <w:spacing w:before="160" w:line="227" w:lineRule="auto"/>
              <w:ind w:left="132"/>
              <w:rPr>
                <w:rFonts w:ascii="宋体" w:hAnsi="宋体" w:eastAsia="宋体" w:cs="宋体"/>
                <w:sz w:val="20"/>
                <w:szCs w:val="20"/>
              </w:rPr>
            </w:pPr>
            <w:r>
              <w:rPr>
                <w:rFonts w:ascii="宋体" w:hAnsi="宋体" w:eastAsia="宋体" w:cs="宋体"/>
                <w:spacing w:val="6"/>
                <w:sz w:val="20"/>
                <w:szCs w:val="20"/>
              </w:rPr>
              <w:t>板及深</w:t>
            </w:r>
          </w:p>
          <w:p w14:paraId="5A765F9A">
            <w:pPr>
              <w:spacing w:before="165" w:line="231" w:lineRule="auto"/>
              <w:ind w:left="131"/>
              <w:rPr>
                <w:rFonts w:ascii="宋体" w:hAnsi="宋体" w:eastAsia="宋体" w:cs="宋体"/>
                <w:sz w:val="20"/>
                <w:szCs w:val="20"/>
              </w:rPr>
            </w:pPr>
            <w:r>
              <w:rPr>
                <w:rFonts w:ascii="宋体" w:hAnsi="宋体" w:eastAsia="宋体" w:cs="宋体"/>
                <w:spacing w:val="6"/>
                <w:sz w:val="20"/>
                <w:szCs w:val="20"/>
              </w:rPr>
              <w:t>加工生</w:t>
            </w:r>
          </w:p>
          <w:p w14:paraId="78825EFA">
            <w:pPr>
              <w:spacing w:before="157" w:line="228" w:lineRule="auto"/>
              <w:ind w:left="131"/>
              <w:rPr>
                <w:rFonts w:ascii="宋体" w:hAnsi="宋体" w:eastAsia="宋体" w:cs="宋体"/>
                <w:sz w:val="20"/>
                <w:szCs w:val="20"/>
              </w:rPr>
            </w:pPr>
            <w:r>
              <w:rPr>
                <w:rFonts w:ascii="宋体" w:hAnsi="宋体" w:eastAsia="宋体" w:cs="宋体"/>
                <w:spacing w:val="6"/>
                <w:sz w:val="20"/>
                <w:szCs w:val="20"/>
              </w:rPr>
              <w:t>产线项</w:t>
            </w:r>
          </w:p>
          <w:p w14:paraId="505834C0">
            <w:pPr>
              <w:spacing w:before="161" w:line="231" w:lineRule="auto"/>
              <w:ind w:left="380"/>
              <w:rPr>
                <w:rFonts w:ascii="宋体" w:hAnsi="宋体" w:eastAsia="宋体" w:cs="宋体"/>
                <w:sz w:val="20"/>
                <w:szCs w:val="20"/>
              </w:rPr>
            </w:pPr>
            <w:r>
              <w:rPr>
                <w:rFonts w:ascii="宋体" w:hAnsi="宋体" w:eastAsia="宋体" w:cs="宋体"/>
                <w:sz w:val="20"/>
                <w:szCs w:val="20"/>
              </w:rPr>
              <w:t>目</w:t>
            </w:r>
          </w:p>
        </w:tc>
        <w:tc>
          <w:tcPr>
            <w:tcW w:w="1167" w:type="dxa"/>
            <w:gridSpan w:val="2"/>
            <w:tcBorders>
              <w:top w:val="single" w:color="000000" w:sz="6" w:space="0"/>
            </w:tcBorders>
            <w:vAlign w:val="top"/>
          </w:tcPr>
          <w:p w14:paraId="6B4F6785">
            <w:pPr>
              <w:rPr>
                <w:rFonts w:ascii="Arial"/>
                <w:sz w:val="21"/>
              </w:rPr>
            </w:pPr>
          </w:p>
        </w:tc>
        <w:tc>
          <w:tcPr>
            <w:tcW w:w="5619" w:type="dxa"/>
            <w:gridSpan w:val="2"/>
            <w:tcBorders>
              <w:top w:val="single" w:color="000000" w:sz="6" w:space="0"/>
            </w:tcBorders>
            <w:vAlign w:val="top"/>
          </w:tcPr>
          <w:p w14:paraId="22466BF8">
            <w:pPr>
              <w:spacing w:before="37" w:line="226" w:lineRule="auto"/>
              <w:ind w:left="117"/>
              <w:rPr>
                <w:rFonts w:ascii="宋体" w:hAnsi="宋体" w:eastAsia="宋体" w:cs="宋体"/>
                <w:sz w:val="20"/>
                <w:szCs w:val="20"/>
              </w:rPr>
            </w:pPr>
            <w:r>
              <w:rPr>
                <w:rFonts w:ascii="宋体" w:hAnsi="宋体" w:eastAsia="宋体" w:cs="宋体"/>
                <w:spacing w:val="5"/>
                <w:sz w:val="20"/>
                <w:szCs w:val="20"/>
              </w:rPr>
              <w:t>工生产线项目环境影响报告表》，</w:t>
            </w:r>
            <w:r>
              <w:rPr>
                <w:rFonts w:ascii="Times New Roman" w:hAnsi="Times New Roman" w:eastAsia="Times New Roman" w:cs="Times New Roman"/>
                <w:spacing w:val="5"/>
                <w:sz w:val="20"/>
                <w:szCs w:val="20"/>
              </w:rPr>
              <w:t xml:space="preserve">2021 </w:t>
            </w:r>
            <w:r>
              <w:rPr>
                <w:rFonts w:ascii="宋体" w:hAnsi="宋体" w:eastAsia="宋体" w:cs="宋体"/>
                <w:spacing w:val="5"/>
                <w:sz w:val="20"/>
                <w:szCs w:val="20"/>
              </w:rPr>
              <w:t>年</w:t>
            </w:r>
            <w:r>
              <w:rPr>
                <w:rFonts w:ascii="宋体" w:hAnsi="宋体" w:eastAsia="宋体" w:cs="宋体"/>
                <w:spacing w:val="-27"/>
                <w:sz w:val="20"/>
                <w:szCs w:val="20"/>
              </w:rPr>
              <w:t xml:space="preserve"> </w:t>
            </w:r>
            <w:r>
              <w:rPr>
                <w:rFonts w:ascii="Times New Roman" w:hAnsi="Times New Roman" w:eastAsia="Times New Roman" w:cs="Times New Roman"/>
                <w:spacing w:val="5"/>
                <w:sz w:val="20"/>
                <w:szCs w:val="20"/>
              </w:rPr>
              <w:t xml:space="preserve">5 </w:t>
            </w:r>
            <w:r>
              <w:rPr>
                <w:rFonts w:ascii="宋体" w:hAnsi="宋体" w:eastAsia="宋体" w:cs="宋体"/>
                <w:spacing w:val="5"/>
                <w:sz w:val="20"/>
                <w:szCs w:val="20"/>
              </w:rPr>
              <w:t>月</w:t>
            </w:r>
            <w:r>
              <w:rPr>
                <w:rFonts w:ascii="宋体" w:hAnsi="宋体" w:eastAsia="宋体" w:cs="宋体"/>
                <w:spacing w:val="-40"/>
                <w:sz w:val="20"/>
                <w:szCs w:val="20"/>
              </w:rPr>
              <w:t xml:space="preserve"> </w:t>
            </w:r>
            <w:r>
              <w:rPr>
                <w:rFonts w:ascii="Times New Roman" w:hAnsi="Times New Roman" w:eastAsia="Times New Roman" w:cs="Times New Roman"/>
                <w:spacing w:val="5"/>
                <w:sz w:val="20"/>
                <w:szCs w:val="20"/>
              </w:rPr>
              <w:t xml:space="preserve">24  </w:t>
            </w:r>
            <w:r>
              <w:rPr>
                <w:rFonts w:ascii="宋体" w:hAnsi="宋体" w:eastAsia="宋体" w:cs="宋体"/>
                <w:spacing w:val="5"/>
                <w:sz w:val="20"/>
                <w:szCs w:val="20"/>
              </w:rPr>
              <w:t>日建设单</w:t>
            </w:r>
          </w:p>
          <w:p w14:paraId="7D10F6ED">
            <w:pPr>
              <w:spacing w:before="162" w:line="228" w:lineRule="auto"/>
              <w:ind w:left="133"/>
              <w:rPr>
                <w:rFonts w:ascii="宋体" w:hAnsi="宋体" w:eastAsia="宋体" w:cs="宋体"/>
                <w:sz w:val="20"/>
                <w:szCs w:val="20"/>
              </w:rPr>
            </w:pPr>
            <w:r>
              <w:rPr>
                <w:rFonts w:ascii="宋体" w:hAnsi="宋体" w:eastAsia="宋体" w:cs="宋体"/>
                <w:spacing w:val="9"/>
                <w:sz w:val="20"/>
                <w:szCs w:val="20"/>
              </w:rPr>
              <w:t>位取得昆明市生态环境局寻甸分局《关于对</w:t>
            </w:r>
            <w:r>
              <w:rPr>
                <w:rFonts w:ascii="Times New Roman" w:hAnsi="Times New Roman" w:eastAsia="Times New Roman" w:cs="Times New Roman"/>
                <w:spacing w:val="9"/>
                <w:sz w:val="20"/>
                <w:szCs w:val="20"/>
              </w:rPr>
              <w:t>&lt;</w:t>
            </w:r>
            <w:r>
              <w:rPr>
                <w:rFonts w:ascii="宋体" w:hAnsi="宋体" w:eastAsia="宋体" w:cs="宋体"/>
                <w:spacing w:val="9"/>
                <w:sz w:val="20"/>
                <w:szCs w:val="20"/>
              </w:rPr>
              <w:t>昆明欧铂瑞木</w:t>
            </w:r>
          </w:p>
          <w:p w14:paraId="6B676A36">
            <w:pPr>
              <w:spacing w:before="161" w:line="227" w:lineRule="auto"/>
              <w:ind w:left="161"/>
              <w:rPr>
                <w:rFonts w:ascii="宋体" w:hAnsi="宋体" w:eastAsia="宋体" w:cs="宋体"/>
                <w:sz w:val="20"/>
                <w:szCs w:val="20"/>
              </w:rPr>
            </w:pPr>
            <w:r>
              <w:rPr>
                <w:rFonts w:ascii="宋体" w:hAnsi="宋体" w:eastAsia="宋体" w:cs="宋体"/>
                <w:spacing w:val="7"/>
                <w:sz w:val="20"/>
                <w:szCs w:val="20"/>
              </w:rPr>
              <w:t>制品有限公司年产</w:t>
            </w:r>
            <w:r>
              <w:rPr>
                <w:rFonts w:ascii="宋体" w:hAnsi="宋体" w:eastAsia="宋体" w:cs="宋体"/>
                <w:spacing w:val="-29"/>
                <w:sz w:val="20"/>
                <w:szCs w:val="20"/>
              </w:rPr>
              <w:t xml:space="preserve"> </w:t>
            </w:r>
            <w:r>
              <w:rPr>
                <w:rFonts w:ascii="Times New Roman" w:hAnsi="Times New Roman" w:eastAsia="Times New Roman" w:cs="Times New Roman"/>
                <w:spacing w:val="7"/>
                <w:sz w:val="20"/>
                <w:szCs w:val="20"/>
              </w:rPr>
              <w:t>3</w:t>
            </w:r>
            <w:r>
              <w:rPr>
                <w:rFonts w:ascii="Times New Roman" w:hAnsi="Times New Roman" w:eastAsia="Times New Roman" w:cs="Times New Roman"/>
                <w:spacing w:val="17"/>
                <w:w w:val="101"/>
                <w:sz w:val="20"/>
                <w:szCs w:val="20"/>
              </w:rPr>
              <w:t xml:space="preserve"> </w:t>
            </w:r>
            <w:r>
              <w:rPr>
                <w:rFonts w:ascii="宋体" w:hAnsi="宋体" w:eastAsia="宋体" w:cs="宋体"/>
                <w:spacing w:val="7"/>
                <w:sz w:val="20"/>
                <w:szCs w:val="20"/>
              </w:rPr>
              <w:t>万</w:t>
            </w:r>
            <w:r>
              <w:rPr>
                <w:rFonts w:ascii="宋体" w:hAnsi="宋体" w:eastAsia="宋体" w:cs="宋体"/>
                <w:spacing w:val="-46"/>
                <w:sz w:val="20"/>
                <w:szCs w:val="20"/>
              </w:rPr>
              <w:t xml:space="preserve"> </w:t>
            </w:r>
            <w:r>
              <w:rPr>
                <w:rFonts w:ascii="Times New Roman" w:hAnsi="Times New Roman" w:eastAsia="Times New Roman" w:cs="Times New Roman"/>
                <w:spacing w:val="7"/>
                <w:sz w:val="20"/>
                <w:szCs w:val="20"/>
              </w:rPr>
              <w:t>m³</w:t>
            </w:r>
            <w:r>
              <w:rPr>
                <w:rFonts w:ascii="Times New Roman" w:hAnsi="Times New Roman" w:eastAsia="Times New Roman" w:cs="Times New Roman"/>
                <w:spacing w:val="-34"/>
                <w:sz w:val="20"/>
                <w:szCs w:val="20"/>
              </w:rPr>
              <w:t xml:space="preserve"> </w:t>
            </w:r>
            <w:r>
              <w:rPr>
                <w:rFonts w:ascii="宋体" w:hAnsi="宋体" w:eastAsia="宋体" w:cs="宋体"/>
                <w:spacing w:val="7"/>
                <w:sz w:val="20"/>
                <w:szCs w:val="20"/>
              </w:rPr>
              <w:t>免漆生态板及深加工生产线项目</w:t>
            </w:r>
          </w:p>
          <w:p w14:paraId="46CD30CC">
            <w:pPr>
              <w:spacing w:before="162" w:line="226" w:lineRule="auto"/>
              <w:ind w:left="112"/>
              <w:rPr>
                <w:rFonts w:ascii="宋体" w:hAnsi="宋体" w:eastAsia="宋体" w:cs="宋体"/>
                <w:sz w:val="20"/>
                <w:szCs w:val="20"/>
              </w:rPr>
            </w:pPr>
            <w:r>
              <w:rPr>
                <w:rFonts w:ascii="宋体" w:hAnsi="宋体" w:eastAsia="宋体" w:cs="宋体"/>
                <w:spacing w:val="9"/>
                <w:sz w:val="20"/>
                <w:szCs w:val="20"/>
              </w:rPr>
              <w:t>环境影响报告表</w:t>
            </w:r>
            <w:r>
              <w:rPr>
                <w:rFonts w:ascii="Times New Roman" w:hAnsi="Times New Roman" w:eastAsia="Times New Roman" w:cs="Times New Roman"/>
                <w:spacing w:val="9"/>
                <w:sz w:val="20"/>
                <w:szCs w:val="20"/>
              </w:rPr>
              <w:t>&gt;</w:t>
            </w:r>
            <w:r>
              <w:rPr>
                <w:rFonts w:ascii="宋体" w:hAnsi="宋体" w:eastAsia="宋体" w:cs="宋体"/>
                <w:spacing w:val="9"/>
                <w:sz w:val="20"/>
                <w:szCs w:val="20"/>
              </w:rPr>
              <w:t>的批复》（昆生环寻〔</w:t>
            </w:r>
            <w:r>
              <w:rPr>
                <w:rFonts w:ascii="Times New Roman" w:hAnsi="Times New Roman" w:eastAsia="Times New Roman" w:cs="Times New Roman"/>
                <w:spacing w:val="9"/>
                <w:sz w:val="20"/>
                <w:szCs w:val="20"/>
              </w:rPr>
              <w:t>2021</w:t>
            </w:r>
            <w:r>
              <w:rPr>
                <w:rFonts w:ascii="宋体" w:hAnsi="宋体" w:eastAsia="宋体" w:cs="宋体"/>
                <w:spacing w:val="9"/>
                <w:sz w:val="20"/>
                <w:szCs w:val="20"/>
              </w:rPr>
              <w:t>〕</w:t>
            </w:r>
            <w:r>
              <w:rPr>
                <w:rFonts w:ascii="Times New Roman" w:hAnsi="Times New Roman" w:eastAsia="Times New Roman" w:cs="Times New Roman"/>
                <w:spacing w:val="9"/>
                <w:sz w:val="20"/>
                <w:szCs w:val="20"/>
              </w:rPr>
              <w:t xml:space="preserve">84 </w:t>
            </w:r>
            <w:r>
              <w:rPr>
                <w:rFonts w:ascii="宋体" w:hAnsi="宋体" w:eastAsia="宋体" w:cs="宋体"/>
                <w:spacing w:val="8"/>
                <w:sz w:val="20"/>
                <w:szCs w:val="20"/>
              </w:rPr>
              <w:t>号</w:t>
            </w:r>
            <w:r>
              <w:rPr>
                <w:rFonts w:ascii="宋体" w:hAnsi="宋体" w:eastAsia="宋体" w:cs="宋体"/>
                <w:spacing w:val="-5"/>
                <w:sz w:val="20"/>
                <w:szCs w:val="20"/>
              </w:rPr>
              <w:t>）（</w:t>
            </w:r>
            <w:r>
              <w:rPr>
                <w:rFonts w:ascii="宋体" w:hAnsi="宋体" w:eastAsia="宋体" w:cs="宋体"/>
                <w:spacing w:val="8"/>
                <w:sz w:val="20"/>
                <w:szCs w:val="20"/>
              </w:rPr>
              <w:t>见</w:t>
            </w:r>
          </w:p>
          <w:p w14:paraId="05D63918">
            <w:pPr>
              <w:spacing w:before="162" w:line="227" w:lineRule="auto"/>
              <w:ind w:left="2415"/>
              <w:rPr>
                <w:rFonts w:ascii="宋体" w:hAnsi="宋体" w:eastAsia="宋体" w:cs="宋体"/>
                <w:sz w:val="20"/>
                <w:szCs w:val="20"/>
              </w:rPr>
            </w:pPr>
            <w:r>
              <w:rPr>
                <w:rFonts w:ascii="宋体" w:hAnsi="宋体" w:eastAsia="宋体" w:cs="宋体"/>
                <w:spacing w:val="-2"/>
                <w:sz w:val="20"/>
                <w:szCs w:val="20"/>
              </w:rPr>
              <w:t>附件）。</w:t>
            </w:r>
          </w:p>
        </w:tc>
        <w:tc>
          <w:tcPr>
            <w:tcW w:w="127" w:type="dxa"/>
            <w:tcBorders>
              <w:top w:val="single" w:color="000000" w:sz="6" w:space="0"/>
              <w:bottom w:val="nil"/>
              <w:right w:val="single" w:color="000000" w:sz="6" w:space="0"/>
            </w:tcBorders>
            <w:vAlign w:val="top"/>
          </w:tcPr>
          <w:p w14:paraId="074A4365">
            <w:pPr>
              <w:rPr>
                <w:rFonts w:ascii="Arial"/>
                <w:sz w:val="21"/>
              </w:rPr>
            </w:pPr>
          </w:p>
        </w:tc>
      </w:tr>
      <w:tr w14:paraId="77878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textDirection w:val="tbRlV"/>
            <w:vAlign w:val="top"/>
          </w:tcPr>
          <w:p w14:paraId="722B6951">
            <w:pPr>
              <w:rPr>
                <w:rFonts w:ascii="Arial"/>
                <w:sz w:val="21"/>
              </w:rPr>
            </w:pPr>
          </w:p>
        </w:tc>
        <w:tc>
          <w:tcPr>
            <w:tcW w:w="114" w:type="dxa"/>
            <w:tcBorders>
              <w:top w:val="nil"/>
              <w:bottom w:val="nil"/>
            </w:tcBorders>
            <w:vAlign w:val="top"/>
          </w:tcPr>
          <w:p w14:paraId="59E977B3">
            <w:pPr>
              <w:rPr>
                <w:rFonts w:ascii="Arial"/>
                <w:sz w:val="21"/>
              </w:rPr>
            </w:pPr>
          </w:p>
        </w:tc>
        <w:tc>
          <w:tcPr>
            <w:tcW w:w="719" w:type="dxa"/>
            <w:gridSpan w:val="2"/>
            <w:vAlign w:val="top"/>
          </w:tcPr>
          <w:p w14:paraId="47F4AE7A">
            <w:pPr>
              <w:spacing w:before="281" w:line="195" w:lineRule="auto"/>
              <w:ind w:left="302"/>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890" w:type="dxa"/>
            <w:vMerge w:val="continue"/>
            <w:tcBorders>
              <w:top w:val="nil"/>
              <w:bottom w:val="nil"/>
            </w:tcBorders>
            <w:vAlign w:val="top"/>
          </w:tcPr>
          <w:p w14:paraId="7FA7A633">
            <w:pPr>
              <w:rPr>
                <w:rFonts w:ascii="Arial"/>
                <w:sz w:val="21"/>
              </w:rPr>
            </w:pPr>
          </w:p>
        </w:tc>
        <w:tc>
          <w:tcPr>
            <w:tcW w:w="1167" w:type="dxa"/>
            <w:gridSpan w:val="2"/>
            <w:vAlign w:val="top"/>
          </w:tcPr>
          <w:p w14:paraId="3279221C">
            <w:pPr>
              <w:spacing w:before="35" w:line="358" w:lineRule="auto"/>
              <w:ind w:left="481" w:right="166" w:hanging="316"/>
              <w:rPr>
                <w:rFonts w:ascii="宋体" w:hAnsi="宋体" w:eastAsia="宋体" w:cs="宋体"/>
                <w:sz w:val="20"/>
                <w:szCs w:val="20"/>
              </w:rPr>
            </w:pPr>
            <w:r>
              <w:rPr>
                <w:rFonts w:ascii="宋体" w:hAnsi="宋体" w:eastAsia="宋体" w:cs="宋体"/>
                <w:spacing w:val="7"/>
                <w:sz w:val="20"/>
                <w:szCs w:val="20"/>
              </w:rPr>
              <w:t>排污许可</w:t>
            </w:r>
            <w:r>
              <w:rPr>
                <w:rFonts w:ascii="宋体" w:hAnsi="宋体" w:eastAsia="宋体" w:cs="宋体"/>
                <w:sz w:val="20"/>
                <w:szCs w:val="20"/>
              </w:rPr>
              <w:t>证</w:t>
            </w:r>
          </w:p>
        </w:tc>
        <w:tc>
          <w:tcPr>
            <w:tcW w:w="5619" w:type="dxa"/>
            <w:gridSpan w:val="2"/>
            <w:vAlign w:val="top"/>
          </w:tcPr>
          <w:p w14:paraId="1197E38F">
            <w:pPr>
              <w:spacing w:before="34" w:line="228" w:lineRule="auto"/>
              <w:ind w:left="110"/>
              <w:rPr>
                <w:rFonts w:ascii="宋体" w:hAnsi="宋体" w:eastAsia="宋体" w:cs="宋体"/>
                <w:sz w:val="20"/>
                <w:szCs w:val="20"/>
              </w:rPr>
            </w:pPr>
            <w:r>
              <w:rPr>
                <w:rFonts w:ascii="Times New Roman" w:hAnsi="Times New Roman" w:eastAsia="Times New Roman" w:cs="Times New Roman"/>
                <w:spacing w:val="5"/>
                <w:sz w:val="20"/>
                <w:szCs w:val="20"/>
              </w:rPr>
              <w:t xml:space="preserve">2021 </w:t>
            </w:r>
            <w:r>
              <w:rPr>
                <w:rFonts w:ascii="宋体" w:hAnsi="宋体" w:eastAsia="宋体" w:cs="宋体"/>
                <w:spacing w:val="5"/>
                <w:sz w:val="20"/>
                <w:szCs w:val="20"/>
              </w:rPr>
              <w:t>年</w:t>
            </w:r>
            <w:r>
              <w:rPr>
                <w:rFonts w:ascii="宋体" w:hAnsi="宋体" w:eastAsia="宋体" w:cs="宋体"/>
                <w:spacing w:val="-23"/>
                <w:sz w:val="20"/>
                <w:szCs w:val="20"/>
              </w:rPr>
              <w:t xml:space="preserve"> </w:t>
            </w:r>
            <w:r>
              <w:rPr>
                <w:rFonts w:ascii="Times New Roman" w:hAnsi="Times New Roman" w:eastAsia="Times New Roman" w:cs="Times New Roman"/>
                <w:spacing w:val="5"/>
                <w:sz w:val="20"/>
                <w:szCs w:val="20"/>
              </w:rPr>
              <w:t>12</w:t>
            </w:r>
            <w:r>
              <w:rPr>
                <w:rFonts w:ascii="Times New Roman" w:hAnsi="Times New Roman" w:eastAsia="Times New Roman" w:cs="Times New Roman"/>
                <w:spacing w:val="15"/>
                <w:sz w:val="20"/>
                <w:szCs w:val="20"/>
              </w:rPr>
              <w:t xml:space="preserve"> </w:t>
            </w:r>
            <w:r>
              <w:rPr>
                <w:rFonts w:ascii="宋体" w:hAnsi="宋体" w:eastAsia="宋体" w:cs="宋体"/>
                <w:spacing w:val="5"/>
                <w:sz w:val="20"/>
                <w:szCs w:val="20"/>
              </w:rPr>
              <w:t>月</w:t>
            </w:r>
            <w:r>
              <w:rPr>
                <w:rFonts w:ascii="宋体" w:hAnsi="宋体" w:eastAsia="宋体" w:cs="宋体"/>
                <w:spacing w:val="-36"/>
                <w:sz w:val="20"/>
                <w:szCs w:val="20"/>
              </w:rPr>
              <w:t xml:space="preserve"> </w:t>
            </w:r>
            <w:r>
              <w:rPr>
                <w:rFonts w:ascii="Times New Roman" w:hAnsi="Times New Roman" w:eastAsia="Times New Roman" w:cs="Times New Roman"/>
                <w:spacing w:val="5"/>
                <w:sz w:val="20"/>
                <w:szCs w:val="20"/>
              </w:rPr>
              <w:t xml:space="preserve">6  </w:t>
            </w:r>
            <w:r>
              <w:rPr>
                <w:rFonts w:ascii="宋体" w:hAnsi="宋体" w:eastAsia="宋体" w:cs="宋体"/>
                <w:spacing w:val="5"/>
                <w:sz w:val="20"/>
                <w:szCs w:val="20"/>
              </w:rPr>
              <w:t>日在全国排污许</w:t>
            </w:r>
            <w:r>
              <w:rPr>
                <w:rFonts w:ascii="宋体" w:hAnsi="宋体" w:eastAsia="宋体" w:cs="宋体"/>
                <w:spacing w:val="4"/>
                <w:sz w:val="20"/>
                <w:szCs w:val="20"/>
              </w:rPr>
              <w:t>可信息管理平台申报排污许</w:t>
            </w:r>
          </w:p>
          <w:p w14:paraId="033F90C4">
            <w:pPr>
              <w:spacing w:before="161" w:line="221" w:lineRule="auto"/>
              <w:ind w:left="457"/>
              <w:rPr>
                <w:rFonts w:ascii="宋体" w:hAnsi="宋体" w:eastAsia="宋体" w:cs="宋体"/>
                <w:sz w:val="20"/>
                <w:szCs w:val="20"/>
              </w:rPr>
            </w:pPr>
            <w:r>
              <w:rPr>
                <w:rFonts w:ascii="宋体" w:hAnsi="宋体" w:eastAsia="宋体" w:cs="宋体"/>
                <w:spacing w:val="7"/>
                <w:sz w:val="20"/>
                <w:szCs w:val="20"/>
              </w:rPr>
              <w:t>可登记，登记编号：</w:t>
            </w:r>
            <w:r>
              <w:rPr>
                <w:rFonts w:ascii="Times New Roman" w:hAnsi="Times New Roman" w:eastAsia="Times New Roman" w:cs="Times New Roman"/>
                <w:spacing w:val="7"/>
                <w:sz w:val="20"/>
                <w:szCs w:val="20"/>
              </w:rPr>
              <w:t>91534001</w:t>
            </w:r>
            <w:r>
              <w:rPr>
                <w:rFonts w:ascii="Times New Roman" w:hAnsi="Times New Roman" w:eastAsia="Times New Roman" w:cs="Times New Roman"/>
                <w:sz w:val="20"/>
                <w:szCs w:val="20"/>
              </w:rPr>
              <w:t>MA</w:t>
            </w:r>
            <w:r>
              <w:rPr>
                <w:rFonts w:ascii="Times New Roman" w:hAnsi="Times New Roman" w:eastAsia="Times New Roman" w:cs="Times New Roman"/>
                <w:spacing w:val="7"/>
                <w:sz w:val="20"/>
                <w:szCs w:val="20"/>
              </w:rPr>
              <w:t>6K85Q25N</w:t>
            </w:r>
            <w:r>
              <w:rPr>
                <w:rFonts w:ascii="Times New Roman" w:hAnsi="Times New Roman" w:eastAsia="Times New Roman" w:cs="Times New Roman"/>
                <w:spacing w:val="6"/>
                <w:sz w:val="20"/>
                <w:szCs w:val="20"/>
              </w:rPr>
              <w:t>001X</w:t>
            </w:r>
            <w:r>
              <w:rPr>
                <w:rFonts w:ascii="宋体" w:hAnsi="宋体" w:eastAsia="宋体" w:cs="宋体"/>
                <w:spacing w:val="6"/>
                <w:sz w:val="20"/>
                <w:szCs w:val="20"/>
              </w:rPr>
              <w:t>。</w:t>
            </w:r>
          </w:p>
        </w:tc>
        <w:tc>
          <w:tcPr>
            <w:tcW w:w="127" w:type="dxa"/>
            <w:tcBorders>
              <w:top w:val="nil"/>
              <w:bottom w:val="nil"/>
              <w:right w:val="single" w:color="000000" w:sz="6" w:space="0"/>
            </w:tcBorders>
            <w:vAlign w:val="top"/>
          </w:tcPr>
          <w:p w14:paraId="76DE35CB">
            <w:pPr>
              <w:rPr>
                <w:rFonts w:ascii="Arial"/>
                <w:sz w:val="21"/>
              </w:rPr>
            </w:pPr>
          </w:p>
        </w:tc>
      </w:tr>
      <w:tr w14:paraId="49FBB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428" w:type="dxa"/>
            <w:vMerge w:val="continue"/>
            <w:tcBorders>
              <w:top w:val="nil"/>
              <w:left w:val="single" w:color="000000" w:sz="6" w:space="0"/>
              <w:bottom w:val="nil"/>
            </w:tcBorders>
            <w:textDirection w:val="tbRlV"/>
            <w:vAlign w:val="top"/>
          </w:tcPr>
          <w:p w14:paraId="408FDD30">
            <w:pPr>
              <w:rPr>
                <w:rFonts w:ascii="Arial"/>
                <w:sz w:val="21"/>
              </w:rPr>
            </w:pPr>
          </w:p>
        </w:tc>
        <w:tc>
          <w:tcPr>
            <w:tcW w:w="114" w:type="dxa"/>
            <w:tcBorders>
              <w:top w:val="nil"/>
              <w:bottom w:val="nil"/>
            </w:tcBorders>
            <w:vAlign w:val="top"/>
          </w:tcPr>
          <w:p w14:paraId="4405B60B">
            <w:pPr>
              <w:rPr>
                <w:rFonts w:ascii="Arial"/>
                <w:sz w:val="21"/>
              </w:rPr>
            </w:pPr>
          </w:p>
        </w:tc>
        <w:tc>
          <w:tcPr>
            <w:tcW w:w="719" w:type="dxa"/>
            <w:gridSpan w:val="2"/>
            <w:vAlign w:val="top"/>
          </w:tcPr>
          <w:p w14:paraId="28E10D55">
            <w:pPr>
              <w:spacing w:line="425" w:lineRule="auto"/>
              <w:rPr>
                <w:rFonts w:ascii="Arial"/>
                <w:sz w:val="21"/>
              </w:rPr>
            </w:pPr>
          </w:p>
          <w:p w14:paraId="3C5F8362">
            <w:pPr>
              <w:spacing w:before="57" w:line="195" w:lineRule="auto"/>
              <w:ind w:left="306"/>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890" w:type="dxa"/>
            <w:vMerge w:val="continue"/>
            <w:tcBorders>
              <w:top w:val="nil"/>
              <w:bottom w:val="nil"/>
            </w:tcBorders>
            <w:vAlign w:val="top"/>
          </w:tcPr>
          <w:p w14:paraId="5858FD37">
            <w:pPr>
              <w:rPr>
                <w:rFonts w:ascii="Arial"/>
                <w:sz w:val="21"/>
              </w:rPr>
            </w:pPr>
          </w:p>
        </w:tc>
        <w:tc>
          <w:tcPr>
            <w:tcW w:w="1167" w:type="dxa"/>
            <w:gridSpan w:val="2"/>
            <w:vAlign w:val="top"/>
          </w:tcPr>
          <w:p w14:paraId="005369DC">
            <w:pPr>
              <w:spacing w:line="374" w:lineRule="auto"/>
              <w:rPr>
                <w:rFonts w:ascii="Arial"/>
                <w:sz w:val="21"/>
              </w:rPr>
            </w:pPr>
          </w:p>
          <w:p w14:paraId="6D08BA8C">
            <w:pPr>
              <w:spacing w:before="65" w:line="228" w:lineRule="auto"/>
              <w:ind w:left="169"/>
              <w:rPr>
                <w:rFonts w:ascii="宋体" w:hAnsi="宋体" w:eastAsia="宋体" w:cs="宋体"/>
                <w:sz w:val="20"/>
                <w:szCs w:val="20"/>
              </w:rPr>
            </w:pPr>
            <w:r>
              <w:rPr>
                <w:rFonts w:ascii="宋体" w:hAnsi="宋体" w:eastAsia="宋体" w:cs="宋体"/>
                <w:spacing w:val="6"/>
                <w:sz w:val="20"/>
                <w:szCs w:val="20"/>
              </w:rPr>
              <w:t>办理验收</w:t>
            </w:r>
          </w:p>
        </w:tc>
        <w:tc>
          <w:tcPr>
            <w:tcW w:w="5619" w:type="dxa"/>
            <w:gridSpan w:val="2"/>
            <w:vAlign w:val="top"/>
          </w:tcPr>
          <w:p w14:paraId="2CDC9150">
            <w:pPr>
              <w:spacing w:before="32" w:line="365" w:lineRule="auto"/>
              <w:ind w:left="143" w:right="126" w:firstLine="41"/>
              <w:jc w:val="both"/>
              <w:rPr>
                <w:rFonts w:ascii="宋体" w:hAnsi="宋体" w:eastAsia="宋体" w:cs="宋体"/>
                <w:sz w:val="20"/>
                <w:szCs w:val="20"/>
              </w:rPr>
            </w:pPr>
            <w:r>
              <w:rPr>
                <w:rFonts w:ascii="宋体" w:hAnsi="宋体" w:eastAsia="宋体" w:cs="宋体"/>
                <w:spacing w:val="6"/>
                <w:sz w:val="20"/>
                <w:szCs w:val="20"/>
              </w:rPr>
              <w:t>昆明欧铂瑞木制品有限公司年产</w:t>
            </w:r>
            <w:r>
              <w:rPr>
                <w:rFonts w:ascii="宋体" w:hAnsi="宋体" w:eastAsia="宋体" w:cs="宋体"/>
                <w:spacing w:val="-27"/>
                <w:sz w:val="20"/>
                <w:szCs w:val="20"/>
              </w:rPr>
              <w:t xml:space="preserve"> </w:t>
            </w:r>
            <w:r>
              <w:rPr>
                <w:rFonts w:ascii="Times New Roman" w:hAnsi="Times New Roman" w:eastAsia="Times New Roman" w:cs="Times New Roman"/>
                <w:spacing w:val="6"/>
                <w:sz w:val="20"/>
                <w:szCs w:val="20"/>
              </w:rPr>
              <w:t>3</w:t>
            </w:r>
            <w:r>
              <w:rPr>
                <w:rFonts w:ascii="Times New Roman" w:hAnsi="Times New Roman" w:eastAsia="Times New Roman" w:cs="Times New Roman"/>
                <w:spacing w:val="17"/>
                <w:sz w:val="20"/>
                <w:szCs w:val="20"/>
              </w:rPr>
              <w:t xml:space="preserve"> </w:t>
            </w:r>
            <w:r>
              <w:rPr>
                <w:rFonts w:ascii="宋体" w:hAnsi="宋体" w:eastAsia="宋体" w:cs="宋体"/>
                <w:spacing w:val="6"/>
                <w:sz w:val="20"/>
                <w:szCs w:val="20"/>
              </w:rPr>
              <w:t>万</w:t>
            </w:r>
            <w:r>
              <w:rPr>
                <w:rFonts w:ascii="宋体" w:hAnsi="宋体" w:eastAsia="宋体" w:cs="宋体"/>
                <w:spacing w:val="-46"/>
                <w:sz w:val="20"/>
                <w:szCs w:val="20"/>
              </w:rPr>
              <w:t xml:space="preserve"> </w:t>
            </w:r>
            <w:r>
              <w:rPr>
                <w:rFonts w:ascii="Times New Roman" w:hAnsi="Times New Roman" w:eastAsia="Times New Roman" w:cs="Times New Roman"/>
                <w:spacing w:val="6"/>
                <w:sz w:val="20"/>
                <w:szCs w:val="20"/>
              </w:rPr>
              <w:t>m³</w:t>
            </w:r>
            <w:r>
              <w:rPr>
                <w:rFonts w:ascii="Times New Roman" w:hAnsi="Times New Roman" w:eastAsia="Times New Roman" w:cs="Times New Roman"/>
                <w:spacing w:val="-34"/>
                <w:sz w:val="20"/>
                <w:szCs w:val="20"/>
              </w:rPr>
              <w:t xml:space="preserve"> </w:t>
            </w:r>
            <w:r>
              <w:rPr>
                <w:rFonts w:ascii="宋体" w:hAnsi="宋体" w:eastAsia="宋体" w:cs="宋体"/>
                <w:spacing w:val="6"/>
                <w:sz w:val="20"/>
                <w:szCs w:val="20"/>
              </w:rPr>
              <w:t>免漆生态板及深加</w:t>
            </w:r>
            <w:r>
              <w:rPr>
                <w:rFonts w:ascii="宋体" w:hAnsi="宋体" w:eastAsia="宋体" w:cs="宋体"/>
                <w:spacing w:val="4"/>
                <w:sz w:val="20"/>
                <w:szCs w:val="20"/>
              </w:rPr>
              <w:t>工生产线项目于</w:t>
            </w:r>
            <w:r>
              <w:rPr>
                <w:rFonts w:ascii="宋体" w:hAnsi="宋体" w:eastAsia="宋体" w:cs="宋体"/>
                <w:spacing w:val="-43"/>
                <w:sz w:val="20"/>
                <w:szCs w:val="20"/>
              </w:rPr>
              <w:t xml:space="preserve"> </w:t>
            </w:r>
            <w:r>
              <w:rPr>
                <w:rFonts w:ascii="Times New Roman" w:hAnsi="Times New Roman" w:eastAsia="Times New Roman" w:cs="Times New Roman"/>
                <w:spacing w:val="4"/>
                <w:sz w:val="20"/>
                <w:szCs w:val="20"/>
              </w:rPr>
              <w:t xml:space="preserve">2024 </w:t>
            </w:r>
            <w:r>
              <w:rPr>
                <w:rFonts w:ascii="宋体" w:hAnsi="宋体" w:eastAsia="宋体" w:cs="宋体"/>
                <w:spacing w:val="4"/>
                <w:sz w:val="20"/>
                <w:szCs w:val="20"/>
              </w:rPr>
              <w:t>年建成，并于</w:t>
            </w:r>
            <w:r>
              <w:rPr>
                <w:rFonts w:ascii="宋体" w:hAnsi="宋体" w:eastAsia="宋体" w:cs="宋体"/>
                <w:spacing w:val="-41"/>
                <w:sz w:val="20"/>
                <w:szCs w:val="20"/>
              </w:rPr>
              <w:t xml:space="preserve"> </w:t>
            </w:r>
            <w:r>
              <w:rPr>
                <w:rFonts w:ascii="Times New Roman" w:hAnsi="Times New Roman" w:eastAsia="Times New Roman" w:cs="Times New Roman"/>
                <w:spacing w:val="4"/>
                <w:sz w:val="20"/>
                <w:szCs w:val="20"/>
              </w:rPr>
              <w:t>2024</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年</w:t>
            </w:r>
            <w:r>
              <w:rPr>
                <w:rFonts w:ascii="宋体" w:hAnsi="宋体" w:eastAsia="宋体" w:cs="宋体"/>
                <w:spacing w:val="-23"/>
                <w:sz w:val="20"/>
                <w:szCs w:val="20"/>
              </w:rPr>
              <w:t xml:space="preserve"> </w:t>
            </w:r>
            <w:r>
              <w:rPr>
                <w:rFonts w:ascii="Times New Roman" w:hAnsi="Times New Roman" w:eastAsia="Times New Roman" w:cs="Times New Roman"/>
                <w:spacing w:val="3"/>
                <w:sz w:val="20"/>
                <w:szCs w:val="20"/>
              </w:rPr>
              <w:t>1</w:t>
            </w:r>
            <w:r>
              <w:rPr>
                <w:rFonts w:ascii="Times New Roman" w:hAnsi="Times New Roman" w:eastAsia="Times New Roman" w:cs="Times New Roman"/>
                <w:spacing w:val="17"/>
                <w:w w:val="101"/>
                <w:sz w:val="20"/>
                <w:szCs w:val="20"/>
              </w:rPr>
              <w:t xml:space="preserve"> </w:t>
            </w:r>
            <w:r>
              <w:rPr>
                <w:rFonts w:ascii="宋体" w:hAnsi="宋体" w:eastAsia="宋体" w:cs="宋体"/>
                <w:spacing w:val="3"/>
                <w:sz w:val="20"/>
                <w:szCs w:val="20"/>
              </w:rPr>
              <w:t>月</w:t>
            </w:r>
            <w:r>
              <w:rPr>
                <w:rFonts w:ascii="宋体" w:hAnsi="宋体" w:eastAsia="宋体" w:cs="宋体"/>
                <w:spacing w:val="-39"/>
                <w:sz w:val="20"/>
                <w:szCs w:val="20"/>
              </w:rPr>
              <w:t xml:space="preserve"> </w:t>
            </w:r>
            <w:r>
              <w:rPr>
                <w:rFonts w:ascii="Times New Roman" w:hAnsi="Times New Roman" w:eastAsia="Times New Roman" w:cs="Times New Roman"/>
                <w:spacing w:val="3"/>
                <w:sz w:val="20"/>
                <w:szCs w:val="20"/>
              </w:rPr>
              <w:t xml:space="preserve">30  </w:t>
            </w:r>
            <w:r>
              <w:rPr>
                <w:rFonts w:ascii="宋体" w:hAnsi="宋体" w:eastAsia="宋体" w:cs="宋体"/>
                <w:spacing w:val="3"/>
                <w:sz w:val="20"/>
                <w:szCs w:val="20"/>
              </w:rPr>
              <w:t>日完成</w:t>
            </w:r>
            <w:r>
              <w:rPr>
                <w:rFonts w:ascii="宋体" w:hAnsi="宋体" w:eastAsia="宋体" w:cs="宋体"/>
                <w:spacing w:val="11"/>
                <w:sz w:val="20"/>
                <w:szCs w:val="20"/>
              </w:rPr>
              <w:t>了竣工环保验收监测工作并通过</w:t>
            </w:r>
            <w:r>
              <w:rPr>
                <w:rFonts w:ascii="Times New Roman" w:hAnsi="Times New Roman" w:eastAsia="Times New Roman" w:cs="Times New Roman"/>
                <w:spacing w:val="11"/>
                <w:sz w:val="20"/>
                <w:szCs w:val="20"/>
              </w:rPr>
              <w:t>“</w:t>
            </w:r>
            <w:r>
              <w:rPr>
                <w:rFonts w:ascii="宋体" w:hAnsi="宋体" w:eastAsia="宋体" w:cs="宋体"/>
                <w:spacing w:val="11"/>
                <w:sz w:val="20"/>
                <w:szCs w:val="20"/>
              </w:rPr>
              <w:t>三同时</w:t>
            </w:r>
            <w:r>
              <w:rPr>
                <w:rFonts w:ascii="Times New Roman" w:hAnsi="Times New Roman" w:eastAsia="Times New Roman" w:cs="Times New Roman"/>
                <w:spacing w:val="11"/>
                <w:sz w:val="20"/>
                <w:szCs w:val="20"/>
              </w:rPr>
              <w:t>”</w:t>
            </w:r>
            <w:r>
              <w:rPr>
                <w:rFonts w:ascii="宋体" w:hAnsi="宋体" w:eastAsia="宋体" w:cs="宋体"/>
                <w:spacing w:val="11"/>
                <w:sz w:val="20"/>
                <w:szCs w:val="20"/>
              </w:rPr>
              <w:t>竣工环保验收。</w:t>
            </w:r>
          </w:p>
        </w:tc>
        <w:tc>
          <w:tcPr>
            <w:tcW w:w="127" w:type="dxa"/>
            <w:tcBorders>
              <w:top w:val="nil"/>
              <w:bottom w:val="nil"/>
              <w:right w:val="single" w:color="000000" w:sz="6" w:space="0"/>
            </w:tcBorders>
            <w:vAlign w:val="top"/>
          </w:tcPr>
          <w:p w14:paraId="0066D9D0">
            <w:pPr>
              <w:rPr>
                <w:rFonts w:ascii="Arial"/>
                <w:sz w:val="21"/>
              </w:rPr>
            </w:pPr>
          </w:p>
        </w:tc>
      </w:tr>
      <w:tr w14:paraId="756A1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6" w:hRule="atLeast"/>
        </w:trPr>
        <w:tc>
          <w:tcPr>
            <w:tcW w:w="428" w:type="dxa"/>
            <w:vMerge w:val="continue"/>
            <w:tcBorders>
              <w:top w:val="nil"/>
              <w:left w:val="single" w:color="000000" w:sz="6" w:space="0"/>
              <w:bottom w:val="nil"/>
            </w:tcBorders>
            <w:textDirection w:val="tbRlV"/>
            <w:vAlign w:val="top"/>
          </w:tcPr>
          <w:p w14:paraId="13AB22B9">
            <w:pPr>
              <w:rPr>
                <w:rFonts w:ascii="Arial"/>
                <w:sz w:val="21"/>
              </w:rPr>
            </w:pPr>
          </w:p>
        </w:tc>
        <w:tc>
          <w:tcPr>
            <w:tcW w:w="114" w:type="dxa"/>
            <w:tcBorders>
              <w:top w:val="nil"/>
              <w:bottom w:val="nil"/>
            </w:tcBorders>
            <w:vAlign w:val="top"/>
          </w:tcPr>
          <w:p w14:paraId="5A559445">
            <w:pPr>
              <w:rPr>
                <w:rFonts w:ascii="Arial"/>
                <w:sz w:val="21"/>
              </w:rPr>
            </w:pPr>
          </w:p>
        </w:tc>
        <w:tc>
          <w:tcPr>
            <w:tcW w:w="719" w:type="dxa"/>
            <w:gridSpan w:val="2"/>
            <w:vAlign w:val="top"/>
          </w:tcPr>
          <w:p w14:paraId="5C6FCBE9">
            <w:pPr>
              <w:spacing w:line="277" w:lineRule="auto"/>
              <w:rPr>
                <w:rFonts w:ascii="Arial"/>
                <w:sz w:val="21"/>
              </w:rPr>
            </w:pPr>
          </w:p>
          <w:p w14:paraId="4CD63AAB">
            <w:pPr>
              <w:spacing w:line="277" w:lineRule="auto"/>
              <w:rPr>
                <w:rFonts w:ascii="Arial"/>
                <w:sz w:val="21"/>
              </w:rPr>
            </w:pPr>
          </w:p>
          <w:p w14:paraId="466867E8">
            <w:pPr>
              <w:spacing w:line="278" w:lineRule="auto"/>
              <w:rPr>
                <w:rFonts w:ascii="Arial"/>
                <w:sz w:val="21"/>
              </w:rPr>
            </w:pPr>
          </w:p>
          <w:p w14:paraId="10E386A6">
            <w:pPr>
              <w:spacing w:before="58" w:line="195" w:lineRule="auto"/>
              <w:ind w:left="30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890" w:type="dxa"/>
            <w:vMerge w:val="continue"/>
            <w:tcBorders>
              <w:top w:val="nil"/>
            </w:tcBorders>
            <w:vAlign w:val="top"/>
          </w:tcPr>
          <w:p w14:paraId="5A61DB1F">
            <w:pPr>
              <w:rPr>
                <w:rFonts w:ascii="Arial"/>
                <w:sz w:val="21"/>
              </w:rPr>
            </w:pPr>
          </w:p>
        </w:tc>
        <w:tc>
          <w:tcPr>
            <w:tcW w:w="1167" w:type="dxa"/>
            <w:gridSpan w:val="2"/>
            <w:vAlign w:val="top"/>
          </w:tcPr>
          <w:p w14:paraId="6F624C10">
            <w:pPr>
              <w:spacing w:line="260" w:lineRule="auto"/>
              <w:rPr>
                <w:rFonts w:ascii="Arial"/>
                <w:sz w:val="21"/>
              </w:rPr>
            </w:pPr>
          </w:p>
          <w:p w14:paraId="3B7576F9">
            <w:pPr>
              <w:spacing w:line="261" w:lineRule="auto"/>
              <w:rPr>
                <w:rFonts w:ascii="Arial"/>
                <w:sz w:val="21"/>
              </w:rPr>
            </w:pPr>
          </w:p>
          <w:p w14:paraId="1217583A">
            <w:pPr>
              <w:spacing w:line="261" w:lineRule="auto"/>
              <w:rPr>
                <w:rFonts w:ascii="Arial"/>
                <w:sz w:val="21"/>
              </w:rPr>
            </w:pPr>
          </w:p>
          <w:p w14:paraId="319178C2">
            <w:pPr>
              <w:spacing w:before="65" w:line="228" w:lineRule="auto"/>
              <w:ind w:left="165"/>
              <w:rPr>
                <w:rFonts w:ascii="宋体" w:hAnsi="宋体" w:eastAsia="宋体" w:cs="宋体"/>
                <w:sz w:val="20"/>
                <w:szCs w:val="20"/>
              </w:rPr>
            </w:pPr>
            <w:r>
              <w:rPr>
                <w:rFonts w:ascii="宋体" w:hAnsi="宋体" w:eastAsia="宋体" w:cs="宋体"/>
                <w:spacing w:val="7"/>
                <w:sz w:val="20"/>
                <w:szCs w:val="20"/>
              </w:rPr>
              <w:t>应急预案</w:t>
            </w:r>
          </w:p>
        </w:tc>
        <w:tc>
          <w:tcPr>
            <w:tcW w:w="5619" w:type="dxa"/>
            <w:gridSpan w:val="2"/>
            <w:vAlign w:val="top"/>
          </w:tcPr>
          <w:p w14:paraId="5D9EEECC">
            <w:pPr>
              <w:spacing w:before="35" w:line="228" w:lineRule="auto"/>
              <w:ind w:left="115"/>
              <w:rPr>
                <w:rFonts w:ascii="宋体" w:hAnsi="宋体" w:eastAsia="宋体" w:cs="宋体"/>
                <w:sz w:val="20"/>
                <w:szCs w:val="20"/>
              </w:rPr>
            </w:pPr>
            <w:r>
              <w:rPr>
                <w:rFonts w:ascii="宋体" w:hAnsi="宋体" w:eastAsia="宋体" w:cs="宋体"/>
                <w:spacing w:val="3"/>
                <w:sz w:val="20"/>
                <w:szCs w:val="20"/>
              </w:rPr>
              <w:t>于</w:t>
            </w:r>
            <w:r>
              <w:rPr>
                <w:rFonts w:ascii="宋体" w:hAnsi="宋体" w:eastAsia="宋体" w:cs="宋体"/>
                <w:spacing w:val="-31"/>
                <w:sz w:val="20"/>
                <w:szCs w:val="20"/>
              </w:rPr>
              <w:t xml:space="preserve"> </w:t>
            </w:r>
            <w:r>
              <w:rPr>
                <w:rFonts w:ascii="Times New Roman" w:hAnsi="Times New Roman" w:eastAsia="Times New Roman" w:cs="Times New Roman"/>
                <w:spacing w:val="3"/>
                <w:sz w:val="20"/>
                <w:szCs w:val="20"/>
              </w:rPr>
              <w:t xml:space="preserve">2024 </w:t>
            </w:r>
            <w:r>
              <w:rPr>
                <w:rFonts w:ascii="宋体" w:hAnsi="宋体" w:eastAsia="宋体" w:cs="宋体"/>
                <w:spacing w:val="3"/>
                <w:sz w:val="20"/>
                <w:szCs w:val="20"/>
              </w:rPr>
              <w:t>年</w:t>
            </w:r>
            <w:r>
              <w:rPr>
                <w:rFonts w:ascii="宋体" w:hAnsi="宋体" w:eastAsia="宋体" w:cs="宋体"/>
                <w:spacing w:val="-37"/>
                <w:sz w:val="20"/>
                <w:szCs w:val="20"/>
              </w:rPr>
              <w:t xml:space="preserve"> </w:t>
            </w:r>
            <w:r>
              <w:rPr>
                <w:rFonts w:ascii="Times New Roman" w:hAnsi="Times New Roman" w:eastAsia="Times New Roman" w:cs="Times New Roman"/>
                <w:spacing w:val="3"/>
                <w:sz w:val="20"/>
                <w:szCs w:val="20"/>
              </w:rPr>
              <w:t>3</w:t>
            </w:r>
            <w:r>
              <w:rPr>
                <w:rFonts w:ascii="Times New Roman" w:hAnsi="Times New Roman" w:eastAsia="Times New Roman" w:cs="Times New Roman"/>
                <w:spacing w:val="15"/>
                <w:sz w:val="20"/>
                <w:szCs w:val="20"/>
              </w:rPr>
              <w:t xml:space="preserve"> </w:t>
            </w:r>
            <w:r>
              <w:rPr>
                <w:rFonts w:ascii="宋体" w:hAnsi="宋体" w:eastAsia="宋体" w:cs="宋体"/>
                <w:spacing w:val="3"/>
                <w:sz w:val="20"/>
                <w:szCs w:val="20"/>
              </w:rPr>
              <w:t>月</w:t>
            </w:r>
            <w:r>
              <w:rPr>
                <w:rFonts w:ascii="宋体" w:hAnsi="宋体" w:eastAsia="宋体" w:cs="宋体"/>
                <w:spacing w:val="-41"/>
                <w:sz w:val="20"/>
                <w:szCs w:val="20"/>
              </w:rPr>
              <w:t xml:space="preserve"> </w:t>
            </w:r>
            <w:r>
              <w:rPr>
                <w:rFonts w:ascii="Times New Roman" w:hAnsi="Times New Roman" w:eastAsia="Times New Roman" w:cs="Times New Roman"/>
                <w:spacing w:val="3"/>
                <w:sz w:val="20"/>
                <w:szCs w:val="20"/>
              </w:rPr>
              <w:t xml:space="preserve">20  </w:t>
            </w:r>
            <w:r>
              <w:rPr>
                <w:rFonts w:ascii="宋体" w:hAnsi="宋体" w:eastAsia="宋体" w:cs="宋体"/>
                <w:spacing w:val="3"/>
                <w:sz w:val="20"/>
                <w:szCs w:val="20"/>
              </w:rPr>
              <w:t>日《昆明欧铂瑞木制品有限公司突发环境</w:t>
            </w:r>
          </w:p>
          <w:p w14:paraId="3EF4D985">
            <w:pPr>
              <w:spacing w:before="161" w:line="228" w:lineRule="auto"/>
              <w:ind w:left="508"/>
              <w:rPr>
                <w:rFonts w:ascii="宋体" w:hAnsi="宋体" w:eastAsia="宋体" w:cs="宋体"/>
                <w:sz w:val="20"/>
                <w:szCs w:val="20"/>
              </w:rPr>
            </w:pPr>
            <w:r>
              <w:rPr>
                <w:rFonts w:ascii="宋体" w:hAnsi="宋体" w:eastAsia="宋体" w:cs="宋体"/>
                <w:spacing w:val="9"/>
                <w:sz w:val="20"/>
                <w:szCs w:val="20"/>
              </w:rPr>
              <w:t>事件应急预案》进行备案，并取得备案证：备案号</w:t>
            </w:r>
          </w:p>
          <w:p w14:paraId="4B6DF49D">
            <w:pPr>
              <w:spacing w:before="163" w:line="228" w:lineRule="auto"/>
              <w:ind w:left="114"/>
              <w:rPr>
                <w:rFonts w:ascii="宋体" w:hAnsi="宋体" w:eastAsia="宋体" w:cs="宋体"/>
                <w:sz w:val="20"/>
                <w:szCs w:val="20"/>
              </w:rPr>
            </w:pPr>
            <w:r>
              <w:rPr>
                <w:rFonts w:ascii="Times New Roman" w:hAnsi="Times New Roman" w:eastAsia="Times New Roman" w:cs="Times New Roman"/>
                <w:spacing w:val="2"/>
                <w:sz w:val="20"/>
                <w:szCs w:val="20"/>
              </w:rPr>
              <w:t>530-</w:t>
            </w:r>
            <w:r>
              <w:rPr>
                <w:rFonts w:ascii="Times New Roman" w:hAnsi="Times New Roman" w:eastAsia="Times New Roman" w:cs="Times New Roman"/>
                <w:spacing w:val="-15"/>
                <w:sz w:val="20"/>
                <w:szCs w:val="20"/>
              </w:rPr>
              <w:t xml:space="preserve"> </w:t>
            </w:r>
            <w:r>
              <w:rPr>
                <w:rFonts w:ascii="Times New Roman" w:hAnsi="Times New Roman" w:eastAsia="Times New Roman" w:cs="Times New Roman"/>
                <w:spacing w:val="2"/>
                <w:sz w:val="20"/>
                <w:szCs w:val="20"/>
              </w:rPr>
              <w:t>129-2024-016-L</w:t>
            </w:r>
            <w:r>
              <w:rPr>
                <w:rFonts w:ascii="宋体" w:hAnsi="宋体" w:eastAsia="宋体" w:cs="宋体"/>
                <w:spacing w:val="2"/>
                <w:sz w:val="20"/>
                <w:szCs w:val="20"/>
              </w:rPr>
              <w:t>。于</w:t>
            </w:r>
            <w:r>
              <w:rPr>
                <w:rFonts w:ascii="宋体" w:hAnsi="宋体" w:eastAsia="宋体" w:cs="宋体"/>
                <w:spacing w:val="-43"/>
                <w:sz w:val="20"/>
                <w:szCs w:val="20"/>
              </w:rPr>
              <w:t xml:space="preserve"> </w:t>
            </w:r>
            <w:r>
              <w:rPr>
                <w:rFonts w:ascii="Times New Roman" w:hAnsi="Times New Roman" w:eastAsia="Times New Roman" w:cs="Times New Roman"/>
                <w:spacing w:val="2"/>
                <w:sz w:val="20"/>
                <w:szCs w:val="20"/>
              </w:rPr>
              <w:t xml:space="preserve">2025 </w:t>
            </w:r>
            <w:r>
              <w:rPr>
                <w:rFonts w:ascii="宋体" w:hAnsi="宋体" w:eastAsia="宋体" w:cs="宋体"/>
                <w:spacing w:val="2"/>
                <w:sz w:val="20"/>
                <w:szCs w:val="20"/>
              </w:rPr>
              <w:t>年</w:t>
            </w:r>
            <w:r>
              <w:rPr>
                <w:rFonts w:ascii="宋体" w:hAnsi="宋体" w:eastAsia="宋体" w:cs="宋体"/>
                <w:spacing w:val="-38"/>
                <w:sz w:val="20"/>
                <w:szCs w:val="20"/>
              </w:rPr>
              <w:t xml:space="preserve"> </w:t>
            </w:r>
            <w:r>
              <w:rPr>
                <w:rFonts w:ascii="Times New Roman" w:hAnsi="Times New Roman" w:eastAsia="Times New Roman" w:cs="Times New Roman"/>
                <w:spacing w:val="2"/>
                <w:sz w:val="20"/>
                <w:szCs w:val="20"/>
              </w:rPr>
              <w:t>6</w:t>
            </w:r>
            <w:r>
              <w:rPr>
                <w:rFonts w:ascii="Times New Roman" w:hAnsi="Times New Roman" w:eastAsia="Times New Roman" w:cs="Times New Roman"/>
                <w:spacing w:val="17"/>
                <w:w w:val="101"/>
                <w:sz w:val="20"/>
                <w:szCs w:val="20"/>
              </w:rPr>
              <w:t xml:space="preserve"> </w:t>
            </w:r>
            <w:r>
              <w:rPr>
                <w:rFonts w:ascii="宋体" w:hAnsi="宋体" w:eastAsia="宋体" w:cs="宋体"/>
                <w:spacing w:val="2"/>
                <w:sz w:val="20"/>
                <w:szCs w:val="20"/>
              </w:rPr>
              <w:t>月</w:t>
            </w:r>
            <w:r>
              <w:rPr>
                <w:rFonts w:ascii="宋体" w:hAnsi="宋体" w:eastAsia="宋体" w:cs="宋体"/>
                <w:spacing w:val="-39"/>
                <w:sz w:val="20"/>
                <w:szCs w:val="20"/>
              </w:rPr>
              <w:t xml:space="preserve"> </w:t>
            </w:r>
            <w:r>
              <w:rPr>
                <w:rFonts w:ascii="Times New Roman" w:hAnsi="Times New Roman" w:eastAsia="Times New Roman" w:cs="Times New Roman"/>
                <w:spacing w:val="2"/>
                <w:sz w:val="20"/>
                <w:szCs w:val="20"/>
              </w:rPr>
              <w:t xml:space="preserve">9  </w:t>
            </w:r>
            <w:r>
              <w:rPr>
                <w:rFonts w:ascii="宋体" w:hAnsi="宋体" w:eastAsia="宋体" w:cs="宋体"/>
                <w:spacing w:val="2"/>
                <w:sz w:val="20"/>
                <w:szCs w:val="20"/>
              </w:rPr>
              <w:t>日针对昆明欧铂瑞木</w:t>
            </w:r>
          </w:p>
          <w:p w14:paraId="51FC91CF">
            <w:pPr>
              <w:spacing w:before="161" w:line="227" w:lineRule="auto"/>
              <w:ind w:left="194"/>
              <w:rPr>
                <w:rFonts w:ascii="宋体" w:hAnsi="宋体" w:eastAsia="宋体" w:cs="宋体"/>
                <w:sz w:val="20"/>
                <w:szCs w:val="20"/>
              </w:rPr>
            </w:pPr>
            <w:r>
              <w:rPr>
                <w:rFonts w:ascii="宋体" w:hAnsi="宋体" w:eastAsia="宋体" w:cs="宋体"/>
                <w:spacing w:val="9"/>
                <w:sz w:val="20"/>
                <w:szCs w:val="20"/>
              </w:rPr>
              <w:t>制品有限公司厂区危废暂存间废机油泄漏事故应急处置进</w:t>
            </w:r>
          </w:p>
          <w:p w14:paraId="14B3D7E2">
            <w:pPr>
              <w:spacing w:before="162" w:line="228" w:lineRule="auto"/>
              <w:ind w:left="2402"/>
              <w:rPr>
                <w:rFonts w:ascii="宋体" w:hAnsi="宋体" w:eastAsia="宋体" w:cs="宋体"/>
                <w:sz w:val="20"/>
                <w:szCs w:val="20"/>
              </w:rPr>
            </w:pPr>
            <w:r>
              <w:rPr>
                <w:rFonts w:ascii="宋体" w:hAnsi="宋体" w:eastAsia="宋体" w:cs="宋体"/>
                <w:spacing w:val="4"/>
                <w:sz w:val="20"/>
                <w:szCs w:val="20"/>
              </w:rPr>
              <w:t>行演练。</w:t>
            </w:r>
          </w:p>
        </w:tc>
        <w:tc>
          <w:tcPr>
            <w:tcW w:w="127" w:type="dxa"/>
            <w:tcBorders>
              <w:top w:val="nil"/>
              <w:bottom w:val="nil"/>
              <w:right w:val="single" w:color="000000" w:sz="6" w:space="0"/>
            </w:tcBorders>
            <w:vAlign w:val="top"/>
          </w:tcPr>
          <w:p w14:paraId="34E94F63">
            <w:pPr>
              <w:rPr>
                <w:rFonts w:ascii="Arial"/>
                <w:sz w:val="21"/>
              </w:rPr>
            </w:pPr>
          </w:p>
        </w:tc>
      </w:tr>
      <w:tr w14:paraId="24CBF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6" w:hRule="atLeast"/>
        </w:trPr>
        <w:tc>
          <w:tcPr>
            <w:tcW w:w="428" w:type="dxa"/>
            <w:vMerge w:val="continue"/>
            <w:tcBorders>
              <w:top w:val="nil"/>
              <w:left w:val="single" w:color="000000" w:sz="6" w:space="0"/>
              <w:bottom w:val="nil"/>
            </w:tcBorders>
            <w:textDirection w:val="tbRlV"/>
            <w:vAlign w:val="top"/>
          </w:tcPr>
          <w:p w14:paraId="3BD4D1DF">
            <w:pPr>
              <w:rPr>
                <w:rFonts w:ascii="Arial"/>
                <w:sz w:val="21"/>
              </w:rPr>
            </w:pPr>
          </w:p>
        </w:tc>
        <w:tc>
          <w:tcPr>
            <w:tcW w:w="8636" w:type="dxa"/>
            <w:gridSpan w:val="9"/>
            <w:tcBorders>
              <w:right w:val="single" w:color="000000" w:sz="6" w:space="0"/>
            </w:tcBorders>
            <w:vAlign w:val="top"/>
          </w:tcPr>
          <w:p w14:paraId="1A0E9BB8">
            <w:pPr>
              <w:spacing w:before="41" w:line="220" w:lineRule="auto"/>
              <w:ind w:left="583"/>
              <w:rPr>
                <w:rFonts w:ascii="宋体" w:hAnsi="宋体" w:eastAsia="宋体" w:cs="宋体"/>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33"/>
                <w:sz w:val="24"/>
                <w:szCs w:val="24"/>
              </w:rPr>
              <w:t xml:space="preserve"> </w:t>
            </w:r>
            <w:r>
              <w:rPr>
                <w:rFonts w:ascii="宋体" w:hAnsi="宋体" w:eastAsia="宋体" w:cs="宋体"/>
                <w:b/>
                <w:bCs/>
                <w:spacing w:val="-5"/>
                <w:sz w:val="24"/>
                <w:szCs w:val="24"/>
              </w:rPr>
              <w:t>、现有工程组成情况</w:t>
            </w:r>
          </w:p>
          <w:p w14:paraId="65FAF8B5">
            <w:pPr>
              <w:spacing w:before="182" w:line="357" w:lineRule="auto"/>
              <w:ind w:left="109" w:right="104" w:firstLine="479"/>
              <w:rPr>
                <w:rFonts w:ascii="宋体" w:hAnsi="宋体" w:eastAsia="宋体" w:cs="宋体"/>
                <w:sz w:val="24"/>
                <w:szCs w:val="24"/>
              </w:rPr>
            </w:pPr>
            <w:r>
              <w:rPr>
                <w:rFonts w:ascii="宋体" w:hAnsi="宋体" w:eastAsia="宋体" w:cs="宋体"/>
                <w:sz w:val="24"/>
                <w:szCs w:val="24"/>
              </w:rPr>
              <w:t>现有项目工程主要由主体工程、辅助工程、公用工程和环保工程组成。现状</w:t>
            </w:r>
            <w:r>
              <w:rPr>
                <w:rFonts w:ascii="宋体" w:hAnsi="宋体" w:eastAsia="宋体" w:cs="宋体"/>
                <w:spacing w:val="-2"/>
                <w:sz w:val="24"/>
                <w:szCs w:val="24"/>
              </w:rPr>
              <w:t>组成情况见表</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2-8</w:t>
            </w:r>
            <w:r>
              <w:rPr>
                <w:rFonts w:ascii="宋体" w:hAnsi="宋体" w:eastAsia="宋体" w:cs="宋体"/>
                <w:spacing w:val="-2"/>
                <w:sz w:val="24"/>
                <w:szCs w:val="24"/>
              </w:rPr>
              <w:t>。</w:t>
            </w:r>
          </w:p>
          <w:p w14:paraId="48ECF9EE">
            <w:pPr>
              <w:spacing w:line="209" w:lineRule="auto"/>
              <w:ind w:left="2991"/>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32"/>
                <w:sz w:val="20"/>
                <w:szCs w:val="20"/>
              </w:rPr>
              <w:t xml:space="preserve"> </w:t>
            </w:r>
            <w:r>
              <w:rPr>
                <w:rFonts w:ascii="Times New Roman" w:hAnsi="Times New Roman" w:eastAsia="Times New Roman" w:cs="Times New Roman"/>
                <w:b/>
                <w:bCs/>
                <w:spacing w:val="5"/>
                <w:sz w:val="20"/>
                <w:szCs w:val="20"/>
              </w:rPr>
              <w:t xml:space="preserve">2-8    </w:t>
            </w:r>
            <w:r>
              <w:rPr>
                <w:rFonts w:ascii="宋体" w:hAnsi="宋体" w:eastAsia="宋体" w:cs="宋体"/>
                <w:b/>
                <w:bCs/>
                <w:spacing w:val="5"/>
                <w:sz w:val="20"/>
                <w:szCs w:val="20"/>
              </w:rPr>
              <w:t>现有工程组成一览表</w:t>
            </w:r>
          </w:p>
        </w:tc>
      </w:tr>
      <w:tr w14:paraId="29587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textDirection w:val="tbRlV"/>
            <w:vAlign w:val="top"/>
          </w:tcPr>
          <w:p w14:paraId="60140A0B">
            <w:pPr>
              <w:rPr>
                <w:rFonts w:ascii="Arial"/>
                <w:sz w:val="21"/>
              </w:rPr>
            </w:pPr>
          </w:p>
        </w:tc>
        <w:tc>
          <w:tcPr>
            <w:tcW w:w="114" w:type="dxa"/>
            <w:tcBorders>
              <w:top w:val="nil"/>
              <w:bottom w:val="nil"/>
            </w:tcBorders>
            <w:vAlign w:val="top"/>
          </w:tcPr>
          <w:p w14:paraId="578143B7">
            <w:pPr>
              <w:rPr>
                <w:rFonts w:ascii="Arial"/>
                <w:sz w:val="21"/>
              </w:rPr>
            </w:pPr>
          </w:p>
        </w:tc>
        <w:tc>
          <w:tcPr>
            <w:tcW w:w="1825" w:type="dxa"/>
            <w:gridSpan w:val="4"/>
            <w:vAlign w:val="top"/>
          </w:tcPr>
          <w:p w14:paraId="46A7E1C0">
            <w:pPr>
              <w:spacing w:before="38" w:line="228" w:lineRule="auto"/>
              <w:ind w:left="493"/>
              <w:rPr>
                <w:rFonts w:ascii="宋体" w:hAnsi="宋体" w:eastAsia="宋体" w:cs="宋体"/>
                <w:sz w:val="20"/>
                <w:szCs w:val="20"/>
              </w:rPr>
            </w:pPr>
            <w:r>
              <w:rPr>
                <w:rFonts w:ascii="宋体" w:hAnsi="宋体" w:eastAsia="宋体" w:cs="宋体"/>
                <w:b/>
                <w:bCs/>
                <w:spacing w:val="5"/>
                <w:sz w:val="20"/>
                <w:szCs w:val="20"/>
              </w:rPr>
              <w:t>工程组成</w:t>
            </w:r>
          </w:p>
        </w:tc>
        <w:tc>
          <w:tcPr>
            <w:tcW w:w="4905" w:type="dxa"/>
            <w:gridSpan w:val="2"/>
            <w:vAlign w:val="top"/>
          </w:tcPr>
          <w:p w14:paraId="6208D508">
            <w:pPr>
              <w:spacing w:before="38" w:line="228" w:lineRule="auto"/>
              <w:ind w:left="1511"/>
              <w:rPr>
                <w:rFonts w:ascii="宋体" w:hAnsi="宋体" w:eastAsia="宋体" w:cs="宋体"/>
                <w:sz w:val="20"/>
                <w:szCs w:val="20"/>
              </w:rPr>
            </w:pPr>
            <w:r>
              <w:rPr>
                <w:rFonts w:ascii="宋体" w:hAnsi="宋体" w:eastAsia="宋体" w:cs="宋体"/>
                <w:b/>
                <w:bCs/>
                <w:spacing w:val="7"/>
                <w:sz w:val="20"/>
                <w:szCs w:val="20"/>
              </w:rPr>
              <w:t>现有已建内容及规模</w:t>
            </w:r>
          </w:p>
        </w:tc>
        <w:tc>
          <w:tcPr>
            <w:tcW w:w="1665" w:type="dxa"/>
            <w:vAlign w:val="top"/>
          </w:tcPr>
          <w:p w14:paraId="6B7CE44B">
            <w:pPr>
              <w:spacing w:before="38" w:line="228" w:lineRule="auto"/>
              <w:ind w:left="423"/>
              <w:rPr>
                <w:rFonts w:ascii="宋体" w:hAnsi="宋体" w:eastAsia="宋体" w:cs="宋体"/>
                <w:sz w:val="20"/>
                <w:szCs w:val="20"/>
              </w:rPr>
            </w:pPr>
            <w:r>
              <w:rPr>
                <w:rFonts w:ascii="宋体" w:hAnsi="宋体" w:eastAsia="宋体" w:cs="宋体"/>
                <w:b/>
                <w:bCs/>
                <w:spacing w:val="5"/>
                <w:sz w:val="20"/>
                <w:szCs w:val="20"/>
              </w:rPr>
              <w:t>建设情况</w:t>
            </w:r>
          </w:p>
        </w:tc>
        <w:tc>
          <w:tcPr>
            <w:tcW w:w="127" w:type="dxa"/>
            <w:tcBorders>
              <w:top w:val="nil"/>
              <w:bottom w:val="nil"/>
              <w:right w:val="single" w:color="000000" w:sz="6" w:space="0"/>
            </w:tcBorders>
            <w:vAlign w:val="top"/>
          </w:tcPr>
          <w:p w14:paraId="6369B9B5">
            <w:pPr>
              <w:rPr>
                <w:rFonts w:ascii="Arial"/>
                <w:sz w:val="21"/>
              </w:rPr>
            </w:pPr>
          </w:p>
        </w:tc>
      </w:tr>
      <w:tr w14:paraId="0DC5B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trPr>
        <w:tc>
          <w:tcPr>
            <w:tcW w:w="428" w:type="dxa"/>
            <w:vMerge w:val="continue"/>
            <w:tcBorders>
              <w:top w:val="nil"/>
              <w:left w:val="single" w:color="000000" w:sz="6" w:space="0"/>
              <w:bottom w:val="nil"/>
            </w:tcBorders>
            <w:textDirection w:val="tbRlV"/>
            <w:vAlign w:val="top"/>
          </w:tcPr>
          <w:p w14:paraId="1FD5E18B">
            <w:pPr>
              <w:rPr>
                <w:rFonts w:ascii="Arial"/>
                <w:sz w:val="21"/>
              </w:rPr>
            </w:pPr>
          </w:p>
        </w:tc>
        <w:tc>
          <w:tcPr>
            <w:tcW w:w="114" w:type="dxa"/>
            <w:tcBorders>
              <w:top w:val="nil"/>
              <w:bottom w:val="nil"/>
            </w:tcBorders>
            <w:vAlign w:val="top"/>
          </w:tcPr>
          <w:p w14:paraId="43EE4226">
            <w:pPr>
              <w:rPr>
                <w:rFonts w:ascii="Arial"/>
                <w:sz w:val="21"/>
              </w:rPr>
            </w:pPr>
          </w:p>
        </w:tc>
        <w:tc>
          <w:tcPr>
            <w:tcW w:w="473" w:type="dxa"/>
            <w:vMerge w:val="restart"/>
            <w:tcBorders>
              <w:bottom w:val="nil"/>
            </w:tcBorders>
            <w:textDirection w:val="tbRlV"/>
            <w:vAlign w:val="top"/>
          </w:tcPr>
          <w:p w14:paraId="12BA91B0">
            <w:pPr>
              <w:spacing w:before="136" w:line="217" w:lineRule="auto"/>
              <w:ind w:left="1694"/>
              <w:rPr>
                <w:rFonts w:ascii="宋体" w:hAnsi="宋体" w:eastAsia="宋体" w:cs="宋体"/>
                <w:sz w:val="20"/>
                <w:szCs w:val="20"/>
              </w:rPr>
            </w:pPr>
            <w:r>
              <w:rPr>
                <w:rFonts w:ascii="宋体" w:hAnsi="宋体" w:eastAsia="宋体" w:cs="宋体"/>
                <w:spacing w:val="8"/>
                <w:sz w:val="20"/>
                <w:szCs w:val="20"/>
              </w:rPr>
              <w:t>主</w:t>
            </w:r>
            <w:r>
              <w:rPr>
                <w:rFonts w:ascii="宋体" w:hAnsi="宋体" w:eastAsia="宋体" w:cs="宋体"/>
                <w:spacing w:val="101"/>
                <w:sz w:val="20"/>
                <w:szCs w:val="20"/>
              </w:rPr>
              <w:t xml:space="preserve"> </w:t>
            </w:r>
            <w:r>
              <w:rPr>
                <w:rFonts w:ascii="宋体" w:hAnsi="宋体" w:eastAsia="宋体" w:cs="宋体"/>
                <w:spacing w:val="8"/>
                <w:sz w:val="20"/>
                <w:szCs w:val="20"/>
              </w:rPr>
              <w:t>体</w:t>
            </w:r>
            <w:r>
              <w:rPr>
                <w:rFonts w:ascii="宋体" w:hAnsi="宋体" w:eastAsia="宋体" w:cs="宋体"/>
                <w:spacing w:val="99"/>
                <w:sz w:val="20"/>
                <w:szCs w:val="20"/>
              </w:rPr>
              <w:t xml:space="preserve"> </w:t>
            </w:r>
            <w:r>
              <w:rPr>
                <w:rFonts w:ascii="宋体" w:hAnsi="宋体" w:eastAsia="宋体" w:cs="宋体"/>
                <w:spacing w:val="8"/>
                <w:sz w:val="20"/>
                <w:szCs w:val="20"/>
              </w:rPr>
              <w:t>工</w:t>
            </w:r>
            <w:r>
              <w:rPr>
                <w:rFonts w:ascii="宋体" w:hAnsi="宋体" w:eastAsia="宋体" w:cs="宋体"/>
                <w:spacing w:val="99"/>
                <w:sz w:val="20"/>
                <w:szCs w:val="20"/>
              </w:rPr>
              <w:t xml:space="preserve"> </w:t>
            </w:r>
            <w:r>
              <w:rPr>
                <w:rFonts w:ascii="宋体" w:hAnsi="宋体" w:eastAsia="宋体" w:cs="宋体"/>
                <w:spacing w:val="8"/>
                <w:sz w:val="20"/>
                <w:szCs w:val="20"/>
              </w:rPr>
              <w:t>程</w:t>
            </w:r>
          </w:p>
        </w:tc>
        <w:tc>
          <w:tcPr>
            <w:tcW w:w="1352" w:type="dxa"/>
            <w:gridSpan w:val="3"/>
            <w:vAlign w:val="top"/>
          </w:tcPr>
          <w:p w14:paraId="0DDCCC0B">
            <w:pPr>
              <w:spacing w:line="381" w:lineRule="auto"/>
              <w:rPr>
                <w:rFonts w:ascii="Arial"/>
                <w:sz w:val="21"/>
              </w:rPr>
            </w:pPr>
          </w:p>
          <w:p w14:paraId="1CC0312B">
            <w:pPr>
              <w:spacing w:before="65" w:line="228" w:lineRule="auto"/>
              <w:ind w:left="377"/>
              <w:rPr>
                <w:rFonts w:ascii="宋体" w:hAnsi="宋体" w:eastAsia="宋体" w:cs="宋体"/>
                <w:sz w:val="20"/>
                <w:szCs w:val="20"/>
              </w:rPr>
            </w:pPr>
            <w:r>
              <w:rPr>
                <w:rFonts w:ascii="Times New Roman" w:hAnsi="Times New Roman" w:eastAsia="Times New Roman" w:cs="Times New Roman"/>
                <w:sz w:val="20"/>
                <w:szCs w:val="20"/>
              </w:rPr>
              <w:t>1#</w:t>
            </w:r>
            <w:r>
              <w:rPr>
                <w:rFonts w:ascii="宋体" w:hAnsi="宋体" w:eastAsia="宋体" w:cs="宋体"/>
                <w:sz w:val="20"/>
                <w:szCs w:val="20"/>
              </w:rPr>
              <w:t>厂房</w:t>
            </w:r>
          </w:p>
        </w:tc>
        <w:tc>
          <w:tcPr>
            <w:tcW w:w="4905" w:type="dxa"/>
            <w:gridSpan w:val="2"/>
            <w:vAlign w:val="top"/>
          </w:tcPr>
          <w:p w14:paraId="34E3E2A8">
            <w:pPr>
              <w:spacing w:before="40" w:line="228" w:lineRule="auto"/>
              <w:ind w:left="107"/>
              <w:rPr>
                <w:rFonts w:ascii="宋体" w:hAnsi="宋体" w:eastAsia="宋体" w:cs="宋体"/>
                <w:sz w:val="20"/>
                <w:szCs w:val="20"/>
              </w:rPr>
            </w:pPr>
            <w:r>
              <w:rPr>
                <w:rFonts w:ascii="宋体" w:hAnsi="宋体" w:eastAsia="宋体" w:cs="宋体"/>
                <w:spacing w:val="8"/>
                <w:sz w:val="20"/>
                <w:szCs w:val="20"/>
              </w:rPr>
              <w:t>框架及门式钢架结构，</w:t>
            </w:r>
            <w:r>
              <w:rPr>
                <w:rFonts w:ascii="Times New Roman" w:hAnsi="Times New Roman" w:eastAsia="Times New Roman" w:cs="Times New Roman"/>
                <w:spacing w:val="8"/>
                <w:sz w:val="20"/>
                <w:szCs w:val="20"/>
              </w:rPr>
              <w:t xml:space="preserve">1 </w:t>
            </w:r>
            <w:r>
              <w:rPr>
                <w:rFonts w:ascii="宋体" w:hAnsi="宋体" w:eastAsia="宋体" w:cs="宋体"/>
                <w:spacing w:val="8"/>
                <w:sz w:val="20"/>
                <w:szCs w:val="20"/>
              </w:rPr>
              <w:t>栋</w:t>
            </w:r>
            <w:r>
              <w:rPr>
                <w:rFonts w:ascii="宋体" w:hAnsi="宋体" w:eastAsia="宋体" w:cs="宋体"/>
                <w:spacing w:val="-41"/>
                <w:sz w:val="20"/>
                <w:szCs w:val="20"/>
              </w:rPr>
              <w:t xml:space="preserve"> </w:t>
            </w:r>
            <w:r>
              <w:rPr>
                <w:rFonts w:ascii="Times New Roman" w:hAnsi="Times New Roman" w:eastAsia="Times New Roman" w:cs="Times New Roman"/>
                <w:spacing w:val="8"/>
                <w:sz w:val="20"/>
                <w:szCs w:val="20"/>
              </w:rPr>
              <w:t xml:space="preserve">2 </w:t>
            </w:r>
            <w:r>
              <w:rPr>
                <w:rFonts w:ascii="宋体" w:hAnsi="宋体" w:eastAsia="宋体" w:cs="宋体"/>
                <w:spacing w:val="8"/>
                <w:sz w:val="20"/>
                <w:szCs w:val="20"/>
              </w:rPr>
              <w:t>层，位于公司东北侧，</w:t>
            </w:r>
          </w:p>
          <w:p w14:paraId="59FA58F9">
            <w:pPr>
              <w:spacing w:before="161" w:line="228" w:lineRule="auto"/>
              <w:ind w:left="171"/>
              <w:rPr>
                <w:rFonts w:ascii="宋体" w:hAnsi="宋体" w:eastAsia="宋体" w:cs="宋体"/>
                <w:sz w:val="20"/>
                <w:szCs w:val="20"/>
              </w:rPr>
            </w:pPr>
            <w:r>
              <w:rPr>
                <w:rFonts w:ascii="宋体" w:hAnsi="宋体" w:eastAsia="宋体" w:cs="宋体"/>
                <w:spacing w:val="5"/>
                <w:sz w:val="20"/>
                <w:szCs w:val="20"/>
              </w:rPr>
              <w:t>占地面积为</w:t>
            </w:r>
            <w:r>
              <w:rPr>
                <w:rFonts w:ascii="宋体" w:hAnsi="宋体" w:eastAsia="宋体" w:cs="宋体"/>
                <w:spacing w:val="-29"/>
                <w:sz w:val="20"/>
                <w:szCs w:val="20"/>
              </w:rPr>
              <w:t xml:space="preserve"> </w:t>
            </w:r>
            <w:r>
              <w:rPr>
                <w:rFonts w:ascii="Times New Roman" w:hAnsi="Times New Roman" w:eastAsia="Times New Roman" w:cs="Times New Roman"/>
                <w:spacing w:val="5"/>
                <w:sz w:val="20"/>
                <w:szCs w:val="20"/>
              </w:rPr>
              <w:t>3564.8m</w:t>
            </w:r>
            <w:r>
              <w:rPr>
                <w:rFonts w:ascii="Times New Roman" w:hAnsi="Times New Roman" w:eastAsia="Times New Roman" w:cs="Times New Roman"/>
                <w:spacing w:val="5"/>
                <w:position w:val="6"/>
                <w:sz w:val="13"/>
                <w:szCs w:val="13"/>
              </w:rPr>
              <w:t>2</w:t>
            </w:r>
            <w:r>
              <w:rPr>
                <w:rFonts w:ascii="Times New Roman" w:hAnsi="Times New Roman" w:eastAsia="Times New Roman" w:cs="Times New Roman"/>
                <w:spacing w:val="-9"/>
                <w:position w:val="6"/>
                <w:sz w:val="13"/>
                <w:szCs w:val="13"/>
              </w:rPr>
              <w:t xml:space="preserve"> </w:t>
            </w:r>
            <w:r>
              <w:rPr>
                <w:rFonts w:ascii="宋体" w:hAnsi="宋体" w:eastAsia="宋体" w:cs="宋体"/>
                <w:spacing w:val="5"/>
                <w:sz w:val="20"/>
                <w:szCs w:val="20"/>
              </w:rPr>
              <w:t>，主要用于免漆木门的加工生</w:t>
            </w:r>
          </w:p>
          <w:p w14:paraId="702260A3">
            <w:pPr>
              <w:spacing w:before="160" w:line="228" w:lineRule="auto"/>
              <w:ind w:left="2246"/>
              <w:rPr>
                <w:rFonts w:ascii="宋体" w:hAnsi="宋体" w:eastAsia="宋体" w:cs="宋体"/>
                <w:sz w:val="20"/>
                <w:szCs w:val="20"/>
              </w:rPr>
            </w:pPr>
            <w:r>
              <w:rPr>
                <w:rFonts w:ascii="宋体" w:hAnsi="宋体" w:eastAsia="宋体" w:cs="宋体"/>
                <w:sz w:val="20"/>
                <w:szCs w:val="20"/>
              </w:rPr>
              <w:t>产。</w:t>
            </w:r>
          </w:p>
        </w:tc>
        <w:tc>
          <w:tcPr>
            <w:tcW w:w="1665" w:type="dxa"/>
            <w:vAlign w:val="top"/>
          </w:tcPr>
          <w:p w14:paraId="5DE4871A">
            <w:pPr>
              <w:spacing w:line="381" w:lineRule="auto"/>
              <w:rPr>
                <w:rFonts w:ascii="Arial"/>
                <w:sz w:val="21"/>
              </w:rPr>
            </w:pPr>
          </w:p>
          <w:p w14:paraId="398A8EDB">
            <w:pPr>
              <w:spacing w:before="65"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4D38EC85">
            <w:pPr>
              <w:rPr>
                <w:rFonts w:ascii="Arial"/>
                <w:sz w:val="21"/>
              </w:rPr>
            </w:pPr>
          </w:p>
        </w:tc>
      </w:tr>
      <w:tr w14:paraId="662F4D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428" w:type="dxa"/>
            <w:vMerge w:val="continue"/>
            <w:tcBorders>
              <w:top w:val="nil"/>
              <w:left w:val="single" w:color="000000" w:sz="6" w:space="0"/>
              <w:bottom w:val="nil"/>
            </w:tcBorders>
            <w:textDirection w:val="tbRlV"/>
            <w:vAlign w:val="top"/>
          </w:tcPr>
          <w:p w14:paraId="50885FF0">
            <w:pPr>
              <w:rPr>
                <w:rFonts w:ascii="Arial"/>
                <w:sz w:val="21"/>
              </w:rPr>
            </w:pPr>
          </w:p>
        </w:tc>
        <w:tc>
          <w:tcPr>
            <w:tcW w:w="114" w:type="dxa"/>
            <w:tcBorders>
              <w:top w:val="nil"/>
              <w:bottom w:val="nil"/>
            </w:tcBorders>
            <w:vAlign w:val="top"/>
          </w:tcPr>
          <w:p w14:paraId="5DECEF60">
            <w:pPr>
              <w:rPr>
                <w:rFonts w:ascii="Arial"/>
                <w:sz w:val="21"/>
              </w:rPr>
            </w:pPr>
          </w:p>
        </w:tc>
        <w:tc>
          <w:tcPr>
            <w:tcW w:w="473" w:type="dxa"/>
            <w:vMerge w:val="continue"/>
            <w:tcBorders>
              <w:top w:val="nil"/>
              <w:bottom w:val="nil"/>
            </w:tcBorders>
            <w:textDirection w:val="tbRlV"/>
            <w:vAlign w:val="top"/>
          </w:tcPr>
          <w:p w14:paraId="61294D96">
            <w:pPr>
              <w:rPr>
                <w:rFonts w:ascii="Arial"/>
                <w:sz w:val="21"/>
              </w:rPr>
            </w:pPr>
          </w:p>
        </w:tc>
        <w:tc>
          <w:tcPr>
            <w:tcW w:w="1352" w:type="dxa"/>
            <w:gridSpan w:val="3"/>
            <w:vAlign w:val="top"/>
          </w:tcPr>
          <w:p w14:paraId="2381697E">
            <w:pPr>
              <w:spacing w:before="247" w:line="228" w:lineRule="auto"/>
              <w:ind w:left="361"/>
              <w:rPr>
                <w:rFonts w:ascii="宋体" w:hAnsi="宋体" w:eastAsia="宋体" w:cs="宋体"/>
                <w:sz w:val="20"/>
                <w:szCs w:val="20"/>
              </w:rPr>
            </w:pPr>
            <w:r>
              <w:rPr>
                <w:rFonts w:ascii="Times New Roman" w:hAnsi="Times New Roman" w:eastAsia="Times New Roman" w:cs="Times New Roman"/>
                <w:spacing w:val="4"/>
                <w:sz w:val="20"/>
                <w:szCs w:val="20"/>
              </w:rPr>
              <w:t>6#</w:t>
            </w:r>
            <w:r>
              <w:rPr>
                <w:rFonts w:ascii="宋体" w:hAnsi="宋体" w:eastAsia="宋体" w:cs="宋体"/>
                <w:spacing w:val="4"/>
                <w:sz w:val="20"/>
                <w:szCs w:val="20"/>
              </w:rPr>
              <w:t>厂房</w:t>
            </w:r>
          </w:p>
        </w:tc>
        <w:tc>
          <w:tcPr>
            <w:tcW w:w="4905" w:type="dxa"/>
            <w:gridSpan w:val="2"/>
            <w:vAlign w:val="top"/>
          </w:tcPr>
          <w:p w14:paraId="21938C31">
            <w:pPr>
              <w:spacing w:before="42" w:line="349" w:lineRule="auto"/>
              <w:ind w:left="242" w:right="103" w:hanging="135"/>
              <w:rPr>
                <w:rFonts w:ascii="宋体" w:hAnsi="宋体" w:eastAsia="宋体" w:cs="宋体"/>
                <w:sz w:val="20"/>
                <w:szCs w:val="20"/>
              </w:rPr>
            </w:pPr>
            <w:r>
              <w:rPr>
                <w:rFonts w:ascii="宋体" w:hAnsi="宋体" w:eastAsia="宋体" w:cs="宋体"/>
                <w:spacing w:val="4"/>
                <w:sz w:val="20"/>
                <w:szCs w:val="20"/>
              </w:rPr>
              <w:t>框架及门式钢架结构，</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栋</w:t>
            </w:r>
            <w:r>
              <w:rPr>
                <w:rFonts w:ascii="宋体" w:hAnsi="宋体" w:eastAsia="宋体" w:cs="宋体"/>
                <w:spacing w:val="-12"/>
                <w:sz w:val="20"/>
                <w:szCs w:val="20"/>
              </w:rPr>
              <w:t xml:space="preserve">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层，位于公司中部，占</w:t>
            </w:r>
            <w:r>
              <w:rPr>
                <w:rFonts w:ascii="宋体" w:hAnsi="宋体" w:eastAsia="宋体" w:cs="宋体"/>
                <w:spacing w:val="6"/>
                <w:sz w:val="20"/>
                <w:szCs w:val="20"/>
              </w:rPr>
              <w:t>地面积为</w:t>
            </w:r>
            <w:r>
              <w:rPr>
                <w:rFonts w:ascii="宋体" w:hAnsi="宋体" w:eastAsia="宋体" w:cs="宋体"/>
                <w:spacing w:val="-37"/>
                <w:sz w:val="20"/>
                <w:szCs w:val="20"/>
              </w:rPr>
              <w:t xml:space="preserve"> </w:t>
            </w:r>
            <w:r>
              <w:rPr>
                <w:rFonts w:ascii="Times New Roman" w:hAnsi="Times New Roman" w:eastAsia="Times New Roman" w:cs="Times New Roman"/>
                <w:spacing w:val="6"/>
                <w:sz w:val="20"/>
                <w:szCs w:val="20"/>
              </w:rPr>
              <w:t>6498.8m</w:t>
            </w:r>
            <w:r>
              <w:rPr>
                <w:rFonts w:ascii="Times New Roman" w:hAnsi="Times New Roman" w:eastAsia="Times New Roman" w:cs="Times New Roman"/>
                <w:spacing w:val="6"/>
                <w:position w:val="6"/>
                <w:sz w:val="13"/>
                <w:szCs w:val="13"/>
              </w:rPr>
              <w:t>2</w:t>
            </w:r>
            <w:r>
              <w:rPr>
                <w:rFonts w:ascii="Times New Roman" w:hAnsi="Times New Roman" w:eastAsia="Times New Roman" w:cs="Times New Roman"/>
                <w:spacing w:val="-9"/>
                <w:position w:val="6"/>
                <w:sz w:val="13"/>
                <w:szCs w:val="13"/>
              </w:rPr>
              <w:t xml:space="preserve"> </w:t>
            </w:r>
            <w:r>
              <w:rPr>
                <w:rFonts w:ascii="宋体" w:hAnsi="宋体" w:eastAsia="宋体" w:cs="宋体"/>
                <w:spacing w:val="6"/>
                <w:sz w:val="20"/>
                <w:szCs w:val="20"/>
              </w:rPr>
              <w:t>，主要用于免漆木门的生产。</w:t>
            </w:r>
          </w:p>
        </w:tc>
        <w:tc>
          <w:tcPr>
            <w:tcW w:w="1665" w:type="dxa"/>
            <w:vAlign w:val="top"/>
          </w:tcPr>
          <w:p w14:paraId="6325952C">
            <w:pPr>
              <w:spacing w:before="247"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697850DE">
            <w:pPr>
              <w:rPr>
                <w:rFonts w:ascii="Arial"/>
                <w:sz w:val="21"/>
              </w:rPr>
            </w:pPr>
          </w:p>
        </w:tc>
      </w:tr>
      <w:tr w14:paraId="4B2FB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428" w:type="dxa"/>
            <w:vMerge w:val="continue"/>
            <w:tcBorders>
              <w:top w:val="nil"/>
              <w:left w:val="single" w:color="000000" w:sz="6" w:space="0"/>
              <w:bottom w:val="nil"/>
            </w:tcBorders>
            <w:textDirection w:val="tbRlV"/>
            <w:vAlign w:val="top"/>
          </w:tcPr>
          <w:p w14:paraId="245A3213">
            <w:pPr>
              <w:rPr>
                <w:rFonts w:ascii="Arial"/>
                <w:sz w:val="21"/>
              </w:rPr>
            </w:pPr>
          </w:p>
        </w:tc>
        <w:tc>
          <w:tcPr>
            <w:tcW w:w="114" w:type="dxa"/>
            <w:tcBorders>
              <w:top w:val="nil"/>
              <w:bottom w:val="nil"/>
            </w:tcBorders>
            <w:vAlign w:val="top"/>
          </w:tcPr>
          <w:p w14:paraId="2CB48F21">
            <w:pPr>
              <w:rPr>
                <w:rFonts w:ascii="Arial"/>
                <w:sz w:val="21"/>
              </w:rPr>
            </w:pPr>
          </w:p>
        </w:tc>
        <w:tc>
          <w:tcPr>
            <w:tcW w:w="473" w:type="dxa"/>
            <w:vMerge w:val="continue"/>
            <w:tcBorders>
              <w:top w:val="nil"/>
              <w:bottom w:val="nil"/>
            </w:tcBorders>
            <w:textDirection w:val="tbRlV"/>
            <w:vAlign w:val="top"/>
          </w:tcPr>
          <w:p w14:paraId="0D2B4EC7">
            <w:pPr>
              <w:rPr>
                <w:rFonts w:ascii="Arial"/>
                <w:sz w:val="21"/>
              </w:rPr>
            </w:pPr>
          </w:p>
        </w:tc>
        <w:tc>
          <w:tcPr>
            <w:tcW w:w="1352" w:type="dxa"/>
            <w:gridSpan w:val="3"/>
            <w:vAlign w:val="top"/>
          </w:tcPr>
          <w:p w14:paraId="478BD1E1">
            <w:pPr>
              <w:spacing w:before="259" w:line="228" w:lineRule="auto"/>
              <w:ind w:left="362"/>
              <w:rPr>
                <w:rFonts w:ascii="宋体" w:hAnsi="宋体" w:eastAsia="宋体" w:cs="宋体"/>
                <w:sz w:val="20"/>
                <w:szCs w:val="20"/>
              </w:rPr>
            </w:pPr>
            <w:r>
              <w:rPr>
                <w:rFonts w:ascii="Times New Roman" w:hAnsi="Times New Roman" w:eastAsia="Times New Roman" w:cs="Times New Roman"/>
                <w:spacing w:val="4"/>
                <w:sz w:val="20"/>
                <w:szCs w:val="20"/>
              </w:rPr>
              <w:t>5#</w:t>
            </w:r>
            <w:r>
              <w:rPr>
                <w:rFonts w:ascii="宋体" w:hAnsi="宋体" w:eastAsia="宋体" w:cs="宋体"/>
                <w:spacing w:val="4"/>
                <w:sz w:val="20"/>
                <w:szCs w:val="20"/>
              </w:rPr>
              <w:t>厂房</w:t>
            </w:r>
          </w:p>
        </w:tc>
        <w:tc>
          <w:tcPr>
            <w:tcW w:w="4905" w:type="dxa"/>
            <w:gridSpan w:val="2"/>
            <w:vAlign w:val="top"/>
          </w:tcPr>
          <w:p w14:paraId="345CFF0C">
            <w:pPr>
              <w:spacing w:before="54" w:line="228" w:lineRule="auto"/>
              <w:ind w:left="107"/>
              <w:rPr>
                <w:rFonts w:ascii="宋体" w:hAnsi="宋体" w:eastAsia="宋体" w:cs="宋体"/>
                <w:sz w:val="20"/>
                <w:szCs w:val="20"/>
              </w:rPr>
            </w:pPr>
            <w:r>
              <w:rPr>
                <w:rFonts w:ascii="宋体" w:hAnsi="宋体" w:eastAsia="宋体" w:cs="宋体"/>
                <w:spacing w:val="6"/>
                <w:sz w:val="20"/>
                <w:szCs w:val="20"/>
              </w:rPr>
              <w:t>框架及门式钢架结构，</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栋</w:t>
            </w:r>
            <w:r>
              <w:rPr>
                <w:rFonts w:ascii="宋体" w:hAnsi="宋体" w:eastAsia="宋体" w:cs="宋体"/>
                <w:spacing w:val="-23"/>
                <w:sz w:val="20"/>
                <w:szCs w:val="20"/>
              </w:rPr>
              <w:t xml:space="preserve"> </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层，位于公</w:t>
            </w:r>
            <w:r>
              <w:rPr>
                <w:rFonts w:ascii="宋体" w:hAnsi="宋体" w:eastAsia="宋体" w:cs="宋体"/>
                <w:spacing w:val="5"/>
                <w:sz w:val="20"/>
                <w:szCs w:val="20"/>
              </w:rPr>
              <w:t>司南侧，占</w:t>
            </w:r>
          </w:p>
          <w:p w14:paraId="12F9F3EC">
            <w:pPr>
              <w:spacing w:before="161" w:line="228" w:lineRule="auto"/>
              <w:ind w:left="424"/>
              <w:rPr>
                <w:rFonts w:ascii="宋体" w:hAnsi="宋体" w:eastAsia="宋体" w:cs="宋体"/>
                <w:sz w:val="20"/>
                <w:szCs w:val="20"/>
              </w:rPr>
            </w:pPr>
            <w:r>
              <w:rPr>
                <w:rFonts w:ascii="宋体" w:hAnsi="宋体" w:eastAsia="宋体" w:cs="宋体"/>
                <w:spacing w:val="6"/>
                <w:sz w:val="20"/>
                <w:szCs w:val="20"/>
              </w:rPr>
              <w:t>地面积为</w:t>
            </w:r>
            <w:r>
              <w:rPr>
                <w:rFonts w:ascii="宋体" w:hAnsi="宋体" w:eastAsia="宋体" w:cs="宋体"/>
                <w:spacing w:val="-34"/>
                <w:sz w:val="20"/>
                <w:szCs w:val="20"/>
              </w:rPr>
              <w:t xml:space="preserve"> </w:t>
            </w:r>
            <w:r>
              <w:rPr>
                <w:rFonts w:ascii="Times New Roman" w:hAnsi="Times New Roman" w:eastAsia="Times New Roman" w:cs="Times New Roman"/>
                <w:spacing w:val="6"/>
                <w:sz w:val="20"/>
                <w:szCs w:val="20"/>
              </w:rPr>
              <w:t>4000m</w:t>
            </w:r>
            <w:r>
              <w:rPr>
                <w:rFonts w:ascii="Times New Roman" w:hAnsi="Times New Roman" w:eastAsia="Times New Roman" w:cs="Times New Roman"/>
                <w:spacing w:val="6"/>
                <w:position w:val="6"/>
                <w:sz w:val="13"/>
                <w:szCs w:val="13"/>
              </w:rPr>
              <w:t>2</w:t>
            </w:r>
            <w:r>
              <w:rPr>
                <w:rFonts w:ascii="Times New Roman" w:hAnsi="Times New Roman" w:eastAsia="Times New Roman" w:cs="Times New Roman"/>
                <w:spacing w:val="-9"/>
                <w:position w:val="6"/>
                <w:sz w:val="13"/>
                <w:szCs w:val="13"/>
              </w:rPr>
              <w:t xml:space="preserve"> </w:t>
            </w:r>
            <w:r>
              <w:rPr>
                <w:rFonts w:ascii="宋体" w:hAnsi="宋体" w:eastAsia="宋体" w:cs="宋体"/>
                <w:spacing w:val="6"/>
                <w:sz w:val="20"/>
                <w:szCs w:val="20"/>
              </w:rPr>
              <w:t>，主要用于浸渍纸的生产。</w:t>
            </w:r>
          </w:p>
        </w:tc>
        <w:tc>
          <w:tcPr>
            <w:tcW w:w="1665" w:type="dxa"/>
            <w:vAlign w:val="top"/>
          </w:tcPr>
          <w:p w14:paraId="0E84DC8E">
            <w:pPr>
              <w:spacing w:before="259"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3741B39A">
            <w:pPr>
              <w:rPr>
                <w:rFonts w:ascii="Arial"/>
                <w:sz w:val="21"/>
              </w:rPr>
            </w:pPr>
          </w:p>
        </w:tc>
      </w:tr>
      <w:tr w14:paraId="2A8E4E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1" w:hRule="atLeast"/>
        </w:trPr>
        <w:tc>
          <w:tcPr>
            <w:tcW w:w="428" w:type="dxa"/>
            <w:vMerge w:val="continue"/>
            <w:tcBorders>
              <w:top w:val="nil"/>
              <w:left w:val="single" w:color="000000" w:sz="6" w:space="0"/>
              <w:bottom w:val="nil"/>
            </w:tcBorders>
            <w:textDirection w:val="tbRlV"/>
            <w:vAlign w:val="top"/>
          </w:tcPr>
          <w:p w14:paraId="1EF1835B">
            <w:pPr>
              <w:rPr>
                <w:rFonts w:ascii="Arial"/>
                <w:sz w:val="21"/>
              </w:rPr>
            </w:pPr>
          </w:p>
        </w:tc>
        <w:tc>
          <w:tcPr>
            <w:tcW w:w="114" w:type="dxa"/>
            <w:tcBorders>
              <w:top w:val="nil"/>
              <w:bottom w:val="nil"/>
            </w:tcBorders>
            <w:vAlign w:val="top"/>
          </w:tcPr>
          <w:p w14:paraId="6817CEC7">
            <w:pPr>
              <w:rPr>
                <w:rFonts w:ascii="Arial"/>
                <w:sz w:val="21"/>
              </w:rPr>
            </w:pPr>
          </w:p>
        </w:tc>
        <w:tc>
          <w:tcPr>
            <w:tcW w:w="473" w:type="dxa"/>
            <w:vMerge w:val="continue"/>
            <w:tcBorders>
              <w:top w:val="nil"/>
              <w:bottom w:val="nil"/>
            </w:tcBorders>
            <w:textDirection w:val="tbRlV"/>
            <w:vAlign w:val="top"/>
          </w:tcPr>
          <w:p w14:paraId="7E460307">
            <w:pPr>
              <w:rPr>
                <w:rFonts w:ascii="Arial"/>
                <w:sz w:val="21"/>
              </w:rPr>
            </w:pPr>
          </w:p>
        </w:tc>
        <w:tc>
          <w:tcPr>
            <w:tcW w:w="1352" w:type="dxa"/>
            <w:gridSpan w:val="3"/>
            <w:vAlign w:val="top"/>
          </w:tcPr>
          <w:p w14:paraId="2E54FE64">
            <w:pPr>
              <w:spacing w:line="397" w:lineRule="auto"/>
              <w:rPr>
                <w:rFonts w:ascii="Arial"/>
                <w:sz w:val="21"/>
              </w:rPr>
            </w:pPr>
          </w:p>
          <w:p w14:paraId="2DAD06D1">
            <w:pPr>
              <w:spacing w:before="65" w:line="228" w:lineRule="auto"/>
              <w:ind w:left="360"/>
              <w:rPr>
                <w:rFonts w:ascii="宋体" w:hAnsi="宋体" w:eastAsia="宋体" w:cs="宋体"/>
                <w:sz w:val="20"/>
                <w:szCs w:val="20"/>
              </w:rPr>
            </w:pPr>
            <w:r>
              <w:rPr>
                <w:rFonts w:ascii="Times New Roman" w:hAnsi="Times New Roman" w:eastAsia="Times New Roman" w:cs="Times New Roman"/>
                <w:spacing w:val="4"/>
                <w:sz w:val="20"/>
                <w:szCs w:val="20"/>
              </w:rPr>
              <w:t>7#</w:t>
            </w:r>
            <w:r>
              <w:rPr>
                <w:rFonts w:ascii="宋体" w:hAnsi="宋体" w:eastAsia="宋体" w:cs="宋体"/>
                <w:spacing w:val="4"/>
                <w:sz w:val="20"/>
                <w:szCs w:val="20"/>
              </w:rPr>
              <w:t>厂房</w:t>
            </w:r>
          </w:p>
        </w:tc>
        <w:tc>
          <w:tcPr>
            <w:tcW w:w="4905" w:type="dxa"/>
            <w:gridSpan w:val="2"/>
            <w:vAlign w:val="top"/>
          </w:tcPr>
          <w:p w14:paraId="73884A85">
            <w:pPr>
              <w:spacing w:before="256" w:line="378" w:lineRule="auto"/>
              <w:ind w:left="110" w:right="103" w:firstLine="13"/>
              <w:rPr>
                <w:rFonts w:ascii="宋体" w:hAnsi="宋体" w:eastAsia="宋体" w:cs="宋体"/>
                <w:sz w:val="20"/>
                <w:szCs w:val="20"/>
              </w:rPr>
            </w:pP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栋</w:t>
            </w:r>
            <w:r>
              <w:rPr>
                <w:rFonts w:ascii="宋体" w:hAnsi="宋体" w:eastAsia="宋体" w:cs="宋体"/>
                <w:spacing w:val="-23"/>
                <w:sz w:val="20"/>
                <w:szCs w:val="20"/>
              </w:rPr>
              <w:t xml:space="preserve">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层，框架及门式钢架结构，位于</w:t>
            </w:r>
            <w:r>
              <w:rPr>
                <w:rFonts w:ascii="宋体" w:hAnsi="宋体" w:eastAsia="宋体" w:cs="宋体"/>
                <w:spacing w:val="3"/>
                <w:sz w:val="20"/>
                <w:szCs w:val="20"/>
              </w:rPr>
              <w:t>公司西侧，占</w:t>
            </w:r>
            <w:r>
              <w:rPr>
                <w:rFonts w:ascii="宋体" w:hAnsi="宋体" w:eastAsia="宋体" w:cs="宋体"/>
                <w:spacing w:val="6"/>
                <w:sz w:val="20"/>
                <w:szCs w:val="20"/>
              </w:rPr>
              <w:t>地面积为</w:t>
            </w:r>
            <w:r>
              <w:rPr>
                <w:rFonts w:ascii="宋体" w:hAnsi="宋体" w:eastAsia="宋体" w:cs="宋体"/>
                <w:spacing w:val="-23"/>
                <w:sz w:val="20"/>
                <w:szCs w:val="20"/>
              </w:rPr>
              <w:t xml:space="preserve"> </w:t>
            </w:r>
            <w:r>
              <w:rPr>
                <w:rFonts w:ascii="Times New Roman" w:hAnsi="Times New Roman" w:eastAsia="Times New Roman" w:cs="Times New Roman"/>
                <w:spacing w:val="6"/>
                <w:sz w:val="20"/>
                <w:szCs w:val="20"/>
              </w:rPr>
              <w:t>2820m</w:t>
            </w:r>
            <w:r>
              <w:rPr>
                <w:rFonts w:ascii="Times New Roman" w:hAnsi="Times New Roman" w:eastAsia="Times New Roman" w:cs="Times New Roman"/>
                <w:spacing w:val="6"/>
                <w:position w:val="6"/>
                <w:sz w:val="13"/>
                <w:szCs w:val="13"/>
              </w:rPr>
              <w:t>2</w:t>
            </w:r>
            <w:r>
              <w:rPr>
                <w:rFonts w:ascii="Times New Roman" w:hAnsi="Times New Roman" w:eastAsia="Times New Roman" w:cs="Times New Roman"/>
                <w:spacing w:val="-9"/>
                <w:position w:val="6"/>
                <w:sz w:val="13"/>
                <w:szCs w:val="13"/>
              </w:rPr>
              <w:t xml:space="preserve"> </w:t>
            </w:r>
            <w:r>
              <w:rPr>
                <w:rFonts w:ascii="宋体" w:hAnsi="宋体" w:eastAsia="宋体" w:cs="宋体"/>
                <w:spacing w:val="6"/>
                <w:sz w:val="20"/>
                <w:szCs w:val="20"/>
              </w:rPr>
              <w:t>，用于木板原材料及成品的暂存。</w:t>
            </w:r>
          </w:p>
        </w:tc>
        <w:tc>
          <w:tcPr>
            <w:tcW w:w="1665" w:type="dxa"/>
            <w:vAlign w:val="top"/>
          </w:tcPr>
          <w:p w14:paraId="277CB839">
            <w:pPr>
              <w:spacing w:before="55" w:line="227" w:lineRule="auto"/>
              <w:ind w:left="141"/>
              <w:rPr>
                <w:rFonts w:ascii="宋体" w:hAnsi="宋体" w:eastAsia="宋体" w:cs="宋体"/>
                <w:sz w:val="20"/>
                <w:szCs w:val="20"/>
              </w:rPr>
            </w:pPr>
            <w:r>
              <w:rPr>
                <w:rFonts w:ascii="宋体" w:hAnsi="宋体" w:eastAsia="宋体" w:cs="宋体"/>
                <w:spacing w:val="2"/>
                <w:sz w:val="20"/>
                <w:szCs w:val="20"/>
              </w:rPr>
              <w:t>已建，本次扩建</w:t>
            </w:r>
          </w:p>
          <w:p w14:paraId="51EA8942">
            <w:pPr>
              <w:spacing w:before="162" w:line="228" w:lineRule="auto"/>
              <w:ind w:left="188"/>
              <w:rPr>
                <w:rFonts w:ascii="宋体" w:hAnsi="宋体" w:eastAsia="宋体" w:cs="宋体"/>
                <w:sz w:val="20"/>
                <w:szCs w:val="20"/>
              </w:rPr>
            </w:pPr>
            <w:r>
              <w:rPr>
                <w:rFonts w:ascii="宋体" w:hAnsi="宋体" w:eastAsia="宋体" w:cs="宋体"/>
                <w:spacing w:val="5"/>
                <w:sz w:val="20"/>
                <w:szCs w:val="20"/>
              </w:rPr>
              <w:t>设置在</w:t>
            </w:r>
            <w:r>
              <w:rPr>
                <w:rFonts w:ascii="宋体" w:hAnsi="宋体" w:eastAsia="宋体" w:cs="宋体"/>
                <w:spacing w:val="-37"/>
                <w:sz w:val="20"/>
                <w:szCs w:val="20"/>
              </w:rPr>
              <w:t xml:space="preserve"> </w:t>
            </w:r>
            <w:r>
              <w:rPr>
                <w:rFonts w:ascii="Times New Roman" w:hAnsi="Times New Roman" w:eastAsia="Times New Roman" w:cs="Times New Roman"/>
                <w:spacing w:val="5"/>
                <w:sz w:val="20"/>
                <w:szCs w:val="20"/>
              </w:rPr>
              <w:t>4#</w:t>
            </w:r>
            <w:r>
              <w:rPr>
                <w:rFonts w:ascii="宋体" w:hAnsi="宋体" w:eastAsia="宋体" w:cs="宋体"/>
                <w:spacing w:val="5"/>
                <w:sz w:val="20"/>
                <w:szCs w:val="20"/>
              </w:rPr>
              <w:t>厂房</w:t>
            </w:r>
          </w:p>
          <w:p w14:paraId="093F8AE3">
            <w:pPr>
              <w:spacing w:before="160" w:line="228" w:lineRule="auto"/>
              <w:ind w:left="762"/>
              <w:rPr>
                <w:rFonts w:ascii="宋体" w:hAnsi="宋体" w:eastAsia="宋体" w:cs="宋体"/>
                <w:sz w:val="20"/>
                <w:szCs w:val="20"/>
              </w:rPr>
            </w:pPr>
            <w:r>
              <w:rPr>
                <w:rFonts w:ascii="宋体" w:hAnsi="宋体" w:eastAsia="宋体" w:cs="宋体"/>
                <w:sz w:val="20"/>
                <w:szCs w:val="20"/>
              </w:rPr>
              <w:t>内</w:t>
            </w:r>
          </w:p>
        </w:tc>
        <w:tc>
          <w:tcPr>
            <w:tcW w:w="127" w:type="dxa"/>
            <w:tcBorders>
              <w:top w:val="nil"/>
              <w:bottom w:val="nil"/>
              <w:right w:val="single" w:color="000000" w:sz="6" w:space="0"/>
            </w:tcBorders>
            <w:vAlign w:val="top"/>
          </w:tcPr>
          <w:p w14:paraId="1A6054D5">
            <w:pPr>
              <w:rPr>
                <w:rFonts w:ascii="Arial"/>
                <w:sz w:val="21"/>
              </w:rPr>
            </w:pPr>
          </w:p>
        </w:tc>
      </w:tr>
      <w:tr w14:paraId="6EC59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428" w:type="dxa"/>
            <w:vMerge w:val="continue"/>
            <w:tcBorders>
              <w:top w:val="nil"/>
              <w:left w:val="single" w:color="000000" w:sz="6" w:space="0"/>
              <w:bottom w:val="single" w:color="000000" w:sz="6" w:space="0"/>
            </w:tcBorders>
            <w:textDirection w:val="tbRlV"/>
            <w:vAlign w:val="top"/>
          </w:tcPr>
          <w:p w14:paraId="447614C2">
            <w:pPr>
              <w:rPr>
                <w:rFonts w:ascii="Arial"/>
                <w:sz w:val="21"/>
              </w:rPr>
            </w:pPr>
          </w:p>
        </w:tc>
        <w:tc>
          <w:tcPr>
            <w:tcW w:w="114" w:type="dxa"/>
            <w:tcBorders>
              <w:top w:val="nil"/>
              <w:bottom w:val="single" w:color="000000" w:sz="6" w:space="0"/>
            </w:tcBorders>
            <w:vAlign w:val="top"/>
          </w:tcPr>
          <w:p w14:paraId="30EBA641">
            <w:pPr>
              <w:rPr>
                <w:rFonts w:ascii="Arial"/>
                <w:sz w:val="21"/>
              </w:rPr>
            </w:pPr>
          </w:p>
        </w:tc>
        <w:tc>
          <w:tcPr>
            <w:tcW w:w="473" w:type="dxa"/>
            <w:vMerge w:val="continue"/>
            <w:tcBorders>
              <w:top w:val="nil"/>
              <w:bottom w:val="single" w:color="000000" w:sz="6" w:space="0"/>
            </w:tcBorders>
            <w:textDirection w:val="tbRlV"/>
            <w:vAlign w:val="top"/>
          </w:tcPr>
          <w:p w14:paraId="76734115">
            <w:pPr>
              <w:rPr>
                <w:rFonts w:ascii="Arial"/>
                <w:sz w:val="21"/>
              </w:rPr>
            </w:pPr>
          </w:p>
        </w:tc>
        <w:tc>
          <w:tcPr>
            <w:tcW w:w="1352" w:type="dxa"/>
            <w:gridSpan w:val="3"/>
            <w:tcBorders>
              <w:bottom w:val="single" w:color="000000" w:sz="6" w:space="0"/>
            </w:tcBorders>
            <w:vAlign w:val="top"/>
          </w:tcPr>
          <w:p w14:paraId="3B0AD1B2">
            <w:pPr>
              <w:spacing w:before="260" w:line="228" w:lineRule="auto"/>
              <w:ind w:left="356"/>
              <w:rPr>
                <w:rFonts w:ascii="宋体" w:hAnsi="宋体" w:eastAsia="宋体" w:cs="宋体"/>
                <w:sz w:val="20"/>
                <w:szCs w:val="20"/>
              </w:rPr>
            </w:pPr>
            <w:r>
              <w:rPr>
                <w:rFonts w:ascii="Times New Roman" w:hAnsi="Times New Roman" w:eastAsia="Times New Roman" w:cs="Times New Roman"/>
                <w:spacing w:val="5"/>
                <w:sz w:val="20"/>
                <w:szCs w:val="20"/>
              </w:rPr>
              <w:t>4#</w:t>
            </w:r>
            <w:r>
              <w:rPr>
                <w:rFonts w:ascii="宋体" w:hAnsi="宋体" w:eastAsia="宋体" w:cs="宋体"/>
                <w:spacing w:val="5"/>
                <w:sz w:val="20"/>
                <w:szCs w:val="20"/>
              </w:rPr>
              <w:t>厂房</w:t>
            </w:r>
          </w:p>
        </w:tc>
        <w:tc>
          <w:tcPr>
            <w:tcW w:w="4905" w:type="dxa"/>
            <w:gridSpan w:val="2"/>
            <w:tcBorders>
              <w:bottom w:val="single" w:color="000000" w:sz="6" w:space="0"/>
            </w:tcBorders>
            <w:vAlign w:val="top"/>
          </w:tcPr>
          <w:p w14:paraId="66E2B4E9">
            <w:pPr>
              <w:spacing w:before="55" w:line="368" w:lineRule="auto"/>
              <w:ind w:left="777" w:right="32" w:hanging="670"/>
              <w:rPr>
                <w:rFonts w:ascii="宋体" w:hAnsi="宋体" w:eastAsia="宋体" w:cs="宋体"/>
                <w:sz w:val="20"/>
                <w:szCs w:val="20"/>
              </w:rPr>
            </w:pPr>
            <w:r>
              <w:rPr>
                <w:rFonts w:ascii="宋体" w:hAnsi="宋体" w:eastAsia="宋体" w:cs="宋体"/>
                <w:sz w:val="20"/>
                <w:szCs w:val="20"/>
              </w:rPr>
              <w:t>框架及门式钢架结构，</w:t>
            </w:r>
            <w:r>
              <w:rPr>
                <w:rFonts w:ascii="Times New Roman" w:hAnsi="Times New Roman" w:eastAsia="Times New Roman" w:cs="Times New Roman"/>
                <w:sz w:val="20"/>
                <w:szCs w:val="20"/>
              </w:rPr>
              <w:t>2</w:t>
            </w:r>
            <w:r>
              <w:rPr>
                <w:rFonts w:ascii="Times New Roman" w:hAnsi="Times New Roman" w:eastAsia="Times New Roman" w:cs="Times New Roman"/>
                <w:spacing w:val="-12"/>
                <w:sz w:val="20"/>
                <w:szCs w:val="20"/>
              </w:rPr>
              <w:t xml:space="preserve"> </w:t>
            </w:r>
            <w:r>
              <w:rPr>
                <w:rFonts w:ascii="宋体" w:hAnsi="宋体" w:eastAsia="宋体" w:cs="宋体"/>
                <w:sz w:val="20"/>
                <w:szCs w:val="20"/>
              </w:rPr>
              <w:t>层，占地面积分别为</w:t>
            </w:r>
            <w:r>
              <w:rPr>
                <w:rFonts w:ascii="Times New Roman" w:hAnsi="Times New Roman" w:eastAsia="Times New Roman" w:cs="Times New Roman"/>
                <w:sz w:val="20"/>
                <w:szCs w:val="20"/>
              </w:rPr>
              <w:t>4000m</w:t>
            </w:r>
            <w:r>
              <w:rPr>
                <w:rFonts w:ascii="Times New Roman" w:hAnsi="Times New Roman" w:eastAsia="Times New Roman" w:cs="Times New Roman"/>
                <w:position w:val="6"/>
                <w:sz w:val="13"/>
                <w:szCs w:val="13"/>
              </w:rPr>
              <w:t>2</w:t>
            </w:r>
            <w:r>
              <w:rPr>
                <w:rFonts w:ascii="宋体" w:hAnsi="宋体" w:eastAsia="宋体" w:cs="宋体"/>
                <w:sz w:val="20"/>
                <w:szCs w:val="20"/>
              </w:rPr>
              <w:t>、</w:t>
            </w:r>
            <w:r>
              <w:rPr>
                <w:rFonts w:ascii="宋体" w:hAnsi="宋体" w:eastAsia="宋体" w:cs="宋体"/>
                <w:spacing w:val="9"/>
                <w:sz w:val="20"/>
                <w:szCs w:val="20"/>
              </w:rPr>
              <w:t>位于公司中部，主要用于家具的生产</w:t>
            </w:r>
          </w:p>
        </w:tc>
        <w:tc>
          <w:tcPr>
            <w:tcW w:w="1665" w:type="dxa"/>
            <w:tcBorders>
              <w:bottom w:val="single" w:color="000000" w:sz="6" w:space="0"/>
            </w:tcBorders>
            <w:vAlign w:val="top"/>
          </w:tcPr>
          <w:p w14:paraId="27BEBE6A">
            <w:pPr>
              <w:spacing w:before="260"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single" w:color="000000" w:sz="6" w:space="0"/>
              <w:right w:val="single" w:color="000000" w:sz="6" w:space="0"/>
            </w:tcBorders>
            <w:vAlign w:val="top"/>
          </w:tcPr>
          <w:p w14:paraId="194EBD84">
            <w:pPr>
              <w:rPr>
                <w:rFonts w:ascii="Arial"/>
                <w:sz w:val="21"/>
              </w:rPr>
            </w:pPr>
          </w:p>
        </w:tc>
      </w:tr>
    </w:tbl>
    <w:p w14:paraId="1FC6F8D4">
      <w:pPr>
        <w:pStyle w:val="2"/>
      </w:pPr>
    </w:p>
    <w:p w14:paraId="1D87DA18">
      <w:pPr>
        <w:sectPr>
          <w:footerReference r:id="rId60" w:type="default"/>
          <w:pgSz w:w="11906" w:h="16839"/>
          <w:pgMar w:top="400" w:right="1413" w:bottom="1329" w:left="1413" w:header="0" w:footer="1113" w:gutter="0"/>
          <w:cols w:space="720" w:num="1"/>
        </w:sectPr>
      </w:pPr>
    </w:p>
    <w:p w14:paraId="4D9695AF">
      <w:pPr>
        <w:spacing w:before="19"/>
      </w:pPr>
    </w:p>
    <w:p w14:paraId="33768F6B">
      <w:pPr>
        <w:spacing w:before="19"/>
      </w:pPr>
    </w:p>
    <w:p w14:paraId="481AF906">
      <w:pPr>
        <w:spacing w:before="19"/>
      </w:pPr>
    </w:p>
    <w:p w14:paraId="7E97BCBB">
      <w:pPr>
        <w:spacing w:before="18"/>
      </w:pPr>
    </w:p>
    <w:p w14:paraId="5BAE0EF2">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473"/>
        <w:gridCol w:w="613"/>
        <w:gridCol w:w="739"/>
        <w:gridCol w:w="4906"/>
        <w:gridCol w:w="1665"/>
        <w:gridCol w:w="127"/>
      </w:tblGrid>
      <w:tr w14:paraId="4CF54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428" w:type="dxa"/>
            <w:vMerge w:val="restart"/>
            <w:tcBorders>
              <w:top w:val="single" w:color="000000" w:sz="6" w:space="0"/>
              <w:left w:val="single" w:color="000000" w:sz="6" w:space="0"/>
              <w:bottom w:val="nil"/>
            </w:tcBorders>
            <w:vAlign w:val="top"/>
          </w:tcPr>
          <w:p w14:paraId="68DD9A2A">
            <w:pPr>
              <w:rPr>
                <w:rFonts w:ascii="Arial"/>
                <w:sz w:val="21"/>
              </w:rPr>
            </w:pPr>
          </w:p>
        </w:tc>
        <w:tc>
          <w:tcPr>
            <w:tcW w:w="113" w:type="dxa"/>
            <w:tcBorders>
              <w:top w:val="single" w:color="000000" w:sz="6" w:space="0"/>
              <w:bottom w:val="nil"/>
            </w:tcBorders>
            <w:vAlign w:val="top"/>
          </w:tcPr>
          <w:p w14:paraId="2FAB3F3B">
            <w:pPr>
              <w:rPr>
                <w:rFonts w:ascii="Arial"/>
                <w:sz w:val="21"/>
              </w:rPr>
            </w:pPr>
          </w:p>
        </w:tc>
        <w:tc>
          <w:tcPr>
            <w:tcW w:w="473" w:type="dxa"/>
            <w:vMerge w:val="restart"/>
            <w:tcBorders>
              <w:top w:val="single" w:color="000000" w:sz="6" w:space="0"/>
              <w:bottom w:val="nil"/>
            </w:tcBorders>
            <w:vAlign w:val="top"/>
          </w:tcPr>
          <w:p w14:paraId="4A6259CD">
            <w:pPr>
              <w:rPr>
                <w:rFonts w:ascii="Arial"/>
                <w:sz w:val="21"/>
              </w:rPr>
            </w:pPr>
          </w:p>
        </w:tc>
        <w:tc>
          <w:tcPr>
            <w:tcW w:w="1352" w:type="dxa"/>
            <w:gridSpan w:val="2"/>
            <w:tcBorders>
              <w:top w:val="single" w:color="000000" w:sz="6" w:space="0"/>
            </w:tcBorders>
            <w:vAlign w:val="top"/>
          </w:tcPr>
          <w:p w14:paraId="242D9E10">
            <w:pPr>
              <w:spacing w:before="241" w:line="228" w:lineRule="auto"/>
              <w:ind w:left="358"/>
              <w:rPr>
                <w:rFonts w:ascii="宋体" w:hAnsi="宋体" w:eastAsia="宋体" w:cs="宋体"/>
                <w:sz w:val="20"/>
                <w:szCs w:val="20"/>
              </w:rPr>
            </w:pPr>
            <w:r>
              <w:rPr>
                <w:rFonts w:ascii="Times New Roman" w:hAnsi="Times New Roman" w:eastAsia="Times New Roman" w:cs="Times New Roman"/>
                <w:spacing w:val="5"/>
                <w:sz w:val="20"/>
                <w:szCs w:val="20"/>
              </w:rPr>
              <w:t>2#</w:t>
            </w:r>
            <w:r>
              <w:rPr>
                <w:rFonts w:ascii="宋体" w:hAnsi="宋体" w:eastAsia="宋体" w:cs="宋体"/>
                <w:spacing w:val="5"/>
                <w:sz w:val="20"/>
                <w:szCs w:val="20"/>
              </w:rPr>
              <w:t>厂房</w:t>
            </w:r>
          </w:p>
        </w:tc>
        <w:tc>
          <w:tcPr>
            <w:tcW w:w="4906" w:type="dxa"/>
            <w:tcBorders>
              <w:top w:val="single" w:color="000000" w:sz="6" w:space="0"/>
            </w:tcBorders>
            <w:vAlign w:val="top"/>
          </w:tcPr>
          <w:p w14:paraId="296AAF89">
            <w:pPr>
              <w:spacing w:before="37" w:line="228" w:lineRule="auto"/>
              <w:ind w:right="5"/>
              <w:jc w:val="right"/>
              <w:rPr>
                <w:rFonts w:ascii="宋体" w:hAnsi="宋体" w:eastAsia="宋体" w:cs="宋体"/>
                <w:sz w:val="20"/>
                <w:szCs w:val="20"/>
              </w:rPr>
            </w:pPr>
            <w:r>
              <w:rPr>
                <w:rFonts w:ascii="宋体" w:hAnsi="宋体" w:eastAsia="宋体" w:cs="宋体"/>
                <w:spacing w:val="1"/>
                <w:sz w:val="20"/>
                <w:szCs w:val="20"/>
              </w:rPr>
              <w:t>框架及门式钢架结构，</w:t>
            </w:r>
            <w:r>
              <w:rPr>
                <w:rFonts w:ascii="Times New Roman" w:hAnsi="Times New Roman" w:eastAsia="Times New Roman" w:cs="Times New Roman"/>
                <w:spacing w:val="1"/>
                <w:sz w:val="20"/>
                <w:szCs w:val="20"/>
              </w:rPr>
              <w:t>2</w:t>
            </w:r>
            <w:r>
              <w:rPr>
                <w:rFonts w:ascii="Times New Roman" w:hAnsi="Times New Roman" w:eastAsia="Times New Roman" w:cs="Times New Roman"/>
                <w:spacing w:val="-11"/>
                <w:sz w:val="20"/>
                <w:szCs w:val="20"/>
              </w:rPr>
              <w:t xml:space="preserve"> </w:t>
            </w:r>
            <w:r>
              <w:rPr>
                <w:rFonts w:ascii="宋体" w:hAnsi="宋体" w:eastAsia="宋体" w:cs="宋体"/>
                <w:spacing w:val="1"/>
                <w:sz w:val="20"/>
                <w:szCs w:val="20"/>
              </w:rPr>
              <w:t>层，占地面积分别为</w:t>
            </w:r>
            <w:r>
              <w:rPr>
                <w:rFonts w:ascii="Times New Roman" w:hAnsi="Times New Roman" w:eastAsia="Times New Roman" w:cs="Times New Roman"/>
                <w:spacing w:val="1"/>
                <w:sz w:val="20"/>
                <w:szCs w:val="20"/>
              </w:rPr>
              <w:t>4000m</w:t>
            </w:r>
            <w:r>
              <w:rPr>
                <w:rFonts w:ascii="Times New Roman" w:hAnsi="Times New Roman" w:eastAsia="Times New Roman" w:cs="Times New Roman"/>
                <w:spacing w:val="1"/>
                <w:position w:val="6"/>
                <w:sz w:val="13"/>
                <w:szCs w:val="13"/>
              </w:rPr>
              <w:t>2</w:t>
            </w:r>
            <w:r>
              <w:rPr>
                <w:rFonts w:ascii="宋体" w:hAnsi="宋体" w:eastAsia="宋体" w:cs="宋体"/>
                <w:spacing w:val="1"/>
                <w:sz w:val="20"/>
                <w:szCs w:val="20"/>
              </w:rPr>
              <w:t>、</w:t>
            </w:r>
          </w:p>
          <w:p w14:paraId="2DEE7A7D">
            <w:pPr>
              <w:spacing w:before="160" w:line="228" w:lineRule="auto"/>
              <w:ind w:left="1198"/>
              <w:rPr>
                <w:rFonts w:ascii="宋体" w:hAnsi="宋体" w:eastAsia="宋体" w:cs="宋体"/>
                <w:sz w:val="20"/>
                <w:szCs w:val="20"/>
              </w:rPr>
            </w:pPr>
            <w:r>
              <w:rPr>
                <w:rFonts w:ascii="宋体" w:hAnsi="宋体" w:eastAsia="宋体" w:cs="宋体"/>
                <w:spacing w:val="8"/>
                <w:sz w:val="20"/>
                <w:szCs w:val="20"/>
              </w:rPr>
              <w:t>位于公司北侧，作为仓库。</w:t>
            </w:r>
          </w:p>
        </w:tc>
        <w:tc>
          <w:tcPr>
            <w:tcW w:w="1665" w:type="dxa"/>
            <w:tcBorders>
              <w:top w:val="single" w:color="000000" w:sz="6" w:space="0"/>
            </w:tcBorders>
            <w:vAlign w:val="top"/>
          </w:tcPr>
          <w:p w14:paraId="185CE894">
            <w:pPr>
              <w:spacing w:before="241"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single" w:color="000000" w:sz="6" w:space="0"/>
              <w:bottom w:val="nil"/>
              <w:right w:val="single" w:color="000000" w:sz="6" w:space="0"/>
            </w:tcBorders>
            <w:vAlign w:val="top"/>
          </w:tcPr>
          <w:p w14:paraId="6BEB017E">
            <w:pPr>
              <w:rPr>
                <w:rFonts w:ascii="Arial"/>
                <w:sz w:val="21"/>
              </w:rPr>
            </w:pPr>
          </w:p>
        </w:tc>
      </w:tr>
      <w:tr w14:paraId="0FA2B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428" w:type="dxa"/>
            <w:vMerge w:val="continue"/>
            <w:tcBorders>
              <w:top w:val="nil"/>
              <w:left w:val="single" w:color="000000" w:sz="6" w:space="0"/>
              <w:bottom w:val="nil"/>
            </w:tcBorders>
            <w:vAlign w:val="top"/>
          </w:tcPr>
          <w:p w14:paraId="66611C3D">
            <w:pPr>
              <w:rPr>
                <w:rFonts w:ascii="Arial"/>
                <w:sz w:val="21"/>
              </w:rPr>
            </w:pPr>
          </w:p>
        </w:tc>
        <w:tc>
          <w:tcPr>
            <w:tcW w:w="113" w:type="dxa"/>
            <w:tcBorders>
              <w:top w:val="nil"/>
              <w:bottom w:val="nil"/>
            </w:tcBorders>
            <w:vAlign w:val="top"/>
          </w:tcPr>
          <w:p w14:paraId="3DA65BC6">
            <w:pPr>
              <w:rPr>
                <w:rFonts w:ascii="Arial"/>
                <w:sz w:val="21"/>
              </w:rPr>
            </w:pPr>
          </w:p>
        </w:tc>
        <w:tc>
          <w:tcPr>
            <w:tcW w:w="473" w:type="dxa"/>
            <w:vMerge w:val="continue"/>
            <w:tcBorders>
              <w:top w:val="nil"/>
              <w:bottom w:val="nil"/>
            </w:tcBorders>
            <w:vAlign w:val="top"/>
          </w:tcPr>
          <w:p w14:paraId="58FC3042">
            <w:pPr>
              <w:rPr>
                <w:rFonts w:ascii="Arial"/>
                <w:sz w:val="21"/>
              </w:rPr>
            </w:pPr>
          </w:p>
        </w:tc>
        <w:tc>
          <w:tcPr>
            <w:tcW w:w="1352" w:type="dxa"/>
            <w:gridSpan w:val="2"/>
            <w:vAlign w:val="top"/>
          </w:tcPr>
          <w:p w14:paraId="099FE486">
            <w:pPr>
              <w:spacing w:before="237" w:line="228" w:lineRule="auto"/>
              <w:ind w:left="362"/>
              <w:rPr>
                <w:rFonts w:ascii="宋体" w:hAnsi="宋体" w:eastAsia="宋体" w:cs="宋体"/>
                <w:sz w:val="20"/>
                <w:szCs w:val="20"/>
              </w:rPr>
            </w:pPr>
            <w:r>
              <w:rPr>
                <w:rFonts w:ascii="Times New Roman" w:hAnsi="Times New Roman" w:eastAsia="Times New Roman" w:cs="Times New Roman"/>
                <w:spacing w:val="4"/>
                <w:sz w:val="20"/>
                <w:szCs w:val="20"/>
              </w:rPr>
              <w:t>3#</w:t>
            </w:r>
            <w:r>
              <w:rPr>
                <w:rFonts w:ascii="宋体" w:hAnsi="宋体" w:eastAsia="宋体" w:cs="宋体"/>
                <w:spacing w:val="4"/>
                <w:sz w:val="20"/>
                <w:szCs w:val="20"/>
              </w:rPr>
              <w:t>厂房</w:t>
            </w:r>
          </w:p>
        </w:tc>
        <w:tc>
          <w:tcPr>
            <w:tcW w:w="4906" w:type="dxa"/>
            <w:vAlign w:val="top"/>
          </w:tcPr>
          <w:p w14:paraId="7F705F4E">
            <w:pPr>
              <w:spacing w:before="32" w:line="228" w:lineRule="auto"/>
              <w:ind w:left="384"/>
              <w:rPr>
                <w:rFonts w:ascii="宋体" w:hAnsi="宋体" w:eastAsia="宋体" w:cs="宋体"/>
                <w:sz w:val="20"/>
                <w:szCs w:val="20"/>
              </w:rPr>
            </w:pPr>
            <w:r>
              <w:rPr>
                <w:rFonts w:ascii="宋体" w:hAnsi="宋体" w:eastAsia="宋体" w:cs="宋体"/>
                <w:spacing w:val="6"/>
                <w:sz w:val="20"/>
                <w:szCs w:val="20"/>
              </w:rPr>
              <w:t>框架及门式钢架结构，</w:t>
            </w:r>
            <w:r>
              <w:rPr>
                <w:rFonts w:ascii="Times New Roman" w:hAnsi="Times New Roman" w:eastAsia="Times New Roman" w:cs="Times New Roman"/>
                <w:spacing w:val="6"/>
                <w:sz w:val="20"/>
                <w:szCs w:val="20"/>
              </w:rPr>
              <w:t xml:space="preserve">2 </w:t>
            </w:r>
            <w:r>
              <w:rPr>
                <w:rFonts w:ascii="宋体" w:hAnsi="宋体" w:eastAsia="宋体" w:cs="宋体"/>
                <w:spacing w:val="6"/>
                <w:sz w:val="20"/>
                <w:szCs w:val="20"/>
              </w:rPr>
              <w:t>层，</w:t>
            </w:r>
            <w:r>
              <w:rPr>
                <w:rFonts w:ascii="宋体" w:hAnsi="宋体" w:eastAsia="宋体" w:cs="宋体"/>
                <w:spacing w:val="-40"/>
                <w:sz w:val="20"/>
                <w:szCs w:val="20"/>
              </w:rPr>
              <w:t xml:space="preserve"> </w:t>
            </w:r>
            <w:r>
              <w:rPr>
                <w:rFonts w:ascii="宋体" w:hAnsi="宋体" w:eastAsia="宋体" w:cs="宋体"/>
                <w:spacing w:val="6"/>
                <w:sz w:val="20"/>
                <w:szCs w:val="20"/>
              </w:rPr>
              <w:t>占地面积分别为</w:t>
            </w:r>
          </w:p>
          <w:p w14:paraId="637A7EF7">
            <w:pPr>
              <w:spacing w:before="161" w:line="228" w:lineRule="auto"/>
              <w:ind w:left="687"/>
              <w:rPr>
                <w:rFonts w:ascii="宋体" w:hAnsi="宋体" w:eastAsia="宋体" w:cs="宋体"/>
                <w:sz w:val="20"/>
                <w:szCs w:val="20"/>
              </w:rPr>
            </w:pPr>
            <w:r>
              <w:rPr>
                <w:rFonts w:ascii="Times New Roman" w:hAnsi="Times New Roman" w:eastAsia="Times New Roman" w:cs="Times New Roman"/>
                <w:spacing w:val="6"/>
                <w:sz w:val="20"/>
                <w:szCs w:val="20"/>
              </w:rPr>
              <w:t>3564.8m</w:t>
            </w:r>
            <w:r>
              <w:rPr>
                <w:rFonts w:ascii="Times New Roman" w:hAnsi="Times New Roman" w:eastAsia="Times New Roman" w:cs="Times New Roman"/>
                <w:spacing w:val="6"/>
                <w:position w:val="6"/>
                <w:sz w:val="13"/>
                <w:szCs w:val="13"/>
              </w:rPr>
              <w:t>2</w:t>
            </w:r>
            <w:r>
              <w:rPr>
                <w:rFonts w:ascii="Times New Roman" w:hAnsi="Times New Roman" w:eastAsia="Times New Roman" w:cs="Times New Roman"/>
                <w:spacing w:val="-11"/>
                <w:position w:val="6"/>
                <w:sz w:val="13"/>
                <w:szCs w:val="13"/>
              </w:rPr>
              <w:t xml:space="preserve"> </w:t>
            </w:r>
            <w:r>
              <w:rPr>
                <w:rFonts w:ascii="宋体" w:hAnsi="宋体" w:eastAsia="宋体" w:cs="宋体"/>
                <w:spacing w:val="6"/>
                <w:sz w:val="20"/>
                <w:szCs w:val="20"/>
              </w:rPr>
              <w:t>、位于公司北侧，作为仓</w:t>
            </w:r>
            <w:r>
              <w:rPr>
                <w:rFonts w:ascii="宋体" w:hAnsi="宋体" w:eastAsia="宋体" w:cs="宋体"/>
                <w:spacing w:val="5"/>
                <w:sz w:val="20"/>
                <w:szCs w:val="20"/>
              </w:rPr>
              <w:t>库。</w:t>
            </w:r>
          </w:p>
        </w:tc>
        <w:tc>
          <w:tcPr>
            <w:tcW w:w="1665" w:type="dxa"/>
            <w:vAlign w:val="top"/>
          </w:tcPr>
          <w:p w14:paraId="006BACEC">
            <w:pPr>
              <w:spacing w:before="237"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17B9E79F">
            <w:pPr>
              <w:rPr>
                <w:rFonts w:ascii="Arial"/>
                <w:sz w:val="21"/>
              </w:rPr>
            </w:pPr>
          </w:p>
        </w:tc>
      </w:tr>
      <w:tr w14:paraId="5B32A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428" w:type="dxa"/>
            <w:vMerge w:val="continue"/>
            <w:tcBorders>
              <w:top w:val="nil"/>
              <w:left w:val="single" w:color="000000" w:sz="6" w:space="0"/>
              <w:bottom w:val="nil"/>
            </w:tcBorders>
            <w:vAlign w:val="top"/>
          </w:tcPr>
          <w:p w14:paraId="4E079F95">
            <w:pPr>
              <w:rPr>
                <w:rFonts w:ascii="Arial"/>
                <w:sz w:val="21"/>
              </w:rPr>
            </w:pPr>
          </w:p>
        </w:tc>
        <w:tc>
          <w:tcPr>
            <w:tcW w:w="113" w:type="dxa"/>
            <w:tcBorders>
              <w:top w:val="nil"/>
              <w:bottom w:val="nil"/>
            </w:tcBorders>
            <w:vAlign w:val="top"/>
          </w:tcPr>
          <w:p w14:paraId="74C7598B">
            <w:pPr>
              <w:rPr>
                <w:rFonts w:ascii="Arial"/>
                <w:sz w:val="21"/>
              </w:rPr>
            </w:pPr>
          </w:p>
        </w:tc>
        <w:tc>
          <w:tcPr>
            <w:tcW w:w="473" w:type="dxa"/>
            <w:vMerge w:val="continue"/>
            <w:tcBorders>
              <w:top w:val="nil"/>
              <w:bottom w:val="nil"/>
            </w:tcBorders>
            <w:vAlign w:val="top"/>
          </w:tcPr>
          <w:p w14:paraId="21646ACC">
            <w:pPr>
              <w:rPr>
                <w:rFonts w:ascii="Arial"/>
                <w:sz w:val="21"/>
              </w:rPr>
            </w:pPr>
          </w:p>
        </w:tc>
        <w:tc>
          <w:tcPr>
            <w:tcW w:w="1352" w:type="dxa"/>
            <w:gridSpan w:val="2"/>
            <w:vAlign w:val="top"/>
          </w:tcPr>
          <w:p w14:paraId="4555A7E1">
            <w:pPr>
              <w:spacing w:before="254" w:line="228" w:lineRule="auto"/>
              <w:ind w:left="153"/>
              <w:rPr>
                <w:rFonts w:ascii="宋体" w:hAnsi="宋体" w:eastAsia="宋体" w:cs="宋体"/>
                <w:sz w:val="20"/>
                <w:szCs w:val="20"/>
              </w:rPr>
            </w:pPr>
            <w:r>
              <w:rPr>
                <w:rFonts w:ascii="宋体" w:hAnsi="宋体" w:eastAsia="宋体" w:cs="宋体"/>
                <w:spacing w:val="7"/>
                <w:sz w:val="20"/>
                <w:szCs w:val="20"/>
              </w:rPr>
              <w:t>综合办公楼</w:t>
            </w:r>
          </w:p>
        </w:tc>
        <w:tc>
          <w:tcPr>
            <w:tcW w:w="4906" w:type="dxa"/>
            <w:vAlign w:val="top"/>
          </w:tcPr>
          <w:p w14:paraId="44E46E58">
            <w:pPr>
              <w:spacing w:before="50" w:line="228" w:lineRule="auto"/>
              <w:ind w:left="109"/>
              <w:rPr>
                <w:rFonts w:ascii="宋体" w:hAnsi="宋体" w:eastAsia="宋体" w:cs="宋体"/>
                <w:sz w:val="20"/>
                <w:szCs w:val="20"/>
              </w:rPr>
            </w:pPr>
            <w:r>
              <w:rPr>
                <w:rFonts w:ascii="宋体" w:hAnsi="宋体" w:eastAsia="宋体" w:cs="宋体"/>
                <w:spacing w:val="5"/>
                <w:sz w:val="20"/>
                <w:szCs w:val="20"/>
              </w:rPr>
              <w:t>新建综合办公楼，</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栋</w:t>
            </w:r>
            <w:r>
              <w:rPr>
                <w:rFonts w:ascii="宋体" w:hAnsi="宋体" w:eastAsia="宋体" w:cs="宋体"/>
                <w:spacing w:val="-39"/>
                <w:sz w:val="20"/>
                <w:szCs w:val="20"/>
              </w:rPr>
              <w:t xml:space="preserve"> </w:t>
            </w:r>
            <w:r>
              <w:rPr>
                <w:rFonts w:ascii="Times New Roman" w:hAnsi="Times New Roman" w:eastAsia="Times New Roman" w:cs="Times New Roman"/>
                <w:spacing w:val="5"/>
                <w:sz w:val="20"/>
                <w:szCs w:val="20"/>
              </w:rPr>
              <w:t xml:space="preserve">4 </w:t>
            </w:r>
            <w:r>
              <w:rPr>
                <w:rFonts w:ascii="宋体" w:hAnsi="宋体" w:eastAsia="宋体" w:cs="宋体"/>
                <w:spacing w:val="5"/>
                <w:sz w:val="20"/>
                <w:szCs w:val="20"/>
              </w:rPr>
              <w:t>层，位于项目的东北侧，砖</w:t>
            </w:r>
          </w:p>
          <w:p w14:paraId="2459129F">
            <w:pPr>
              <w:spacing w:before="160" w:line="228" w:lineRule="auto"/>
              <w:ind w:left="349"/>
              <w:rPr>
                <w:rFonts w:ascii="宋体" w:hAnsi="宋体" w:eastAsia="宋体" w:cs="宋体"/>
                <w:sz w:val="20"/>
                <w:szCs w:val="20"/>
              </w:rPr>
            </w:pPr>
            <w:r>
              <w:rPr>
                <w:rFonts w:ascii="宋体" w:hAnsi="宋体" w:eastAsia="宋体" w:cs="宋体"/>
                <w:spacing w:val="3"/>
                <w:sz w:val="20"/>
                <w:szCs w:val="20"/>
              </w:rPr>
              <w:t>混结构，</w:t>
            </w:r>
            <w:r>
              <w:rPr>
                <w:rFonts w:ascii="宋体" w:hAnsi="宋体" w:eastAsia="宋体" w:cs="宋体"/>
                <w:spacing w:val="-38"/>
                <w:sz w:val="20"/>
                <w:szCs w:val="20"/>
              </w:rPr>
              <w:t xml:space="preserve"> </w:t>
            </w:r>
            <w:r>
              <w:rPr>
                <w:rFonts w:ascii="宋体" w:hAnsi="宋体" w:eastAsia="宋体" w:cs="宋体"/>
                <w:spacing w:val="3"/>
                <w:sz w:val="20"/>
                <w:szCs w:val="20"/>
              </w:rPr>
              <w:t>占地面积为</w:t>
            </w:r>
            <w:r>
              <w:rPr>
                <w:rFonts w:ascii="宋体" w:hAnsi="宋体" w:eastAsia="宋体" w:cs="宋体"/>
                <w:spacing w:val="-33"/>
                <w:sz w:val="20"/>
                <w:szCs w:val="20"/>
              </w:rPr>
              <w:t xml:space="preserve"> </w:t>
            </w:r>
            <w:r>
              <w:rPr>
                <w:rFonts w:ascii="Times New Roman" w:hAnsi="Times New Roman" w:eastAsia="Times New Roman" w:cs="Times New Roman"/>
                <w:spacing w:val="3"/>
                <w:sz w:val="20"/>
                <w:szCs w:val="20"/>
              </w:rPr>
              <w:t>823.28m</w:t>
            </w:r>
            <w:r>
              <w:rPr>
                <w:rFonts w:ascii="Times New Roman" w:hAnsi="Times New Roman" w:eastAsia="Times New Roman" w:cs="Times New Roman"/>
                <w:spacing w:val="3"/>
                <w:position w:val="6"/>
                <w:sz w:val="13"/>
                <w:szCs w:val="13"/>
              </w:rPr>
              <w:t>2</w:t>
            </w:r>
            <w:r>
              <w:rPr>
                <w:rFonts w:ascii="Times New Roman" w:hAnsi="Times New Roman" w:eastAsia="Times New Roman" w:cs="Times New Roman"/>
                <w:spacing w:val="-6"/>
                <w:position w:val="6"/>
                <w:sz w:val="13"/>
                <w:szCs w:val="13"/>
              </w:rPr>
              <w:t xml:space="preserve"> </w:t>
            </w:r>
            <w:r>
              <w:rPr>
                <w:rFonts w:ascii="宋体" w:hAnsi="宋体" w:eastAsia="宋体" w:cs="宋体"/>
                <w:spacing w:val="3"/>
                <w:sz w:val="20"/>
                <w:szCs w:val="20"/>
              </w:rPr>
              <w:t>，用于办公等。</w:t>
            </w:r>
          </w:p>
        </w:tc>
        <w:tc>
          <w:tcPr>
            <w:tcW w:w="1665" w:type="dxa"/>
            <w:vAlign w:val="top"/>
          </w:tcPr>
          <w:p w14:paraId="70AAE8A2">
            <w:pPr>
              <w:spacing w:before="255"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4461A387">
            <w:pPr>
              <w:rPr>
                <w:rFonts w:ascii="Arial"/>
                <w:sz w:val="21"/>
              </w:rPr>
            </w:pPr>
          </w:p>
        </w:tc>
      </w:tr>
      <w:tr w14:paraId="09038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428" w:type="dxa"/>
            <w:vMerge w:val="continue"/>
            <w:tcBorders>
              <w:top w:val="nil"/>
              <w:left w:val="single" w:color="000000" w:sz="6" w:space="0"/>
              <w:bottom w:val="nil"/>
            </w:tcBorders>
            <w:vAlign w:val="top"/>
          </w:tcPr>
          <w:p w14:paraId="25276729">
            <w:pPr>
              <w:rPr>
                <w:rFonts w:ascii="Arial"/>
                <w:sz w:val="21"/>
              </w:rPr>
            </w:pPr>
          </w:p>
        </w:tc>
        <w:tc>
          <w:tcPr>
            <w:tcW w:w="113" w:type="dxa"/>
            <w:tcBorders>
              <w:top w:val="nil"/>
              <w:bottom w:val="nil"/>
            </w:tcBorders>
            <w:vAlign w:val="top"/>
          </w:tcPr>
          <w:p w14:paraId="09CBEB81">
            <w:pPr>
              <w:rPr>
                <w:rFonts w:ascii="Arial"/>
                <w:sz w:val="21"/>
              </w:rPr>
            </w:pPr>
          </w:p>
        </w:tc>
        <w:tc>
          <w:tcPr>
            <w:tcW w:w="473" w:type="dxa"/>
            <w:vMerge w:val="continue"/>
            <w:tcBorders>
              <w:top w:val="nil"/>
              <w:bottom w:val="nil"/>
            </w:tcBorders>
            <w:vAlign w:val="top"/>
          </w:tcPr>
          <w:p w14:paraId="5A19E1AF">
            <w:pPr>
              <w:rPr>
                <w:rFonts w:ascii="Arial"/>
                <w:sz w:val="21"/>
              </w:rPr>
            </w:pPr>
          </w:p>
        </w:tc>
        <w:tc>
          <w:tcPr>
            <w:tcW w:w="1352" w:type="dxa"/>
            <w:gridSpan w:val="2"/>
            <w:vAlign w:val="top"/>
          </w:tcPr>
          <w:p w14:paraId="40E384D9">
            <w:pPr>
              <w:spacing w:before="254" w:line="228" w:lineRule="auto"/>
              <w:ind w:left="362"/>
              <w:rPr>
                <w:rFonts w:ascii="宋体" w:hAnsi="宋体" w:eastAsia="宋体" w:cs="宋体"/>
                <w:sz w:val="20"/>
                <w:szCs w:val="20"/>
              </w:rPr>
            </w:pPr>
            <w:r>
              <w:rPr>
                <w:rFonts w:ascii="宋体" w:hAnsi="宋体" w:eastAsia="宋体" w:cs="宋体"/>
                <w:spacing w:val="6"/>
                <w:sz w:val="20"/>
                <w:szCs w:val="20"/>
              </w:rPr>
              <w:t>倒班室</w:t>
            </w:r>
          </w:p>
        </w:tc>
        <w:tc>
          <w:tcPr>
            <w:tcW w:w="4906" w:type="dxa"/>
            <w:vAlign w:val="top"/>
          </w:tcPr>
          <w:p w14:paraId="7E5529FB">
            <w:pPr>
              <w:spacing w:before="49" w:line="228" w:lineRule="auto"/>
              <w:ind w:left="109"/>
              <w:rPr>
                <w:rFonts w:ascii="宋体" w:hAnsi="宋体" w:eastAsia="宋体" w:cs="宋体"/>
                <w:sz w:val="20"/>
                <w:szCs w:val="20"/>
              </w:rPr>
            </w:pPr>
            <w:r>
              <w:rPr>
                <w:rFonts w:ascii="宋体" w:hAnsi="宋体" w:eastAsia="宋体" w:cs="宋体"/>
                <w:spacing w:val="7"/>
                <w:sz w:val="20"/>
                <w:szCs w:val="20"/>
              </w:rPr>
              <w:t>新建倒班室，</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栋</w:t>
            </w:r>
            <w:r>
              <w:rPr>
                <w:rFonts w:ascii="宋体" w:hAnsi="宋体" w:eastAsia="宋体" w:cs="宋体"/>
                <w:spacing w:val="-18"/>
                <w:sz w:val="20"/>
                <w:szCs w:val="20"/>
              </w:rPr>
              <w:t xml:space="preserve"> </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层，砖混结构，位于项目西侧，</w:t>
            </w:r>
          </w:p>
          <w:p w14:paraId="10231B26">
            <w:pPr>
              <w:spacing w:before="161" w:line="228" w:lineRule="auto"/>
              <w:ind w:left="618"/>
              <w:rPr>
                <w:rFonts w:ascii="宋体" w:hAnsi="宋体" w:eastAsia="宋体" w:cs="宋体"/>
                <w:sz w:val="20"/>
                <w:szCs w:val="20"/>
              </w:rPr>
            </w:pPr>
            <w:r>
              <w:rPr>
                <w:rFonts w:ascii="宋体" w:hAnsi="宋体" w:eastAsia="宋体" w:cs="宋体"/>
                <w:spacing w:val="4"/>
                <w:sz w:val="20"/>
                <w:szCs w:val="20"/>
              </w:rPr>
              <w:t>占地面积为</w:t>
            </w:r>
            <w:r>
              <w:rPr>
                <w:rFonts w:ascii="宋体" w:hAnsi="宋体" w:eastAsia="宋体" w:cs="宋体"/>
                <w:spacing w:val="-33"/>
                <w:sz w:val="20"/>
                <w:szCs w:val="20"/>
              </w:rPr>
              <w:t xml:space="preserve"> </w:t>
            </w:r>
            <w:r>
              <w:rPr>
                <w:rFonts w:ascii="Times New Roman" w:hAnsi="Times New Roman" w:eastAsia="Times New Roman" w:cs="Times New Roman"/>
                <w:spacing w:val="4"/>
                <w:sz w:val="20"/>
                <w:szCs w:val="20"/>
              </w:rPr>
              <w:t>200m</w:t>
            </w:r>
            <w:r>
              <w:rPr>
                <w:rFonts w:ascii="Times New Roman" w:hAnsi="Times New Roman" w:eastAsia="Times New Roman" w:cs="Times New Roman"/>
                <w:spacing w:val="4"/>
                <w:position w:val="6"/>
                <w:sz w:val="13"/>
                <w:szCs w:val="13"/>
              </w:rPr>
              <w:t>2</w:t>
            </w:r>
            <w:r>
              <w:rPr>
                <w:rFonts w:ascii="Times New Roman" w:hAnsi="Times New Roman" w:eastAsia="Times New Roman" w:cs="Times New Roman"/>
                <w:spacing w:val="-9"/>
                <w:position w:val="6"/>
                <w:sz w:val="13"/>
                <w:szCs w:val="13"/>
              </w:rPr>
              <w:t xml:space="preserve"> </w:t>
            </w:r>
            <w:r>
              <w:rPr>
                <w:rFonts w:ascii="宋体" w:hAnsi="宋体" w:eastAsia="宋体" w:cs="宋体"/>
                <w:spacing w:val="4"/>
                <w:sz w:val="20"/>
                <w:szCs w:val="20"/>
              </w:rPr>
              <w:t>，用于员工倒班休息。</w:t>
            </w:r>
          </w:p>
        </w:tc>
        <w:tc>
          <w:tcPr>
            <w:tcW w:w="1665" w:type="dxa"/>
            <w:vAlign w:val="top"/>
          </w:tcPr>
          <w:p w14:paraId="203A35D2">
            <w:pPr>
              <w:spacing w:before="253"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57BDE9E7">
            <w:pPr>
              <w:rPr>
                <w:rFonts w:ascii="Arial"/>
                <w:sz w:val="21"/>
              </w:rPr>
            </w:pPr>
          </w:p>
        </w:tc>
      </w:tr>
      <w:tr w14:paraId="7EC1F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428" w:type="dxa"/>
            <w:vMerge w:val="continue"/>
            <w:tcBorders>
              <w:top w:val="nil"/>
              <w:left w:val="single" w:color="000000" w:sz="6" w:space="0"/>
              <w:bottom w:val="nil"/>
            </w:tcBorders>
            <w:vAlign w:val="top"/>
          </w:tcPr>
          <w:p w14:paraId="34B13E72">
            <w:pPr>
              <w:rPr>
                <w:rFonts w:ascii="Arial"/>
                <w:sz w:val="21"/>
              </w:rPr>
            </w:pPr>
          </w:p>
        </w:tc>
        <w:tc>
          <w:tcPr>
            <w:tcW w:w="113" w:type="dxa"/>
            <w:tcBorders>
              <w:top w:val="nil"/>
              <w:bottom w:val="nil"/>
            </w:tcBorders>
            <w:vAlign w:val="top"/>
          </w:tcPr>
          <w:p w14:paraId="5AF12FC9">
            <w:pPr>
              <w:rPr>
                <w:rFonts w:ascii="Arial"/>
                <w:sz w:val="21"/>
              </w:rPr>
            </w:pPr>
          </w:p>
        </w:tc>
        <w:tc>
          <w:tcPr>
            <w:tcW w:w="473" w:type="dxa"/>
            <w:vMerge w:val="continue"/>
            <w:tcBorders>
              <w:top w:val="nil"/>
              <w:bottom w:val="nil"/>
            </w:tcBorders>
            <w:vAlign w:val="top"/>
          </w:tcPr>
          <w:p w14:paraId="47A20B01">
            <w:pPr>
              <w:rPr>
                <w:rFonts w:ascii="Arial"/>
                <w:sz w:val="21"/>
              </w:rPr>
            </w:pPr>
          </w:p>
        </w:tc>
        <w:tc>
          <w:tcPr>
            <w:tcW w:w="1352" w:type="dxa"/>
            <w:gridSpan w:val="2"/>
            <w:vAlign w:val="top"/>
          </w:tcPr>
          <w:p w14:paraId="52963C93">
            <w:pPr>
              <w:spacing w:before="253" w:line="231" w:lineRule="auto"/>
              <w:ind w:left="474"/>
              <w:rPr>
                <w:rFonts w:ascii="宋体" w:hAnsi="宋体" w:eastAsia="宋体" w:cs="宋体"/>
                <w:sz w:val="20"/>
                <w:szCs w:val="20"/>
              </w:rPr>
            </w:pPr>
            <w:r>
              <w:rPr>
                <w:rFonts w:ascii="宋体" w:hAnsi="宋体" w:eastAsia="宋体" w:cs="宋体"/>
                <w:spacing w:val="1"/>
                <w:sz w:val="20"/>
                <w:szCs w:val="20"/>
              </w:rPr>
              <w:t>公厕</w:t>
            </w:r>
          </w:p>
        </w:tc>
        <w:tc>
          <w:tcPr>
            <w:tcW w:w="4906" w:type="dxa"/>
            <w:vAlign w:val="top"/>
          </w:tcPr>
          <w:p w14:paraId="52CDB089">
            <w:pPr>
              <w:spacing w:before="49" w:line="228" w:lineRule="auto"/>
              <w:ind w:left="109"/>
              <w:rPr>
                <w:rFonts w:ascii="宋体" w:hAnsi="宋体" w:eastAsia="宋体" w:cs="宋体"/>
                <w:sz w:val="20"/>
                <w:szCs w:val="20"/>
              </w:rPr>
            </w:pPr>
            <w:r>
              <w:rPr>
                <w:rFonts w:ascii="宋体" w:hAnsi="宋体" w:eastAsia="宋体" w:cs="宋体"/>
                <w:spacing w:val="4"/>
                <w:sz w:val="20"/>
                <w:szCs w:val="20"/>
              </w:rPr>
              <w:t>新建公厕，</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栋</w:t>
            </w:r>
            <w:r>
              <w:rPr>
                <w:rFonts w:ascii="宋体" w:hAnsi="宋体" w:eastAsia="宋体" w:cs="宋体"/>
                <w:spacing w:val="-14"/>
                <w:sz w:val="20"/>
                <w:szCs w:val="20"/>
              </w:rPr>
              <w:t xml:space="preserve">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层，位于倒班房西侧，占地面积约</w:t>
            </w:r>
          </w:p>
          <w:p w14:paraId="4B2157BC">
            <w:pPr>
              <w:spacing w:before="176" w:line="205" w:lineRule="auto"/>
              <w:ind w:left="2134"/>
              <w:rPr>
                <w:rFonts w:ascii="宋体" w:hAnsi="宋体" w:eastAsia="宋体" w:cs="宋体"/>
                <w:sz w:val="20"/>
                <w:szCs w:val="20"/>
              </w:rPr>
            </w:pPr>
            <w:r>
              <w:rPr>
                <w:rFonts w:ascii="Times New Roman" w:hAnsi="Times New Roman" w:eastAsia="Times New Roman" w:cs="Times New Roman"/>
                <w:spacing w:val="2"/>
                <w:sz w:val="20"/>
                <w:szCs w:val="20"/>
              </w:rPr>
              <w:t>50m</w:t>
            </w:r>
            <w:r>
              <w:rPr>
                <w:rFonts w:ascii="Times New Roman" w:hAnsi="Times New Roman" w:eastAsia="Times New Roman" w:cs="Times New Roman"/>
                <w:spacing w:val="2"/>
                <w:position w:val="5"/>
                <w:sz w:val="13"/>
                <w:szCs w:val="13"/>
              </w:rPr>
              <w:t>2</w:t>
            </w:r>
            <w:r>
              <w:rPr>
                <w:rFonts w:ascii="宋体" w:hAnsi="宋体" w:eastAsia="宋体" w:cs="宋体"/>
                <w:spacing w:val="2"/>
                <w:sz w:val="20"/>
                <w:szCs w:val="20"/>
              </w:rPr>
              <w:t>。</w:t>
            </w:r>
          </w:p>
        </w:tc>
        <w:tc>
          <w:tcPr>
            <w:tcW w:w="1665" w:type="dxa"/>
            <w:vAlign w:val="top"/>
          </w:tcPr>
          <w:p w14:paraId="7316678A">
            <w:pPr>
              <w:spacing w:before="253"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39C41691">
            <w:pPr>
              <w:rPr>
                <w:rFonts w:ascii="Arial"/>
                <w:sz w:val="21"/>
              </w:rPr>
            </w:pPr>
          </w:p>
        </w:tc>
      </w:tr>
      <w:tr w14:paraId="7C372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428" w:type="dxa"/>
            <w:vMerge w:val="continue"/>
            <w:tcBorders>
              <w:top w:val="nil"/>
              <w:left w:val="single" w:color="000000" w:sz="6" w:space="0"/>
              <w:bottom w:val="nil"/>
            </w:tcBorders>
            <w:vAlign w:val="top"/>
          </w:tcPr>
          <w:p w14:paraId="384255FF">
            <w:pPr>
              <w:rPr>
                <w:rFonts w:ascii="Arial"/>
                <w:sz w:val="21"/>
              </w:rPr>
            </w:pPr>
          </w:p>
        </w:tc>
        <w:tc>
          <w:tcPr>
            <w:tcW w:w="113" w:type="dxa"/>
            <w:tcBorders>
              <w:top w:val="nil"/>
              <w:bottom w:val="nil"/>
            </w:tcBorders>
            <w:vAlign w:val="top"/>
          </w:tcPr>
          <w:p w14:paraId="0382A403">
            <w:pPr>
              <w:rPr>
                <w:rFonts w:ascii="Arial"/>
                <w:sz w:val="21"/>
              </w:rPr>
            </w:pPr>
          </w:p>
        </w:tc>
        <w:tc>
          <w:tcPr>
            <w:tcW w:w="473" w:type="dxa"/>
            <w:vMerge w:val="continue"/>
            <w:tcBorders>
              <w:top w:val="nil"/>
            </w:tcBorders>
            <w:vAlign w:val="top"/>
          </w:tcPr>
          <w:p w14:paraId="770CDA2D">
            <w:pPr>
              <w:rPr>
                <w:rFonts w:ascii="Arial"/>
                <w:sz w:val="21"/>
              </w:rPr>
            </w:pPr>
          </w:p>
        </w:tc>
        <w:tc>
          <w:tcPr>
            <w:tcW w:w="1352" w:type="dxa"/>
            <w:gridSpan w:val="2"/>
            <w:vAlign w:val="top"/>
          </w:tcPr>
          <w:p w14:paraId="7407BB25">
            <w:pPr>
              <w:spacing w:before="250" w:line="228" w:lineRule="auto"/>
              <w:ind w:left="174"/>
              <w:rPr>
                <w:rFonts w:ascii="宋体" w:hAnsi="宋体" w:eastAsia="宋体" w:cs="宋体"/>
                <w:sz w:val="20"/>
                <w:szCs w:val="20"/>
              </w:rPr>
            </w:pPr>
            <w:r>
              <w:rPr>
                <w:rFonts w:ascii="宋体" w:hAnsi="宋体" w:eastAsia="宋体" w:cs="宋体"/>
                <w:spacing w:val="3"/>
                <w:sz w:val="20"/>
                <w:szCs w:val="20"/>
              </w:rPr>
              <w:t>门卫值班室</w:t>
            </w:r>
          </w:p>
        </w:tc>
        <w:tc>
          <w:tcPr>
            <w:tcW w:w="4906" w:type="dxa"/>
            <w:vAlign w:val="top"/>
          </w:tcPr>
          <w:p w14:paraId="457D0A49">
            <w:pPr>
              <w:spacing w:before="46" w:line="228" w:lineRule="auto"/>
              <w:ind w:left="138"/>
              <w:rPr>
                <w:rFonts w:ascii="宋体" w:hAnsi="宋体" w:eastAsia="宋体" w:cs="宋体"/>
                <w:sz w:val="20"/>
                <w:szCs w:val="20"/>
              </w:rPr>
            </w:pPr>
            <w:r>
              <w:rPr>
                <w:rFonts w:ascii="宋体" w:hAnsi="宋体" w:eastAsia="宋体" w:cs="宋体"/>
                <w:spacing w:val="3"/>
                <w:sz w:val="20"/>
                <w:szCs w:val="20"/>
              </w:rPr>
              <w:t>新建门卫值班室，</w:t>
            </w: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栋</w:t>
            </w:r>
            <w:r>
              <w:rPr>
                <w:rFonts w:ascii="宋体" w:hAnsi="宋体" w:eastAsia="宋体" w:cs="宋体"/>
                <w:spacing w:val="-21"/>
                <w:sz w:val="20"/>
                <w:szCs w:val="20"/>
              </w:rPr>
              <w:t xml:space="preserve"> </w:t>
            </w: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层，</w:t>
            </w:r>
            <w:r>
              <w:rPr>
                <w:rFonts w:ascii="宋体" w:hAnsi="宋体" w:eastAsia="宋体" w:cs="宋体"/>
                <w:spacing w:val="-49"/>
                <w:sz w:val="20"/>
                <w:szCs w:val="20"/>
              </w:rPr>
              <w:t xml:space="preserve"> </w:t>
            </w:r>
            <w:r>
              <w:rPr>
                <w:rFonts w:ascii="宋体" w:hAnsi="宋体" w:eastAsia="宋体" w:cs="宋体"/>
                <w:spacing w:val="3"/>
                <w:sz w:val="20"/>
                <w:szCs w:val="20"/>
              </w:rPr>
              <w:t>占地面积约</w:t>
            </w:r>
            <w:r>
              <w:rPr>
                <w:rFonts w:ascii="宋体" w:hAnsi="宋体" w:eastAsia="宋体" w:cs="宋体"/>
                <w:spacing w:val="-20"/>
                <w:sz w:val="20"/>
                <w:szCs w:val="20"/>
              </w:rPr>
              <w:t xml:space="preserve"> </w:t>
            </w:r>
            <w:r>
              <w:rPr>
                <w:rFonts w:ascii="Times New Roman" w:hAnsi="Times New Roman" w:eastAsia="Times New Roman" w:cs="Times New Roman"/>
                <w:spacing w:val="2"/>
                <w:sz w:val="20"/>
                <w:szCs w:val="20"/>
              </w:rPr>
              <w:t>10m</w:t>
            </w:r>
            <w:r>
              <w:rPr>
                <w:rFonts w:ascii="Times New Roman" w:hAnsi="Times New Roman" w:eastAsia="Times New Roman" w:cs="Times New Roman"/>
                <w:spacing w:val="2"/>
                <w:position w:val="6"/>
                <w:sz w:val="13"/>
                <w:szCs w:val="13"/>
              </w:rPr>
              <w:t>2</w:t>
            </w:r>
            <w:r>
              <w:rPr>
                <w:rFonts w:ascii="Times New Roman" w:hAnsi="Times New Roman" w:eastAsia="Times New Roman" w:cs="Times New Roman"/>
                <w:spacing w:val="-6"/>
                <w:position w:val="6"/>
                <w:sz w:val="13"/>
                <w:szCs w:val="13"/>
              </w:rPr>
              <w:t xml:space="preserve"> </w:t>
            </w:r>
            <w:r>
              <w:rPr>
                <w:rFonts w:ascii="宋体" w:hAnsi="宋体" w:eastAsia="宋体" w:cs="宋体"/>
                <w:spacing w:val="2"/>
                <w:sz w:val="20"/>
                <w:szCs w:val="20"/>
              </w:rPr>
              <w:t>，位</w:t>
            </w:r>
          </w:p>
          <w:p w14:paraId="1C64720A">
            <w:pPr>
              <w:spacing w:before="160" w:line="228" w:lineRule="auto"/>
              <w:ind w:left="1516"/>
              <w:rPr>
                <w:rFonts w:ascii="宋体" w:hAnsi="宋体" w:eastAsia="宋体" w:cs="宋体"/>
                <w:sz w:val="20"/>
                <w:szCs w:val="20"/>
              </w:rPr>
            </w:pPr>
            <w:r>
              <w:rPr>
                <w:rFonts w:ascii="宋体" w:hAnsi="宋体" w:eastAsia="宋体" w:cs="宋体"/>
                <w:spacing w:val="7"/>
                <w:sz w:val="20"/>
                <w:szCs w:val="20"/>
              </w:rPr>
              <w:t>于项目区东侧入口。</w:t>
            </w:r>
          </w:p>
        </w:tc>
        <w:tc>
          <w:tcPr>
            <w:tcW w:w="1665" w:type="dxa"/>
            <w:vAlign w:val="top"/>
          </w:tcPr>
          <w:p w14:paraId="192F78E1">
            <w:pPr>
              <w:spacing w:before="251"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48DA2256">
            <w:pPr>
              <w:rPr>
                <w:rFonts w:ascii="Arial"/>
                <w:sz w:val="21"/>
              </w:rPr>
            </w:pPr>
          </w:p>
        </w:tc>
      </w:tr>
      <w:tr w14:paraId="66F82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428" w:type="dxa"/>
            <w:vMerge w:val="continue"/>
            <w:tcBorders>
              <w:top w:val="nil"/>
              <w:left w:val="single" w:color="000000" w:sz="6" w:space="0"/>
              <w:bottom w:val="nil"/>
            </w:tcBorders>
            <w:vAlign w:val="top"/>
          </w:tcPr>
          <w:p w14:paraId="4C4A204B">
            <w:pPr>
              <w:rPr>
                <w:rFonts w:ascii="Arial"/>
                <w:sz w:val="21"/>
              </w:rPr>
            </w:pPr>
          </w:p>
        </w:tc>
        <w:tc>
          <w:tcPr>
            <w:tcW w:w="113" w:type="dxa"/>
            <w:tcBorders>
              <w:top w:val="nil"/>
              <w:bottom w:val="nil"/>
            </w:tcBorders>
            <w:vAlign w:val="top"/>
          </w:tcPr>
          <w:p w14:paraId="14E1424E">
            <w:pPr>
              <w:rPr>
                <w:rFonts w:ascii="Arial"/>
                <w:sz w:val="21"/>
              </w:rPr>
            </w:pPr>
          </w:p>
        </w:tc>
        <w:tc>
          <w:tcPr>
            <w:tcW w:w="473" w:type="dxa"/>
            <w:vMerge w:val="restart"/>
            <w:tcBorders>
              <w:bottom w:val="nil"/>
            </w:tcBorders>
            <w:textDirection w:val="tbRlV"/>
            <w:vAlign w:val="top"/>
          </w:tcPr>
          <w:p w14:paraId="1613F492">
            <w:pPr>
              <w:spacing w:before="135" w:line="217" w:lineRule="auto"/>
              <w:ind w:left="1686"/>
              <w:rPr>
                <w:rFonts w:ascii="宋体" w:hAnsi="宋体" w:eastAsia="宋体" w:cs="宋体"/>
                <w:sz w:val="20"/>
                <w:szCs w:val="20"/>
              </w:rPr>
            </w:pPr>
            <w:r>
              <w:rPr>
                <w:rFonts w:ascii="宋体" w:hAnsi="宋体" w:eastAsia="宋体" w:cs="宋体"/>
                <w:spacing w:val="8"/>
                <w:sz w:val="20"/>
                <w:szCs w:val="20"/>
              </w:rPr>
              <w:t>公</w:t>
            </w:r>
            <w:r>
              <w:rPr>
                <w:rFonts w:ascii="宋体" w:hAnsi="宋体" w:eastAsia="宋体" w:cs="宋体"/>
                <w:spacing w:val="101"/>
                <w:sz w:val="20"/>
                <w:szCs w:val="20"/>
              </w:rPr>
              <w:t xml:space="preserve"> </w:t>
            </w:r>
            <w:r>
              <w:rPr>
                <w:rFonts w:ascii="宋体" w:hAnsi="宋体" w:eastAsia="宋体" w:cs="宋体"/>
                <w:spacing w:val="8"/>
                <w:sz w:val="20"/>
                <w:szCs w:val="20"/>
              </w:rPr>
              <w:t>用</w:t>
            </w:r>
            <w:r>
              <w:rPr>
                <w:rFonts w:ascii="宋体" w:hAnsi="宋体" w:eastAsia="宋体" w:cs="宋体"/>
                <w:spacing w:val="99"/>
                <w:sz w:val="20"/>
                <w:szCs w:val="20"/>
              </w:rPr>
              <w:t xml:space="preserve"> </w:t>
            </w:r>
            <w:r>
              <w:rPr>
                <w:rFonts w:ascii="宋体" w:hAnsi="宋体" w:eastAsia="宋体" w:cs="宋体"/>
                <w:spacing w:val="8"/>
                <w:sz w:val="20"/>
                <w:szCs w:val="20"/>
              </w:rPr>
              <w:t>工</w:t>
            </w:r>
            <w:r>
              <w:rPr>
                <w:rFonts w:ascii="宋体" w:hAnsi="宋体" w:eastAsia="宋体" w:cs="宋体"/>
                <w:spacing w:val="99"/>
                <w:sz w:val="20"/>
                <w:szCs w:val="20"/>
              </w:rPr>
              <w:t xml:space="preserve"> </w:t>
            </w:r>
            <w:r>
              <w:rPr>
                <w:rFonts w:ascii="宋体" w:hAnsi="宋体" w:eastAsia="宋体" w:cs="宋体"/>
                <w:spacing w:val="8"/>
                <w:sz w:val="20"/>
                <w:szCs w:val="20"/>
              </w:rPr>
              <w:t>程</w:t>
            </w:r>
          </w:p>
        </w:tc>
        <w:tc>
          <w:tcPr>
            <w:tcW w:w="1352" w:type="dxa"/>
            <w:gridSpan w:val="2"/>
            <w:vAlign w:val="top"/>
          </w:tcPr>
          <w:p w14:paraId="26D51503">
            <w:pPr>
              <w:spacing w:before="241" w:line="227" w:lineRule="auto"/>
              <w:ind w:left="467"/>
              <w:rPr>
                <w:rFonts w:ascii="宋体" w:hAnsi="宋体" w:eastAsia="宋体" w:cs="宋体"/>
                <w:sz w:val="20"/>
                <w:szCs w:val="20"/>
              </w:rPr>
            </w:pPr>
            <w:r>
              <w:rPr>
                <w:rFonts w:ascii="宋体" w:hAnsi="宋体" w:eastAsia="宋体" w:cs="宋体"/>
                <w:spacing w:val="4"/>
                <w:sz w:val="20"/>
                <w:szCs w:val="20"/>
              </w:rPr>
              <w:t>供水</w:t>
            </w:r>
          </w:p>
        </w:tc>
        <w:tc>
          <w:tcPr>
            <w:tcW w:w="4906" w:type="dxa"/>
            <w:vAlign w:val="top"/>
          </w:tcPr>
          <w:p w14:paraId="5ADA62E5">
            <w:pPr>
              <w:spacing w:before="37" w:line="227" w:lineRule="auto"/>
              <w:ind w:left="150"/>
              <w:rPr>
                <w:rFonts w:ascii="宋体" w:hAnsi="宋体" w:eastAsia="宋体" w:cs="宋体"/>
                <w:sz w:val="20"/>
                <w:szCs w:val="20"/>
              </w:rPr>
            </w:pPr>
            <w:r>
              <w:rPr>
                <w:rFonts w:ascii="宋体" w:hAnsi="宋体" w:eastAsia="宋体" w:cs="宋体"/>
                <w:spacing w:val="9"/>
                <w:sz w:val="20"/>
                <w:szCs w:val="20"/>
              </w:rPr>
              <w:t>厂区生产和生活用水水源由园区自来水供水管道引</w:t>
            </w:r>
          </w:p>
          <w:p w14:paraId="7B052A81">
            <w:pPr>
              <w:spacing w:before="161" w:line="228" w:lineRule="auto"/>
              <w:ind w:left="2041"/>
              <w:rPr>
                <w:rFonts w:ascii="宋体" w:hAnsi="宋体" w:eastAsia="宋体" w:cs="宋体"/>
                <w:sz w:val="20"/>
                <w:szCs w:val="20"/>
              </w:rPr>
            </w:pPr>
            <w:r>
              <w:rPr>
                <w:rFonts w:ascii="宋体" w:hAnsi="宋体" w:eastAsia="宋体" w:cs="宋体"/>
                <w:spacing w:val="6"/>
                <w:sz w:val="20"/>
                <w:szCs w:val="20"/>
              </w:rPr>
              <w:t>水至厂区</w:t>
            </w:r>
          </w:p>
        </w:tc>
        <w:tc>
          <w:tcPr>
            <w:tcW w:w="1665" w:type="dxa"/>
            <w:vAlign w:val="top"/>
          </w:tcPr>
          <w:p w14:paraId="59B65A63">
            <w:pPr>
              <w:spacing w:before="241"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5C1E3332">
            <w:pPr>
              <w:rPr>
                <w:rFonts w:ascii="Arial"/>
                <w:sz w:val="21"/>
              </w:rPr>
            </w:pPr>
          </w:p>
        </w:tc>
      </w:tr>
      <w:tr w14:paraId="111CC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3" w:hRule="atLeast"/>
        </w:trPr>
        <w:tc>
          <w:tcPr>
            <w:tcW w:w="428" w:type="dxa"/>
            <w:vMerge w:val="continue"/>
            <w:tcBorders>
              <w:top w:val="nil"/>
              <w:left w:val="single" w:color="000000" w:sz="6" w:space="0"/>
              <w:bottom w:val="nil"/>
            </w:tcBorders>
            <w:vAlign w:val="top"/>
          </w:tcPr>
          <w:p w14:paraId="2F179F06">
            <w:pPr>
              <w:rPr>
                <w:rFonts w:ascii="Arial"/>
                <w:sz w:val="21"/>
              </w:rPr>
            </w:pPr>
          </w:p>
        </w:tc>
        <w:tc>
          <w:tcPr>
            <w:tcW w:w="113" w:type="dxa"/>
            <w:tcBorders>
              <w:top w:val="nil"/>
              <w:bottom w:val="nil"/>
            </w:tcBorders>
            <w:vAlign w:val="top"/>
          </w:tcPr>
          <w:p w14:paraId="7C7627F4">
            <w:pPr>
              <w:rPr>
                <w:rFonts w:ascii="Arial"/>
                <w:sz w:val="21"/>
              </w:rPr>
            </w:pPr>
          </w:p>
        </w:tc>
        <w:tc>
          <w:tcPr>
            <w:tcW w:w="473" w:type="dxa"/>
            <w:vMerge w:val="continue"/>
            <w:tcBorders>
              <w:top w:val="nil"/>
              <w:bottom w:val="nil"/>
            </w:tcBorders>
            <w:textDirection w:val="tbRlV"/>
            <w:vAlign w:val="top"/>
          </w:tcPr>
          <w:p w14:paraId="274D136E">
            <w:pPr>
              <w:rPr>
                <w:rFonts w:ascii="Arial"/>
                <w:sz w:val="21"/>
              </w:rPr>
            </w:pPr>
          </w:p>
        </w:tc>
        <w:tc>
          <w:tcPr>
            <w:tcW w:w="1352" w:type="dxa"/>
            <w:gridSpan w:val="2"/>
            <w:vAlign w:val="top"/>
          </w:tcPr>
          <w:p w14:paraId="4BD2878E">
            <w:pPr>
              <w:spacing w:line="388" w:lineRule="auto"/>
              <w:rPr>
                <w:rFonts w:ascii="Arial"/>
                <w:sz w:val="21"/>
              </w:rPr>
            </w:pPr>
          </w:p>
          <w:p w14:paraId="1BFAB895">
            <w:pPr>
              <w:spacing w:before="65" w:line="227" w:lineRule="auto"/>
              <w:ind w:left="467"/>
              <w:rPr>
                <w:rFonts w:ascii="宋体" w:hAnsi="宋体" w:eastAsia="宋体" w:cs="宋体"/>
                <w:sz w:val="20"/>
                <w:szCs w:val="20"/>
              </w:rPr>
            </w:pPr>
            <w:r>
              <w:rPr>
                <w:rFonts w:ascii="宋体" w:hAnsi="宋体" w:eastAsia="宋体" w:cs="宋体"/>
                <w:spacing w:val="4"/>
                <w:sz w:val="20"/>
                <w:szCs w:val="20"/>
              </w:rPr>
              <w:t>供电</w:t>
            </w:r>
          </w:p>
        </w:tc>
        <w:tc>
          <w:tcPr>
            <w:tcW w:w="4906" w:type="dxa"/>
            <w:vAlign w:val="top"/>
          </w:tcPr>
          <w:p w14:paraId="07114345">
            <w:pPr>
              <w:spacing w:before="48" w:line="227" w:lineRule="auto"/>
              <w:ind w:left="109"/>
              <w:rPr>
                <w:rFonts w:ascii="宋体" w:hAnsi="宋体" w:eastAsia="宋体" w:cs="宋体"/>
                <w:sz w:val="20"/>
                <w:szCs w:val="20"/>
              </w:rPr>
            </w:pPr>
            <w:r>
              <w:rPr>
                <w:rFonts w:ascii="宋体" w:hAnsi="宋体" w:eastAsia="宋体" w:cs="宋体"/>
                <w:spacing w:val="5"/>
                <w:sz w:val="20"/>
                <w:szCs w:val="20"/>
              </w:rPr>
              <w:t>本项目用电由园区统一供给，生产用电通过</w:t>
            </w:r>
            <w:r>
              <w:rPr>
                <w:rFonts w:ascii="宋体" w:hAnsi="宋体" w:eastAsia="宋体" w:cs="宋体"/>
                <w:spacing w:val="-22"/>
                <w:sz w:val="20"/>
                <w:szCs w:val="20"/>
              </w:rPr>
              <w:t xml:space="preserve"> </w:t>
            </w:r>
            <w:r>
              <w:rPr>
                <w:rFonts w:ascii="Times New Roman" w:hAnsi="Times New Roman" w:eastAsia="Times New Roman" w:cs="Times New Roman"/>
                <w:spacing w:val="5"/>
                <w:sz w:val="20"/>
                <w:szCs w:val="20"/>
              </w:rPr>
              <w:t>35</w:t>
            </w:r>
            <w:r>
              <w:rPr>
                <w:rFonts w:ascii="Times New Roman" w:hAnsi="Times New Roman" w:eastAsia="Times New Roman" w:cs="Times New Roman"/>
                <w:sz w:val="20"/>
                <w:szCs w:val="20"/>
              </w:rPr>
              <w:t>kV</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金</w:t>
            </w:r>
          </w:p>
          <w:p w14:paraId="3AFB753B">
            <w:pPr>
              <w:spacing w:before="162" w:line="227" w:lineRule="auto"/>
              <w:ind w:left="147"/>
              <w:rPr>
                <w:rFonts w:ascii="宋体" w:hAnsi="宋体" w:eastAsia="宋体" w:cs="宋体"/>
                <w:sz w:val="20"/>
                <w:szCs w:val="20"/>
              </w:rPr>
            </w:pPr>
            <w:r>
              <w:rPr>
                <w:rFonts w:ascii="宋体" w:hAnsi="宋体" w:eastAsia="宋体" w:cs="宋体"/>
                <w:spacing w:val="9"/>
                <w:sz w:val="20"/>
                <w:szCs w:val="20"/>
              </w:rPr>
              <w:t>所变电站供到厂区，再通过项目区配电室将电供到</w:t>
            </w:r>
          </w:p>
          <w:p w14:paraId="6207F763">
            <w:pPr>
              <w:spacing w:before="161" w:line="228" w:lineRule="auto"/>
              <w:ind w:left="1830"/>
              <w:rPr>
                <w:rFonts w:ascii="宋体" w:hAnsi="宋体" w:eastAsia="宋体" w:cs="宋体"/>
                <w:sz w:val="20"/>
                <w:szCs w:val="20"/>
              </w:rPr>
            </w:pPr>
            <w:r>
              <w:rPr>
                <w:rFonts w:ascii="宋体" w:hAnsi="宋体" w:eastAsia="宋体" w:cs="宋体"/>
                <w:spacing w:val="6"/>
                <w:sz w:val="20"/>
                <w:szCs w:val="20"/>
              </w:rPr>
              <w:t>各生产车间。</w:t>
            </w:r>
          </w:p>
        </w:tc>
        <w:tc>
          <w:tcPr>
            <w:tcW w:w="1665" w:type="dxa"/>
            <w:vAlign w:val="top"/>
          </w:tcPr>
          <w:p w14:paraId="547040F5">
            <w:pPr>
              <w:spacing w:line="388" w:lineRule="auto"/>
              <w:rPr>
                <w:rFonts w:ascii="Arial"/>
                <w:sz w:val="21"/>
              </w:rPr>
            </w:pPr>
          </w:p>
          <w:p w14:paraId="4D6CB475">
            <w:pPr>
              <w:spacing w:before="65"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78A0083F">
            <w:pPr>
              <w:rPr>
                <w:rFonts w:ascii="Arial"/>
                <w:sz w:val="21"/>
              </w:rPr>
            </w:pPr>
          </w:p>
        </w:tc>
      </w:tr>
      <w:tr w14:paraId="38516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4" w:hRule="atLeast"/>
        </w:trPr>
        <w:tc>
          <w:tcPr>
            <w:tcW w:w="428" w:type="dxa"/>
            <w:vMerge w:val="continue"/>
            <w:tcBorders>
              <w:top w:val="nil"/>
              <w:left w:val="single" w:color="000000" w:sz="6" w:space="0"/>
              <w:bottom w:val="nil"/>
            </w:tcBorders>
            <w:vAlign w:val="top"/>
          </w:tcPr>
          <w:p w14:paraId="4AF2E684">
            <w:pPr>
              <w:rPr>
                <w:rFonts w:ascii="Arial"/>
                <w:sz w:val="21"/>
              </w:rPr>
            </w:pPr>
          </w:p>
        </w:tc>
        <w:tc>
          <w:tcPr>
            <w:tcW w:w="113" w:type="dxa"/>
            <w:tcBorders>
              <w:top w:val="nil"/>
              <w:bottom w:val="nil"/>
            </w:tcBorders>
            <w:vAlign w:val="top"/>
          </w:tcPr>
          <w:p w14:paraId="78543D60">
            <w:pPr>
              <w:rPr>
                <w:rFonts w:ascii="Arial"/>
                <w:sz w:val="21"/>
              </w:rPr>
            </w:pPr>
          </w:p>
        </w:tc>
        <w:tc>
          <w:tcPr>
            <w:tcW w:w="473" w:type="dxa"/>
            <w:vMerge w:val="continue"/>
            <w:tcBorders>
              <w:top w:val="nil"/>
              <w:bottom w:val="nil"/>
            </w:tcBorders>
            <w:textDirection w:val="tbRlV"/>
            <w:vAlign w:val="top"/>
          </w:tcPr>
          <w:p w14:paraId="4C9DD637">
            <w:pPr>
              <w:rPr>
                <w:rFonts w:ascii="Arial"/>
                <w:sz w:val="21"/>
              </w:rPr>
            </w:pPr>
          </w:p>
        </w:tc>
        <w:tc>
          <w:tcPr>
            <w:tcW w:w="1352" w:type="dxa"/>
            <w:gridSpan w:val="2"/>
            <w:vAlign w:val="top"/>
          </w:tcPr>
          <w:p w14:paraId="06B03FFF">
            <w:pPr>
              <w:spacing w:line="263" w:lineRule="auto"/>
              <w:rPr>
                <w:rFonts w:ascii="Arial"/>
                <w:sz w:val="21"/>
              </w:rPr>
            </w:pPr>
          </w:p>
          <w:p w14:paraId="5EFDCD0F">
            <w:pPr>
              <w:spacing w:line="263" w:lineRule="auto"/>
              <w:rPr>
                <w:rFonts w:ascii="Arial"/>
                <w:sz w:val="21"/>
              </w:rPr>
            </w:pPr>
          </w:p>
          <w:p w14:paraId="3135672E">
            <w:pPr>
              <w:spacing w:line="263" w:lineRule="auto"/>
              <w:rPr>
                <w:rFonts w:ascii="Arial"/>
                <w:sz w:val="21"/>
              </w:rPr>
            </w:pPr>
          </w:p>
          <w:p w14:paraId="11878F49">
            <w:pPr>
              <w:spacing w:before="65" w:line="228" w:lineRule="auto"/>
              <w:ind w:left="467"/>
              <w:rPr>
                <w:rFonts w:ascii="宋体" w:hAnsi="宋体" w:eastAsia="宋体" w:cs="宋体"/>
                <w:sz w:val="20"/>
                <w:szCs w:val="20"/>
              </w:rPr>
            </w:pPr>
            <w:r>
              <w:rPr>
                <w:rFonts w:ascii="宋体" w:hAnsi="宋体" w:eastAsia="宋体" w:cs="宋体"/>
                <w:spacing w:val="4"/>
                <w:sz w:val="20"/>
                <w:szCs w:val="20"/>
              </w:rPr>
              <w:t>排水</w:t>
            </w:r>
          </w:p>
        </w:tc>
        <w:tc>
          <w:tcPr>
            <w:tcW w:w="4906" w:type="dxa"/>
            <w:vAlign w:val="top"/>
          </w:tcPr>
          <w:p w14:paraId="69B4732F">
            <w:pPr>
              <w:spacing w:before="43" w:line="228" w:lineRule="auto"/>
              <w:ind w:left="150"/>
              <w:rPr>
                <w:rFonts w:ascii="宋体" w:hAnsi="宋体" w:eastAsia="宋体" w:cs="宋体"/>
                <w:sz w:val="20"/>
                <w:szCs w:val="20"/>
              </w:rPr>
            </w:pPr>
            <w:r>
              <w:rPr>
                <w:rFonts w:ascii="宋体" w:hAnsi="宋体" w:eastAsia="宋体" w:cs="宋体"/>
                <w:spacing w:val="9"/>
                <w:sz w:val="20"/>
                <w:szCs w:val="20"/>
              </w:rPr>
              <w:t>厂区主要排水为员工生活污水，员工生活污水经化</w:t>
            </w:r>
          </w:p>
          <w:p w14:paraId="57473C5C">
            <w:pPr>
              <w:spacing w:before="160" w:line="228" w:lineRule="auto"/>
              <w:ind w:left="149"/>
              <w:rPr>
                <w:rFonts w:ascii="宋体" w:hAnsi="宋体" w:eastAsia="宋体" w:cs="宋体"/>
                <w:sz w:val="20"/>
                <w:szCs w:val="20"/>
              </w:rPr>
            </w:pPr>
            <w:r>
              <w:rPr>
                <w:rFonts w:ascii="宋体" w:hAnsi="宋体" w:eastAsia="宋体" w:cs="宋体"/>
                <w:spacing w:val="9"/>
                <w:sz w:val="20"/>
                <w:szCs w:val="20"/>
              </w:rPr>
              <w:t>粪池预处理后再经自建一体化污水处理设施处理达</w:t>
            </w:r>
          </w:p>
          <w:p w14:paraId="6CE54365">
            <w:pPr>
              <w:spacing w:before="163" w:line="228" w:lineRule="auto"/>
              <w:ind w:left="177"/>
              <w:rPr>
                <w:rFonts w:ascii="Times New Roman" w:hAnsi="Times New Roman" w:eastAsia="Times New Roman" w:cs="Times New Roman"/>
                <w:sz w:val="20"/>
                <w:szCs w:val="20"/>
              </w:rPr>
            </w:pPr>
            <w:r>
              <w:rPr>
                <w:rFonts w:ascii="宋体" w:hAnsi="宋体" w:eastAsia="宋体" w:cs="宋体"/>
                <w:spacing w:val="9"/>
                <w:sz w:val="20"/>
                <w:szCs w:val="20"/>
              </w:rPr>
              <w:t>到《城市污水再生利用 城市杂用水水质》（</w:t>
            </w:r>
            <w:r>
              <w:rPr>
                <w:rFonts w:ascii="Times New Roman" w:hAnsi="Times New Roman" w:eastAsia="Times New Roman" w:cs="Times New Roman"/>
                <w:sz w:val="20"/>
                <w:szCs w:val="20"/>
              </w:rPr>
              <w:t>GB</w:t>
            </w:r>
            <w:r>
              <w:rPr>
                <w:rFonts w:ascii="Times New Roman" w:hAnsi="Times New Roman" w:eastAsia="Times New Roman" w:cs="Times New Roman"/>
                <w:spacing w:val="9"/>
                <w:sz w:val="20"/>
                <w:szCs w:val="20"/>
              </w:rPr>
              <w:t>/T</w:t>
            </w:r>
          </w:p>
          <w:p w14:paraId="2CAE835B">
            <w:pPr>
              <w:spacing w:before="160" w:line="228" w:lineRule="auto"/>
              <w:ind w:left="125"/>
              <w:rPr>
                <w:rFonts w:ascii="宋体" w:hAnsi="宋体" w:eastAsia="宋体" w:cs="宋体"/>
                <w:sz w:val="20"/>
                <w:szCs w:val="20"/>
              </w:rPr>
            </w:pPr>
            <w:r>
              <w:rPr>
                <w:rFonts w:ascii="Times New Roman" w:hAnsi="Times New Roman" w:eastAsia="Times New Roman" w:cs="Times New Roman"/>
                <w:spacing w:val="4"/>
                <w:sz w:val="20"/>
                <w:szCs w:val="20"/>
              </w:rPr>
              <w:t>18920-2020</w:t>
            </w:r>
            <w:r>
              <w:rPr>
                <w:rFonts w:ascii="宋体" w:hAnsi="宋体" w:eastAsia="宋体" w:cs="宋体"/>
                <w:spacing w:val="4"/>
                <w:sz w:val="20"/>
                <w:szCs w:val="20"/>
              </w:rPr>
              <w:t>）标准后，晴天回用作</w:t>
            </w:r>
            <w:r>
              <w:rPr>
                <w:rFonts w:ascii="宋体" w:hAnsi="宋体" w:eastAsia="宋体" w:cs="宋体"/>
                <w:spacing w:val="3"/>
                <w:sz w:val="20"/>
                <w:szCs w:val="20"/>
              </w:rPr>
              <w:t>为绿化浇灌，雨天</w:t>
            </w:r>
          </w:p>
          <w:p w14:paraId="0430CA03">
            <w:pPr>
              <w:spacing w:before="161" w:line="228" w:lineRule="auto"/>
              <w:ind w:left="566"/>
              <w:rPr>
                <w:rFonts w:ascii="宋体" w:hAnsi="宋体" w:eastAsia="宋体" w:cs="宋体"/>
                <w:sz w:val="20"/>
                <w:szCs w:val="20"/>
              </w:rPr>
            </w:pPr>
            <w:r>
              <w:rPr>
                <w:rFonts w:ascii="宋体" w:hAnsi="宋体" w:eastAsia="宋体" w:cs="宋体"/>
                <w:spacing w:val="8"/>
                <w:sz w:val="20"/>
                <w:szCs w:val="20"/>
              </w:rPr>
              <w:t>储存于蓄水池中待晴天再回用绿化浇灌。</w:t>
            </w:r>
          </w:p>
        </w:tc>
        <w:tc>
          <w:tcPr>
            <w:tcW w:w="1665" w:type="dxa"/>
            <w:vAlign w:val="top"/>
          </w:tcPr>
          <w:p w14:paraId="63B9C7C2">
            <w:pPr>
              <w:spacing w:line="263" w:lineRule="auto"/>
              <w:rPr>
                <w:rFonts w:ascii="Arial"/>
                <w:sz w:val="21"/>
              </w:rPr>
            </w:pPr>
          </w:p>
          <w:p w14:paraId="24A45859">
            <w:pPr>
              <w:spacing w:line="263" w:lineRule="auto"/>
              <w:rPr>
                <w:rFonts w:ascii="Arial"/>
                <w:sz w:val="21"/>
              </w:rPr>
            </w:pPr>
          </w:p>
          <w:p w14:paraId="626225F8">
            <w:pPr>
              <w:spacing w:line="264" w:lineRule="auto"/>
              <w:rPr>
                <w:rFonts w:ascii="Arial"/>
                <w:sz w:val="21"/>
              </w:rPr>
            </w:pPr>
          </w:p>
          <w:p w14:paraId="33DF0768">
            <w:pPr>
              <w:spacing w:before="65"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7CB948E5">
            <w:pPr>
              <w:rPr>
                <w:rFonts w:ascii="Arial"/>
                <w:sz w:val="21"/>
              </w:rPr>
            </w:pPr>
          </w:p>
        </w:tc>
      </w:tr>
      <w:tr w14:paraId="1256E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trPr>
        <w:tc>
          <w:tcPr>
            <w:tcW w:w="428" w:type="dxa"/>
            <w:vMerge w:val="continue"/>
            <w:tcBorders>
              <w:top w:val="nil"/>
              <w:left w:val="single" w:color="000000" w:sz="6" w:space="0"/>
              <w:bottom w:val="nil"/>
            </w:tcBorders>
            <w:vAlign w:val="top"/>
          </w:tcPr>
          <w:p w14:paraId="316F1E1E">
            <w:pPr>
              <w:rPr>
                <w:rFonts w:ascii="Arial"/>
                <w:sz w:val="21"/>
              </w:rPr>
            </w:pPr>
          </w:p>
        </w:tc>
        <w:tc>
          <w:tcPr>
            <w:tcW w:w="113" w:type="dxa"/>
            <w:tcBorders>
              <w:top w:val="nil"/>
              <w:bottom w:val="nil"/>
            </w:tcBorders>
            <w:vAlign w:val="top"/>
          </w:tcPr>
          <w:p w14:paraId="3978021F">
            <w:pPr>
              <w:rPr>
                <w:rFonts w:ascii="Arial"/>
                <w:sz w:val="21"/>
              </w:rPr>
            </w:pPr>
          </w:p>
        </w:tc>
        <w:tc>
          <w:tcPr>
            <w:tcW w:w="473" w:type="dxa"/>
            <w:vMerge w:val="continue"/>
            <w:tcBorders>
              <w:top w:val="nil"/>
            </w:tcBorders>
            <w:textDirection w:val="tbRlV"/>
            <w:vAlign w:val="top"/>
          </w:tcPr>
          <w:p w14:paraId="20C44D79">
            <w:pPr>
              <w:rPr>
                <w:rFonts w:ascii="Arial"/>
                <w:sz w:val="21"/>
              </w:rPr>
            </w:pPr>
          </w:p>
        </w:tc>
        <w:tc>
          <w:tcPr>
            <w:tcW w:w="1352" w:type="dxa"/>
            <w:gridSpan w:val="2"/>
            <w:vAlign w:val="top"/>
          </w:tcPr>
          <w:p w14:paraId="5829188B">
            <w:pPr>
              <w:spacing w:before="263" w:line="228" w:lineRule="auto"/>
              <w:ind w:left="366"/>
              <w:rPr>
                <w:rFonts w:ascii="宋体" w:hAnsi="宋体" w:eastAsia="宋体" w:cs="宋体"/>
                <w:sz w:val="20"/>
                <w:szCs w:val="20"/>
              </w:rPr>
            </w:pPr>
            <w:r>
              <w:rPr>
                <w:rFonts w:ascii="宋体" w:hAnsi="宋体" w:eastAsia="宋体" w:cs="宋体"/>
                <w:spacing w:val="5"/>
                <w:sz w:val="20"/>
                <w:szCs w:val="20"/>
              </w:rPr>
              <w:t>天然气</w:t>
            </w:r>
          </w:p>
        </w:tc>
        <w:tc>
          <w:tcPr>
            <w:tcW w:w="4906" w:type="dxa"/>
            <w:vAlign w:val="top"/>
          </w:tcPr>
          <w:p w14:paraId="0107C371">
            <w:pPr>
              <w:spacing w:before="59" w:line="227" w:lineRule="auto"/>
              <w:ind w:left="172"/>
              <w:rPr>
                <w:rFonts w:ascii="宋体" w:hAnsi="宋体" w:eastAsia="宋体" w:cs="宋体"/>
                <w:sz w:val="20"/>
                <w:szCs w:val="20"/>
              </w:rPr>
            </w:pPr>
            <w:r>
              <w:rPr>
                <w:rFonts w:ascii="宋体" w:hAnsi="宋体" w:eastAsia="宋体" w:cs="宋体"/>
                <w:spacing w:val="8"/>
                <w:sz w:val="20"/>
                <w:szCs w:val="20"/>
              </w:rPr>
              <w:t>由寻甸中石油昆仑燃气有限公司提供，天然气管道</w:t>
            </w:r>
          </w:p>
          <w:p w14:paraId="0C5C0B60">
            <w:pPr>
              <w:spacing w:before="161" w:line="228" w:lineRule="auto"/>
              <w:ind w:left="1430"/>
              <w:rPr>
                <w:rFonts w:ascii="宋体" w:hAnsi="宋体" w:eastAsia="宋体" w:cs="宋体"/>
                <w:sz w:val="20"/>
                <w:szCs w:val="20"/>
              </w:rPr>
            </w:pPr>
            <w:r>
              <w:rPr>
                <w:rFonts w:ascii="宋体" w:hAnsi="宋体" w:eastAsia="宋体" w:cs="宋体"/>
                <w:spacing w:val="5"/>
                <w:sz w:val="20"/>
                <w:szCs w:val="20"/>
              </w:rPr>
              <w:t>已接入园区，并通气。</w:t>
            </w:r>
          </w:p>
        </w:tc>
        <w:tc>
          <w:tcPr>
            <w:tcW w:w="1665" w:type="dxa"/>
            <w:vAlign w:val="top"/>
          </w:tcPr>
          <w:p w14:paraId="5580C169">
            <w:pPr>
              <w:spacing w:before="263" w:line="229" w:lineRule="auto"/>
              <w:ind w:left="340"/>
              <w:rPr>
                <w:rFonts w:ascii="宋体" w:hAnsi="宋体" w:eastAsia="宋体" w:cs="宋体"/>
                <w:sz w:val="20"/>
                <w:szCs w:val="20"/>
              </w:rPr>
            </w:pPr>
            <w:r>
              <w:rPr>
                <w:rFonts w:ascii="宋体" w:hAnsi="宋体" w:eastAsia="宋体" w:cs="宋体"/>
                <w:spacing w:val="3"/>
                <w:sz w:val="20"/>
                <w:szCs w:val="20"/>
              </w:rPr>
              <w:t>已建，不变</w:t>
            </w:r>
          </w:p>
        </w:tc>
        <w:tc>
          <w:tcPr>
            <w:tcW w:w="127" w:type="dxa"/>
            <w:tcBorders>
              <w:top w:val="nil"/>
              <w:bottom w:val="nil"/>
              <w:right w:val="single" w:color="000000" w:sz="6" w:space="0"/>
            </w:tcBorders>
            <w:vAlign w:val="top"/>
          </w:tcPr>
          <w:p w14:paraId="045127E1">
            <w:pPr>
              <w:rPr>
                <w:rFonts w:ascii="Arial"/>
                <w:sz w:val="21"/>
              </w:rPr>
            </w:pPr>
          </w:p>
        </w:tc>
      </w:tr>
      <w:tr w14:paraId="3B1F3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7" w:hRule="atLeast"/>
        </w:trPr>
        <w:tc>
          <w:tcPr>
            <w:tcW w:w="428" w:type="dxa"/>
            <w:vMerge w:val="continue"/>
            <w:tcBorders>
              <w:top w:val="nil"/>
              <w:left w:val="single" w:color="000000" w:sz="6" w:space="0"/>
              <w:bottom w:val="nil"/>
            </w:tcBorders>
            <w:vAlign w:val="top"/>
          </w:tcPr>
          <w:p w14:paraId="481390DF">
            <w:pPr>
              <w:rPr>
                <w:rFonts w:ascii="Arial"/>
                <w:sz w:val="21"/>
              </w:rPr>
            </w:pPr>
          </w:p>
        </w:tc>
        <w:tc>
          <w:tcPr>
            <w:tcW w:w="113" w:type="dxa"/>
            <w:tcBorders>
              <w:top w:val="nil"/>
              <w:bottom w:val="nil"/>
            </w:tcBorders>
            <w:vAlign w:val="top"/>
          </w:tcPr>
          <w:p w14:paraId="13EB0547">
            <w:pPr>
              <w:rPr>
                <w:rFonts w:ascii="Arial"/>
                <w:sz w:val="21"/>
              </w:rPr>
            </w:pPr>
          </w:p>
        </w:tc>
        <w:tc>
          <w:tcPr>
            <w:tcW w:w="473" w:type="dxa"/>
            <w:vMerge w:val="restart"/>
            <w:tcBorders>
              <w:bottom w:val="nil"/>
            </w:tcBorders>
            <w:textDirection w:val="tbRlV"/>
            <w:vAlign w:val="top"/>
          </w:tcPr>
          <w:p w14:paraId="1D57C92A">
            <w:pPr>
              <w:spacing w:before="135" w:line="217" w:lineRule="auto"/>
              <w:ind w:left="46"/>
              <w:rPr>
                <w:rFonts w:ascii="宋体" w:hAnsi="宋体" w:eastAsia="宋体" w:cs="宋体"/>
                <w:sz w:val="20"/>
                <w:szCs w:val="20"/>
              </w:rPr>
            </w:pPr>
            <w:r>
              <w:rPr>
                <w:rFonts w:ascii="宋体" w:hAnsi="宋体" w:eastAsia="宋体" w:cs="宋体"/>
                <w:spacing w:val="8"/>
                <w:sz w:val="20"/>
                <w:szCs w:val="20"/>
              </w:rPr>
              <w:t>辅</w:t>
            </w:r>
            <w:r>
              <w:rPr>
                <w:rFonts w:ascii="宋体" w:hAnsi="宋体" w:eastAsia="宋体" w:cs="宋体"/>
                <w:spacing w:val="101"/>
                <w:sz w:val="20"/>
                <w:szCs w:val="20"/>
              </w:rPr>
              <w:t xml:space="preserve"> </w:t>
            </w:r>
            <w:r>
              <w:rPr>
                <w:rFonts w:ascii="宋体" w:hAnsi="宋体" w:eastAsia="宋体" w:cs="宋体"/>
                <w:spacing w:val="8"/>
                <w:sz w:val="20"/>
                <w:szCs w:val="20"/>
              </w:rPr>
              <w:t>助</w:t>
            </w:r>
            <w:r>
              <w:rPr>
                <w:rFonts w:ascii="宋体" w:hAnsi="宋体" w:eastAsia="宋体" w:cs="宋体"/>
                <w:spacing w:val="99"/>
                <w:sz w:val="20"/>
                <w:szCs w:val="20"/>
              </w:rPr>
              <w:t xml:space="preserve"> </w:t>
            </w:r>
            <w:r>
              <w:rPr>
                <w:rFonts w:ascii="宋体" w:hAnsi="宋体" w:eastAsia="宋体" w:cs="宋体"/>
                <w:spacing w:val="8"/>
                <w:sz w:val="20"/>
                <w:szCs w:val="20"/>
              </w:rPr>
              <w:t>工</w:t>
            </w:r>
            <w:r>
              <w:rPr>
                <w:rFonts w:ascii="宋体" w:hAnsi="宋体" w:eastAsia="宋体" w:cs="宋体"/>
                <w:spacing w:val="99"/>
                <w:sz w:val="20"/>
                <w:szCs w:val="20"/>
              </w:rPr>
              <w:t xml:space="preserve"> </w:t>
            </w:r>
            <w:r>
              <w:rPr>
                <w:rFonts w:ascii="宋体" w:hAnsi="宋体" w:eastAsia="宋体" w:cs="宋体"/>
                <w:spacing w:val="8"/>
                <w:sz w:val="20"/>
                <w:szCs w:val="20"/>
              </w:rPr>
              <w:t>程</w:t>
            </w:r>
          </w:p>
        </w:tc>
        <w:tc>
          <w:tcPr>
            <w:tcW w:w="1352" w:type="dxa"/>
            <w:gridSpan w:val="2"/>
            <w:vAlign w:val="top"/>
          </w:tcPr>
          <w:p w14:paraId="711CAEAA">
            <w:pPr>
              <w:spacing w:line="382" w:lineRule="auto"/>
              <w:rPr>
                <w:rFonts w:ascii="Arial"/>
                <w:sz w:val="21"/>
              </w:rPr>
            </w:pPr>
          </w:p>
          <w:p w14:paraId="49BEAE17">
            <w:pPr>
              <w:spacing w:before="65" w:line="228" w:lineRule="auto"/>
              <w:ind w:left="260"/>
              <w:rPr>
                <w:rFonts w:ascii="宋体" w:hAnsi="宋体" w:eastAsia="宋体" w:cs="宋体"/>
                <w:sz w:val="20"/>
                <w:szCs w:val="20"/>
              </w:rPr>
            </w:pPr>
            <w:r>
              <w:rPr>
                <w:rFonts w:ascii="宋体" w:hAnsi="宋体" w:eastAsia="宋体" w:cs="宋体"/>
                <w:spacing w:val="6"/>
                <w:sz w:val="20"/>
                <w:szCs w:val="20"/>
              </w:rPr>
              <w:t>消防水池</w:t>
            </w:r>
          </w:p>
        </w:tc>
        <w:tc>
          <w:tcPr>
            <w:tcW w:w="4906" w:type="dxa"/>
            <w:vAlign w:val="top"/>
          </w:tcPr>
          <w:p w14:paraId="5CDC7E74">
            <w:pPr>
              <w:spacing w:before="41" w:line="228" w:lineRule="auto"/>
              <w:ind w:left="147"/>
              <w:rPr>
                <w:rFonts w:ascii="宋体" w:hAnsi="宋体" w:eastAsia="宋体" w:cs="宋体"/>
                <w:sz w:val="20"/>
                <w:szCs w:val="20"/>
              </w:rPr>
            </w:pPr>
            <w:r>
              <w:rPr>
                <w:rFonts w:ascii="宋体" w:hAnsi="宋体" w:eastAsia="宋体" w:cs="宋体"/>
                <w:spacing w:val="9"/>
                <w:sz w:val="20"/>
                <w:szCs w:val="20"/>
              </w:rPr>
              <w:t>位于公司西北侧，项目建筑均配备灭火器，消防水</w:t>
            </w:r>
          </w:p>
          <w:p w14:paraId="7BC72754">
            <w:pPr>
              <w:spacing w:before="160" w:line="228" w:lineRule="auto"/>
              <w:ind w:left="146"/>
              <w:rPr>
                <w:rFonts w:ascii="宋体" w:hAnsi="宋体" w:eastAsia="宋体" w:cs="宋体"/>
                <w:sz w:val="20"/>
                <w:szCs w:val="20"/>
              </w:rPr>
            </w:pPr>
            <w:r>
              <w:rPr>
                <w:rFonts w:ascii="宋体" w:hAnsi="宋体" w:eastAsia="宋体" w:cs="宋体"/>
                <w:spacing w:val="9"/>
                <w:sz w:val="20"/>
                <w:szCs w:val="20"/>
              </w:rPr>
              <w:t>源为市政管网水，水量水压能满足消防要求。项目</w:t>
            </w:r>
          </w:p>
          <w:p w14:paraId="42CBC9AE">
            <w:pPr>
              <w:spacing w:before="163" w:line="228" w:lineRule="auto"/>
              <w:ind w:left="429"/>
              <w:rPr>
                <w:rFonts w:ascii="宋体" w:hAnsi="宋体" w:eastAsia="宋体" w:cs="宋体"/>
                <w:sz w:val="20"/>
                <w:szCs w:val="20"/>
              </w:rPr>
            </w:pPr>
            <w:r>
              <w:rPr>
                <w:rFonts w:ascii="宋体" w:hAnsi="宋体" w:eastAsia="宋体" w:cs="宋体"/>
                <w:spacing w:val="7"/>
                <w:sz w:val="20"/>
                <w:szCs w:val="20"/>
              </w:rPr>
              <w:t>设置地下消防水池，消防水池容积为</w:t>
            </w:r>
            <w:r>
              <w:rPr>
                <w:rFonts w:ascii="宋体" w:hAnsi="宋体" w:eastAsia="宋体" w:cs="宋体"/>
                <w:spacing w:val="-27"/>
                <w:sz w:val="20"/>
                <w:szCs w:val="20"/>
              </w:rPr>
              <w:t xml:space="preserve"> </w:t>
            </w:r>
            <w:r>
              <w:rPr>
                <w:rFonts w:ascii="Times New Roman" w:hAnsi="Times New Roman" w:eastAsia="Times New Roman" w:cs="Times New Roman"/>
                <w:spacing w:val="7"/>
                <w:sz w:val="20"/>
                <w:szCs w:val="20"/>
              </w:rPr>
              <w:t>50m</w:t>
            </w:r>
            <w:r>
              <w:rPr>
                <w:rFonts w:ascii="Times New Roman" w:hAnsi="Times New Roman" w:eastAsia="Times New Roman" w:cs="Times New Roman"/>
                <w:spacing w:val="7"/>
                <w:position w:val="6"/>
                <w:sz w:val="13"/>
                <w:szCs w:val="13"/>
              </w:rPr>
              <w:t>3</w:t>
            </w:r>
            <w:r>
              <w:rPr>
                <w:rFonts w:ascii="宋体" w:hAnsi="宋体" w:eastAsia="宋体" w:cs="宋体"/>
                <w:spacing w:val="7"/>
                <w:sz w:val="20"/>
                <w:szCs w:val="20"/>
              </w:rPr>
              <w:t>。</w:t>
            </w:r>
          </w:p>
        </w:tc>
        <w:tc>
          <w:tcPr>
            <w:tcW w:w="1665" w:type="dxa"/>
            <w:vAlign w:val="top"/>
          </w:tcPr>
          <w:p w14:paraId="16AE4DB0">
            <w:pPr>
              <w:spacing w:line="382" w:lineRule="auto"/>
              <w:rPr>
                <w:rFonts w:ascii="Arial"/>
                <w:sz w:val="21"/>
              </w:rPr>
            </w:pPr>
          </w:p>
          <w:p w14:paraId="5283B489">
            <w:pPr>
              <w:spacing w:before="65" w:line="229" w:lineRule="auto"/>
              <w:ind w:left="635"/>
              <w:rPr>
                <w:rFonts w:ascii="宋体" w:hAnsi="宋体" w:eastAsia="宋体" w:cs="宋体"/>
                <w:sz w:val="20"/>
                <w:szCs w:val="20"/>
              </w:rPr>
            </w:pPr>
            <w:r>
              <w:rPr>
                <w:rFonts w:ascii="宋体" w:hAnsi="宋体" w:eastAsia="宋体" w:cs="宋体"/>
                <w:spacing w:val="4"/>
                <w:sz w:val="20"/>
                <w:szCs w:val="20"/>
              </w:rPr>
              <w:t>沿用</w:t>
            </w:r>
          </w:p>
        </w:tc>
        <w:tc>
          <w:tcPr>
            <w:tcW w:w="127" w:type="dxa"/>
            <w:tcBorders>
              <w:top w:val="nil"/>
              <w:bottom w:val="nil"/>
              <w:right w:val="single" w:color="000000" w:sz="6" w:space="0"/>
            </w:tcBorders>
            <w:vAlign w:val="top"/>
          </w:tcPr>
          <w:p w14:paraId="225DD1AD">
            <w:pPr>
              <w:rPr>
                <w:rFonts w:ascii="Arial"/>
                <w:sz w:val="21"/>
              </w:rPr>
            </w:pPr>
          </w:p>
        </w:tc>
      </w:tr>
      <w:tr w14:paraId="0F8EB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28" w:type="dxa"/>
            <w:vMerge w:val="continue"/>
            <w:tcBorders>
              <w:top w:val="nil"/>
              <w:left w:val="single" w:color="000000" w:sz="6" w:space="0"/>
              <w:bottom w:val="nil"/>
            </w:tcBorders>
            <w:vAlign w:val="top"/>
          </w:tcPr>
          <w:p w14:paraId="70D72F6A">
            <w:pPr>
              <w:rPr>
                <w:rFonts w:ascii="Arial"/>
                <w:sz w:val="21"/>
              </w:rPr>
            </w:pPr>
          </w:p>
        </w:tc>
        <w:tc>
          <w:tcPr>
            <w:tcW w:w="113" w:type="dxa"/>
            <w:tcBorders>
              <w:top w:val="nil"/>
              <w:bottom w:val="nil"/>
            </w:tcBorders>
            <w:vAlign w:val="top"/>
          </w:tcPr>
          <w:p w14:paraId="7BFC5917">
            <w:pPr>
              <w:rPr>
                <w:rFonts w:ascii="Arial"/>
                <w:sz w:val="21"/>
              </w:rPr>
            </w:pPr>
          </w:p>
        </w:tc>
        <w:tc>
          <w:tcPr>
            <w:tcW w:w="473" w:type="dxa"/>
            <w:vMerge w:val="continue"/>
            <w:tcBorders>
              <w:top w:val="nil"/>
            </w:tcBorders>
            <w:textDirection w:val="tbRlV"/>
            <w:vAlign w:val="top"/>
          </w:tcPr>
          <w:p w14:paraId="4C5EF0B7">
            <w:pPr>
              <w:rPr>
                <w:rFonts w:ascii="Arial"/>
                <w:sz w:val="21"/>
              </w:rPr>
            </w:pPr>
          </w:p>
        </w:tc>
        <w:tc>
          <w:tcPr>
            <w:tcW w:w="1352" w:type="dxa"/>
            <w:gridSpan w:val="2"/>
            <w:vAlign w:val="top"/>
          </w:tcPr>
          <w:p w14:paraId="2DE0B7A3">
            <w:pPr>
              <w:spacing w:before="56" w:line="231" w:lineRule="auto"/>
              <w:ind w:left="361"/>
              <w:rPr>
                <w:rFonts w:ascii="宋体" w:hAnsi="宋体" w:eastAsia="宋体" w:cs="宋体"/>
                <w:sz w:val="20"/>
                <w:szCs w:val="20"/>
              </w:rPr>
            </w:pPr>
            <w:r>
              <w:rPr>
                <w:rFonts w:ascii="宋体" w:hAnsi="宋体" w:eastAsia="宋体" w:cs="宋体"/>
                <w:spacing w:val="6"/>
                <w:sz w:val="20"/>
                <w:szCs w:val="20"/>
              </w:rPr>
              <w:t>配电室</w:t>
            </w:r>
          </w:p>
        </w:tc>
        <w:tc>
          <w:tcPr>
            <w:tcW w:w="4906" w:type="dxa"/>
            <w:vAlign w:val="top"/>
          </w:tcPr>
          <w:p w14:paraId="750C364C">
            <w:pPr>
              <w:spacing w:before="55" w:line="228" w:lineRule="auto"/>
              <w:ind w:left="742"/>
              <w:rPr>
                <w:rFonts w:ascii="宋体" w:hAnsi="宋体" w:eastAsia="宋体" w:cs="宋体"/>
                <w:sz w:val="20"/>
                <w:szCs w:val="20"/>
              </w:rPr>
            </w:pPr>
            <w:r>
              <w:rPr>
                <w:rFonts w:ascii="宋体" w:hAnsi="宋体" w:eastAsia="宋体" w:cs="宋体"/>
                <w:spacing w:val="4"/>
                <w:sz w:val="20"/>
                <w:szCs w:val="20"/>
              </w:rPr>
              <w:t>位于项目区东北侧，</w:t>
            </w:r>
            <w:r>
              <w:rPr>
                <w:rFonts w:ascii="宋体" w:hAnsi="宋体" w:eastAsia="宋体" w:cs="宋体"/>
                <w:spacing w:val="-37"/>
                <w:sz w:val="20"/>
                <w:szCs w:val="20"/>
              </w:rPr>
              <w:t xml:space="preserve"> </w:t>
            </w:r>
            <w:r>
              <w:rPr>
                <w:rFonts w:ascii="宋体" w:hAnsi="宋体" w:eastAsia="宋体" w:cs="宋体"/>
                <w:spacing w:val="4"/>
                <w:sz w:val="20"/>
                <w:szCs w:val="20"/>
              </w:rPr>
              <w:t>占地面积</w:t>
            </w:r>
            <w:r>
              <w:rPr>
                <w:rFonts w:ascii="宋体" w:hAnsi="宋体" w:eastAsia="宋体" w:cs="宋体"/>
                <w:spacing w:val="-43"/>
                <w:sz w:val="20"/>
                <w:szCs w:val="20"/>
              </w:rPr>
              <w:t xml:space="preserve"> </w:t>
            </w:r>
            <w:r>
              <w:rPr>
                <w:rFonts w:ascii="Times New Roman" w:hAnsi="Times New Roman" w:eastAsia="Times New Roman" w:cs="Times New Roman"/>
                <w:spacing w:val="4"/>
                <w:sz w:val="20"/>
                <w:szCs w:val="20"/>
              </w:rPr>
              <w:t>20m</w:t>
            </w:r>
            <w:r>
              <w:rPr>
                <w:rFonts w:ascii="Times New Roman" w:hAnsi="Times New Roman" w:eastAsia="Times New Roman" w:cs="Times New Roman"/>
                <w:spacing w:val="4"/>
                <w:position w:val="6"/>
                <w:sz w:val="13"/>
                <w:szCs w:val="13"/>
              </w:rPr>
              <w:t>2</w:t>
            </w:r>
            <w:r>
              <w:rPr>
                <w:rFonts w:ascii="宋体" w:hAnsi="宋体" w:eastAsia="宋体" w:cs="宋体"/>
                <w:spacing w:val="4"/>
                <w:sz w:val="20"/>
                <w:szCs w:val="20"/>
              </w:rPr>
              <w:t>。</w:t>
            </w:r>
          </w:p>
        </w:tc>
        <w:tc>
          <w:tcPr>
            <w:tcW w:w="1665" w:type="dxa"/>
            <w:vAlign w:val="top"/>
          </w:tcPr>
          <w:p w14:paraId="6EBEBF63">
            <w:pPr>
              <w:spacing w:before="55" w:line="229" w:lineRule="auto"/>
              <w:ind w:left="635"/>
              <w:rPr>
                <w:rFonts w:ascii="宋体" w:hAnsi="宋体" w:eastAsia="宋体" w:cs="宋体"/>
                <w:sz w:val="20"/>
                <w:szCs w:val="20"/>
              </w:rPr>
            </w:pPr>
            <w:r>
              <w:rPr>
                <w:rFonts w:ascii="宋体" w:hAnsi="宋体" w:eastAsia="宋体" w:cs="宋体"/>
                <w:spacing w:val="4"/>
                <w:sz w:val="20"/>
                <w:szCs w:val="20"/>
              </w:rPr>
              <w:t>沿用</w:t>
            </w:r>
          </w:p>
        </w:tc>
        <w:tc>
          <w:tcPr>
            <w:tcW w:w="127" w:type="dxa"/>
            <w:tcBorders>
              <w:top w:val="nil"/>
              <w:bottom w:val="nil"/>
              <w:right w:val="single" w:color="000000" w:sz="6" w:space="0"/>
            </w:tcBorders>
            <w:vAlign w:val="top"/>
          </w:tcPr>
          <w:p w14:paraId="57B0C5C3">
            <w:pPr>
              <w:rPr>
                <w:rFonts w:ascii="Arial"/>
                <w:sz w:val="21"/>
              </w:rPr>
            </w:pPr>
          </w:p>
        </w:tc>
      </w:tr>
      <w:tr w14:paraId="172EF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428" w:type="dxa"/>
            <w:vMerge w:val="continue"/>
            <w:tcBorders>
              <w:top w:val="nil"/>
              <w:left w:val="single" w:color="000000" w:sz="6" w:space="0"/>
              <w:bottom w:val="nil"/>
            </w:tcBorders>
            <w:vAlign w:val="top"/>
          </w:tcPr>
          <w:p w14:paraId="39C7AB1D">
            <w:pPr>
              <w:rPr>
                <w:rFonts w:ascii="Arial"/>
                <w:sz w:val="21"/>
              </w:rPr>
            </w:pPr>
          </w:p>
        </w:tc>
        <w:tc>
          <w:tcPr>
            <w:tcW w:w="113" w:type="dxa"/>
            <w:tcBorders>
              <w:top w:val="nil"/>
              <w:bottom w:val="nil"/>
            </w:tcBorders>
            <w:vAlign w:val="top"/>
          </w:tcPr>
          <w:p w14:paraId="15818875">
            <w:pPr>
              <w:rPr>
                <w:rFonts w:ascii="Arial"/>
                <w:sz w:val="21"/>
              </w:rPr>
            </w:pPr>
          </w:p>
        </w:tc>
        <w:tc>
          <w:tcPr>
            <w:tcW w:w="473" w:type="dxa"/>
            <w:vMerge w:val="restart"/>
            <w:tcBorders>
              <w:bottom w:val="nil"/>
            </w:tcBorders>
            <w:textDirection w:val="tbRlV"/>
            <w:vAlign w:val="top"/>
          </w:tcPr>
          <w:p w14:paraId="783971BD">
            <w:pPr>
              <w:spacing w:before="135" w:line="217" w:lineRule="auto"/>
              <w:ind w:left="48"/>
              <w:rPr>
                <w:rFonts w:ascii="宋体" w:hAnsi="宋体" w:eastAsia="宋体" w:cs="宋体"/>
                <w:sz w:val="20"/>
                <w:szCs w:val="20"/>
              </w:rPr>
            </w:pPr>
            <w:r>
              <w:rPr>
                <w:rFonts w:ascii="宋体" w:hAnsi="宋体" w:eastAsia="宋体" w:cs="宋体"/>
                <w:spacing w:val="8"/>
                <w:sz w:val="20"/>
                <w:szCs w:val="20"/>
              </w:rPr>
              <w:t>环</w:t>
            </w:r>
            <w:r>
              <w:rPr>
                <w:rFonts w:ascii="宋体" w:hAnsi="宋体" w:eastAsia="宋体" w:cs="宋体"/>
                <w:spacing w:val="101"/>
                <w:sz w:val="20"/>
                <w:szCs w:val="20"/>
              </w:rPr>
              <w:t xml:space="preserve"> </w:t>
            </w:r>
            <w:r>
              <w:rPr>
                <w:rFonts w:ascii="宋体" w:hAnsi="宋体" w:eastAsia="宋体" w:cs="宋体"/>
                <w:spacing w:val="8"/>
                <w:sz w:val="20"/>
                <w:szCs w:val="20"/>
              </w:rPr>
              <w:t>保</w:t>
            </w:r>
            <w:r>
              <w:rPr>
                <w:rFonts w:ascii="宋体" w:hAnsi="宋体" w:eastAsia="宋体" w:cs="宋体"/>
                <w:spacing w:val="99"/>
                <w:sz w:val="20"/>
                <w:szCs w:val="20"/>
              </w:rPr>
              <w:t xml:space="preserve"> </w:t>
            </w:r>
            <w:r>
              <w:rPr>
                <w:rFonts w:ascii="宋体" w:hAnsi="宋体" w:eastAsia="宋体" w:cs="宋体"/>
                <w:spacing w:val="8"/>
                <w:sz w:val="20"/>
                <w:szCs w:val="20"/>
              </w:rPr>
              <w:t>工</w:t>
            </w:r>
            <w:r>
              <w:rPr>
                <w:rFonts w:ascii="宋体" w:hAnsi="宋体" w:eastAsia="宋体" w:cs="宋体"/>
                <w:spacing w:val="99"/>
                <w:sz w:val="20"/>
                <w:szCs w:val="20"/>
              </w:rPr>
              <w:t xml:space="preserve"> </w:t>
            </w:r>
            <w:r>
              <w:rPr>
                <w:rFonts w:ascii="宋体" w:hAnsi="宋体" w:eastAsia="宋体" w:cs="宋体"/>
                <w:spacing w:val="8"/>
                <w:sz w:val="20"/>
                <w:szCs w:val="20"/>
              </w:rPr>
              <w:t>程</w:t>
            </w:r>
          </w:p>
        </w:tc>
        <w:tc>
          <w:tcPr>
            <w:tcW w:w="613" w:type="dxa"/>
            <w:vMerge w:val="restart"/>
            <w:tcBorders>
              <w:bottom w:val="nil"/>
            </w:tcBorders>
            <w:textDirection w:val="tbRlV"/>
            <w:vAlign w:val="top"/>
          </w:tcPr>
          <w:p w14:paraId="34577391">
            <w:pPr>
              <w:spacing w:before="206" w:line="216" w:lineRule="auto"/>
              <w:ind w:left="48"/>
              <w:rPr>
                <w:rFonts w:ascii="宋体" w:hAnsi="宋体" w:eastAsia="宋体" w:cs="宋体"/>
                <w:sz w:val="20"/>
                <w:szCs w:val="20"/>
              </w:rPr>
            </w:pPr>
            <w:r>
              <w:rPr>
                <w:rFonts w:ascii="宋体" w:hAnsi="宋体" w:eastAsia="宋体" w:cs="宋体"/>
                <w:spacing w:val="8"/>
                <w:sz w:val="20"/>
                <w:szCs w:val="20"/>
              </w:rPr>
              <w:t>废</w:t>
            </w:r>
            <w:r>
              <w:rPr>
                <w:rFonts w:ascii="宋体" w:hAnsi="宋体" w:eastAsia="宋体" w:cs="宋体"/>
                <w:spacing w:val="101"/>
                <w:sz w:val="20"/>
                <w:szCs w:val="20"/>
              </w:rPr>
              <w:t xml:space="preserve"> </w:t>
            </w:r>
            <w:r>
              <w:rPr>
                <w:rFonts w:ascii="宋体" w:hAnsi="宋体" w:eastAsia="宋体" w:cs="宋体"/>
                <w:spacing w:val="8"/>
                <w:sz w:val="20"/>
                <w:szCs w:val="20"/>
              </w:rPr>
              <w:t>水</w:t>
            </w:r>
            <w:r>
              <w:rPr>
                <w:rFonts w:ascii="宋体" w:hAnsi="宋体" w:eastAsia="宋体" w:cs="宋体"/>
                <w:spacing w:val="99"/>
                <w:sz w:val="20"/>
                <w:szCs w:val="20"/>
              </w:rPr>
              <w:t xml:space="preserve"> </w:t>
            </w:r>
            <w:r>
              <w:rPr>
                <w:rFonts w:ascii="宋体" w:hAnsi="宋体" w:eastAsia="宋体" w:cs="宋体"/>
                <w:spacing w:val="8"/>
                <w:sz w:val="20"/>
                <w:szCs w:val="20"/>
              </w:rPr>
              <w:t>治</w:t>
            </w:r>
            <w:r>
              <w:rPr>
                <w:rFonts w:ascii="宋体" w:hAnsi="宋体" w:eastAsia="宋体" w:cs="宋体"/>
                <w:spacing w:val="99"/>
                <w:sz w:val="20"/>
                <w:szCs w:val="20"/>
              </w:rPr>
              <w:t xml:space="preserve"> </w:t>
            </w:r>
            <w:r>
              <w:rPr>
                <w:rFonts w:ascii="宋体" w:hAnsi="宋体" w:eastAsia="宋体" w:cs="宋体"/>
                <w:spacing w:val="8"/>
                <w:sz w:val="20"/>
                <w:szCs w:val="20"/>
              </w:rPr>
              <w:t>理</w:t>
            </w:r>
          </w:p>
        </w:tc>
        <w:tc>
          <w:tcPr>
            <w:tcW w:w="739" w:type="dxa"/>
            <w:vAlign w:val="top"/>
          </w:tcPr>
          <w:p w14:paraId="4C8207A3">
            <w:pPr>
              <w:spacing w:before="43" w:line="348" w:lineRule="auto"/>
              <w:ind w:left="264" w:right="162" w:hanging="102"/>
              <w:rPr>
                <w:rFonts w:ascii="宋体" w:hAnsi="宋体" w:eastAsia="宋体" w:cs="宋体"/>
                <w:sz w:val="20"/>
                <w:szCs w:val="20"/>
              </w:rPr>
            </w:pPr>
            <w:r>
              <w:rPr>
                <w:rFonts w:ascii="宋体" w:hAnsi="宋体" w:eastAsia="宋体" w:cs="宋体"/>
                <w:spacing w:val="4"/>
                <w:sz w:val="20"/>
                <w:szCs w:val="20"/>
              </w:rPr>
              <w:t>化粪</w:t>
            </w:r>
            <w:r>
              <w:rPr>
                <w:rFonts w:ascii="宋体" w:hAnsi="宋体" w:eastAsia="宋体" w:cs="宋体"/>
                <w:sz w:val="20"/>
                <w:szCs w:val="20"/>
              </w:rPr>
              <w:t>池</w:t>
            </w:r>
          </w:p>
        </w:tc>
        <w:tc>
          <w:tcPr>
            <w:tcW w:w="4906" w:type="dxa"/>
            <w:vAlign w:val="top"/>
          </w:tcPr>
          <w:p w14:paraId="18D8F69C">
            <w:pPr>
              <w:spacing w:before="43" w:line="228" w:lineRule="auto"/>
              <w:ind w:left="125"/>
              <w:rPr>
                <w:rFonts w:ascii="宋体" w:hAnsi="宋体" w:eastAsia="宋体" w:cs="宋体"/>
                <w:sz w:val="20"/>
                <w:szCs w:val="20"/>
              </w:rPr>
            </w:pP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个，位于倒班房南侧，容积为</w:t>
            </w:r>
            <w:r>
              <w:rPr>
                <w:rFonts w:ascii="宋体" w:hAnsi="宋体" w:eastAsia="宋体" w:cs="宋体"/>
                <w:spacing w:val="-44"/>
                <w:sz w:val="20"/>
                <w:szCs w:val="20"/>
              </w:rPr>
              <w:t xml:space="preserve"> </w:t>
            </w:r>
            <w:r>
              <w:rPr>
                <w:rFonts w:ascii="Times New Roman" w:hAnsi="Times New Roman" w:eastAsia="Times New Roman" w:cs="Times New Roman"/>
                <w:spacing w:val="5"/>
                <w:sz w:val="20"/>
                <w:szCs w:val="20"/>
              </w:rPr>
              <w:t>4m</w:t>
            </w:r>
            <w:r>
              <w:rPr>
                <w:rFonts w:ascii="Times New Roman" w:hAnsi="Times New Roman" w:eastAsia="Times New Roman" w:cs="Times New Roman"/>
                <w:spacing w:val="5"/>
                <w:position w:val="6"/>
                <w:sz w:val="13"/>
                <w:szCs w:val="13"/>
              </w:rPr>
              <w:t>3</w:t>
            </w:r>
            <w:r>
              <w:rPr>
                <w:rFonts w:ascii="Times New Roman" w:hAnsi="Times New Roman" w:eastAsia="Times New Roman" w:cs="Times New Roman"/>
                <w:spacing w:val="-8"/>
                <w:position w:val="6"/>
                <w:sz w:val="13"/>
                <w:szCs w:val="13"/>
              </w:rPr>
              <w:t xml:space="preserve"> </w:t>
            </w:r>
            <w:r>
              <w:rPr>
                <w:rFonts w:ascii="宋体" w:hAnsi="宋体" w:eastAsia="宋体" w:cs="宋体"/>
                <w:spacing w:val="5"/>
                <w:sz w:val="20"/>
                <w:szCs w:val="20"/>
              </w:rPr>
              <w:t>，对</w:t>
            </w:r>
            <w:r>
              <w:rPr>
                <w:rFonts w:ascii="宋体" w:hAnsi="宋体" w:eastAsia="宋体" w:cs="宋体"/>
                <w:spacing w:val="4"/>
                <w:sz w:val="20"/>
                <w:szCs w:val="20"/>
              </w:rPr>
              <w:t>生活废水进</w:t>
            </w:r>
          </w:p>
          <w:p w14:paraId="418FEF68">
            <w:pPr>
              <w:spacing w:before="161" w:line="228" w:lineRule="auto"/>
              <w:ind w:left="1936"/>
              <w:rPr>
                <w:rFonts w:ascii="宋体" w:hAnsi="宋体" w:eastAsia="宋体" w:cs="宋体"/>
                <w:sz w:val="20"/>
                <w:szCs w:val="20"/>
              </w:rPr>
            </w:pPr>
            <w:r>
              <w:rPr>
                <w:rFonts w:ascii="宋体" w:hAnsi="宋体" w:eastAsia="宋体" w:cs="宋体"/>
                <w:spacing w:val="5"/>
                <w:sz w:val="20"/>
                <w:szCs w:val="20"/>
              </w:rPr>
              <w:t>行预处理。</w:t>
            </w:r>
          </w:p>
        </w:tc>
        <w:tc>
          <w:tcPr>
            <w:tcW w:w="1665" w:type="dxa"/>
            <w:vAlign w:val="top"/>
          </w:tcPr>
          <w:p w14:paraId="0C6C63FC">
            <w:pPr>
              <w:spacing w:before="247" w:line="229" w:lineRule="auto"/>
              <w:ind w:left="635"/>
              <w:rPr>
                <w:rFonts w:ascii="宋体" w:hAnsi="宋体" w:eastAsia="宋体" w:cs="宋体"/>
                <w:sz w:val="20"/>
                <w:szCs w:val="20"/>
              </w:rPr>
            </w:pPr>
            <w:r>
              <w:rPr>
                <w:rFonts w:ascii="宋体" w:hAnsi="宋体" w:eastAsia="宋体" w:cs="宋体"/>
                <w:spacing w:val="4"/>
                <w:sz w:val="20"/>
                <w:szCs w:val="20"/>
              </w:rPr>
              <w:t>沿用</w:t>
            </w:r>
          </w:p>
        </w:tc>
        <w:tc>
          <w:tcPr>
            <w:tcW w:w="127" w:type="dxa"/>
            <w:tcBorders>
              <w:top w:val="nil"/>
              <w:bottom w:val="nil"/>
              <w:right w:val="single" w:color="000000" w:sz="6" w:space="0"/>
            </w:tcBorders>
            <w:vAlign w:val="top"/>
          </w:tcPr>
          <w:p w14:paraId="59A6E4B9">
            <w:pPr>
              <w:rPr>
                <w:rFonts w:ascii="Arial"/>
                <w:sz w:val="21"/>
              </w:rPr>
            </w:pPr>
          </w:p>
        </w:tc>
      </w:tr>
      <w:tr w14:paraId="69A70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428" w:type="dxa"/>
            <w:vMerge w:val="continue"/>
            <w:tcBorders>
              <w:top w:val="nil"/>
              <w:left w:val="single" w:color="000000" w:sz="6" w:space="0"/>
              <w:bottom w:val="single" w:color="000000" w:sz="6" w:space="0"/>
            </w:tcBorders>
            <w:vAlign w:val="top"/>
          </w:tcPr>
          <w:p w14:paraId="27C06BAD">
            <w:pPr>
              <w:rPr>
                <w:rFonts w:ascii="Arial"/>
                <w:sz w:val="21"/>
              </w:rPr>
            </w:pPr>
          </w:p>
        </w:tc>
        <w:tc>
          <w:tcPr>
            <w:tcW w:w="113" w:type="dxa"/>
            <w:tcBorders>
              <w:top w:val="nil"/>
              <w:bottom w:val="single" w:color="000000" w:sz="6" w:space="0"/>
            </w:tcBorders>
            <w:vAlign w:val="top"/>
          </w:tcPr>
          <w:p w14:paraId="39117036">
            <w:pPr>
              <w:rPr>
                <w:rFonts w:ascii="Arial"/>
                <w:sz w:val="21"/>
              </w:rPr>
            </w:pPr>
          </w:p>
        </w:tc>
        <w:tc>
          <w:tcPr>
            <w:tcW w:w="473" w:type="dxa"/>
            <w:vMerge w:val="continue"/>
            <w:tcBorders>
              <w:top w:val="nil"/>
              <w:bottom w:val="single" w:color="000000" w:sz="6" w:space="0"/>
            </w:tcBorders>
            <w:textDirection w:val="tbRlV"/>
            <w:vAlign w:val="top"/>
          </w:tcPr>
          <w:p w14:paraId="2BC443E8">
            <w:pPr>
              <w:rPr>
                <w:rFonts w:ascii="Arial"/>
                <w:sz w:val="21"/>
              </w:rPr>
            </w:pPr>
          </w:p>
        </w:tc>
        <w:tc>
          <w:tcPr>
            <w:tcW w:w="613" w:type="dxa"/>
            <w:vMerge w:val="continue"/>
            <w:tcBorders>
              <w:top w:val="nil"/>
              <w:bottom w:val="single" w:color="000000" w:sz="6" w:space="0"/>
            </w:tcBorders>
            <w:textDirection w:val="tbRlV"/>
            <w:vAlign w:val="top"/>
          </w:tcPr>
          <w:p w14:paraId="0309F966">
            <w:pPr>
              <w:rPr>
                <w:rFonts w:ascii="Arial"/>
                <w:sz w:val="21"/>
              </w:rPr>
            </w:pPr>
          </w:p>
        </w:tc>
        <w:tc>
          <w:tcPr>
            <w:tcW w:w="739" w:type="dxa"/>
            <w:tcBorders>
              <w:bottom w:val="single" w:color="000000" w:sz="6" w:space="0"/>
            </w:tcBorders>
            <w:vAlign w:val="top"/>
          </w:tcPr>
          <w:p w14:paraId="2747AB7E">
            <w:pPr>
              <w:spacing w:before="59" w:line="229" w:lineRule="auto"/>
              <w:ind w:left="165"/>
              <w:rPr>
                <w:rFonts w:ascii="宋体" w:hAnsi="宋体" w:eastAsia="宋体" w:cs="宋体"/>
                <w:sz w:val="20"/>
                <w:szCs w:val="20"/>
              </w:rPr>
            </w:pPr>
            <w:r>
              <w:rPr>
                <w:rFonts w:ascii="宋体" w:hAnsi="宋体" w:eastAsia="宋体" w:cs="宋体"/>
                <w:spacing w:val="3"/>
                <w:sz w:val="20"/>
                <w:szCs w:val="20"/>
              </w:rPr>
              <w:t>一体</w:t>
            </w:r>
          </w:p>
          <w:p w14:paraId="36342444">
            <w:pPr>
              <w:spacing w:before="159" w:line="229" w:lineRule="auto"/>
              <w:ind w:left="162"/>
              <w:rPr>
                <w:rFonts w:ascii="宋体" w:hAnsi="宋体" w:eastAsia="宋体" w:cs="宋体"/>
                <w:sz w:val="20"/>
                <w:szCs w:val="20"/>
              </w:rPr>
            </w:pPr>
            <w:r>
              <w:rPr>
                <w:rFonts w:ascii="宋体" w:hAnsi="宋体" w:eastAsia="宋体" w:cs="宋体"/>
                <w:spacing w:val="4"/>
                <w:sz w:val="20"/>
                <w:szCs w:val="20"/>
              </w:rPr>
              <w:t>化污</w:t>
            </w:r>
          </w:p>
        </w:tc>
        <w:tc>
          <w:tcPr>
            <w:tcW w:w="4906" w:type="dxa"/>
            <w:tcBorders>
              <w:bottom w:val="single" w:color="000000" w:sz="6" w:space="0"/>
            </w:tcBorders>
            <w:vAlign w:val="top"/>
          </w:tcPr>
          <w:p w14:paraId="4EEAC227">
            <w:pPr>
              <w:spacing w:before="58" w:line="369" w:lineRule="auto"/>
              <w:ind w:left="149" w:right="155" w:firstLine="26"/>
              <w:rPr>
                <w:rFonts w:ascii="宋体" w:hAnsi="宋体" w:eastAsia="宋体" w:cs="宋体"/>
                <w:sz w:val="20"/>
                <w:szCs w:val="20"/>
              </w:rPr>
            </w:pP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个，处理规模</w:t>
            </w:r>
            <w:r>
              <w:rPr>
                <w:rFonts w:ascii="宋体" w:hAnsi="宋体" w:eastAsia="宋体" w:cs="宋体"/>
                <w:spacing w:val="-14"/>
                <w:sz w:val="20"/>
                <w:szCs w:val="20"/>
              </w:rPr>
              <w:t xml:space="preserve"> </w:t>
            </w:r>
            <w:r>
              <w:rPr>
                <w:rFonts w:ascii="Times New Roman" w:hAnsi="Times New Roman" w:eastAsia="Times New Roman" w:cs="Times New Roman"/>
                <w:spacing w:val="5"/>
                <w:sz w:val="20"/>
                <w:szCs w:val="20"/>
              </w:rPr>
              <w:t>10m</w:t>
            </w:r>
            <w:r>
              <w:rPr>
                <w:rFonts w:ascii="Times New Roman" w:hAnsi="Times New Roman" w:eastAsia="Times New Roman" w:cs="Times New Roman"/>
                <w:spacing w:val="5"/>
                <w:position w:val="6"/>
                <w:sz w:val="13"/>
                <w:szCs w:val="13"/>
              </w:rPr>
              <w:t>3</w:t>
            </w:r>
            <w:r>
              <w:rPr>
                <w:rFonts w:ascii="Times New Roman" w:hAnsi="Times New Roman" w:eastAsia="Times New Roman" w:cs="Times New Roman"/>
                <w:spacing w:val="5"/>
                <w:sz w:val="20"/>
                <w:szCs w:val="20"/>
              </w:rPr>
              <w:t>/d</w:t>
            </w:r>
            <w:r>
              <w:rPr>
                <w:rFonts w:ascii="Times New Roman" w:hAnsi="Times New Roman" w:eastAsia="Times New Roman" w:cs="Times New Roman"/>
                <w:spacing w:val="-24"/>
                <w:sz w:val="20"/>
                <w:szCs w:val="20"/>
              </w:rPr>
              <w:t xml:space="preserve"> </w:t>
            </w:r>
            <w:r>
              <w:rPr>
                <w:rFonts w:ascii="宋体" w:hAnsi="宋体" w:eastAsia="宋体" w:cs="宋体"/>
                <w:spacing w:val="5"/>
                <w:sz w:val="20"/>
                <w:szCs w:val="20"/>
              </w:rPr>
              <w:t>，对化粪池预处理后的生活</w:t>
            </w:r>
            <w:r>
              <w:rPr>
                <w:rFonts w:ascii="宋体" w:hAnsi="宋体" w:eastAsia="宋体" w:cs="宋体"/>
                <w:spacing w:val="7"/>
                <w:sz w:val="20"/>
                <w:szCs w:val="20"/>
              </w:rPr>
              <w:t>污水进一步处理，达标后晴天回用作为绿化浇灌、</w:t>
            </w:r>
          </w:p>
        </w:tc>
        <w:tc>
          <w:tcPr>
            <w:tcW w:w="1665" w:type="dxa"/>
            <w:tcBorders>
              <w:bottom w:val="single" w:color="000000" w:sz="6" w:space="0"/>
            </w:tcBorders>
            <w:vAlign w:val="top"/>
          </w:tcPr>
          <w:p w14:paraId="7048F56B">
            <w:pPr>
              <w:spacing w:before="263" w:line="229" w:lineRule="auto"/>
              <w:ind w:left="635"/>
              <w:rPr>
                <w:rFonts w:ascii="宋体" w:hAnsi="宋体" w:eastAsia="宋体" w:cs="宋体"/>
                <w:sz w:val="20"/>
                <w:szCs w:val="20"/>
              </w:rPr>
            </w:pPr>
            <w:r>
              <w:rPr>
                <w:rFonts w:ascii="宋体" w:hAnsi="宋体" w:eastAsia="宋体" w:cs="宋体"/>
                <w:spacing w:val="4"/>
                <w:sz w:val="20"/>
                <w:szCs w:val="20"/>
              </w:rPr>
              <w:t>沿用</w:t>
            </w:r>
          </w:p>
        </w:tc>
        <w:tc>
          <w:tcPr>
            <w:tcW w:w="127" w:type="dxa"/>
            <w:tcBorders>
              <w:top w:val="nil"/>
              <w:bottom w:val="single" w:color="000000" w:sz="6" w:space="0"/>
              <w:right w:val="single" w:color="000000" w:sz="6" w:space="0"/>
            </w:tcBorders>
            <w:vAlign w:val="top"/>
          </w:tcPr>
          <w:p w14:paraId="248D36D6">
            <w:pPr>
              <w:rPr>
                <w:rFonts w:ascii="Arial"/>
                <w:sz w:val="21"/>
              </w:rPr>
            </w:pPr>
          </w:p>
        </w:tc>
      </w:tr>
    </w:tbl>
    <w:p w14:paraId="327651B9">
      <w:pPr>
        <w:pStyle w:val="2"/>
      </w:pPr>
    </w:p>
    <w:p w14:paraId="7C9C0C7A">
      <w:pPr>
        <w:sectPr>
          <w:footerReference r:id="rId61" w:type="default"/>
          <w:pgSz w:w="11906" w:h="16839"/>
          <w:pgMar w:top="400" w:right="1413" w:bottom="1326" w:left="1413" w:header="0" w:footer="1113" w:gutter="0"/>
          <w:cols w:space="720" w:num="1"/>
        </w:sectPr>
      </w:pPr>
    </w:p>
    <w:p w14:paraId="48EC3AE9">
      <w:pPr>
        <w:spacing w:before="19"/>
      </w:pPr>
    </w:p>
    <w:p w14:paraId="5E6211D6">
      <w:pPr>
        <w:spacing w:before="19"/>
      </w:pPr>
    </w:p>
    <w:p w14:paraId="235E9011">
      <w:pPr>
        <w:spacing w:before="19"/>
      </w:pPr>
    </w:p>
    <w:p w14:paraId="58218977">
      <w:pPr>
        <w:spacing w:before="18"/>
      </w:pPr>
    </w:p>
    <w:p w14:paraId="452A1087">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473"/>
        <w:gridCol w:w="613"/>
        <w:gridCol w:w="739"/>
        <w:gridCol w:w="4906"/>
        <w:gridCol w:w="1665"/>
        <w:gridCol w:w="127"/>
      </w:tblGrid>
      <w:tr w14:paraId="61010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4" w:hRule="atLeast"/>
        </w:trPr>
        <w:tc>
          <w:tcPr>
            <w:tcW w:w="428" w:type="dxa"/>
            <w:vMerge w:val="restart"/>
            <w:tcBorders>
              <w:top w:val="single" w:color="000000" w:sz="6" w:space="0"/>
              <w:left w:val="single" w:color="000000" w:sz="6" w:space="0"/>
              <w:bottom w:val="nil"/>
            </w:tcBorders>
            <w:vAlign w:val="top"/>
          </w:tcPr>
          <w:p w14:paraId="0C439A47">
            <w:pPr>
              <w:rPr>
                <w:rFonts w:ascii="Arial"/>
                <w:sz w:val="21"/>
              </w:rPr>
            </w:pPr>
          </w:p>
        </w:tc>
        <w:tc>
          <w:tcPr>
            <w:tcW w:w="113" w:type="dxa"/>
            <w:tcBorders>
              <w:top w:val="single" w:color="000000" w:sz="6" w:space="0"/>
              <w:bottom w:val="nil"/>
            </w:tcBorders>
            <w:vAlign w:val="top"/>
          </w:tcPr>
          <w:p w14:paraId="50E9D8EA">
            <w:pPr>
              <w:rPr>
                <w:rFonts w:ascii="Arial"/>
                <w:sz w:val="21"/>
              </w:rPr>
            </w:pPr>
          </w:p>
        </w:tc>
        <w:tc>
          <w:tcPr>
            <w:tcW w:w="473" w:type="dxa"/>
            <w:vMerge w:val="restart"/>
            <w:tcBorders>
              <w:top w:val="single" w:color="000000" w:sz="6" w:space="0"/>
              <w:bottom w:val="nil"/>
            </w:tcBorders>
            <w:vAlign w:val="top"/>
          </w:tcPr>
          <w:p w14:paraId="6E052D2F">
            <w:pPr>
              <w:rPr>
                <w:rFonts w:ascii="Arial"/>
                <w:sz w:val="21"/>
              </w:rPr>
            </w:pPr>
          </w:p>
        </w:tc>
        <w:tc>
          <w:tcPr>
            <w:tcW w:w="613" w:type="dxa"/>
            <w:vMerge w:val="restart"/>
            <w:tcBorders>
              <w:top w:val="single" w:color="000000" w:sz="6" w:space="0"/>
              <w:bottom w:val="nil"/>
            </w:tcBorders>
            <w:textDirection w:val="tbRlV"/>
            <w:vAlign w:val="top"/>
          </w:tcPr>
          <w:p w14:paraId="433BB96E">
            <w:pPr>
              <w:spacing w:before="206" w:line="217" w:lineRule="auto"/>
              <w:ind w:left="37"/>
              <w:rPr>
                <w:rFonts w:ascii="宋体" w:hAnsi="宋体" w:eastAsia="宋体" w:cs="宋体"/>
                <w:sz w:val="20"/>
                <w:szCs w:val="20"/>
              </w:rPr>
            </w:pPr>
            <w:r>
              <w:rPr>
                <w:rFonts w:ascii="宋体" w:hAnsi="宋体" w:eastAsia="宋体" w:cs="宋体"/>
                <w:spacing w:val="8"/>
                <w:sz w:val="20"/>
                <w:szCs w:val="20"/>
              </w:rPr>
              <w:t>措</w:t>
            </w:r>
            <w:r>
              <w:rPr>
                <w:rFonts w:ascii="宋体" w:hAnsi="宋体" w:eastAsia="宋体" w:cs="宋体"/>
                <w:spacing w:val="99"/>
                <w:sz w:val="20"/>
                <w:szCs w:val="20"/>
              </w:rPr>
              <w:t xml:space="preserve"> </w:t>
            </w:r>
            <w:r>
              <w:rPr>
                <w:rFonts w:ascii="宋体" w:hAnsi="宋体" w:eastAsia="宋体" w:cs="宋体"/>
                <w:spacing w:val="8"/>
                <w:sz w:val="20"/>
                <w:szCs w:val="20"/>
              </w:rPr>
              <w:t>施</w:t>
            </w:r>
          </w:p>
        </w:tc>
        <w:tc>
          <w:tcPr>
            <w:tcW w:w="739" w:type="dxa"/>
            <w:tcBorders>
              <w:top w:val="single" w:color="000000" w:sz="6" w:space="0"/>
            </w:tcBorders>
            <w:vAlign w:val="top"/>
          </w:tcPr>
          <w:p w14:paraId="66775AD9">
            <w:pPr>
              <w:spacing w:before="37" w:line="228" w:lineRule="auto"/>
              <w:ind w:left="164"/>
              <w:rPr>
                <w:rFonts w:ascii="宋体" w:hAnsi="宋体" w:eastAsia="宋体" w:cs="宋体"/>
                <w:sz w:val="20"/>
                <w:szCs w:val="20"/>
              </w:rPr>
            </w:pPr>
            <w:r>
              <w:rPr>
                <w:rFonts w:ascii="宋体" w:hAnsi="宋体" w:eastAsia="宋体" w:cs="宋体"/>
                <w:spacing w:val="3"/>
                <w:sz w:val="20"/>
                <w:szCs w:val="20"/>
              </w:rPr>
              <w:t>水处</w:t>
            </w:r>
          </w:p>
          <w:p w14:paraId="42B78BEE">
            <w:pPr>
              <w:spacing w:before="161" w:line="350" w:lineRule="auto"/>
              <w:ind w:left="263" w:right="162" w:hanging="99"/>
              <w:rPr>
                <w:rFonts w:ascii="宋体" w:hAnsi="宋体" w:eastAsia="宋体" w:cs="宋体"/>
                <w:sz w:val="20"/>
                <w:szCs w:val="20"/>
              </w:rPr>
            </w:pPr>
            <w:r>
              <w:rPr>
                <w:rFonts w:ascii="宋体" w:hAnsi="宋体" w:eastAsia="宋体" w:cs="宋体"/>
                <w:spacing w:val="3"/>
                <w:sz w:val="20"/>
                <w:szCs w:val="20"/>
              </w:rPr>
              <w:t>理设</w:t>
            </w:r>
            <w:r>
              <w:rPr>
                <w:rFonts w:ascii="宋体" w:hAnsi="宋体" w:eastAsia="宋体" w:cs="宋体"/>
                <w:spacing w:val="1"/>
                <w:sz w:val="20"/>
                <w:szCs w:val="20"/>
              </w:rPr>
              <w:t>施</w:t>
            </w:r>
          </w:p>
        </w:tc>
        <w:tc>
          <w:tcPr>
            <w:tcW w:w="4906" w:type="dxa"/>
            <w:tcBorders>
              <w:top w:val="single" w:color="000000" w:sz="6" w:space="0"/>
            </w:tcBorders>
            <w:vAlign w:val="top"/>
          </w:tcPr>
          <w:p w14:paraId="3D219B16">
            <w:pPr>
              <w:spacing w:before="37" w:line="228" w:lineRule="auto"/>
              <w:ind w:left="357"/>
              <w:rPr>
                <w:rFonts w:ascii="宋体" w:hAnsi="宋体" w:eastAsia="宋体" w:cs="宋体"/>
                <w:sz w:val="20"/>
                <w:szCs w:val="20"/>
              </w:rPr>
            </w:pPr>
            <w:r>
              <w:rPr>
                <w:rFonts w:ascii="宋体" w:hAnsi="宋体" w:eastAsia="宋体" w:cs="宋体"/>
                <w:spacing w:val="9"/>
                <w:sz w:val="20"/>
                <w:szCs w:val="20"/>
              </w:rPr>
              <w:t>道路洒水，雨天暂存于项目内设置的蓄水池。</w:t>
            </w:r>
          </w:p>
        </w:tc>
        <w:tc>
          <w:tcPr>
            <w:tcW w:w="1665" w:type="dxa"/>
            <w:tcBorders>
              <w:top w:val="single" w:color="000000" w:sz="6" w:space="0"/>
            </w:tcBorders>
            <w:vAlign w:val="top"/>
          </w:tcPr>
          <w:p w14:paraId="661E374A">
            <w:pPr>
              <w:rPr>
                <w:rFonts w:ascii="Arial"/>
                <w:sz w:val="21"/>
              </w:rPr>
            </w:pPr>
          </w:p>
        </w:tc>
        <w:tc>
          <w:tcPr>
            <w:tcW w:w="127" w:type="dxa"/>
            <w:tcBorders>
              <w:top w:val="single" w:color="000000" w:sz="6" w:space="0"/>
              <w:bottom w:val="nil"/>
              <w:right w:val="single" w:color="000000" w:sz="6" w:space="0"/>
            </w:tcBorders>
            <w:vAlign w:val="top"/>
          </w:tcPr>
          <w:p w14:paraId="6786AF02">
            <w:pPr>
              <w:rPr>
                <w:rFonts w:ascii="Arial"/>
                <w:sz w:val="21"/>
              </w:rPr>
            </w:pPr>
          </w:p>
        </w:tc>
      </w:tr>
      <w:tr w14:paraId="01132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428" w:type="dxa"/>
            <w:vMerge w:val="continue"/>
            <w:tcBorders>
              <w:top w:val="nil"/>
              <w:left w:val="single" w:color="000000" w:sz="6" w:space="0"/>
              <w:bottom w:val="nil"/>
            </w:tcBorders>
            <w:vAlign w:val="top"/>
          </w:tcPr>
          <w:p w14:paraId="7578F4AF">
            <w:pPr>
              <w:rPr>
                <w:rFonts w:ascii="Arial"/>
                <w:sz w:val="21"/>
              </w:rPr>
            </w:pPr>
          </w:p>
        </w:tc>
        <w:tc>
          <w:tcPr>
            <w:tcW w:w="113" w:type="dxa"/>
            <w:tcBorders>
              <w:top w:val="nil"/>
              <w:bottom w:val="nil"/>
            </w:tcBorders>
            <w:vAlign w:val="top"/>
          </w:tcPr>
          <w:p w14:paraId="2D352E45">
            <w:pPr>
              <w:rPr>
                <w:rFonts w:ascii="Arial"/>
                <w:sz w:val="21"/>
              </w:rPr>
            </w:pPr>
          </w:p>
        </w:tc>
        <w:tc>
          <w:tcPr>
            <w:tcW w:w="473" w:type="dxa"/>
            <w:vMerge w:val="continue"/>
            <w:tcBorders>
              <w:top w:val="nil"/>
              <w:bottom w:val="nil"/>
            </w:tcBorders>
            <w:vAlign w:val="top"/>
          </w:tcPr>
          <w:p w14:paraId="16E0F40A">
            <w:pPr>
              <w:rPr>
                <w:rFonts w:ascii="Arial"/>
                <w:sz w:val="21"/>
              </w:rPr>
            </w:pPr>
          </w:p>
        </w:tc>
        <w:tc>
          <w:tcPr>
            <w:tcW w:w="613" w:type="dxa"/>
            <w:vMerge w:val="continue"/>
            <w:tcBorders>
              <w:top w:val="nil"/>
            </w:tcBorders>
            <w:textDirection w:val="tbRlV"/>
            <w:vAlign w:val="top"/>
          </w:tcPr>
          <w:p w14:paraId="375BDF1C">
            <w:pPr>
              <w:rPr>
                <w:rFonts w:ascii="Arial"/>
                <w:sz w:val="21"/>
              </w:rPr>
            </w:pPr>
          </w:p>
        </w:tc>
        <w:tc>
          <w:tcPr>
            <w:tcW w:w="739" w:type="dxa"/>
            <w:vAlign w:val="top"/>
          </w:tcPr>
          <w:p w14:paraId="07D23D68">
            <w:pPr>
              <w:spacing w:before="255" w:line="383" w:lineRule="auto"/>
              <w:ind w:left="264" w:right="162" w:hanging="94"/>
              <w:rPr>
                <w:rFonts w:ascii="宋体" w:hAnsi="宋体" w:eastAsia="宋体" w:cs="宋体"/>
                <w:sz w:val="20"/>
                <w:szCs w:val="20"/>
              </w:rPr>
            </w:pPr>
            <w:r>
              <w:rPr>
                <w:rFonts w:ascii="宋体" w:hAnsi="宋体" w:eastAsia="宋体" w:cs="宋体"/>
                <w:sz w:val="20"/>
                <w:szCs w:val="20"/>
              </w:rPr>
              <w:t>蓄水池</w:t>
            </w:r>
          </w:p>
        </w:tc>
        <w:tc>
          <w:tcPr>
            <w:tcW w:w="4906" w:type="dxa"/>
            <w:vAlign w:val="top"/>
          </w:tcPr>
          <w:p w14:paraId="4963ABE3">
            <w:pPr>
              <w:spacing w:before="51" w:line="228" w:lineRule="auto"/>
              <w:ind w:left="154"/>
              <w:rPr>
                <w:rFonts w:ascii="宋体" w:hAnsi="宋体" w:eastAsia="宋体" w:cs="宋体"/>
                <w:sz w:val="20"/>
                <w:szCs w:val="20"/>
              </w:rPr>
            </w:pP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个，位于项目西北侧，容积为</w:t>
            </w:r>
            <w:r>
              <w:rPr>
                <w:rFonts w:ascii="宋体" w:hAnsi="宋体" w:eastAsia="宋体" w:cs="宋体"/>
                <w:spacing w:val="-9"/>
                <w:sz w:val="20"/>
                <w:szCs w:val="20"/>
              </w:rPr>
              <w:t xml:space="preserve"> </w:t>
            </w:r>
            <w:r>
              <w:rPr>
                <w:rFonts w:ascii="Times New Roman" w:hAnsi="Times New Roman" w:eastAsia="Times New Roman" w:cs="Times New Roman"/>
                <w:spacing w:val="5"/>
                <w:sz w:val="20"/>
                <w:szCs w:val="20"/>
              </w:rPr>
              <w:t>10m</w:t>
            </w:r>
            <w:r>
              <w:rPr>
                <w:rFonts w:ascii="Times New Roman" w:hAnsi="Times New Roman" w:eastAsia="Times New Roman" w:cs="Times New Roman"/>
                <w:spacing w:val="5"/>
                <w:position w:val="6"/>
                <w:sz w:val="13"/>
                <w:szCs w:val="13"/>
              </w:rPr>
              <w:t>3</w:t>
            </w:r>
            <w:r>
              <w:rPr>
                <w:rFonts w:ascii="Times New Roman" w:hAnsi="Times New Roman" w:eastAsia="Times New Roman" w:cs="Times New Roman"/>
                <w:spacing w:val="-6"/>
                <w:position w:val="6"/>
                <w:sz w:val="13"/>
                <w:szCs w:val="13"/>
              </w:rPr>
              <w:t xml:space="preserve"> </w:t>
            </w:r>
            <w:r>
              <w:rPr>
                <w:rFonts w:ascii="宋体" w:hAnsi="宋体" w:eastAsia="宋体" w:cs="宋体"/>
                <w:spacing w:val="5"/>
                <w:sz w:val="20"/>
                <w:szCs w:val="20"/>
              </w:rPr>
              <w:t>，晴天用于补</w:t>
            </w:r>
          </w:p>
          <w:p w14:paraId="355B968F">
            <w:pPr>
              <w:spacing w:before="160" w:line="228" w:lineRule="auto"/>
              <w:ind w:left="148"/>
              <w:rPr>
                <w:rFonts w:ascii="宋体" w:hAnsi="宋体" w:eastAsia="宋体" w:cs="宋体"/>
                <w:sz w:val="20"/>
                <w:szCs w:val="20"/>
              </w:rPr>
            </w:pPr>
            <w:r>
              <w:rPr>
                <w:rFonts w:ascii="宋体" w:hAnsi="宋体" w:eastAsia="宋体" w:cs="宋体"/>
                <w:spacing w:val="9"/>
                <w:sz w:val="20"/>
                <w:szCs w:val="20"/>
              </w:rPr>
              <w:t>给绿化浇灌用水，雨天用于储存一体化污水设施处</w:t>
            </w:r>
          </w:p>
          <w:p w14:paraId="37CECDC9">
            <w:pPr>
              <w:spacing w:before="163" w:line="228" w:lineRule="auto"/>
              <w:ind w:left="1621"/>
              <w:rPr>
                <w:rFonts w:ascii="宋体" w:hAnsi="宋体" w:eastAsia="宋体" w:cs="宋体"/>
                <w:sz w:val="20"/>
                <w:szCs w:val="20"/>
              </w:rPr>
            </w:pPr>
            <w:r>
              <w:rPr>
                <w:rFonts w:ascii="宋体" w:hAnsi="宋体" w:eastAsia="宋体" w:cs="宋体"/>
                <w:spacing w:val="7"/>
                <w:sz w:val="20"/>
                <w:szCs w:val="20"/>
              </w:rPr>
              <w:t>理后的生活污水。</w:t>
            </w:r>
          </w:p>
        </w:tc>
        <w:tc>
          <w:tcPr>
            <w:tcW w:w="1665" w:type="dxa"/>
            <w:vAlign w:val="top"/>
          </w:tcPr>
          <w:p w14:paraId="274F4F14">
            <w:pPr>
              <w:spacing w:line="392" w:lineRule="auto"/>
              <w:rPr>
                <w:rFonts w:ascii="Arial"/>
                <w:sz w:val="21"/>
              </w:rPr>
            </w:pPr>
          </w:p>
          <w:p w14:paraId="4012E9B1">
            <w:pPr>
              <w:spacing w:before="65"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2CDEFA9E">
            <w:pPr>
              <w:rPr>
                <w:rFonts w:ascii="Arial"/>
                <w:sz w:val="21"/>
              </w:rPr>
            </w:pPr>
          </w:p>
        </w:tc>
      </w:tr>
      <w:tr w14:paraId="3ABB6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3" w:hRule="atLeast"/>
        </w:trPr>
        <w:tc>
          <w:tcPr>
            <w:tcW w:w="428" w:type="dxa"/>
            <w:vMerge w:val="continue"/>
            <w:tcBorders>
              <w:top w:val="nil"/>
              <w:left w:val="single" w:color="000000" w:sz="6" w:space="0"/>
              <w:bottom w:val="nil"/>
            </w:tcBorders>
            <w:vAlign w:val="top"/>
          </w:tcPr>
          <w:p w14:paraId="66C5921E">
            <w:pPr>
              <w:rPr>
                <w:rFonts w:ascii="Arial"/>
                <w:sz w:val="21"/>
              </w:rPr>
            </w:pPr>
          </w:p>
        </w:tc>
        <w:tc>
          <w:tcPr>
            <w:tcW w:w="113" w:type="dxa"/>
            <w:tcBorders>
              <w:top w:val="nil"/>
              <w:bottom w:val="nil"/>
            </w:tcBorders>
            <w:vAlign w:val="top"/>
          </w:tcPr>
          <w:p w14:paraId="340596DC">
            <w:pPr>
              <w:rPr>
                <w:rFonts w:ascii="Arial"/>
                <w:sz w:val="21"/>
              </w:rPr>
            </w:pPr>
          </w:p>
        </w:tc>
        <w:tc>
          <w:tcPr>
            <w:tcW w:w="473" w:type="dxa"/>
            <w:vMerge w:val="continue"/>
            <w:tcBorders>
              <w:top w:val="nil"/>
              <w:bottom w:val="nil"/>
            </w:tcBorders>
            <w:vAlign w:val="top"/>
          </w:tcPr>
          <w:p w14:paraId="6D58624D">
            <w:pPr>
              <w:rPr>
                <w:rFonts w:ascii="Arial"/>
                <w:sz w:val="21"/>
              </w:rPr>
            </w:pPr>
          </w:p>
        </w:tc>
        <w:tc>
          <w:tcPr>
            <w:tcW w:w="613" w:type="dxa"/>
            <w:vMerge w:val="restart"/>
            <w:tcBorders>
              <w:bottom w:val="nil"/>
            </w:tcBorders>
            <w:textDirection w:val="tbRlV"/>
            <w:vAlign w:val="top"/>
          </w:tcPr>
          <w:p w14:paraId="415E67B5">
            <w:pPr>
              <w:spacing w:before="206" w:line="217" w:lineRule="auto"/>
              <w:ind w:left="1900"/>
              <w:rPr>
                <w:rFonts w:ascii="宋体" w:hAnsi="宋体" w:eastAsia="宋体" w:cs="宋体"/>
                <w:sz w:val="20"/>
                <w:szCs w:val="20"/>
              </w:rPr>
            </w:pPr>
            <w:r>
              <w:rPr>
                <w:rFonts w:ascii="宋体" w:hAnsi="宋体" w:eastAsia="宋体" w:cs="宋体"/>
                <w:spacing w:val="8"/>
                <w:sz w:val="20"/>
                <w:szCs w:val="20"/>
              </w:rPr>
              <w:t>废</w:t>
            </w:r>
            <w:r>
              <w:rPr>
                <w:rFonts w:ascii="宋体" w:hAnsi="宋体" w:eastAsia="宋体" w:cs="宋体"/>
                <w:spacing w:val="102"/>
                <w:sz w:val="20"/>
                <w:szCs w:val="20"/>
              </w:rPr>
              <w:t xml:space="preserve"> </w:t>
            </w:r>
            <w:r>
              <w:rPr>
                <w:rFonts w:ascii="宋体" w:hAnsi="宋体" w:eastAsia="宋体" w:cs="宋体"/>
                <w:spacing w:val="8"/>
                <w:sz w:val="20"/>
                <w:szCs w:val="20"/>
              </w:rPr>
              <w:t>气</w:t>
            </w:r>
            <w:r>
              <w:rPr>
                <w:rFonts w:ascii="宋体" w:hAnsi="宋体" w:eastAsia="宋体" w:cs="宋体"/>
                <w:spacing w:val="100"/>
                <w:sz w:val="20"/>
                <w:szCs w:val="20"/>
              </w:rPr>
              <w:t xml:space="preserve"> </w:t>
            </w:r>
            <w:r>
              <w:rPr>
                <w:rFonts w:ascii="宋体" w:hAnsi="宋体" w:eastAsia="宋体" w:cs="宋体"/>
                <w:spacing w:val="8"/>
                <w:sz w:val="20"/>
                <w:szCs w:val="20"/>
              </w:rPr>
              <w:t>治</w:t>
            </w:r>
            <w:r>
              <w:rPr>
                <w:rFonts w:ascii="宋体" w:hAnsi="宋体" w:eastAsia="宋体" w:cs="宋体"/>
                <w:spacing w:val="99"/>
                <w:sz w:val="20"/>
                <w:szCs w:val="20"/>
              </w:rPr>
              <w:t xml:space="preserve"> </w:t>
            </w:r>
            <w:r>
              <w:rPr>
                <w:rFonts w:ascii="宋体" w:hAnsi="宋体" w:eastAsia="宋体" w:cs="宋体"/>
                <w:spacing w:val="8"/>
                <w:sz w:val="20"/>
                <w:szCs w:val="20"/>
              </w:rPr>
              <w:t>理</w:t>
            </w:r>
            <w:r>
              <w:rPr>
                <w:rFonts w:ascii="宋体" w:hAnsi="宋体" w:eastAsia="宋体" w:cs="宋体"/>
                <w:sz w:val="20"/>
                <w:szCs w:val="20"/>
              </w:rPr>
              <w:t xml:space="preserve">  </w:t>
            </w:r>
            <w:r>
              <w:rPr>
                <w:rFonts w:ascii="宋体" w:hAnsi="宋体" w:eastAsia="宋体" w:cs="宋体"/>
                <w:spacing w:val="8"/>
                <w:sz w:val="20"/>
                <w:szCs w:val="20"/>
              </w:rPr>
              <w:t>措</w:t>
            </w:r>
            <w:r>
              <w:rPr>
                <w:rFonts w:ascii="宋体" w:hAnsi="宋体" w:eastAsia="宋体" w:cs="宋体"/>
                <w:spacing w:val="101"/>
                <w:sz w:val="20"/>
                <w:szCs w:val="20"/>
              </w:rPr>
              <w:t xml:space="preserve"> </w:t>
            </w:r>
            <w:r>
              <w:rPr>
                <w:rFonts w:ascii="宋体" w:hAnsi="宋体" w:eastAsia="宋体" w:cs="宋体"/>
                <w:spacing w:val="8"/>
                <w:sz w:val="20"/>
                <w:szCs w:val="20"/>
              </w:rPr>
              <w:t>施</w:t>
            </w:r>
          </w:p>
        </w:tc>
        <w:tc>
          <w:tcPr>
            <w:tcW w:w="739" w:type="dxa"/>
            <w:vAlign w:val="top"/>
          </w:tcPr>
          <w:p w14:paraId="05740B31">
            <w:pPr>
              <w:spacing w:before="48" w:line="228" w:lineRule="auto"/>
              <w:ind w:left="166"/>
              <w:rPr>
                <w:rFonts w:ascii="宋体" w:hAnsi="宋体" w:eastAsia="宋体" w:cs="宋体"/>
                <w:sz w:val="20"/>
                <w:szCs w:val="20"/>
              </w:rPr>
            </w:pPr>
            <w:r>
              <w:rPr>
                <w:rFonts w:ascii="宋体" w:hAnsi="宋体" w:eastAsia="宋体" w:cs="宋体"/>
                <w:spacing w:val="2"/>
                <w:sz w:val="20"/>
                <w:szCs w:val="20"/>
              </w:rPr>
              <w:t>免漆</w:t>
            </w:r>
          </w:p>
          <w:p w14:paraId="38721244">
            <w:pPr>
              <w:spacing w:before="161" w:line="228" w:lineRule="auto"/>
              <w:ind w:left="162"/>
              <w:rPr>
                <w:rFonts w:ascii="宋体" w:hAnsi="宋体" w:eastAsia="宋体" w:cs="宋体"/>
                <w:sz w:val="20"/>
                <w:szCs w:val="20"/>
              </w:rPr>
            </w:pPr>
            <w:r>
              <w:rPr>
                <w:rFonts w:ascii="宋体" w:hAnsi="宋体" w:eastAsia="宋体" w:cs="宋体"/>
                <w:spacing w:val="4"/>
                <w:sz w:val="20"/>
                <w:szCs w:val="20"/>
              </w:rPr>
              <w:t>木门</w:t>
            </w:r>
          </w:p>
          <w:p w14:paraId="738B0693">
            <w:pPr>
              <w:spacing w:before="162" w:line="228" w:lineRule="auto"/>
              <w:ind w:left="163"/>
              <w:rPr>
                <w:rFonts w:ascii="宋体" w:hAnsi="宋体" w:eastAsia="宋体" w:cs="宋体"/>
                <w:sz w:val="20"/>
                <w:szCs w:val="20"/>
              </w:rPr>
            </w:pPr>
            <w:r>
              <w:rPr>
                <w:rFonts w:ascii="宋体" w:hAnsi="宋体" w:eastAsia="宋体" w:cs="宋体"/>
                <w:spacing w:val="3"/>
                <w:sz w:val="20"/>
                <w:szCs w:val="20"/>
              </w:rPr>
              <w:t>生产</w:t>
            </w:r>
          </w:p>
          <w:p w14:paraId="7C65D438">
            <w:pPr>
              <w:spacing w:before="161" w:line="228" w:lineRule="auto"/>
              <w:ind w:left="160"/>
              <w:rPr>
                <w:rFonts w:ascii="宋体" w:hAnsi="宋体" w:eastAsia="宋体" w:cs="宋体"/>
                <w:sz w:val="20"/>
                <w:szCs w:val="20"/>
              </w:rPr>
            </w:pPr>
            <w:r>
              <w:rPr>
                <w:rFonts w:ascii="宋体" w:hAnsi="宋体" w:eastAsia="宋体" w:cs="宋体"/>
                <w:spacing w:val="5"/>
                <w:sz w:val="20"/>
                <w:szCs w:val="20"/>
              </w:rPr>
              <w:t>废气</w:t>
            </w:r>
          </w:p>
        </w:tc>
        <w:tc>
          <w:tcPr>
            <w:tcW w:w="4906" w:type="dxa"/>
            <w:vAlign w:val="top"/>
          </w:tcPr>
          <w:p w14:paraId="28C8933D">
            <w:pPr>
              <w:spacing w:before="251" w:line="228" w:lineRule="auto"/>
              <w:ind w:left="152"/>
              <w:rPr>
                <w:rFonts w:ascii="宋体" w:hAnsi="宋体" w:eastAsia="宋体" w:cs="宋体"/>
                <w:sz w:val="20"/>
                <w:szCs w:val="20"/>
              </w:rPr>
            </w:pPr>
            <w:r>
              <w:rPr>
                <w:rFonts w:ascii="宋体" w:hAnsi="宋体" w:eastAsia="宋体" w:cs="宋体"/>
                <w:spacing w:val="9"/>
                <w:sz w:val="20"/>
                <w:szCs w:val="20"/>
              </w:rPr>
              <w:t>免漆木门开料、打磨、雕刻等产生粉尘的工序位于</w:t>
            </w:r>
          </w:p>
          <w:p w14:paraId="377E53B6">
            <w:pPr>
              <w:spacing w:before="161" w:line="227" w:lineRule="auto"/>
              <w:ind w:left="109"/>
              <w:rPr>
                <w:rFonts w:ascii="宋体" w:hAnsi="宋体" w:eastAsia="宋体" w:cs="宋体"/>
                <w:sz w:val="20"/>
                <w:szCs w:val="20"/>
              </w:rPr>
            </w:pPr>
            <w:r>
              <w:rPr>
                <w:rFonts w:ascii="Times New Roman" w:hAnsi="Times New Roman" w:eastAsia="Times New Roman" w:cs="Times New Roman"/>
                <w:spacing w:val="4"/>
                <w:sz w:val="20"/>
                <w:szCs w:val="20"/>
              </w:rPr>
              <w:t>6#</w:t>
            </w:r>
            <w:r>
              <w:rPr>
                <w:rFonts w:ascii="宋体" w:hAnsi="宋体" w:eastAsia="宋体" w:cs="宋体"/>
                <w:spacing w:val="4"/>
                <w:sz w:val="20"/>
                <w:szCs w:val="20"/>
              </w:rPr>
              <w:t>厂房，粉尘经集气罩</w:t>
            </w:r>
            <w:r>
              <w:rPr>
                <w:rFonts w:ascii="Times New Roman" w:hAnsi="Times New Roman" w:eastAsia="Times New Roman" w:cs="Times New Roman"/>
                <w:spacing w:val="4"/>
                <w:sz w:val="20"/>
                <w:szCs w:val="20"/>
              </w:rPr>
              <w:t>/</w:t>
            </w:r>
            <w:r>
              <w:rPr>
                <w:rFonts w:ascii="宋体" w:hAnsi="宋体" w:eastAsia="宋体" w:cs="宋体"/>
                <w:spacing w:val="4"/>
                <w:sz w:val="20"/>
                <w:szCs w:val="20"/>
              </w:rPr>
              <w:t>吸尘管收集</w:t>
            </w:r>
            <w:r>
              <w:rPr>
                <w:rFonts w:ascii="Times New Roman" w:hAnsi="Times New Roman" w:eastAsia="Times New Roman" w:cs="Times New Roman"/>
                <w:spacing w:val="4"/>
                <w:sz w:val="20"/>
                <w:szCs w:val="20"/>
              </w:rPr>
              <w:t>+</w:t>
            </w:r>
            <w:r>
              <w:rPr>
                <w:rFonts w:ascii="宋体" w:hAnsi="宋体" w:eastAsia="宋体" w:cs="宋体"/>
                <w:spacing w:val="4"/>
                <w:sz w:val="20"/>
                <w:szCs w:val="20"/>
              </w:rPr>
              <w:t>布袋除尘器除尘</w:t>
            </w:r>
          </w:p>
          <w:p w14:paraId="35E93A67">
            <w:pPr>
              <w:spacing w:before="164" w:line="228" w:lineRule="auto"/>
              <w:ind w:left="336"/>
              <w:rPr>
                <w:rFonts w:ascii="宋体" w:hAnsi="宋体" w:eastAsia="宋体" w:cs="宋体"/>
                <w:sz w:val="20"/>
                <w:szCs w:val="20"/>
              </w:rPr>
            </w:pPr>
            <w:r>
              <w:rPr>
                <w:rFonts w:ascii="宋体" w:hAnsi="宋体" w:eastAsia="宋体" w:cs="宋体"/>
                <w:spacing w:val="4"/>
                <w:sz w:val="20"/>
                <w:szCs w:val="20"/>
              </w:rPr>
              <w:t>后通过</w:t>
            </w:r>
            <w:r>
              <w:rPr>
                <w:rFonts w:ascii="宋体" w:hAnsi="宋体" w:eastAsia="宋体" w:cs="宋体"/>
                <w:spacing w:val="-11"/>
                <w:sz w:val="20"/>
                <w:szCs w:val="20"/>
              </w:rPr>
              <w:t xml:space="preserve">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根</w:t>
            </w:r>
            <w:r>
              <w:rPr>
                <w:rFonts w:ascii="宋体" w:hAnsi="宋体" w:eastAsia="宋体" w:cs="宋体"/>
                <w:spacing w:val="-23"/>
                <w:sz w:val="20"/>
                <w:szCs w:val="20"/>
              </w:rPr>
              <w:t xml:space="preserve"> </w:t>
            </w:r>
            <w:r>
              <w:rPr>
                <w:rFonts w:ascii="Times New Roman" w:hAnsi="Times New Roman" w:eastAsia="Times New Roman" w:cs="Times New Roman"/>
                <w:spacing w:val="4"/>
                <w:sz w:val="20"/>
                <w:szCs w:val="20"/>
              </w:rPr>
              <w:t>15m</w:t>
            </w:r>
            <w:r>
              <w:rPr>
                <w:rFonts w:ascii="Times New Roman" w:hAnsi="Times New Roman" w:eastAsia="Times New Roman" w:cs="Times New Roman"/>
                <w:spacing w:val="17"/>
                <w:w w:val="101"/>
                <w:sz w:val="20"/>
                <w:szCs w:val="20"/>
              </w:rPr>
              <w:t xml:space="preserve"> </w:t>
            </w:r>
            <w:r>
              <w:rPr>
                <w:rFonts w:ascii="宋体" w:hAnsi="宋体" w:eastAsia="宋体" w:cs="宋体"/>
                <w:spacing w:val="4"/>
                <w:sz w:val="20"/>
                <w:szCs w:val="20"/>
              </w:rPr>
              <w:t>高的排气筒外排（</w:t>
            </w:r>
            <w:r>
              <w:rPr>
                <w:rFonts w:ascii="Times New Roman" w:hAnsi="Times New Roman" w:eastAsia="Times New Roman" w:cs="Times New Roman"/>
                <w:sz w:val="20"/>
                <w:szCs w:val="20"/>
              </w:rPr>
              <w:t>DA</w:t>
            </w:r>
            <w:r>
              <w:rPr>
                <w:rFonts w:ascii="Times New Roman" w:hAnsi="Times New Roman" w:eastAsia="Times New Roman" w:cs="Times New Roman"/>
                <w:spacing w:val="4"/>
                <w:sz w:val="20"/>
                <w:szCs w:val="20"/>
              </w:rPr>
              <w:t>004</w:t>
            </w:r>
            <w:r>
              <w:rPr>
                <w:rFonts w:ascii="宋体" w:hAnsi="宋体" w:eastAsia="宋体" w:cs="宋体"/>
                <w:spacing w:val="4"/>
                <w:sz w:val="20"/>
                <w:szCs w:val="20"/>
              </w:rPr>
              <w:t>）。</w:t>
            </w:r>
          </w:p>
        </w:tc>
        <w:tc>
          <w:tcPr>
            <w:tcW w:w="1665" w:type="dxa"/>
            <w:vAlign w:val="top"/>
          </w:tcPr>
          <w:p w14:paraId="406DD59D">
            <w:pPr>
              <w:spacing w:line="295" w:lineRule="auto"/>
              <w:rPr>
                <w:rFonts w:ascii="Arial"/>
                <w:sz w:val="21"/>
              </w:rPr>
            </w:pPr>
          </w:p>
          <w:p w14:paraId="1CF19F78">
            <w:pPr>
              <w:spacing w:line="296" w:lineRule="auto"/>
              <w:rPr>
                <w:rFonts w:ascii="Arial"/>
                <w:sz w:val="21"/>
              </w:rPr>
            </w:pPr>
          </w:p>
          <w:p w14:paraId="1C1E04F7">
            <w:pPr>
              <w:spacing w:before="65"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14451EBA">
            <w:pPr>
              <w:rPr>
                <w:rFonts w:ascii="Arial"/>
                <w:sz w:val="21"/>
              </w:rPr>
            </w:pPr>
          </w:p>
        </w:tc>
      </w:tr>
      <w:tr w14:paraId="3C5F3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3" w:hRule="atLeast"/>
        </w:trPr>
        <w:tc>
          <w:tcPr>
            <w:tcW w:w="428" w:type="dxa"/>
            <w:vMerge w:val="continue"/>
            <w:tcBorders>
              <w:top w:val="nil"/>
              <w:left w:val="single" w:color="000000" w:sz="6" w:space="0"/>
              <w:bottom w:val="nil"/>
            </w:tcBorders>
            <w:vAlign w:val="top"/>
          </w:tcPr>
          <w:p w14:paraId="742B4812">
            <w:pPr>
              <w:rPr>
                <w:rFonts w:ascii="Arial"/>
                <w:sz w:val="21"/>
              </w:rPr>
            </w:pPr>
          </w:p>
        </w:tc>
        <w:tc>
          <w:tcPr>
            <w:tcW w:w="113" w:type="dxa"/>
            <w:tcBorders>
              <w:top w:val="nil"/>
              <w:bottom w:val="nil"/>
            </w:tcBorders>
            <w:vAlign w:val="top"/>
          </w:tcPr>
          <w:p w14:paraId="285271DD">
            <w:pPr>
              <w:rPr>
                <w:rFonts w:ascii="Arial"/>
                <w:sz w:val="21"/>
              </w:rPr>
            </w:pPr>
          </w:p>
        </w:tc>
        <w:tc>
          <w:tcPr>
            <w:tcW w:w="473" w:type="dxa"/>
            <w:vMerge w:val="continue"/>
            <w:tcBorders>
              <w:top w:val="nil"/>
              <w:bottom w:val="nil"/>
            </w:tcBorders>
            <w:vAlign w:val="top"/>
          </w:tcPr>
          <w:p w14:paraId="5DBBD01C">
            <w:pPr>
              <w:rPr>
                <w:rFonts w:ascii="Arial"/>
                <w:sz w:val="21"/>
              </w:rPr>
            </w:pPr>
          </w:p>
        </w:tc>
        <w:tc>
          <w:tcPr>
            <w:tcW w:w="613" w:type="dxa"/>
            <w:vMerge w:val="continue"/>
            <w:tcBorders>
              <w:top w:val="nil"/>
              <w:bottom w:val="nil"/>
            </w:tcBorders>
            <w:textDirection w:val="tbRlV"/>
            <w:vAlign w:val="top"/>
          </w:tcPr>
          <w:p w14:paraId="293DF02E">
            <w:pPr>
              <w:rPr>
                <w:rFonts w:ascii="Arial"/>
                <w:sz w:val="21"/>
              </w:rPr>
            </w:pPr>
          </w:p>
        </w:tc>
        <w:tc>
          <w:tcPr>
            <w:tcW w:w="739" w:type="dxa"/>
            <w:vAlign w:val="top"/>
          </w:tcPr>
          <w:p w14:paraId="20DC7986">
            <w:pPr>
              <w:spacing w:before="44" w:line="228" w:lineRule="auto"/>
              <w:ind w:left="163"/>
              <w:rPr>
                <w:rFonts w:ascii="宋体" w:hAnsi="宋体" w:eastAsia="宋体" w:cs="宋体"/>
                <w:sz w:val="20"/>
                <w:szCs w:val="20"/>
              </w:rPr>
            </w:pPr>
            <w:r>
              <w:rPr>
                <w:rFonts w:ascii="宋体" w:hAnsi="宋体" w:eastAsia="宋体" w:cs="宋体"/>
                <w:spacing w:val="3"/>
                <w:sz w:val="20"/>
                <w:szCs w:val="20"/>
              </w:rPr>
              <w:t>家具</w:t>
            </w:r>
          </w:p>
          <w:p w14:paraId="0CE0AF43">
            <w:pPr>
              <w:spacing w:before="160" w:line="228" w:lineRule="auto"/>
              <w:ind w:left="163"/>
              <w:rPr>
                <w:rFonts w:ascii="宋体" w:hAnsi="宋体" w:eastAsia="宋体" w:cs="宋体"/>
                <w:sz w:val="20"/>
                <w:szCs w:val="20"/>
              </w:rPr>
            </w:pPr>
            <w:r>
              <w:rPr>
                <w:rFonts w:ascii="宋体" w:hAnsi="宋体" w:eastAsia="宋体" w:cs="宋体"/>
                <w:spacing w:val="3"/>
                <w:sz w:val="20"/>
                <w:szCs w:val="20"/>
              </w:rPr>
              <w:t>生产</w:t>
            </w:r>
          </w:p>
          <w:p w14:paraId="6B05232E">
            <w:pPr>
              <w:spacing w:before="163" w:line="228" w:lineRule="auto"/>
              <w:ind w:left="160"/>
              <w:rPr>
                <w:rFonts w:ascii="宋体" w:hAnsi="宋体" w:eastAsia="宋体" w:cs="宋体"/>
                <w:sz w:val="20"/>
                <w:szCs w:val="20"/>
              </w:rPr>
            </w:pPr>
            <w:r>
              <w:rPr>
                <w:rFonts w:ascii="宋体" w:hAnsi="宋体" w:eastAsia="宋体" w:cs="宋体"/>
                <w:spacing w:val="5"/>
                <w:sz w:val="20"/>
                <w:szCs w:val="20"/>
              </w:rPr>
              <w:t>粉尘</w:t>
            </w:r>
          </w:p>
        </w:tc>
        <w:tc>
          <w:tcPr>
            <w:tcW w:w="4906" w:type="dxa"/>
            <w:vAlign w:val="top"/>
          </w:tcPr>
          <w:p w14:paraId="39CEF006">
            <w:pPr>
              <w:spacing w:before="43" w:line="227" w:lineRule="auto"/>
              <w:ind w:left="166"/>
              <w:rPr>
                <w:rFonts w:ascii="宋体" w:hAnsi="宋体" w:eastAsia="宋体" w:cs="宋体"/>
                <w:sz w:val="20"/>
                <w:szCs w:val="20"/>
              </w:rPr>
            </w:pPr>
            <w:r>
              <w:rPr>
                <w:rFonts w:ascii="宋体" w:hAnsi="宋体" w:eastAsia="宋体" w:cs="宋体"/>
                <w:spacing w:val="9"/>
                <w:sz w:val="20"/>
                <w:szCs w:val="20"/>
              </w:rPr>
              <w:t>家具生产线产生的粉尘经集气罩</w:t>
            </w:r>
            <w:r>
              <w:rPr>
                <w:rFonts w:ascii="Times New Roman" w:hAnsi="Times New Roman" w:eastAsia="Times New Roman" w:cs="Times New Roman"/>
                <w:spacing w:val="9"/>
                <w:sz w:val="20"/>
                <w:szCs w:val="20"/>
              </w:rPr>
              <w:t>/</w:t>
            </w:r>
            <w:r>
              <w:rPr>
                <w:rFonts w:ascii="宋体" w:hAnsi="宋体" w:eastAsia="宋体" w:cs="宋体"/>
                <w:spacing w:val="9"/>
                <w:sz w:val="20"/>
                <w:szCs w:val="20"/>
              </w:rPr>
              <w:t>吸尘管收集后</w:t>
            </w:r>
            <w:r>
              <w:rPr>
                <w:rFonts w:ascii="Times New Roman" w:hAnsi="Times New Roman" w:eastAsia="Times New Roman" w:cs="Times New Roman"/>
                <w:spacing w:val="8"/>
                <w:sz w:val="20"/>
                <w:szCs w:val="20"/>
              </w:rPr>
              <w:t>+</w:t>
            </w:r>
            <w:r>
              <w:rPr>
                <w:rFonts w:ascii="宋体" w:hAnsi="宋体" w:eastAsia="宋体" w:cs="宋体"/>
                <w:spacing w:val="8"/>
                <w:sz w:val="20"/>
                <w:szCs w:val="20"/>
              </w:rPr>
              <w:t>布</w:t>
            </w:r>
          </w:p>
          <w:p w14:paraId="33A87CF3">
            <w:pPr>
              <w:spacing w:before="161" w:line="228" w:lineRule="auto"/>
              <w:ind w:left="118"/>
              <w:rPr>
                <w:rFonts w:ascii="宋体" w:hAnsi="宋体" w:eastAsia="宋体" w:cs="宋体"/>
                <w:sz w:val="20"/>
                <w:szCs w:val="20"/>
              </w:rPr>
            </w:pPr>
            <w:r>
              <w:rPr>
                <w:rFonts w:ascii="宋体" w:hAnsi="宋体" w:eastAsia="宋体" w:cs="宋体"/>
                <w:spacing w:val="6"/>
                <w:sz w:val="20"/>
                <w:szCs w:val="20"/>
              </w:rPr>
              <w:t>袋除尘器进行处理后通过</w:t>
            </w:r>
            <w:r>
              <w:rPr>
                <w:rFonts w:ascii="宋体" w:hAnsi="宋体" w:eastAsia="宋体" w:cs="宋体"/>
                <w:spacing w:val="-21"/>
                <w:sz w:val="20"/>
                <w:szCs w:val="20"/>
              </w:rPr>
              <w:t xml:space="preserve"> </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根</w:t>
            </w:r>
            <w:r>
              <w:rPr>
                <w:rFonts w:ascii="宋体" w:hAnsi="宋体" w:eastAsia="宋体" w:cs="宋体"/>
                <w:spacing w:val="-20"/>
                <w:sz w:val="20"/>
                <w:szCs w:val="20"/>
              </w:rPr>
              <w:t xml:space="preserve"> </w:t>
            </w:r>
            <w:r>
              <w:rPr>
                <w:rFonts w:ascii="Times New Roman" w:hAnsi="Times New Roman" w:eastAsia="Times New Roman" w:cs="Times New Roman"/>
                <w:spacing w:val="6"/>
                <w:sz w:val="20"/>
                <w:szCs w:val="20"/>
              </w:rPr>
              <w:t>15m</w:t>
            </w:r>
            <w:r>
              <w:rPr>
                <w:rFonts w:ascii="Times New Roman" w:hAnsi="Times New Roman" w:eastAsia="Times New Roman" w:cs="Times New Roman"/>
                <w:spacing w:val="15"/>
                <w:sz w:val="20"/>
                <w:szCs w:val="20"/>
              </w:rPr>
              <w:t xml:space="preserve"> </w:t>
            </w:r>
            <w:r>
              <w:rPr>
                <w:rFonts w:ascii="宋体" w:hAnsi="宋体" w:eastAsia="宋体" w:cs="宋体"/>
                <w:spacing w:val="6"/>
                <w:sz w:val="20"/>
                <w:szCs w:val="20"/>
              </w:rPr>
              <w:t>高的</w:t>
            </w:r>
            <w:r>
              <w:rPr>
                <w:rFonts w:ascii="宋体" w:hAnsi="宋体" w:eastAsia="宋体" w:cs="宋体"/>
                <w:spacing w:val="5"/>
                <w:sz w:val="20"/>
                <w:szCs w:val="20"/>
              </w:rPr>
              <w:t>排气筒外排</w:t>
            </w:r>
          </w:p>
          <w:p w14:paraId="5308C0BC">
            <w:pPr>
              <w:spacing w:before="196" w:line="191" w:lineRule="auto"/>
              <w:ind w:left="1974"/>
              <w:rPr>
                <w:rFonts w:ascii="宋体" w:hAnsi="宋体" w:eastAsia="宋体" w:cs="宋体"/>
                <w:sz w:val="20"/>
                <w:szCs w:val="20"/>
              </w:rPr>
            </w:pP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DA</w:t>
            </w:r>
            <w:r>
              <w:rPr>
                <w:rFonts w:ascii="Times New Roman" w:hAnsi="Times New Roman" w:eastAsia="Times New Roman" w:cs="Times New Roman"/>
                <w:spacing w:val="4"/>
                <w:sz w:val="20"/>
                <w:szCs w:val="20"/>
              </w:rPr>
              <w:t>001)</w:t>
            </w:r>
            <w:r>
              <w:rPr>
                <w:rFonts w:ascii="宋体" w:hAnsi="宋体" w:eastAsia="宋体" w:cs="宋体"/>
                <w:spacing w:val="4"/>
                <w:sz w:val="20"/>
                <w:szCs w:val="20"/>
              </w:rPr>
              <w:t>。</w:t>
            </w:r>
          </w:p>
        </w:tc>
        <w:tc>
          <w:tcPr>
            <w:tcW w:w="1665" w:type="dxa"/>
            <w:vAlign w:val="top"/>
          </w:tcPr>
          <w:p w14:paraId="434AA6DE">
            <w:pPr>
              <w:spacing w:line="384" w:lineRule="auto"/>
              <w:rPr>
                <w:rFonts w:ascii="Arial"/>
                <w:sz w:val="21"/>
              </w:rPr>
            </w:pPr>
          </w:p>
          <w:p w14:paraId="55B18519">
            <w:pPr>
              <w:spacing w:before="65"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2EAA0EA8">
            <w:pPr>
              <w:rPr>
                <w:rFonts w:ascii="Arial"/>
                <w:sz w:val="21"/>
              </w:rPr>
            </w:pPr>
          </w:p>
        </w:tc>
      </w:tr>
      <w:tr w14:paraId="4D3A1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3" w:hRule="atLeast"/>
        </w:trPr>
        <w:tc>
          <w:tcPr>
            <w:tcW w:w="428" w:type="dxa"/>
            <w:vMerge w:val="continue"/>
            <w:tcBorders>
              <w:top w:val="nil"/>
              <w:left w:val="single" w:color="000000" w:sz="6" w:space="0"/>
              <w:bottom w:val="nil"/>
            </w:tcBorders>
            <w:vAlign w:val="top"/>
          </w:tcPr>
          <w:p w14:paraId="5F9774E1">
            <w:pPr>
              <w:rPr>
                <w:rFonts w:ascii="Arial"/>
                <w:sz w:val="21"/>
              </w:rPr>
            </w:pPr>
          </w:p>
        </w:tc>
        <w:tc>
          <w:tcPr>
            <w:tcW w:w="113" w:type="dxa"/>
            <w:tcBorders>
              <w:top w:val="nil"/>
              <w:bottom w:val="nil"/>
            </w:tcBorders>
            <w:vAlign w:val="top"/>
          </w:tcPr>
          <w:p w14:paraId="10C64D6A">
            <w:pPr>
              <w:rPr>
                <w:rFonts w:ascii="Arial"/>
                <w:sz w:val="21"/>
              </w:rPr>
            </w:pPr>
          </w:p>
        </w:tc>
        <w:tc>
          <w:tcPr>
            <w:tcW w:w="473" w:type="dxa"/>
            <w:vMerge w:val="continue"/>
            <w:tcBorders>
              <w:top w:val="nil"/>
              <w:bottom w:val="nil"/>
            </w:tcBorders>
            <w:vAlign w:val="top"/>
          </w:tcPr>
          <w:p w14:paraId="5EC6542D">
            <w:pPr>
              <w:rPr>
                <w:rFonts w:ascii="Arial"/>
                <w:sz w:val="21"/>
              </w:rPr>
            </w:pPr>
          </w:p>
        </w:tc>
        <w:tc>
          <w:tcPr>
            <w:tcW w:w="613" w:type="dxa"/>
            <w:vMerge w:val="continue"/>
            <w:tcBorders>
              <w:top w:val="nil"/>
              <w:bottom w:val="nil"/>
            </w:tcBorders>
            <w:textDirection w:val="tbRlV"/>
            <w:vAlign w:val="top"/>
          </w:tcPr>
          <w:p w14:paraId="367A17BA">
            <w:pPr>
              <w:rPr>
                <w:rFonts w:ascii="Arial"/>
                <w:sz w:val="21"/>
              </w:rPr>
            </w:pPr>
          </w:p>
        </w:tc>
        <w:tc>
          <w:tcPr>
            <w:tcW w:w="739" w:type="dxa"/>
            <w:vAlign w:val="top"/>
          </w:tcPr>
          <w:p w14:paraId="4D7FE6CE">
            <w:pPr>
              <w:spacing w:before="42" w:line="228" w:lineRule="auto"/>
              <w:ind w:left="163"/>
              <w:rPr>
                <w:rFonts w:ascii="宋体" w:hAnsi="宋体" w:eastAsia="宋体" w:cs="宋体"/>
                <w:sz w:val="20"/>
                <w:szCs w:val="20"/>
              </w:rPr>
            </w:pPr>
            <w:r>
              <w:rPr>
                <w:rFonts w:ascii="宋体" w:hAnsi="宋体" w:eastAsia="宋体" w:cs="宋体"/>
                <w:spacing w:val="3"/>
                <w:sz w:val="20"/>
                <w:szCs w:val="20"/>
              </w:rPr>
              <w:t>家具</w:t>
            </w:r>
          </w:p>
          <w:p w14:paraId="1E7107DA">
            <w:pPr>
              <w:spacing w:before="160" w:line="228" w:lineRule="auto"/>
              <w:ind w:left="163"/>
              <w:rPr>
                <w:rFonts w:ascii="宋体" w:hAnsi="宋体" w:eastAsia="宋体" w:cs="宋体"/>
                <w:sz w:val="20"/>
                <w:szCs w:val="20"/>
              </w:rPr>
            </w:pPr>
            <w:r>
              <w:rPr>
                <w:rFonts w:ascii="宋体" w:hAnsi="宋体" w:eastAsia="宋体" w:cs="宋体"/>
                <w:spacing w:val="3"/>
                <w:sz w:val="20"/>
                <w:szCs w:val="20"/>
              </w:rPr>
              <w:t>生产</w:t>
            </w:r>
          </w:p>
          <w:p w14:paraId="439BAEE8">
            <w:pPr>
              <w:spacing w:before="161" w:line="228" w:lineRule="auto"/>
              <w:ind w:left="169"/>
              <w:rPr>
                <w:rFonts w:ascii="宋体" w:hAnsi="宋体" w:eastAsia="宋体" w:cs="宋体"/>
                <w:sz w:val="20"/>
                <w:szCs w:val="20"/>
              </w:rPr>
            </w:pPr>
            <w:r>
              <w:rPr>
                <w:rFonts w:ascii="宋体" w:hAnsi="宋体" w:eastAsia="宋体" w:cs="宋体"/>
                <w:sz w:val="20"/>
                <w:szCs w:val="20"/>
              </w:rPr>
              <w:t>喷漆</w:t>
            </w:r>
          </w:p>
          <w:p w14:paraId="602D0850">
            <w:pPr>
              <w:spacing w:before="160" w:line="228" w:lineRule="auto"/>
              <w:ind w:left="160"/>
              <w:rPr>
                <w:rFonts w:ascii="宋体" w:hAnsi="宋体" w:eastAsia="宋体" w:cs="宋体"/>
                <w:sz w:val="20"/>
                <w:szCs w:val="20"/>
              </w:rPr>
            </w:pPr>
            <w:r>
              <w:rPr>
                <w:rFonts w:ascii="宋体" w:hAnsi="宋体" w:eastAsia="宋体" w:cs="宋体"/>
                <w:spacing w:val="5"/>
                <w:sz w:val="20"/>
                <w:szCs w:val="20"/>
              </w:rPr>
              <w:t>废气</w:t>
            </w:r>
          </w:p>
        </w:tc>
        <w:tc>
          <w:tcPr>
            <w:tcW w:w="4906" w:type="dxa"/>
            <w:vAlign w:val="top"/>
          </w:tcPr>
          <w:p w14:paraId="7C4E9A35">
            <w:pPr>
              <w:spacing w:before="41" w:line="228" w:lineRule="auto"/>
              <w:ind w:left="110"/>
              <w:rPr>
                <w:rFonts w:ascii="宋体" w:hAnsi="宋体" w:eastAsia="宋体" w:cs="宋体"/>
                <w:sz w:val="20"/>
                <w:szCs w:val="20"/>
              </w:rPr>
            </w:pPr>
            <w:r>
              <w:rPr>
                <w:rFonts w:ascii="宋体" w:hAnsi="宋体" w:eastAsia="宋体" w:cs="宋体"/>
                <w:spacing w:val="2"/>
                <w:sz w:val="20"/>
                <w:szCs w:val="20"/>
              </w:rPr>
              <w:t>家具生产线分别设置</w:t>
            </w:r>
            <w:r>
              <w:rPr>
                <w:rFonts w:ascii="宋体" w:hAnsi="宋体" w:eastAsia="宋体" w:cs="宋体"/>
                <w:spacing w:val="-15"/>
                <w:sz w:val="20"/>
                <w:szCs w:val="20"/>
              </w:rPr>
              <w:t xml:space="preserve"> </w:t>
            </w:r>
            <w:r>
              <w:rPr>
                <w:rFonts w:ascii="Times New Roman" w:hAnsi="Times New Roman" w:eastAsia="Times New Roman" w:cs="Times New Roman"/>
                <w:spacing w:val="2"/>
                <w:sz w:val="20"/>
                <w:szCs w:val="20"/>
              </w:rPr>
              <w:t>1</w:t>
            </w:r>
            <w:r>
              <w:rPr>
                <w:rFonts w:ascii="Times New Roman" w:hAnsi="Times New Roman" w:eastAsia="Times New Roman" w:cs="Times New Roman"/>
                <w:spacing w:val="29"/>
                <w:sz w:val="20"/>
                <w:szCs w:val="20"/>
              </w:rPr>
              <w:t xml:space="preserve"> </w:t>
            </w:r>
            <w:r>
              <w:rPr>
                <w:rFonts w:ascii="宋体" w:hAnsi="宋体" w:eastAsia="宋体" w:cs="宋体"/>
                <w:spacing w:val="2"/>
                <w:sz w:val="20"/>
                <w:szCs w:val="20"/>
              </w:rPr>
              <w:t>间喷漆房、</w:t>
            </w:r>
            <w:r>
              <w:rPr>
                <w:rFonts w:ascii="Times New Roman" w:hAnsi="Times New Roman" w:eastAsia="Times New Roman" w:cs="Times New Roman"/>
                <w:spacing w:val="2"/>
                <w:sz w:val="20"/>
                <w:szCs w:val="20"/>
              </w:rPr>
              <w:t>1</w:t>
            </w:r>
            <w:r>
              <w:rPr>
                <w:rFonts w:ascii="Times New Roman" w:hAnsi="Times New Roman" w:eastAsia="Times New Roman" w:cs="Times New Roman"/>
                <w:spacing w:val="26"/>
                <w:sz w:val="20"/>
                <w:szCs w:val="20"/>
              </w:rPr>
              <w:t xml:space="preserve"> </w:t>
            </w:r>
            <w:r>
              <w:rPr>
                <w:rFonts w:ascii="宋体" w:hAnsi="宋体" w:eastAsia="宋体" w:cs="宋体"/>
                <w:spacing w:val="2"/>
                <w:sz w:val="20"/>
                <w:szCs w:val="20"/>
              </w:rPr>
              <w:t>间烤漆房，产生</w:t>
            </w:r>
          </w:p>
          <w:p w14:paraId="4ED865BB">
            <w:pPr>
              <w:spacing w:before="161" w:line="227" w:lineRule="auto"/>
              <w:ind w:left="183"/>
              <w:rPr>
                <w:rFonts w:ascii="宋体" w:hAnsi="宋体" w:eastAsia="宋体" w:cs="宋体"/>
                <w:sz w:val="20"/>
                <w:szCs w:val="20"/>
              </w:rPr>
            </w:pPr>
            <w:r>
              <w:rPr>
                <w:rFonts w:ascii="宋体" w:hAnsi="宋体" w:eastAsia="宋体" w:cs="宋体"/>
                <w:spacing w:val="7"/>
                <w:sz w:val="20"/>
                <w:szCs w:val="20"/>
              </w:rPr>
              <w:t>的废气采用负压收集后采用</w:t>
            </w:r>
            <w:r>
              <w:rPr>
                <w:rFonts w:ascii="宋体" w:hAnsi="宋体" w:eastAsia="宋体" w:cs="宋体"/>
                <w:spacing w:val="-20"/>
                <w:sz w:val="20"/>
                <w:szCs w:val="20"/>
              </w:rPr>
              <w:t xml:space="preserve"> </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套漆雾分离柜</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uv</w:t>
            </w:r>
            <w:r>
              <w:rPr>
                <w:rFonts w:ascii="Times New Roman" w:hAnsi="Times New Roman" w:eastAsia="Times New Roman" w:cs="Times New Roman"/>
                <w:spacing w:val="7"/>
                <w:sz w:val="20"/>
                <w:szCs w:val="20"/>
              </w:rPr>
              <w:t xml:space="preserve"> </w:t>
            </w:r>
            <w:r>
              <w:rPr>
                <w:rFonts w:ascii="宋体" w:hAnsi="宋体" w:eastAsia="宋体" w:cs="宋体"/>
                <w:spacing w:val="7"/>
                <w:sz w:val="20"/>
                <w:szCs w:val="20"/>
              </w:rPr>
              <w:t>光</w:t>
            </w:r>
          </w:p>
          <w:p w14:paraId="4CB578BF">
            <w:pPr>
              <w:spacing w:before="162" w:line="227" w:lineRule="auto"/>
              <w:ind w:left="119"/>
              <w:rPr>
                <w:rFonts w:ascii="宋体" w:hAnsi="宋体" w:eastAsia="宋体" w:cs="宋体"/>
                <w:sz w:val="20"/>
                <w:szCs w:val="20"/>
              </w:rPr>
            </w:pPr>
            <w:r>
              <w:rPr>
                <w:rFonts w:ascii="宋体" w:hAnsi="宋体" w:eastAsia="宋体" w:cs="宋体"/>
                <w:spacing w:val="5"/>
                <w:sz w:val="20"/>
                <w:szCs w:val="20"/>
              </w:rPr>
              <w:t>氧</w:t>
            </w:r>
            <w:r>
              <w:rPr>
                <w:rFonts w:ascii="Times New Roman" w:hAnsi="Times New Roman" w:eastAsia="Times New Roman" w:cs="Times New Roman"/>
                <w:spacing w:val="5"/>
                <w:sz w:val="20"/>
                <w:szCs w:val="20"/>
              </w:rPr>
              <w:t>+</w:t>
            </w:r>
            <w:r>
              <w:rPr>
                <w:rFonts w:ascii="宋体" w:hAnsi="宋体" w:eastAsia="宋体" w:cs="宋体"/>
                <w:spacing w:val="5"/>
                <w:sz w:val="20"/>
                <w:szCs w:val="20"/>
              </w:rPr>
              <w:t>活性炭吸附</w:t>
            </w:r>
            <w:r>
              <w:rPr>
                <w:rFonts w:ascii="Times New Roman" w:hAnsi="Times New Roman" w:eastAsia="Times New Roman" w:cs="Times New Roman"/>
                <w:spacing w:val="5"/>
                <w:sz w:val="20"/>
                <w:szCs w:val="20"/>
              </w:rPr>
              <w:t>”</w:t>
            </w:r>
            <w:r>
              <w:rPr>
                <w:rFonts w:ascii="宋体" w:hAnsi="宋体" w:eastAsia="宋体" w:cs="宋体"/>
                <w:spacing w:val="5"/>
                <w:sz w:val="20"/>
                <w:szCs w:val="20"/>
              </w:rPr>
              <w:t>装置处理，最终由</w:t>
            </w:r>
            <w:r>
              <w:rPr>
                <w:rFonts w:ascii="宋体" w:hAnsi="宋体" w:eastAsia="宋体" w:cs="宋体"/>
                <w:spacing w:val="-9"/>
                <w:sz w:val="20"/>
                <w:szCs w:val="20"/>
              </w:rPr>
              <w:t xml:space="preserve">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根</w:t>
            </w:r>
            <w:r>
              <w:rPr>
                <w:rFonts w:ascii="宋体" w:hAnsi="宋体" w:eastAsia="宋体" w:cs="宋体"/>
                <w:spacing w:val="-21"/>
                <w:sz w:val="20"/>
                <w:szCs w:val="20"/>
              </w:rPr>
              <w:t xml:space="preserve"> </w:t>
            </w:r>
            <w:r>
              <w:rPr>
                <w:rFonts w:ascii="Times New Roman" w:hAnsi="Times New Roman" w:eastAsia="Times New Roman" w:cs="Times New Roman"/>
                <w:spacing w:val="5"/>
                <w:sz w:val="20"/>
                <w:szCs w:val="20"/>
              </w:rPr>
              <w:t>15m</w:t>
            </w:r>
            <w:r>
              <w:rPr>
                <w:rFonts w:ascii="Times New Roman" w:hAnsi="Times New Roman" w:eastAsia="Times New Roman" w:cs="Times New Roman"/>
                <w:spacing w:val="15"/>
                <w:w w:val="101"/>
                <w:sz w:val="20"/>
                <w:szCs w:val="20"/>
              </w:rPr>
              <w:t xml:space="preserve"> </w:t>
            </w:r>
            <w:r>
              <w:rPr>
                <w:rFonts w:ascii="宋体" w:hAnsi="宋体" w:eastAsia="宋体" w:cs="宋体"/>
                <w:spacing w:val="5"/>
                <w:sz w:val="20"/>
                <w:szCs w:val="20"/>
              </w:rPr>
              <w:t>高的排</w:t>
            </w:r>
          </w:p>
          <w:p w14:paraId="51D96D14">
            <w:pPr>
              <w:spacing w:before="161" w:line="228" w:lineRule="auto"/>
              <w:ind w:left="1415"/>
              <w:rPr>
                <w:rFonts w:ascii="宋体" w:hAnsi="宋体" w:eastAsia="宋体" w:cs="宋体"/>
                <w:sz w:val="20"/>
                <w:szCs w:val="20"/>
              </w:rPr>
            </w:pPr>
            <w:r>
              <w:rPr>
                <w:rFonts w:ascii="宋体" w:hAnsi="宋体" w:eastAsia="宋体" w:cs="宋体"/>
                <w:spacing w:val="6"/>
                <w:sz w:val="20"/>
                <w:szCs w:val="20"/>
              </w:rPr>
              <w:t>气筒排放（</w:t>
            </w:r>
            <w:r>
              <w:rPr>
                <w:rFonts w:ascii="Times New Roman" w:hAnsi="Times New Roman" w:eastAsia="Times New Roman" w:cs="Times New Roman"/>
                <w:sz w:val="20"/>
                <w:szCs w:val="20"/>
              </w:rPr>
              <w:t>DA</w:t>
            </w:r>
            <w:r>
              <w:rPr>
                <w:rFonts w:ascii="Times New Roman" w:hAnsi="Times New Roman" w:eastAsia="Times New Roman" w:cs="Times New Roman"/>
                <w:spacing w:val="6"/>
                <w:sz w:val="20"/>
                <w:szCs w:val="20"/>
              </w:rPr>
              <w:t>002</w:t>
            </w:r>
            <w:r>
              <w:rPr>
                <w:rFonts w:ascii="宋体" w:hAnsi="宋体" w:eastAsia="宋体" w:cs="宋体"/>
                <w:spacing w:val="6"/>
                <w:sz w:val="20"/>
                <w:szCs w:val="20"/>
              </w:rPr>
              <w:t>）。</w:t>
            </w:r>
          </w:p>
        </w:tc>
        <w:tc>
          <w:tcPr>
            <w:tcW w:w="1665" w:type="dxa"/>
            <w:vAlign w:val="top"/>
          </w:tcPr>
          <w:p w14:paraId="73A01768">
            <w:pPr>
              <w:spacing w:line="292" w:lineRule="auto"/>
              <w:rPr>
                <w:rFonts w:ascii="Arial"/>
                <w:sz w:val="21"/>
              </w:rPr>
            </w:pPr>
          </w:p>
          <w:p w14:paraId="2B9BEED3">
            <w:pPr>
              <w:spacing w:line="293" w:lineRule="auto"/>
              <w:rPr>
                <w:rFonts w:ascii="Arial"/>
                <w:sz w:val="21"/>
              </w:rPr>
            </w:pPr>
          </w:p>
          <w:p w14:paraId="41D84B10">
            <w:pPr>
              <w:spacing w:before="65"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67A1DDF5">
            <w:pPr>
              <w:rPr>
                <w:rFonts w:ascii="Arial"/>
                <w:sz w:val="21"/>
              </w:rPr>
            </w:pPr>
          </w:p>
        </w:tc>
      </w:tr>
      <w:tr w14:paraId="14979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2" w:hRule="atLeast"/>
        </w:trPr>
        <w:tc>
          <w:tcPr>
            <w:tcW w:w="428" w:type="dxa"/>
            <w:vMerge w:val="continue"/>
            <w:tcBorders>
              <w:top w:val="nil"/>
              <w:left w:val="single" w:color="000000" w:sz="6" w:space="0"/>
              <w:bottom w:val="nil"/>
            </w:tcBorders>
            <w:vAlign w:val="top"/>
          </w:tcPr>
          <w:p w14:paraId="7429243D">
            <w:pPr>
              <w:rPr>
                <w:rFonts w:ascii="Arial"/>
                <w:sz w:val="21"/>
              </w:rPr>
            </w:pPr>
          </w:p>
        </w:tc>
        <w:tc>
          <w:tcPr>
            <w:tcW w:w="113" w:type="dxa"/>
            <w:tcBorders>
              <w:top w:val="nil"/>
              <w:bottom w:val="nil"/>
            </w:tcBorders>
            <w:vAlign w:val="top"/>
          </w:tcPr>
          <w:p w14:paraId="35D03510">
            <w:pPr>
              <w:rPr>
                <w:rFonts w:ascii="Arial"/>
                <w:sz w:val="21"/>
              </w:rPr>
            </w:pPr>
          </w:p>
        </w:tc>
        <w:tc>
          <w:tcPr>
            <w:tcW w:w="473" w:type="dxa"/>
            <w:vMerge w:val="continue"/>
            <w:tcBorders>
              <w:top w:val="nil"/>
              <w:bottom w:val="nil"/>
            </w:tcBorders>
            <w:vAlign w:val="top"/>
          </w:tcPr>
          <w:p w14:paraId="7BEA3D44">
            <w:pPr>
              <w:rPr>
                <w:rFonts w:ascii="Arial"/>
                <w:sz w:val="21"/>
              </w:rPr>
            </w:pPr>
          </w:p>
        </w:tc>
        <w:tc>
          <w:tcPr>
            <w:tcW w:w="613" w:type="dxa"/>
            <w:vMerge w:val="continue"/>
            <w:tcBorders>
              <w:top w:val="nil"/>
            </w:tcBorders>
            <w:textDirection w:val="tbRlV"/>
            <w:vAlign w:val="top"/>
          </w:tcPr>
          <w:p w14:paraId="5A2864FB">
            <w:pPr>
              <w:rPr>
                <w:rFonts w:ascii="Arial"/>
                <w:sz w:val="21"/>
              </w:rPr>
            </w:pPr>
          </w:p>
        </w:tc>
        <w:tc>
          <w:tcPr>
            <w:tcW w:w="739" w:type="dxa"/>
            <w:vAlign w:val="top"/>
          </w:tcPr>
          <w:p w14:paraId="576AA3E1">
            <w:pPr>
              <w:spacing w:before="37" w:line="228" w:lineRule="auto"/>
              <w:ind w:left="161"/>
              <w:rPr>
                <w:rFonts w:ascii="宋体" w:hAnsi="宋体" w:eastAsia="宋体" w:cs="宋体"/>
                <w:sz w:val="20"/>
                <w:szCs w:val="20"/>
              </w:rPr>
            </w:pPr>
            <w:r>
              <w:rPr>
                <w:rFonts w:ascii="宋体" w:hAnsi="宋体" w:eastAsia="宋体" w:cs="宋体"/>
                <w:spacing w:val="4"/>
                <w:sz w:val="20"/>
                <w:szCs w:val="20"/>
              </w:rPr>
              <w:t>浸渍</w:t>
            </w:r>
          </w:p>
          <w:p w14:paraId="27D01B3B">
            <w:pPr>
              <w:spacing w:before="161" w:line="232" w:lineRule="auto"/>
              <w:ind w:left="163"/>
              <w:rPr>
                <w:rFonts w:ascii="宋体" w:hAnsi="宋体" w:eastAsia="宋体" w:cs="宋体"/>
                <w:sz w:val="20"/>
                <w:szCs w:val="20"/>
              </w:rPr>
            </w:pPr>
            <w:r>
              <w:rPr>
                <w:rFonts w:ascii="宋体" w:hAnsi="宋体" w:eastAsia="宋体" w:cs="宋体"/>
                <w:spacing w:val="3"/>
                <w:sz w:val="20"/>
                <w:szCs w:val="20"/>
              </w:rPr>
              <w:t>纸生</w:t>
            </w:r>
          </w:p>
          <w:p w14:paraId="5A1A5C70">
            <w:pPr>
              <w:spacing w:before="156" w:line="350" w:lineRule="auto"/>
              <w:ind w:left="265" w:right="162" w:hanging="104"/>
              <w:rPr>
                <w:rFonts w:ascii="宋体" w:hAnsi="宋体" w:eastAsia="宋体" w:cs="宋体"/>
                <w:sz w:val="20"/>
                <w:szCs w:val="20"/>
              </w:rPr>
            </w:pPr>
            <w:r>
              <w:rPr>
                <w:rFonts w:ascii="宋体" w:hAnsi="宋体" w:eastAsia="宋体" w:cs="宋体"/>
                <w:spacing w:val="4"/>
                <w:sz w:val="20"/>
                <w:szCs w:val="20"/>
              </w:rPr>
              <w:t>产废</w:t>
            </w:r>
            <w:r>
              <w:rPr>
                <w:rFonts w:ascii="宋体" w:hAnsi="宋体" w:eastAsia="宋体" w:cs="宋体"/>
                <w:sz w:val="20"/>
                <w:szCs w:val="20"/>
              </w:rPr>
              <w:t>气</w:t>
            </w:r>
          </w:p>
        </w:tc>
        <w:tc>
          <w:tcPr>
            <w:tcW w:w="4906" w:type="dxa"/>
            <w:vAlign w:val="top"/>
          </w:tcPr>
          <w:p w14:paraId="63672640">
            <w:pPr>
              <w:spacing w:before="243" w:line="377" w:lineRule="auto"/>
              <w:ind w:left="125" w:right="32" w:firstLine="22"/>
              <w:jc w:val="both"/>
              <w:rPr>
                <w:rFonts w:ascii="宋体" w:hAnsi="宋体" w:eastAsia="宋体" w:cs="宋体"/>
                <w:sz w:val="20"/>
                <w:szCs w:val="20"/>
              </w:rPr>
            </w:pPr>
            <w:r>
              <w:rPr>
                <w:rFonts w:ascii="宋体" w:hAnsi="宋体" w:eastAsia="宋体" w:cs="宋体"/>
                <w:spacing w:val="9"/>
                <w:sz w:val="20"/>
                <w:szCs w:val="20"/>
              </w:rPr>
              <w:t>浸渍纸生产在涂胶、烘干工序以及天然气燃烧产生</w:t>
            </w:r>
            <w:r>
              <w:rPr>
                <w:rFonts w:ascii="宋体" w:hAnsi="宋体" w:eastAsia="宋体" w:cs="宋体"/>
                <w:spacing w:val="8"/>
                <w:sz w:val="20"/>
                <w:szCs w:val="20"/>
              </w:rPr>
              <w:t>的废气采用集气罩收集</w:t>
            </w:r>
            <w:r>
              <w:rPr>
                <w:rFonts w:ascii="Times New Roman" w:hAnsi="Times New Roman" w:eastAsia="Times New Roman" w:cs="Times New Roman"/>
                <w:spacing w:val="8"/>
                <w:sz w:val="20"/>
                <w:szCs w:val="20"/>
              </w:rPr>
              <w:t>+</w:t>
            </w:r>
            <w:r>
              <w:rPr>
                <w:rFonts w:ascii="Times New Roman" w:hAnsi="Times New Roman" w:eastAsia="Times New Roman" w:cs="Times New Roman"/>
                <w:sz w:val="20"/>
                <w:szCs w:val="20"/>
              </w:rPr>
              <w:t>uv</w:t>
            </w:r>
            <w:r>
              <w:rPr>
                <w:rFonts w:ascii="Times New Roman" w:hAnsi="Times New Roman" w:eastAsia="Times New Roman" w:cs="Times New Roman"/>
                <w:spacing w:val="8"/>
                <w:sz w:val="20"/>
                <w:szCs w:val="20"/>
              </w:rPr>
              <w:t xml:space="preserve"> </w:t>
            </w:r>
            <w:r>
              <w:rPr>
                <w:rFonts w:ascii="宋体" w:hAnsi="宋体" w:eastAsia="宋体" w:cs="宋体"/>
                <w:spacing w:val="8"/>
                <w:sz w:val="20"/>
                <w:szCs w:val="20"/>
              </w:rPr>
              <w:t>光氧</w:t>
            </w:r>
            <w:r>
              <w:rPr>
                <w:rFonts w:ascii="Times New Roman" w:hAnsi="Times New Roman" w:eastAsia="Times New Roman" w:cs="Times New Roman"/>
                <w:spacing w:val="8"/>
                <w:sz w:val="20"/>
                <w:szCs w:val="20"/>
              </w:rPr>
              <w:t>+</w:t>
            </w:r>
            <w:r>
              <w:rPr>
                <w:rFonts w:ascii="宋体" w:hAnsi="宋体" w:eastAsia="宋体" w:cs="宋体"/>
                <w:spacing w:val="8"/>
                <w:sz w:val="20"/>
                <w:szCs w:val="20"/>
              </w:rPr>
              <w:t>活性炭吸附装置吸</w:t>
            </w:r>
            <w:r>
              <w:rPr>
                <w:rFonts w:ascii="宋体" w:hAnsi="宋体" w:eastAsia="宋体" w:cs="宋体"/>
                <w:spacing w:val="1"/>
                <w:sz w:val="20"/>
                <w:szCs w:val="20"/>
              </w:rPr>
              <w:t>附处理后通过</w:t>
            </w:r>
            <w:r>
              <w:rPr>
                <w:rFonts w:ascii="宋体" w:hAnsi="宋体" w:eastAsia="宋体" w:cs="宋体"/>
                <w:spacing w:val="-20"/>
                <w:sz w:val="20"/>
                <w:szCs w:val="20"/>
              </w:rPr>
              <w:t xml:space="preserve"> </w:t>
            </w:r>
            <w:r>
              <w:rPr>
                <w:rFonts w:ascii="Times New Roman" w:hAnsi="Times New Roman" w:eastAsia="Times New Roman" w:cs="Times New Roman"/>
                <w:spacing w:val="1"/>
                <w:sz w:val="20"/>
                <w:szCs w:val="20"/>
              </w:rPr>
              <w:t xml:space="preserve">1 </w:t>
            </w:r>
            <w:r>
              <w:rPr>
                <w:rFonts w:ascii="宋体" w:hAnsi="宋体" w:eastAsia="宋体" w:cs="宋体"/>
                <w:spacing w:val="1"/>
                <w:sz w:val="20"/>
                <w:szCs w:val="20"/>
              </w:rPr>
              <w:t>根</w:t>
            </w:r>
            <w:r>
              <w:rPr>
                <w:rFonts w:ascii="宋体" w:hAnsi="宋体" w:eastAsia="宋体" w:cs="宋体"/>
                <w:spacing w:val="-23"/>
                <w:sz w:val="20"/>
                <w:szCs w:val="20"/>
              </w:rPr>
              <w:t xml:space="preserve"> </w:t>
            </w:r>
            <w:r>
              <w:rPr>
                <w:rFonts w:ascii="Times New Roman" w:hAnsi="Times New Roman" w:eastAsia="Times New Roman" w:cs="Times New Roman"/>
                <w:spacing w:val="1"/>
                <w:sz w:val="20"/>
                <w:szCs w:val="20"/>
              </w:rPr>
              <w:t>15m</w:t>
            </w:r>
            <w:r>
              <w:rPr>
                <w:rFonts w:ascii="Times New Roman" w:hAnsi="Times New Roman" w:eastAsia="Times New Roman" w:cs="Times New Roman"/>
                <w:spacing w:val="15"/>
                <w:w w:val="101"/>
                <w:sz w:val="20"/>
                <w:szCs w:val="20"/>
              </w:rPr>
              <w:t xml:space="preserve"> </w:t>
            </w:r>
            <w:r>
              <w:rPr>
                <w:rFonts w:ascii="宋体" w:hAnsi="宋体" w:eastAsia="宋体" w:cs="宋体"/>
                <w:spacing w:val="1"/>
                <w:sz w:val="20"/>
                <w:szCs w:val="20"/>
              </w:rPr>
              <w:t>高的排气筒排放（</w:t>
            </w:r>
            <w:r>
              <w:rPr>
                <w:rFonts w:ascii="Times New Roman" w:hAnsi="Times New Roman" w:eastAsia="Times New Roman" w:cs="Times New Roman"/>
                <w:sz w:val="20"/>
                <w:szCs w:val="20"/>
              </w:rPr>
              <w:t>DA</w:t>
            </w:r>
            <w:r>
              <w:rPr>
                <w:rFonts w:ascii="Times New Roman" w:hAnsi="Times New Roman" w:eastAsia="Times New Roman" w:cs="Times New Roman"/>
                <w:spacing w:val="1"/>
                <w:sz w:val="20"/>
                <w:szCs w:val="20"/>
              </w:rPr>
              <w:t>003</w:t>
            </w:r>
            <w:r>
              <w:rPr>
                <w:rFonts w:ascii="宋体" w:hAnsi="宋体" w:eastAsia="宋体" w:cs="宋体"/>
                <w:spacing w:val="1"/>
                <w:sz w:val="20"/>
                <w:szCs w:val="20"/>
              </w:rPr>
              <w:t>）。</w:t>
            </w:r>
          </w:p>
        </w:tc>
        <w:tc>
          <w:tcPr>
            <w:tcW w:w="1665" w:type="dxa"/>
            <w:vAlign w:val="top"/>
          </w:tcPr>
          <w:p w14:paraId="651FE96B">
            <w:pPr>
              <w:spacing w:line="290" w:lineRule="auto"/>
              <w:rPr>
                <w:rFonts w:ascii="Arial"/>
                <w:sz w:val="21"/>
              </w:rPr>
            </w:pPr>
          </w:p>
          <w:p w14:paraId="089CE1C5">
            <w:pPr>
              <w:spacing w:line="291" w:lineRule="auto"/>
              <w:rPr>
                <w:rFonts w:ascii="Arial"/>
                <w:sz w:val="21"/>
              </w:rPr>
            </w:pPr>
          </w:p>
          <w:p w14:paraId="4B488D56">
            <w:pPr>
              <w:spacing w:before="65"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1715038F">
            <w:pPr>
              <w:rPr>
                <w:rFonts w:ascii="Arial"/>
                <w:sz w:val="21"/>
              </w:rPr>
            </w:pPr>
          </w:p>
        </w:tc>
      </w:tr>
      <w:tr w14:paraId="3A8E34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428" w:type="dxa"/>
            <w:vMerge w:val="continue"/>
            <w:tcBorders>
              <w:top w:val="nil"/>
              <w:left w:val="single" w:color="000000" w:sz="6" w:space="0"/>
              <w:bottom w:val="nil"/>
            </w:tcBorders>
            <w:vAlign w:val="top"/>
          </w:tcPr>
          <w:p w14:paraId="5E09FB64">
            <w:pPr>
              <w:rPr>
                <w:rFonts w:ascii="Arial"/>
                <w:sz w:val="21"/>
              </w:rPr>
            </w:pPr>
          </w:p>
        </w:tc>
        <w:tc>
          <w:tcPr>
            <w:tcW w:w="113" w:type="dxa"/>
            <w:tcBorders>
              <w:top w:val="nil"/>
              <w:bottom w:val="nil"/>
            </w:tcBorders>
            <w:vAlign w:val="top"/>
          </w:tcPr>
          <w:p w14:paraId="43DFEFCE">
            <w:pPr>
              <w:rPr>
                <w:rFonts w:ascii="Arial"/>
                <w:sz w:val="21"/>
              </w:rPr>
            </w:pPr>
          </w:p>
        </w:tc>
        <w:tc>
          <w:tcPr>
            <w:tcW w:w="473" w:type="dxa"/>
            <w:vMerge w:val="continue"/>
            <w:tcBorders>
              <w:top w:val="nil"/>
              <w:bottom w:val="nil"/>
            </w:tcBorders>
            <w:vAlign w:val="top"/>
          </w:tcPr>
          <w:p w14:paraId="6E464030">
            <w:pPr>
              <w:rPr>
                <w:rFonts w:ascii="Arial"/>
                <w:sz w:val="21"/>
              </w:rPr>
            </w:pPr>
          </w:p>
        </w:tc>
        <w:tc>
          <w:tcPr>
            <w:tcW w:w="1352" w:type="dxa"/>
            <w:gridSpan w:val="2"/>
            <w:vAlign w:val="top"/>
          </w:tcPr>
          <w:p w14:paraId="762D69D4">
            <w:pPr>
              <w:spacing w:before="54" w:line="350" w:lineRule="auto"/>
              <w:ind w:left="569" w:right="155" w:hanging="409"/>
              <w:rPr>
                <w:rFonts w:ascii="宋体" w:hAnsi="宋体" w:eastAsia="宋体" w:cs="宋体"/>
                <w:sz w:val="20"/>
                <w:szCs w:val="20"/>
              </w:rPr>
            </w:pPr>
            <w:r>
              <w:rPr>
                <w:rFonts w:ascii="宋体" w:hAnsi="宋体" w:eastAsia="宋体" w:cs="宋体"/>
                <w:spacing w:val="6"/>
                <w:sz w:val="20"/>
                <w:szCs w:val="20"/>
              </w:rPr>
              <w:t>噪声治理措</w:t>
            </w:r>
            <w:r>
              <w:rPr>
                <w:rFonts w:ascii="宋体" w:hAnsi="宋体" w:eastAsia="宋体" w:cs="宋体"/>
                <w:spacing w:val="1"/>
                <w:sz w:val="20"/>
                <w:szCs w:val="20"/>
              </w:rPr>
              <w:t>施</w:t>
            </w:r>
          </w:p>
        </w:tc>
        <w:tc>
          <w:tcPr>
            <w:tcW w:w="4906" w:type="dxa"/>
            <w:vAlign w:val="top"/>
          </w:tcPr>
          <w:p w14:paraId="0724AF48">
            <w:pPr>
              <w:spacing w:before="258" w:line="228" w:lineRule="auto"/>
              <w:ind w:left="673"/>
              <w:rPr>
                <w:rFonts w:ascii="宋体" w:hAnsi="宋体" w:eastAsia="宋体" w:cs="宋体"/>
                <w:sz w:val="20"/>
                <w:szCs w:val="20"/>
              </w:rPr>
            </w:pPr>
            <w:r>
              <w:rPr>
                <w:rFonts w:ascii="宋体" w:hAnsi="宋体" w:eastAsia="宋体" w:cs="宋体"/>
                <w:spacing w:val="8"/>
                <w:sz w:val="20"/>
                <w:szCs w:val="20"/>
              </w:rPr>
              <w:t>所有设备置于厂房内，并安装减震垫。</w:t>
            </w:r>
          </w:p>
        </w:tc>
        <w:tc>
          <w:tcPr>
            <w:tcW w:w="1665" w:type="dxa"/>
            <w:vAlign w:val="top"/>
          </w:tcPr>
          <w:p w14:paraId="00B4A0D7">
            <w:pPr>
              <w:spacing w:before="259"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52ACB2CD">
            <w:pPr>
              <w:rPr>
                <w:rFonts w:ascii="Arial"/>
                <w:sz w:val="21"/>
              </w:rPr>
            </w:pPr>
          </w:p>
        </w:tc>
      </w:tr>
      <w:tr w14:paraId="5B644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428" w:type="dxa"/>
            <w:vMerge w:val="continue"/>
            <w:tcBorders>
              <w:top w:val="nil"/>
              <w:left w:val="single" w:color="000000" w:sz="6" w:space="0"/>
              <w:bottom w:val="nil"/>
            </w:tcBorders>
            <w:vAlign w:val="top"/>
          </w:tcPr>
          <w:p w14:paraId="60D0B506">
            <w:pPr>
              <w:rPr>
                <w:rFonts w:ascii="Arial"/>
                <w:sz w:val="21"/>
              </w:rPr>
            </w:pPr>
          </w:p>
        </w:tc>
        <w:tc>
          <w:tcPr>
            <w:tcW w:w="113" w:type="dxa"/>
            <w:tcBorders>
              <w:top w:val="nil"/>
              <w:bottom w:val="nil"/>
            </w:tcBorders>
            <w:vAlign w:val="top"/>
          </w:tcPr>
          <w:p w14:paraId="479E0BE8">
            <w:pPr>
              <w:rPr>
                <w:rFonts w:ascii="Arial"/>
                <w:sz w:val="21"/>
              </w:rPr>
            </w:pPr>
          </w:p>
        </w:tc>
        <w:tc>
          <w:tcPr>
            <w:tcW w:w="473" w:type="dxa"/>
            <w:vMerge w:val="continue"/>
            <w:tcBorders>
              <w:top w:val="nil"/>
              <w:bottom w:val="nil"/>
            </w:tcBorders>
            <w:vAlign w:val="top"/>
          </w:tcPr>
          <w:p w14:paraId="0BA48E79">
            <w:pPr>
              <w:rPr>
                <w:rFonts w:ascii="Arial"/>
                <w:sz w:val="21"/>
              </w:rPr>
            </w:pPr>
          </w:p>
        </w:tc>
        <w:tc>
          <w:tcPr>
            <w:tcW w:w="613" w:type="dxa"/>
            <w:vMerge w:val="restart"/>
            <w:tcBorders>
              <w:bottom w:val="nil"/>
            </w:tcBorders>
            <w:textDirection w:val="tbRlV"/>
            <w:vAlign w:val="top"/>
          </w:tcPr>
          <w:p w14:paraId="23F0B424">
            <w:pPr>
              <w:spacing w:before="205" w:line="218" w:lineRule="auto"/>
              <w:ind w:left="261"/>
              <w:rPr>
                <w:rFonts w:ascii="宋体" w:hAnsi="宋体" w:eastAsia="宋体" w:cs="宋体"/>
                <w:sz w:val="20"/>
                <w:szCs w:val="20"/>
              </w:rPr>
            </w:pPr>
            <w:r>
              <w:rPr>
                <w:rFonts w:ascii="宋体" w:hAnsi="宋体" w:eastAsia="宋体" w:cs="宋体"/>
                <w:spacing w:val="8"/>
                <w:sz w:val="20"/>
                <w:szCs w:val="20"/>
              </w:rPr>
              <w:t>固</w:t>
            </w:r>
            <w:r>
              <w:rPr>
                <w:rFonts w:ascii="宋体" w:hAnsi="宋体" w:eastAsia="宋体" w:cs="宋体"/>
                <w:spacing w:val="102"/>
                <w:sz w:val="20"/>
                <w:szCs w:val="20"/>
              </w:rPr>
              <w:t xml:space="preserve"> </w:t>
            </w:r>
            <w:r>
              <w:rPr>
                <w:rFonts w:ascii="宋体" w:hAnsi="宋体" w:eastAsia="宋体" w:cs="宋体"/>
                <w:spacing w:val="8"/>
                <w:sz w:val="20"/>
                <w:szCs w:val="20"/>
              </w:rPr>
              <w:t>体</w:t>
            </w:r>
            <w:r>
              <w:rPr>
                <w:rFonts w:ascii="宋体" w:hAnsi="宋体" w:eastAsia="宋体" w:cs="宋体"/>
                <w:spacing w:val="100"/>
                <w:sz w:val="20"/>
                <w:szCs w:val="20"/>
              </w:rPr>
              <w:t xml:space="preserve"> </w:t>
            </w:r>
            <w:r>
              <w:rPr>
                <w:rFonts w:ascii="宋体" w:hAnsi="宋体" w:eastAsia="宋体" w:cs="宋体"/>
                <w:spacing w:val="8"/>
                <w:sz w:val="20"/>
                <w:szCs w:val="20"/>
              </w:rPr>
              <w:t>废</w:t>
            </w:r>
            <w:r>
              <w:rPr>
                <w:rFonts w:ascii="宋体" w:hAnsi="宋体" w:eastAsia="宋体" w:cs="宋体"/>
                <w:spacing w:val="99"/>
                <w:sz w:val="20"/>
                <w:szCs w:val="20"/>
              </w:rPr>
              <w:t xml:space="preserve"> </w:t>
            </w:r>
            <w:r>
              <w:rPr>
                <w:rFonts w:ascii="宋体" w:hAnsi="宋体" w:eastAsia="宋体" w:cs="宋体"/>
                <w:spacing w:val="8"/>
                <w:sz w:val="20"/>
                <w:szCs w:val="20"/>
              </w:rPr>
              <w:t>物</w:t>
            </w:r>
            <w:r>
              <w:rPr>
                <w:rFonts w:ascii="宋体" w:hAnsi="宋体" w:eastAsia="宋体" w:cs="宋体"/>
                <w:sz w:val="20"/>
                <w:szCs w:val="20"/>
              </w:rPr>
              <w:t xml:space="preserve">  </w:t>
            </w:r>
            <w:r>
              <w:rPr>
                <w:rFonts w:ascii="宋体" w:hAnsi="宋体" w:eastAsia="宋体" w:cs="宋体"/>
                <w:spacing w:val="8"/>
                <w:sz w:val="20"/>
                <w:szCs w:val="20"/>
              </w:rPr>
              <w:t>处</w:t>
            </w:r>
            <w:r>
              <w:rPr>
                <w:rFonts w:ascii="宋体" w:hAnsi="宋体" w:eastAsia="宋体" w:cs="宋体"/>
                <w:spacing w:val="101"/>
                <w:sz w:val="20"/>
                <w:szCs w:val="20"/>
              </w:rPr>
              <w:t xml:space="preserve"> </w:t>
            </w:r>
            <w:r>
              <w:rPr>
                <w:rFonts w:ascii="宋体" w:hAnsi="宋体" w:eastAsia="宋体" w:cs="宋体"/>
                <w:spacing w:val="8"/>
                <w:sz w:val="20"/>
                <w:szCs w:val="20"/>
              </w:rPr>
              <w:t>置</w:t>
            </w:r>
          </w:p>
        </w:tc>
        <w:tc>
          <w:tcPr>
            <w:tcW w:w="739" w:type="dxa"/>
            <w:vAlign w:val="top"/>
          </w:tcPr>
          <w:p w14:paraId="60D06538">
            <w:pPr>
              <w:spacing w:before="52" w:line="351" w:lineRule="auto"/>
              <w:ind w:left="266" w:right="162" w:hanging="103"/>
              <w:rPr>
                <w:rFonts w:ascii="宋体" w:hAnsi="宋体" w:eastAsia="宋体" w:cs="宋体"/>
                <w:sz w:val="20"/>
                <w:szCs w:val="20"/>
              </w:rPr>
            </w:pPr>
            <w:r>
              <w:rPr>
                <w:rFonts w:ascii="宋体" w:hAnsi="宋体" w:eastAsia="宋体" w:cs="宋体"/>
                <w:spacing w:val="3"/>
                <w:sz w:val="20"/>
                <w:szCs w:val="20"/>
              </w:rPr>
              <w:t>垃圾</w:t>
            </w:r>
            <w:r>
              <w:rPr>
                <w:rFonts w:ascii="宋体" w:hAnsi="宋体" w:eastAsia="宋体" w:cs="宋体"/>
                <w:sz w:val="20"/>
                <w:szCs w:val="20"/>
              </w:rPr>
              <w:t>桶</w:t>
            </w:r>
          </w:p>
        </w:tc>
        <w:tc>
          <w:tcPr>
            <w:tcW w:w="4906" w:type="dxa"/>
            <w:vAlign w:val="top"/>
          </w:tcPr>
          <w:p w14:paraId="7D685DAF">
            <w:pPr>
              <w:spacing w:before="256" w:line="227" w:lineRule="auto"/>
              <w:ind w:left="362"/>
              <w:rPr>
                <w:rFonts w:ascii="宋体" w:hAnsi="宋体" w:eastAsia="宋体" w:cs="宋体"/>
                <w:sz w:val="20"/>
                <w:szCs w:val="20"/>
              </w:rPr>
            </w:pPr>
            <w:r>
              <w:rPr>
                <w:rFonts w:ascii="宋体" w:hAnsi="宋体" w:eastAsia="宋体" w:cs="宋体"/>
                <w:spacing w:val="8"/>
                <w:sz w:val="20"/>
                <w:szCs w:val="20"/>
              </w:rPr>
              <w:t>设带盖生活垃圾桶若干，合理分布在厂区内。</w:t>
            </w:r>
          </w:p>
        </w:tc>
        <w:tc>
          <w:tcPr>
            <w:tcW w:w="1665" w:type="dxa"/>
            <w:vAlign w:val="top"/>
          </w:tcPr>
          <w:p w14:paraId="0314BC0B">
            <w:pPr>
              <w:spacing w:before="256" w:line="229" w:lineRule="auto"/>
              <w:ind w:left="657"/>
              <w:rPr>
                <w:rFonts w:ascii="宋体" w:hAnsi="宋体" w:eastAsia="宋体" w:cs="宋体"/>
                <w:sz w:val="20"/>
                <w:szCs w:val="20"/>
              </w:rPr>
            </w:pPr>
            <w:r>
              <w:rPr>
                <w:rFonts w:ascii="宋体" w:hAnsi="宋体" w:eastAsia="宋体" w:cs="宋体"/>
                <w:spacing w:val="-7"/>
                <w:sz w:val="20"/>
                <w:szCs w:val="20"/>
              </w:rPr>
              <w:t>已建</w:t>
            </w:r>
          </w:p>
        </w:tc>
        <w:tc>
          <w:tcPr>
            <w:tcW w:w="127" w:type="dxa"/>
            <w:tcBorders>
              <w:top w:val="nil"/>
              <w:bottom w:val="nil"/>
              <w:right w:val="single" w:color="000000" w:sz="6" w:space="0"/>
            </w:tcBorders>
            <w:vAlign w:val="top"/>
          </w:tcPr>
          <w:p w14:paraId="429C2B33">
            <w:pPr>
              <w:rPr>
                <w:rFonts w:ascii="Arial"/>
                <w:sz w:val="21"/>
              </w:rPr>
            </w:pPr>
          </w:p>
        </w:tc>
      </w:tr>
      <w:tr w14:paraId="3BD98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5" w:hRule="atLeast"/>
        </w:trPr>
        <w:tc>
          <w:tcPr>
            <w:tcW w:w="428" w:type="dxa"/>
            <w:vMerge w:val="continue"/>
            <w:tcBorders>
              <w:top w:val="nil"/>
              <w:left w:val="single" w:color="000000" w:sz="6" w:space="0"/>
              <w:bottom w:val="nil"/>
            </w:tcBorders>
            <w:vAlign w:val="top"/>
          </w:tcPr>
          <w:p w14:paraId="5EBC6BCB">
            <w:pPr>
              <w:rPr>
                <w:rFonts w:ascii="Arial"/>
                <w:sz w:val="21"/>
              </w:rPr>
            </w:pPr>
          </w:p>
        </w:tc>
        <w:tc>
          <w:tcPr>
            <w:tcW w:w="113" w:type="dxa"/>
            <w:tcBorders>
              <w:top w:val="nil"/>
              <w:bottom w:val="nil"/>
            </w:tcBorders>
            <w:vAlign w:val="top"/>
          </w:tcPr>
          <w:p w14:paraId="742856DC">
            <w:pPr>
              <w:rPr>
                <w:rFonts w:ascii="Arial"/>
                <w:sz w:val="21"/>
              </w:rPr>
            </w:pPr>
          </w:p>
        </w:tc>
        <w:tc>
          <w:tcPr>
            <w:tcW w:w="473" w:type="dxa"/>
            <w:vMerge w:val="continue"/>
            <w:tcBorders>
              <w:top w:val="nil"/>
            </w:tcBorders>
            <w:vAlign w:val="top"/>
          </w:tcPr>
          <w:p w14:paraId="568A660F">
            <w:pPr>
              <w:rPr>
                <w:rFonts w:ascii="Arial"/>
                <w:sz w:val="21"/>
              </w:rPr>
            </w:pPr>
          </w:p>
        </w:tc>
        <w:tc>
          <w:tcPr>
            <w:tcW w:w="613" w:type="dxa"/>
            <w:vMerge w:val="continue"/>
            <w:tcBorders>
              <w:top w:val="nil"/>
            </w:tcBorders>
            <w:textDirection w:val="tbRlV"/>
            <w:vAlign w:val="top"/>
          </w:tcPr>
          <w:p w14:paraId="52581414">
            <w:pPr>
              <w:rPr>
                <w:rFonts w:ascii="Arial"/>
                <w:sz w:val="21"/>
              </w:rPr>
            </w:pPr>
          </w:p>
        </w:tc>
        <w:tc>
          <w:tcPr>
            <w:tcW w:w="739" w:type="dxa"/>
            <w:vAlign w:val="top"/>
          </w:tcPr>
          <w:p w14:paraId="4BD66B2D">
            <w:pPr>
              <w:spacing w:line="391" w:lineRule="auto"/>
              <w:rPr>
                <w:rFonts w:ascii="Arial"/>
                <w:sz w:val="21"/>
              </w:rPr>
            </w:pPr>
          </w:p>
          <w:p w14:paraId="38D76B0B">
            <w:pPr>
              <w:spacing w:before="65" w:line="379" w:lineRule="auto"/>
              <w:ind w:left="167" w:right="162" w:hanging="3"/>
              <w:jc w:val="right"/>
              <w:rPr>
                <w:rFonts w:ascii="宋体" w:hAnsi="宋体" w:eastAsia="宋体" w:cs="宋体"/>
                <w:sz w:val="20"/>
                <w:szCs w:val="20"/>
              </w:rPr>
            </w:pPr>
            <w:r>
              <w:rPr>
                <w:rFonts w:ascii="宋体" w:hAnsi="宋体" w:eastAsia="宋体" w:cs="宋体"/>
                <w:spacing w:val="3"/>
                <w:sz w:val="20"/>
                <w:szCs w:val="20"/>
              </w:rPr>
              <w:t>危废</w:t>
            </w:r>
            <w:r>
              <w:rPr>
                <w:rFonts w:ascii="宋体" w:hAnsi="宋体" w:eastAsia="宋体" w:cs="宋体"/>
                <w:spacing w:val="1"/>
                <w:sz w:val="20"/>
                <w:szCs w:val="20"/>
              </w:rPr>
              <w:t>暂存</w:t>
            </w:r>
            <w:r>
              <w:rPr>
                <w:rFonts w:ascii="宋体" w:hAnsi="宋体" w:eastAsia="宋体" w:cs="宋体"/>
                <w:sz w:val="20"/>
                <w:szCs w:val="20"/>
              </w:rPr>
              <w:t>间</w:t>
            </w:r>
          </w:p>
        </w:tc>
        <w:tc>
          <w:tcPr>
            <w:tcW w:w="4906" w:type="dxa"/>
            <w:vAlign w:val="top"/>
          </w:tcPr>
          <w:p w14:paraId="444444E4">
            <w:pPr>
              <w:spacing w:before="52" w:line="227" w:lineRule="auto"/>
              <w:ind w:left="112"/>
              <w:rPr>
                <w:rFonts w:ascii="宋体" w:hAnsi="宋体" w:eastAsia="宋体" w:cs="宋体"/>
                <w:sz w:val="20"/>
                <w:szCs w:val="20"/>
              </w:rPr>
            </w:pPr>
            <w:r>
              <w:rPr>
                <w:rFonts w:ascii="宋体" w:hAnsi="宋体" w:eastAsia="宋体" w:cs="宋体"/>
                <w:spacing w:val="3"/>
                <w:sz w:val="20"/>
                <w:szCs w:val="20"/>
              </w:rPr>
              <w:t>设置</w:t>
            </w:r>
            <w:r>
              <w:rPr>
                <w:rFonts w:ascii="宋体" w:hAnsi="宋体" w:eastAsia="宋体" w:cs="宋体"/>
                <w:spacing w:val="-21"/>
                <w:sz w:val="20"/>
                <w:szCs w:val="20"/>
              </w:rPr>
              <w:t xml:space="preserve"> </w:t>
            </w:r>
            <w:r>
              <w:rPr>
                <w:rFonts w:ascii="Times New Roman" w:hAnsi="Times New Roman" w:eastAsia="Times New Roman" w:cs="Times New Roman"/>
                <w:spacing w:val="3"/>
                <w:sz w:val="20"/>
                <w:szCs w:val="20"/>
              </w:rPr>
              <w:t>1</w:t>
            </w:r>
            <w:r>
              <w:rPr>
                <w:rFonts w:ascii="Times New Roman" w:hAnsi="Times New Roman" w:eastAsia="Times New Roman" w:cs="Times New Roman"/>
                <w:spacing w:val="28"/>
                <w:w w:val="101"/>
                <w:sz w:val="20"/>
                <w:szCs w:val="20"/>
              </w:rPr>
              <w:t xml:space="preserve"> </w:t>
            </w:r>
            <w:r>
              <w:rPr>
                <w:rFonts w:ascii="宋体" w:hAnsi="宋体" w:eastAsia="宋体" w:cs="宋体"/>
                <w:spacing w:val="3"/>
                <w:sz w:val="20"/>
                <w:szCs w:val="20"/>
              </w:rPr>
              <w:t>间</w:t>
            </w:r>
            <w:r>
              <w:rPr>
                <w:rFonts w:ascii="宋体" w:hAnsi="宋体" w:eastAsia="宋体" w:cs="宋体"/>
                <w:spacing w:val="-23"/>
                <w:sz w:val="20"/>
                <w:szCs w:val="20"/>
              </w:rPr>
              <w:t xml:space="preserve"> </w:t>
            </w:r>
            <w:r>
              <w:rPr>
                <w:rFonts w:ascii="Times New Roman" w:hAnsi="Times New Roman" w:eastAsia="Times New Roman" w:cs="Times New Roman"/>
                <w:spacing w:val="3"/>
                <w:sz w:val="20"/>
                <w:szCs w:val="20"/>
              </w:rPr>
              <w:t>10m</w:t>
            </w:r>
            <w:r>
              <w:rPr>
                <w:rFonts w:ascii="Times New Roman" w:hAnsi="Times New Roman" w:eastAsia="Times New Roman" w:cs="Times New Roman"/>
                <w:spacing w:val="3"/>
                <w:position w:val="6"/>
                <w:sz w:val="13"/>
                <w:szCs w:val="13"/>
              </w:rPr>
              <w:t>2</w:t>
            </w:r>
            <w:r>
              <w:rPr>
                <w:rFonts w:ascii="Times New Roman" w:hAnsi="Times New Roman" w:eastAsia="Times New Roman" w:cs="Times New Roman"/>
                <w:spacing w:val="27"/>
                <w:w w:val="102"/>
                <w:position w:val="6"/>
                <w:sz w:val="13"/>
                <w:szCs w:val="13"/>
              </w:rPr>
              <w:t xml:space="preserve"> </w:t>
            </w:r>
            <w:r>
              <w:rPr>
                <w:rFonts w:ascii="宋体" w:hAnsi="宋体" w:eastAsia="宋体" w:cs="宋体"/>
                <w:spacing w:val="3"/>
                <w:sz w:val="20"/>
                <w:szCs w:val="20"/>
              </w:rPr>
              <w:t>的危险废物暂存间，采用混凝</w:t>
            </w:r>
            <w:r>
              <w:rPr>
                <w:rFonts w:ascii="宋体" w:hAnsi="宋体" w:eastAsia="宋体" w:cs="宋体"/>
                <w:spacing w:val="2"/>
                <w:sz w:val="20"/>
                <w:szCs w:val="20"/>
              </w:rPr>
              <w:t>土硬化</w:t>
            </w:r>
          </w:p>
          <w:p w14:paraId="6DB67E60">
            <w:pPr>
              <w:spacing w:before="162" w:line="227" w:lineRule="auto"/>
              <w:ind w:left="104"/>
              <w:rPr>
                <w:rFonts w:ascii="宋体" w:hAnsi="宋体" w:eastAsia="宋体" w:cs="宋体"/>
                <w:sz w:val="20"/>
                <w:szCs w:val="20"/>
              </w:rPr>
            </w:pPr>
            <w:r>
              <w:rPr>
                <w:rFonts w:ascii="Times New Roman" w:hAnsi="Times New Roman" w:eastAsia="Times New Roman" w:cs="Times New Roman"/>
                <w:spacing w:val="7"/>
                <w:sz w:val="20"/>
                <w:szCs w:val="20"/>
              </w:rPr>
              <w:t>+</w:t>
            </w:r>
            <w:r>
              <w:rPr>
                <w:rFonts w:ascii="宋体" w:hAnsi="宋体" w:eastAsia="宋体" w:cs="宋体"/>
                <w:spacing w:val="7"/>
                <w:sz w:val="20"/>
                <w:szCs w:val="20"/>
              </w:rPr>
              <w:t>对墙面地面涂刷环氧树脂涂料进行防渗，防渗系数</w:t>
            </w:r>
          </w:p>
          <w:p w14:paraId="6B597736">
            <w:pPr>
              <w:spacing w:before="161" w:line="228" w:lineRule="auto"/>
              <w:ind w:left="103"/>
              <w:rPr>
                <w:rFonts w:ascii="宋体" w:hAnsi="宋体" w:eastAsia="宋体" w:cs="宋体"/>
                <w:sz w:val="20"/>
                <w:szCs w:val="20"/>
              </w:rPr>
            </w:pPr>
            <w:r>
              <w:rPr>
                <w:rFonts w:ascii="Times New Roman" w:hAnsi="Times New Roman" w:eastAsia="Times New Roman" w:cs="Times New Roman"/>
                <w:spacing w:val="6"/>
                <w:sz w:val="20"/>
                <w:szCs w:val="20"/>
              </w:rPr>
              <w:t>≤1×10</w:t>
            </w:r>
            <w:r>
              <w:rPr>
                <w:rFonts w:ascii="Times New Roman" w:hAnsi="Times New Roman" w:eastAsia="Times New Roman" w:cs="Times New Roman"/>
                <w:spacing w:val="6"/>
                <w:position w:val="6"/>
                <w:sz w:val="13"/>
                <w:szCs w:val="13"/>
              </w:rPr>
              <w:t>-10</w:t>
            </w:r>
            <w:r>
              <w:rPr>
                <w:rFonts w:ascii="Times New Roman" w:hAnsi="Times New Roman" w:eastAsia="Times New Roman" w:cs="Times New Roman"/>
                <w:sz w:val="20"/>
                <w:szCs w:val="20"/>
              </w:rPr>
              <w:t>cm</w:t>
            </w:r>
            <w:r>
              <w:rPr>
                <w:rFonts w:ascii="Times New Roman" w:hAnsi="Times New Roman" w:eastAsia="Times New Roman" w:cs="Times New Roman"/>
                <w:spacing w:val="6"/>
                <w:sz w:val="20"/>
                <w:szCs w:val="20"/>
              </w:rPr>
              <w:t>/s</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rPr>
              <w:t>，并设置围堰、托盘，张贴标识标牌，</w:t>
            </w:r>
          </w:p>
          <w:p w14:paraId="484E15C5">
            <w:pPr>
              <w:spacing w:before="161" w:line="228" w:lineRule="auto"/>
              <w:ind w:left="150"/>
              <w:rPr>
                <w:rFonts w:ascii="宋体" w:hAnsi="宋体" w:eastAsia="宋体" w:cs="宋体"/>
                <w:sz w:val="20"/>
                <w:szCs w:val="20"/>
              </w:rPr>
            </w:pPr>
            <w:r>
              <w:rPr>
                <w:rFonts w:ascii="宋体" w:hAnsi="宋体" w:eastAsia="宋体" w:cs="宋体"/>
                <w:spacing w:val="9"/>
                <w:sz w:val="20"/>
                <w:szCs w:val="20"/>
              </w:rPr>
              <w:t>危废收集后分类暂存于危废间内，委托楚雄同磊再</w:t>
            </w:r>
          </w:p>
          <w:p w14:paraId="5351749C">
            <w:pPr>
              <w:spacing w:before="163" w:line="228" w:lineRule="auto"/>
              <w:ind w:left="1200"/>
              <w:rPr>
                <w:rFonts w:ascii="宋体" w:hAnsi="宋体" w:eastAsia="宋体" w:cs="宋体"/>
                <w:sz w:val="20"/>
                <w:szCs w:val="20"/>
              </w:rPr>
            </w:pPr>
            <w:r>
              <w:rPr>
                <w:rFonts w:ascii="宋体" w:hAnsi="宋体" w:eastAsia="宋体" w:cs="宋体"/>
                <w:spacing w:val="8"/>
                <w:sz w:val="20"/>
                <w:szCs w:val="20"/>
              </w:rPr>
              <w:t>生资源回收有限公司处置。</w:t>
            </w:r>
          </w:p>
        </w:tc>
        <w:tc>
          <w:tcPr>
            <w:tcW w:w="1665" w:type="dxa"/>
            <w:vAlign w:val="top"/>
          </w:tcPr>
          <w:p w14:paraId="283E2F14">
            <w:pPr>
              <w:spacing w:line="266" w:lineRule="auto"/>
              <w:rPr>
                <w:rFonts w:ascii="Arial"/>
                <w:sz w:val="21"/>
              </w:rPr>
            </w:pPr>
          </w:p>
          <w:p w14:paraId="7FE4FAA4">
            <w:pPr>
              <w:spacing w:line="266" w:lineRule="auto"/>
              <w:rPr>
                <w:rFonts w:ascii="Arial"/>
                <w:sz w:val="21"/>
              </w:rPr>
            </w:pPr>
          </w:p>
          <w:p w14:paraId="32732E76">
            <w:pPr>
              <w:spacing w:line="266" w:lineRule="auto"/>
              <w:rPr>
                <w:rFonts w:ascii="Arial"/>
                <w:sz w:val="21"/>
              </w:rPr>
            </w:pPr>
          </w:p>
          <w:p w14:paraId="6FD2306C">
            <w:pPr>
              <w:spacing w:before="65" w:line="229" w:lineRule="auto"/>
              <w:ind w:left="551"/>
              <w:rPr>
                <w:rFonts w:ascii="宋体" w:hAnsi="宋体" w:eastAsia="宋体" w:cs="宋体"/>
                <w:sz w:val="20"/>
                <w:szCs w:val="20"/>
              </w:rPr>
            </w:pPr>
            <w:r>
              <w:rPr>
                <w:rFonts w:ascii="宋体" w:hAnsi="宋体" w:eastAsia="宋体" w:cs="宋体"/>
                <w:spacing w:val="-1"/>
                <w:sz w:val="20"/>
                <w:szCs w:val="20"/>
              </w:rPr>
              <w:t>已建成</w:t>
            </w:r>
          </w:p>
        </w:tc>
        <w:tc>
          <w:tcPr>
            <w:tcW w:w="127" w:type="dxa"/>
            <w:tcBorders>
              <w:top w:val="nil"/>
              <w:bottom w:val="nil"/>
              <w:right w:val="single" w:color="000000" w:sz="6" w:space="0"/>
            </w:tcBorders>
            <w:vAlign w:val="top"/>
          </w:tcPr>
          <w:p w14:paraId="38F6C55D">
            <w:pPr>
              <w:rPr>
                <w:rFonts w:ascii="Arial"/>
                <w:sz w:val="21"/>
              </w:rPr>
            </w:pPr>
          </w:p>
        </w:tc>
      </w:tr>
      <w:tr w14:paraId="4EFC5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428" w:type="dxa"/>
            <w:vMerge w:val="continue"/>
            <w:tcBorders>
              <w:top w:val="nil"/>
              <w:left w:val="single" w:color="000000" w:sz="6" w:space="0"/>
              <w:bottom w:val="single" w:color="000000" w:sz="6" w:space="0"/>
            </w:tcBorders>
            <w:vAlign w:val="top"/>
          </w:tcPr>
          <w:p w14:paraId="0059C850">
            <w:pPr>
              <w:rPr>
                <w:rFonts w:ascii="Arial"/>
                <w:sz w:val="21"/>
              </w:rPr>
            </w:pPr>
          </w:p>
        </w:tc>
        <w:tc>
          <w:tcPr>
            <w:tcW w:w="8636" w:type="dxa"/>
            <w:gridSpan w:val="7"/>
            <w:tcBorders>
              <w:bottom w:val="single" w:color="000000" w:sz="6" w:space="0"/>
              <w:right w:val="single" w:color="000000" w:sz="6" w:space="0"/>
            </w:tcBorders>
            <w:vAlign w:val="top"/>
          </w:tcPr>
          <w:p w14:paraId="743CC6E5">
            <w:pPr>
              <w:spacing w:before="291" w:line="219" w:lineRule="auto"/>
              <w:ind w:left="581"/>
              <w:rPr>
                <w:rFonts w:ascii="宋体" w:hAnsi="宋体" w:eastAsia="宋体" w:cs="宋体"/>
                <w:sz w:val="24"/>
                <w:szCs w:val="24"/>
              </w:rPr>
            </w:pPr>
            <w:r>
              <w:rPr>
                <w:rFonts w:ascii="Times New Roman" w:hAnsi="Times New Roman" w:eastAsia="Times New Roman" w:cs="Times New Roman"/>
                <w:b/>
                <w:bCs/>
                <w:spacing w:val="-5"/>
                <w:sz w:val="24"/>
                <w:szCs w:val="24"/>
              </w:rPr>
              <w:t>3</w:t>
            </w:r>
            <w:r>
              <w:rPr>
                <w:rFonts w:ascii="Times New Roman" w:hAnsi="Times New Roman" w:eastAsia="Times New Roman" w:cs="Times New Roman"/>
                <w:b/>
                <w:bCs/>
                <w:spacing w:val="-23"/>
                <w:sz w:val="24"/>
                <w:szCs w:val="24"/>
              </w:rPr>
              <w:t xml:space="preserve"> </w:t>
            </w:r>
            <w:r>
              <w:rPr>
                <w:rFonts w:ascii="宋体" w:hAnsi="宋体" w:eastAsia="宋体" w:cs="宋体"/>
                <w:b/>
                <w:bCs/>
                <w:spacing w:val="-5"/>
                <w:sz w:val="24"/>
                <w:szCs w:val="24"/>
              </w:rPr>
              <w:t>、现有项目主要原辅材料</w:t>
            </w:r>
          </w:p>
        </w:tc>
      </w:tr>
    </w:tbl>
    <w:p w14:paraId="4C79DBB7">
      <w:pPr>
        <w:pStyle w:val="2"/>
      </w:pPr>
    </w:p>
    <w:p w14:paraId="3A4FDB81">
      <w:pPr>
        <w:sectPr>
          <w:footerReference r:id="rId62" w:type="default"/>
          <w:pgSz w:w="11906" w:h="16839"/>
          <w:pgMar w:top="400" w:right="1413" w:bottom="1329" w:left="1413" w:header="0" w:footer="1113" w:gutter="0"/>
          <w:cols w:space="720" w:num="1"/>
        </w:sectPr>
      </w:pPr>
    </w:p>
    <w:p w14:paraId="79C6EFD6">
      <w:pPr>
        <w:spacing w:before="19"/>
      </w:pPr>
    </w:p>
    <w:p w14:paraId="35141844">
      <w:pPr>
        <w:spacing w:before="19"/>
      </w:pPr>
    </w:p>
    <w:p w14:paraId="708FE584">
      <w:pPr>
        <w:spacing w:before="19"/>
      </w:pPr>
    </w:p>
    <w:p w14:paraId="7087192D">
      <w:pPr>
        <w:spacing w:before="18"/>
      </w:pPr>
    </w:p>
    <w:p w14:paraId="3646558C">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895"/>
        <w:gridCol w:w="2205"/>
        <w:gridCol w:w="1608"/>
        <w:gridCol w:w="2074"/>
        <w:gridCol w:w="1616"/>
        <w:gridCol w:w="125"/>
      </w:tblGrid>
      <w:tr w14:paraId="13641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428" w:type="dxa"/>
            <w:vMerge w:val="restart"/>
            <w:tcBorders>
              <w:top w:val="single" w:color="000000" w:sz="6" w:space="0"/>
              <w:left w:val="single" w:color="000000" w:sz="6" w:space="0"/>
              <w:bottom w:val="nil"/>
            </w:tcBorders>
            <w:vAlign w:val="top"/>
          </w:tcPr>
          <w:p w14:paraId="072F04BC">
            <w:pPr>
              <w:rPr>
                <w:rFonts w:ascii="Arial"/>
                <w:sz w:val="21"/>
              </w:rPr>
            </w:pPr>
          </w:p>
        </w:tc>
        <w:tc>
          <w:tcPr>
            <w:tcW w:w="8636" w:type="dxa"/>
            <w:gridSpan w:val="7"/>
            <w:tcBorders>
              <w:top w:val="single" w:color="000000" w:sz="6" w:space="0"/>
              <w:right w:val="single" w:color="000000" w:sz="6" w:space="0"/>
            </w:tcBorders>
            <w:vAlign w:val="top"/>
          </w:tcPr>
          <w:p w14:paraId="27539758">
            <w:pPr>
              <w:spacing w:before="29" w:line="219" w:lineRule="auto"/>
              <w:ind w:left="588"/>
              <w:rPr>
                <w:rFonts w:ascii="宋体" w:hAnsi="宋体" w:eastAsia="宋体" w:cs="宋体"/>
                <w:sz w:val="24"/>
                <w:szCs w:val="24"/>
              </w:rPr>
            </w:pPr>
            <w:r>
              <w:rPr>
                <w:rFonts w:ascii="宋体" w:hAnsi="宋体" w:eastAsia="宋体" w:cs="宋体"/>
                <w:spacing w:val="-1"/>
                <w:sz w:val="24"/>
                <w:szCs w:val="24"/>
              </w:rPr>
              <w:t>现有项目主要原辅材料用量见表</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2-9</w:t>
            </w:r>
            <w:r>
              <w:rPr>
                <w:rFonts w:ascii="宋体" w:hAnsi="宋体" w:eastAsia="宋体" w:cs="宋体"/>
                <w:spacing w:val="-1"/>
                <w:sz w:val="24"/>
                <w:szCs w:val="24"/>
              </w:rPr>
              <w:t>。</w:t>
            </w:r>
          </w:p>
          <w:p w14:paraId="5308B0CD">
            <w:pPr>
              <w:spacing w:before="179" w:line="216" w:lineRule="auto"/>
              <w:ind w:left="2571"/>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41"/>
                <w:sz w:val="20"/>
                <w:szCs w:val="20"/>
              </w:rPr>
              <w:t xml:space="preserve"> </w:t>
            </w:r>
            <w:r>
              <w:rPr>
                <w:rFonts w:ascii="Times New Roman" w:hAnsi="Times New Roman" w:eastAsia="Times New Roman" w:cs="Times New Roman"/>
                <w:b/>
                <w:bCs/>
                <w:spacing w:val="6"/>
                <w:sz w:val="20"/>
                <w:szCs w:val="20"/>
              </w:rPr>
              <w:t xml:space="preserve">2-9    </w:t>
            </w:r>
            <w:r>
              <w:rPr>
                <w:rFonts w:ascii="宋体" w:hAnsi="宋体" w:eastAsia="宋体" w:cs="宋体"/>
                <w:b/>
                <w:bCs/>
                <w:spacing w:val="6"/>
                <w:sz w:val="20"/>
                <w:szCs w:val="20"/>
              </w:rPr>
              <w:t>现有项目主要原辅材料及燃料</w:t>
            </w:r>
          </w:p>
        </w:tc>
      </w:tr>
      <w:tr w14:paraId="2CAA6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269DD983">
            <w:pPr>
              <w:rPr>
                <w:rFonts w:ascii="Arial"/>
                <w:sz w:val="21"/>
              </w:rPr>
            </w:pPr>
          </w:p>
        </w:tc>
        <w:tc>
          <w:tcPr>
            <w:tcW w:w="113" w:type="dxa"/>
            <w:tcBorders>
              <w:top w:val="nil"/>
              <w:bottom w:val="nil"/>
            </w:tcBorders>
            <w:vAlign w:val="top"/>
          </w:tcPr>
          <w:p w14:paraId="7B564F08">
            <w:pPr>
              <w:rPr>
                <w:rFonts w:ascii="Arial"/>
                <w:sz w:val="21"/>
              </w:rPr>
            </w:pPr>
          </w:p>
        </w:tc>
        <w:tc>
          <w:tcPr>
            <w:tcW w:w="895" w:type="dxa"/>
            <w:vAlign w:val="top"/>
          </w:tcPr>
          <w:p w14:paraId="77D5497D">
            <w:pPr>
              <w:spacing w:before="30" w:line="228" w:lineRule="auto"/>
              <w:ind w:left="133"/>
              <w:rPr>
                <w:rFonts w:ascii="宋体" w:hAnsi="宋体" w:eastAsia="宋体" w:cs="宋体"/>
                <w:sz w:val="20"/>
                <w:szCs w:val="20"/>
              </w:rPr>
            </w:pPr>
            <w:r>
              <w:rPr>
                <w:rFonts w:ascii="宋体" w:hAnsi="宋体" w:eastAsia="宋体" w:cs="宋体"/>
                <w:b/>
                <w:bCs/>
                <w:spacing w:val="5"/>
                <w:sz w:val="20"/>
                <w:szCs w:val="20"/>
              </w:rPr>
              <w:t>生产线</w:t>
            </w:r>
          </w:p>
        </w:tc>
        <w:tc>
          <w:tcPr>
            <w:tcW w:w="2205" w:type="dxa"/>
            <w:vAlign w:val="top"/>
          </w:tcPr>
          <w:p w14:paraId="67E3C50F">
            <w:pPr>
              <w:spacing w:before="31" w:line="228" w:lineRule="auto"/>
              <w:ind w:left="686"/>
              <w:rPr>
                <w:rFonts w:ascii="宋体" w:hAnsi="宋体" w:eastAsia="宋体" w:cs="宋体"/>
                <w:sz w:val="20"/>
                <w:szCs w:val="20"/>
              </w:rPr>
            </w:pPr>
            <w:r>
              <w:rPr>
                <w:rFonts w:ascii="宋体" w:hAnsi="宋体" w:eastAsia="宋体" w:cs="宋体"/>
                <w:b/>
                <w:bCs/>
                <w:spacing w:val="5"/>
                <w:sz w:val="20"/>
                <w:szCs w:val="20"/>
              </w:rPr>
              <w:t>原料名称</w:t>
            </w:r>
          </w:p>
        </w:tc>
        <w:tc>
          <w:tcPr>
            <w:tcW w:w="1608" w:type="dxa"/>
            <w:vAlign w:val="top"/>
          </w:tcPr>
          <w:p w14:paraId="2A269064">
            <w:pPr>
              <w:spacing w:before="31" w:line="228" w:lineRule="auto"/>
              <w:ind w:left="599"/>
              <w:rPr>
                <w:rFonts w:ascii="宋体" w:hAnsi="宋体" w:eastAsia="宋体" w:cs="宋体"/>
                <w:sz w:val="20"/>
                <w:szCs w:val="20"/>
              </w:rPr>
            </w:pPr>
            <w:r>
              <w:rPr>
                <w:rFonts w:ascii="宋体" w:hAnsi="宋体" w:eastAsia="宋体" w:cs="宋体"/>
                <w:b/>
                <w:bCs/>
                <w:spacing w:val="3"/>
                <w:sz w:val="20"/>
                <w:szCs w:val="20"/>
              </w:rPr>
              <w:t>单位</w:t>
            </w:r>
          </w:p>
        </w:tc>
        <w:tc>
          <w:tcPr>
            <w:tcW w:w="2074" w:type="dxa"/>
            <w:vAlign w:val="top"/>
          </w:tcPr>
          <w:p w14:paraId="3A921709">
            <w:pPr>
              <w:spacing w:before="31" w:line="229" w:lineRule="auto"/>
              <w:ind w:left="835"/>
              <w:rPr>
                <w:rFonts w:ascii="宋体" w:hAnsi="宋体" w:eastAsia="宋体" w:cs="宋体"/>
                <w:sz w:val="20"/>
                <w:szCs w:val="20"/>
              </w:rPr>
            </w:pPr>
            <w:r>
              <w:rPr>
                <w:rFonts w:ascii="宋体" w:hAnsi="宋体" w:eastAsia="宋体" w:cs="宋体"/>
                <w:b/>
                <w:bCs/>
                <w:spacing w:val="3"/>
                <w:sz w:val="20"/>
                <w:szCs w:val="20"/>
              </w:rPr>
              <w:t>用量</w:t>
            </w:r>
          </w:p>
        </w:tc>
        <w:tc>
          <w:tcPr>
            <w:tcW w:w="1616" w:type="dxa"/>
            <w:vAlign w:val="top"/>
          </w:tcPr>
          <w:p w14:paraId="283947D1">
            <w:pPr>
              <w:spacing w:before="31" w:line="229" w:lineRule="auto"/>
              <w:ind w:left="609"/>
              <w:rPr>
                <w:rFonts w:ascii="宋体" w:hAnsi="宋体" w:eastAsia="宋体" w:cs="宋体"/>
                <w:sz w:val="20"/>
                <w:szCs w:val="20"/>
              </w:rPr>
            </w:pPr>
            <w:r>
              <w:rPr>
                <w:rFonts w:ascii="宋体" w:hAnsi="宋体" w:eastAsia="宋体" w:cs="宋体"/>
                <w:b/>
                <w:bCs/>
                <w:spacing w:val="2"/>
                <w:sz w:val="20"/>
                <w:szCs w:val="20"/>
              </w:rPr>
              <w:t>备注</w:t>
            </w:r>
          </w:p>
        </w:tc>
        <w:tc>
          <w:tcPr>
            <w:tcW w:w="125" w:type="dxa"/>
            <w:tcBorders>
              <w:top w:val="nil"/>
              <w:bottom w:val="nil"/>
              <w:right w:val="single" w:color="000000" w:sz="6" w:space="0"/>
            </w:tcBorders>
            <w:vAlign w:val="top"/>
          </w:tcPr>
          <w:p w14:paraId="3991AC81">
            <w:pPr>
              <w:rPr>
                <w:rFonts w:ascii="Arial"/>
                <w:sz w:val="21"/>
              </w:rPr>
            </w:pPr>
          </w:p>
        </w:tc>
      </w:tr>
      <w:tr w14:paraId="2A21A3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428" w:type="dxa"/>
            <w:vMerge w:val="continue"/>
            <w:tcBorders>
              <w:top w:val="nil"/>
              <w:left w:val="single" w:color="000000" w:sz="6" w:space="0"/>
              <w:bottom w:val="nil"/>
            </w:tcBorders>
            <w:vAlign w:val="top"/>
          </w:tcPr>
          <w:p w14:paraId="74A04567">
            <w:pPr>
              <w:rPr>
                <w:rFonts w:ascii="Arial"/>
                <w:sz w:val="21"/>
              </w:rPr>
            </w:pPr>
          </w:p>
        </w:tc>
        <w:tc>
          <w:tcPr>
            <w:tcW w:w="113" w:type="dxa"/>
            <w:tcBorders>
              <w:top w:val="nil"/>
              <w:bottom w:val="nil"/>
            </w:tcBorders>
            <w:vAlign w:val="top"/>
          </w:tcPr>
          <w:p w14:paraId="620381AD">
            <w:pPr>
              <w:rPr>
                <w:rFonts w:ascii="Arial"/>
                <w:sz w:val="21"/>
              </w:rPr>
            </w:pPr>
          </w:p>
        </w:tc>
        <w:tc>
          <w:tcPr>
            <w:tcW w:w="895" w:type="dxa"/>
            <w:vMerge w:val="restart"/>
            <w:tcBorders>
              <w:bottom w:val="nil"/>
            </w:tcBorders>
            <w:vAlign w:val="top"/>
          </w:tcPr>
          <w:p w14:paraId="40ACE13C">
            <w:pPr>
              <w:spacing w:line="388" w:lineRule="auto"/>
              <w:rPr>
                <w:rFonts w:ascii="Arial"/>
                <w:sz w:val="21"/>
              </w:rPr>
            </w:pPr>
          </w:p>
          <w:p w14:paraId="11035C9C">
            <w:pPr>
              <w:spacing w:before="65" w:line="378" w:lineRule="auto"/>
              <w:ind w:left="133" w:right="137"/>
              <w:rPr>
                <w:rFonts w:ascii="宋体" w:hAnsi="宋体" w:eastAsia="宋体" w:cs="宋体"/>
                <w:sz w:val="20"/>
                <w:szCs w:val="20"/>
              </w:rPr>
            </w:pPr>
            <w:r>
              <w:rPr>
                <w:rFonts w:ascii="宋体" w:hAnsi="宋体" w:eastAsia="宋体" w:cs="宋体"/>
                <w:spacing w:val="6"/>
                <w:sz w:val="20"/>
                <w:szCs w:val="20"/>
              </w:rPr>
              <w:t>生态板生产线</w:t>
            </w:r>
          </w:p>
        </w:tc>
        <w:tc>
          <w:tcPr>
            <w:tcW w:w="2205" w:type="dxa"/>
            <w:vAlign w:val="top"/>
          </w:tcPr>
          <w:p w14:paraId="5EB48D4C">
            <w:pPr>
              <w:spacing w:before="33" w:line="227" w:lineRule="auto"/>
              <w:ind w:left="685"/>
              <w:rPr>
                <w:rFonts w:ascii="宋体" w:hAnsi="宋体" w:eastAsia="宋体" w:cs="宋体"/>
                <w:sz w:val="20"/>
                <w:szCs w:val="20"/>
              </w:rPr>
            </w:pPr>
            <w:r>
              <w:rPr>
                <w:rFonts w:ascii="宋体" w:hAnsi="宋体" w:eastAsia="宋体" w:cs="宋体"/>
                <w:spacing w:val="6"/>
                <w:sz w:val="20"/>
                <w:szCs w:val="20"/>
              </w:rPr>
              <w:t>生态板芯</w:t>
            </w:r>
          </w:p>
        </w:tc>
        <w:tc>
          <w:tcPr>
            <w:tcW w:w="1608" w:type="dxa"/>
            <w:vAlign w:val="top"/>
          </w:tcPr>
          <w:p w14:paraId="271CAE5E">
            <w:pPr>
              <w:spacing w:before="72" w:line="199" w:lineRule="auto"/>
              <w:ind w:left="61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m³/a</w:t>
            </w:r>
          </w:p>
        </w:tc>
        <w:tc>
          <w:tcPr>
            <w:tcW w:w="2074" w:type="dxa"/>
            <w:vAlign w:val="top"/>
          </w:tcPr>
          <w:p w14:paraId="0F162AC5">
            <w:pPr>
              <w:spacing w:before="76" w:line="195" w:lineRule="auto"/>
              <w:ind w:left="78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31000</w:t>
            </w:r>
          </w:p>
        </w:tc>
        <w:tc>
          <w:tcPr>
            <w:tcW w:w="1616" w:type="dxa"/>
            <w:vAlign w:val="top"/>
          </w:tcPr>
          <w:p w14:paraId="5DC5FB03">
            <w:pPr>
              <w:rPr>
                <w:rFonts w:ascii="Arial"/>
                <w:sz w:val="21"/>
              </w:rPr>
            </w:pPr>
          </w:p>
        </w:tc>
        <w:tc>
          <w:tcPr>
            <w:tcW w:w="125" w:type="dxa"/>
            <w:tcBorders>
              <w:top w:val="nil"/>
              <w:bottom w:val="nil"/>
              <w:right w:val="single" w:color="000000" w:sz="6" w:space="0"/>
            </w:tcBorders>
            <w:vAlign w:val="top"/>
          </w:tcPr>
          <w:p w14:paraId="0717BCB1">
            <w:pPr>
              <w:rPr>
                <w:rFonts w:ascii="Arial"/>
                <w:sz w:val="21"/>
              </w:rPr>
            </w:pPr>
          </w:p>
        </w:tc>
      </w:tr>
      <w:tr w14:paraId="179BD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4A24F505">
            <w:pPr>
              <w:rPr>
                <w:rFonts w:ascii="Arial"/>
                <w:sz w:val="21"/>
              </w:rPr>
            </w:pPr>
          </w:p>
        </w:tc>
        <w:tc>
          <w:tcPr>
            <w:tcW w:w="113" w:type="dxa"/>
            <w:tcBorders>
              <w:top w:val="nil"/>
              <w:bottom w:val="nil"/>
            </w:tcBorders>
            <w:vAlign w:val="top"/>
          </w:tcPr>
          <w:p w14:paraId="6E15E26F">
            <w:pPr>
              <w:rPr>
                <w:rFonts w:ascii="Arial"/>
                <w:sz w:val="21"/>
              </w:rPr>
            </w:pPr>
          </w:p>
        </w:tc>
        <w:tc>
          <w:tcPr>
            <w:tcW w:w="895" w:type="dxa"/>
            <w:vMerge w:val="continue"/>
            <w:tcBorders>
              <w:top w:val="nil"/>
              <w:bottom w:val="nil"/>
            </w:tcBorders>
            <w:vAlign w:val="top"/>
          </w:tcPr>
          <w:p w14:paraId="7D0861FB">
            <w:pPr>
              <w:rPr>
                <w:rFonts w:ascii="Arial"/>
                <w:sz w:val="21"/>
              </w:rPr>
            </w:pPr>
          </w:p>
        </w:tc>
        <w:tc>
          <w:tcPr>
            <w:tcW w:w="2205" w:type="dxa"/>
            <w:vAlign w:val="top"/>
          </w:tcPr>
          <w:p w14:paraId="51842234">
            <w:pPr>
              <w:spacing w:before="36" w:line="228" w:lineRule="auto"/>
              <w:ind w:left="369"/>
              <w:rPr>
                <w:rFonts w:ascii="宋体" w:hAnsi="宋体" w:eastAsia="宋体" w:cs="宋体"/>
                <w:sz w:val="20"/>
                <w:szCs w:val="20"/>
              </w:rPr>
            </w:pPr>
            <w:r>
              <w:rPr>
                <w:rFonts w:ascii="宋体" w:hAnsi="宋体" w:eastAsia="宋体" w:cs="宋体"/>
                <w:spacing w:val="8"/>
                <w:sz w:val="20"/>
                <w:szCs w:val="20"/>
              </w:rPr>
              <w:t>三聚氰胺浸渍纸</w:t>
            </w:r>
          </w:p>
        </w:tc>
        <w:tc>
          <w:tcPr>
            <w:tcW w:w="1608" w:type="dxa"/>
            <w:vAlign w:val="top"/>
          </w:tcPr>
          <w:p w14:paraId="65FB6CC3">
            <w:pPr>
              <w:spacing w:before="36" w:line="230" w:lineRule="auto"/>
              <w:ind w:left="631"/>
              <w:rPr>
                <w:rFonts w:ascii="Times New Roman" w:hAnsi="Times New Roman" w:eastAsia="Times New Roman" w:cs="Times New Roman"/>
                <w:sz w:val="20"/>
                <w:szCs w:val="20"/>
              </w:rPr>
            </w:pPr>
            <w:r>
              <w:rPr>
                <w:rFonts w:ascii="宋体" w:hAnsi="宋体" w:eastAsia="宋体" w:cs="宋体"/>
                <w:spacing w:val="1"/>
                <w:sz w:val="20"/>
                <w:szCs w:val="20"/>
              </w:rPr>
              <w:t>张</w:t>
            </w:r>
            <w:r>
              <w:rPr>
                <w:rFonts w:ascii="Times New Roman" w:hAnsi="Times New Roman" w:eastAsia="Times New Roman" w:cs="Times New Roman"/>
                <w:spacing w:val="1"/>
                <w:sz w:val="20"/>
                <w:szCs w:val="20"/>
              </w:rPr>
              <w:t>/a</w:t>
            </w:r>
          </w:p>
        </w:tc>
        <w:tc>
          <w:tcPr>
            <w:tcW w:w="2074" w:type="dxa"/>
            <w:vAlign w:val="top"/>
          </w:tcPr>
          <w:p w14:paraId="77A850D3">
            <w:pPr>
              <w:spacing w:before="79" w:line="195" w:lineRule="auto"/>
              <w:ind w:left="78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60600</w:t>
            </w:r>
          </w:p>
        </w:tc>
        <w:tc>
          <w:tcPr>
            <w:tcW w:w="1616" w:type="dxa"/>
            <w:vAlign w:val="top"/>
          </w:tcPr>
          <w:p w14:paraId="4813DC59">
            <w:pPr>
              <w:rPr>
                <w:rFonts w:ascii="Arial"/>
                <w:sz w:val="21"/>
              </w:rPr>
            </w:pPr>
          </w:p>
        </w:tc>
        <w:tc>
          <w:tcPr>
            <w:tcW w:w="125" w:type="dxa"/>
            <w:tcBorders>
              <w:top w:val="nil"/>
              <w:bottom w:val="nil"/>
              <w:right w:val="single" w:color="000000" w:sz="6" w:space="0"/>
            </w:tcBorders>
            <w:vAlign w:val="top"/>
          </w:tcPr>
          <w:p w14:paraId="4292A116">
            <w:pPr>
              <w:rPr>
                <w:rFonts w:ascii="Arial"/>
                <w:sz w:val="21"/>
              </w:rPr>
            </w:pPr>
          </w:p>
        </w:tc>
      </w:tr>
      <w:tr w14:paraId="06CD4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428" w:type="dxa"/>
            <w:vMerge w:val="continue"/>
            <w:tcBorders>
              <w:top w:val="nil"/>
              <w:left w:val="single" w:color="000000" w:sz="6" w:space="0"/>
              <w:bottom w:val="nil"/>
            </w:tcBorders>
            <w:vAlign w:val="top"/>
          </w:tcPr>
          <w:p w14:paraId="629DCC21">
            <w:pPr>
              <w:rPr>
                <w:rFonts w:ascii="Arial"/>
                <w:sz w:val="21"/>
              </w:rPr>
            </w:pPr>
          </w:p>
        </w:tc>
        <w:tc>
          <w:tcPr>
            <w:tcW w:w="113" w:type="dxa"/>
            <w:tcBorders>
              <w:top w:val="nil"/>
              <w:bottom w:val="nil"/>
            </w:tcBorders>
            <w:vAlign w:val="top"/>
          </w:tcPr>
          <w:p w14:paraId="378012EA">
            <w:pPr>
              <w:rPr>
                <w:rFonts w:ascii="Arial"/>
                <w:sz w:val="21"/>
              </w:rPr>
            </w:pPr>
          </w:p>
        </w:tc>
        <w:tc>
          <w:tcPr>
            <w:tcW w:w="895" w:type="dxa"/>
            <w:vMerge w:val="continue"/>
            <w:tcBorders>
              <w:top w:val="nil"/>
              <w:bottom w:val="nil"/>
            </w:tcBorders>
            <w:vAlign w:val="top"/>
          </w:tcPr>
          <w:p w14:paraId="5C1995C6">
            <w:pPr>
              <w:rPr>
                <w:rFonts w:ascii="Arial"/>
                <w:sz w:val="21"/>
              </w:rPr>
            </w:pPr>
          </w:p>
        </w:tc>
        <w:tc>
          <w:tcPr>
            <w:tcW w:w="2205" w:type="dxa"/>
            <w:vAlign w:val="top"/>
          </w:tcPr>
          <w:p w14:paraId="0BDDE654">
            <w:pPr>
              <w:spacing w:before="36" w:line="228" w:lineRule="auto"/>
              <w:ind w:left="788"/>
              <w:rPr>
                <w:rFonts w:ascii="宋体" w:hAnsi="宋体" w:eastAsia="宋体" w:cs="宋体"/>
                <w:sz w:val="20"/>
                <w:szCs w:val="20"/>
              </w:rPr>
            </w:pPr>
            <w:r>
              <w:rPr>
                <w:rFonts w:ascii="宋体" w:hAnsi="宋体" w:eastAsia="宋体" w:cs="宋体"/>
                <w:spacing w:val="7"/>
                <w:sz w:val="20"/>
                <w:szCs w:val="20"/>
              </w:rPr>
              <w:t>腻子粉</w:t>
            </w:r>
          </w:p>
        </w:tc>
        <w:tc>
          <w:tcPr>
            <w:tcW w:w="1608" w:type="dxa"/>
            <w:vAlign w:val="top"/>
          </w:tcPr>
          <w:p w14:paraId="5B88A028">
            <w:pPr>
              <w:spacing w:before="75" w:line="199" w:lineRule="auto"/>
              <w:ind w:left="6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t/a</w:t>
            </w:r>
          </w:p>
        </w:tc>
        <w:tc>
          <w:tcPr>
            <w:tcW w:w="2074" w:type="dxa"/>
            <w:vAlign w:val="top"/>
          </w:tcPr>
          <w:p w14:paraId="15559BD6">
            <w:pPr>
              <w:spacing w:before="79" w:line="195" w:lineRule="auto"/>
              <w:ind w:left="8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42.3</w:t>
            </w:r>
          </w:p>
        </w:tc>
        <w:tc>
          <w:tcPr>
            <w:tcW w:w="1616" w:type="dxa"/>
            <w:vAlign w:val="top"/>
          </w:tcPr>
          <w:p w14:paraId="42DDA12B">
            <w:pPr>
              <w:rPr>
                <w:rFonts w:ascii="Arial"/>
                <w:sz w:val="21"/>
              </w:rPr>
            </w:pPr>
          </w:p>
        </w:tc>
        <w:tc>
          <w:tcPr>
            <w:tcW w:w="125" w:type="dxa"/>
            <w:tcBorders>
              <w:top w:val="nil"/>
              <w:bottom w:val="nil"/>
              <w:right w:val="single" w:color="000000" w:sz="6" w:space="0"/>
            </w:tcBorders>
            <w:vAlign w:val="top"/>
          </w:tcPr>
          <w:p w14:paraId="2D0109CA">
            <w:pPr>
              <w:rPr>
                <w:rFonts w:ascii="Arial"/>
                <w:sz w:val="21"/>
              </w:rPr>
            </w:pPr>
          </w:p>
        </w:tc>
      </w:tr>
      <w:tr w14:paraId="68B14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428" w:type="dxa"/>
            <w:vMerge w:val="continue"/>
            <w:tcBorders>
              <w:top w:val="nil"/>
              <w:left w:val="single" w:color="000000" w:sz="6" w:space="0"/>
              <w:bottom w:val="nil"/>
            </w:tcBorders>
            <w:vAlign w:val="top"/>
          </w:tcPr>
          <w:p w14:paraId="5ECA1DC6">
            <w:pPr>
              <w:rPr>
                <w:rFonts w:ascii="Arial"/>
                <w:sz w:val="21"/>
              </w:rPr>
            </w:pPr>
          </w:p>
        </w:tc>
        <w:tc>
          <w:tcPr>
            <w:tcW w:w="113" w:type="dxa"/>
            <w:tcBorders>
              <w:top w:val="nil"/>
              <w:bottom w:val="nil"/>
            </w:tcBorders>
            <w:vAlign w:val="top"/>
          </w:tcPr>
          <w:p w14:paraId="3CE32F7B">
            <w:pPr>
              <w:rPr>
                <w:rFonts w:ascii="Arial"/>
                <w:sz w:val="21"/>
              </w:rPr>
            </w:pPr>
          </w:p>
        </w:tc>
        <w:tc>
          <w:tcPr>
            <w:tcW w:w="895" w:type="dxa"/>
            <w:vMerge w:val="continue"/>
            <w:tcBorders>
              <w:top w:val="nil"/>
            </w:tcBorders>
            <w:vAlign w:val="top"/>
          </w:tcPr>
          <w:p w14:paraId="78EF9657">
            <w:pPr>
              <w:rPr>
                <w:rFonts w:ascii="Arial"/>
                <w:sz w:val="21"/>
              </w:rPr>
            </w:pPr>
          </w:p>
        </w:tc>
        <w:tc>
          <w:tcPr>
            <w:tcW w:w="2205" w:type="dxa"/>
            <w:vAlign w:val="top"/>
          </w:tcPr>
          <w:p w14:paraId="270DBC9A">
            <w:pPr>
              <w:spacing w:before="39" w:line="228" w:lineRule="auto"/>
              <w:ind w:left="819"/>
              <w:rPr>
                <w:rFonts w:ascii="宋体" w:hAnsi="宋体" w:eastAsia="宋体" w:cs="宋体"/>
                <w:sz w:val="20"/>
                <w:szCs w:val="20"/>
              </w:rPr>
            </w:pPr>
            <w:r>
              <w:rPr>
                <w:rFonts w:ascii="宋体" w:hAnsi="宋体" w:eastAsia="宋体" w:cs="宋体"/>
                <w:spacing w:val="-4"/>
                <w:sz w:val="20"/>
                <w:szCs w:val="20"/>
              </w:rPr>
              <w:t>白乳胶</w:t>
            </w:r>
          </w:p>
        </w:tc>
        <w:tc>
          <w:tcPr>
            <w:tcW w:w="1608" w:type="dxa"/>
            <w:vAlign w:val="top"/>
          </w:tcPr>
          <w:p w14:paraId="7B584ADE">
            <w:pPr>
              <w:spacing w:before="78" w:line="199" w:lineRule="auto"/>
              <w:ind w:left="6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t/a</w:t>
            </w:r>
          </w:p>
        </w:tc>
        <w:tc>
          <w:tcPr>
            <w:tcW w:w="2074" w:type="dxa"/>
            <w:vAlign w:val="top"/>
          </w:tcPr>
          <w:p w14:paraId="638CDFC0">
            <w:pPr>
              <w:spacing w:before="82" w:line="195" w:lineRule="auto"/>
              <w:ind w:left="95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616" w:type="dxa"/>
            <w:vAlign w:val="top"/>
          </w:tcPr>
          <w:p w14:paraId="30084C56">
            <w:pPr>
              <w:rPr>
                <w:rFonts w:ascii="Arial"/>
                <w:sz w:val="21"/>
              </w:rPr>
            </w:pPr>
          </w:p>
        </w:tc>
        <w:tc>
          <w:tcPr>
            <w:tcW w:w="125" w:type="dxa"/>
            <w:tcBorders>
              <w:top w:val="nil"/>
              <w:bottom w:val="nil"/>
              <w:right w:val="single" w:color="000000" w:sz="6" w:space="0"/>
            </w:tcBorders>
            <w:vAlign w:val="top"/>
          </w:tcPr>
          <w:p w14:paraId="57A5C127">
            <w:pPr>
              <w:rPr>
                <w:rFonts w:ascii="Arial"/>
                <w:sz w:val="21"/>
              </w:rPr>
            </w:pPr>
          </w:p>
        </w:tc>
      </w:tr>
      <w:tr w14:paraId="76539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8" w:type="dxa"/>
            <w:vMerge w:val="continue"/>
            <w:tcBorders>
              <w:top w:val="nil"/>
              <w:left w:val="single" w:color="000000" w:sz="6" w:space="0"/>
              <w:bottom w:val="nil"/>
            </w:tcBorders>
            <w:vAlign w:val="top"/>
          </w:tcPr>
          <w:p w14:paraId="34A6B076">
            <w:pPr>
              <w:rPr>
                <w:rFonts w:ascii="Arial"/>
                <w:sz w:val="21"/>
              </w:rPr>
            </w:pPr>
          </w:p>
        </w:tc>
        <w:tc>
          <w:tcPr>
            <w:tcW w:w="113" w:type="dxa"/>
            <w:tcBorders>
              <w:top w:val="nil"/>
              <w:bottom w:val="nil"/>
            </w:tcBorders>
            <w:vAlign w:val="top"/>
          </w:tcPr>
          <w:p w14:paraId="78B9F950">
            <w:pPr>
              <w:rPr>
                <w:rFonts w:ascii="Arial"/>
                <w:sz w:val="21"/>
              </w:rPr>
            </w:pPr>
          </w:p>
        </w:tc>
        <w:tc>
          <w:tcPr>
            <w:tcW w:w="895" w:type="dxa"/>
            <w:vMerge w:val="restart"/>
            <w:tcBorders>
              <w:bottom w:val="nil"/>
            </w:tcBorders>
            <w:vAlign w:val="top"/>
          </w:tcPr>
          <w:p w14:paraId="6067BF28">
            <w:pPr>
              <w:spacing w:before="247" w:line="378" w:lineRule="auto"/>
              <w:ind w:left="132" w:right="137" w:hanging="1"/>
              <w:rPr>
                <w:rFonts w:ascii="宋体" w:hAnsi="宋体" w:eastAsia="宋体" w:cs="宋体"/>
                <w:sz w:val="20"/>
                <w:szCs w:val="20"/>
              </w:rPr>
            </w:pPr>
            <w:r>
              <w:rPr>
                <w:rFonts w:ascii="宋体" w:hAnsi="宋体" w:eastAsia="宋体" w:cs="宋体"/>
                <w:spacing w:val="6"/>
                <w:sz w:val="20"/>
                <w:szCs w:val="20"/>
              </w:rPr>
              <w:t>浸渍纸生产线</w:t>
            </w:r>
          </w:p>
        </w:tc>
        <w:tc>
          <w:tcPr>
            <w:tcW w:w="2205" w:type="dxa"/>
            <w:vAlign w:val="top"/>
          </w:tcPr>
          <w:p w14:paraId="25E2CB6A">
            <w:pPr>
              <w:spacing w:before="34" w:line="232" w:lineRule="auto"/>
              <w:ind w:left="897"/>
              <w:rPr>
                <w:rFonts w:ascii="宋体" w:hAnsi="宋体" w:eastAsia="宋体" w:cs="宋体"/>
                <w:sz w:val="20"/>
                <w:szCs w:val="20"/>
              </w:rPr>
            </w:pPr>
            <w:r>
              <w:rPr>
                <w:rFonts w:ascii="宋体" w:hAnsi="宋体" w:eastAsia="宋体" w:cs="宋体"/>
                <w:spacing w:val="2"/>
                <w:sz w:val="20"/>
                <w:szCs w:val="20"/>
              </w:rPr>
              <w:t>原纸</w:t>
            </w:r>
          </w:p>
        </w:tc>
        <w:tc>
          <w:tcPr>
            <w:tcW w:w="1608" w:type="dxa"/>
            <w:vAlign w:val="top"/>
          </w:tcPr>
          <w:p w14:paraId="6DFAE5BF">
            <w:pPr>
              <w:spacing w:before="73" w:line="199" w:lineRule="auto"/>
              <w:ind w:left="6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t/a</w:t>
            </w:r>
          </w:p>
        </w:tc>
        <w:tc>
          <w:tcPr>
            <w:tcW w:w="2074" w:type="dxa"/>
            <w:vAlign w:val="top"/>
          </w:tcPr>
          <w:p w14:paraId="69C6E987">
            <w:pPr>
              <w:spacing w:before="77" w:line="195" w:lineRule="auto"/>
              <w:ind w:left="88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w:t>
            </w:r>
          </w:p>
        </w:tc>
        <w:tc>
          <w:tcPr>
            <w:tcW w:w="1616" w:type="dxa"/>
            <w:vAlign w:val="top"/>
          </w:tcPr>
          <w:p w14:paraId="779E626B">
            <w:pPr>
              <w:rPr>
                <w:rFonts w:ascii="Arial"/>
                <w:sz w:val="21"/>
              </w:rPr>
            </w:pPr>
          </w:p>
        </w:tc>
        <w:tc>
          <w:tcPr>
            <w:tcW w:w="125" w:type="dxa"/>
            <w:tcBorders>
              <w:top w:val="nil"/>
              <w:bottom w:val="nil"/>
              <w:right w:val="single" w:color="000000" w:sz="6" w:space="0"/>
            </w:tcBorders>
            <w:vAlign w:val="top"/>
          </w:tcPr>
          <w:p w14:paraId="6E185A7B">
            <w:pPr>
              <w:rPr>
                <w:rFonts w:ascii="Arial"/>
                <w:sz w:val="21"/>
              </w:rPr>
            </w:pPr>
          </w:p>
        </w:tc>
      </w:tr>
      <w:tr w14:paraId="409F9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0E4F1C35">
            <w:pPr>
              <w:rPr>
                <w:rFonts w:ascii="Arial"/>
                <w:sz w:val="21"/>
              </w:rPr>
            </w:pPr>
          </w:p>
        </w:tc>
        <w:tc>
          <w:tcPr>
            <w:tcW w:w="113" w:type="dxa"/>
            <w:tcBorders>
              <w:top w:val="nil"/>
              <w:bottom w:val="nil"/>
            </w:tcBorders>
            <w:vAlign w:val="top"/>
          </w:tcPr>
          <w:p w14:paraId="11897144">
            <w:pPr>
              <w:rPr>
                <w:rFonts w:ascii="Arial"/>
                <w:sz w:val="21"/>
              </w:rPr>
            </w:pPr>
          </w:p>
        </w:tc>
        <w:tc>
          <w:tcPr>
            <w:tcW w:w="895" w:type="dxa"/>
            <w:vMerge w:val="continue"/>
            <w:tcBorders>
              <w:top w:val="nil"/>
              <w:bottom w:val="nil"/>
            </w:tcBorders>
            <w:vAlign w:val="top"/>
          </w:tcPr>
          <w:p w14:paraId="3B051CE9">
            <w:pPr>
              <w:rPr>
                <w:rFonts w:ascii="Arial"/>
                <w:sz w:val="21"/>
              </w:rPr>
            </w:pPr>
          </w:p>
        </w:tc>
        <w:tc>
          <w:tcPr>
            <w:tcW w:w="2205" w:type="dxa"/>
            <w:vAlign w:val="top"/>
          </w:tcPr>
          <w:p w14:paraId="0C5FE311">
            <w:pPr>
              <w:spacing w:before="40" w:line="228" w:lineRule="auto"/>
              <w:ind w:left="158"/>
              <w:rPr>
                <w:rFonts w:ascii="宋体" w:hAnsi="宋体" w:eastAsia="宋体" w:cs="宋体"/>
                <w:sz w:val="20"/>
                <w:szCs w:val="20"/>
              </w:rPr>
            </w:pPr>
            <w:r>
              <w:rPr>
                <w:rFonts w:ascii="宋体" w:hAnsi="宋体" w:eastAsia="宋体" w:cs="宋体"/>
                <w:spacing w:val="8"/>
                <w:sz w:val="20"/>
                <w:szCs w:val="20"/>
              </w:rPr>
              <w:t>三聚氰胺甲醛树脂胶</w:t>
            </w:r>
          </w:p>
        </w:tc>
        <w:tc>
          <w:tcPr>
            <w:tcW w:w="1608" w:type="dxa"/>
            <w:vAlign w:val="top"/>
          </w:tcPr>
          <w:p w14:paraId="5931C909">
            <w:pPr>
              <w:spacing w:before="80" w:line="199" w:lineRule="auto"/>
              <w:ind w:left="6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t/a</w:t>
            </w:r>
          </w:p>
        </w:tc>
        <w:tc>
          <w:tcPr>
            <w:tcW w:w="2074" w:type="dxa"/>
            <w:vAlign w:val="top"/>
          </w:tcPr>
          <w:p w14:paraId="38EB114E">
            <w:pPr>
              <w:spacing w:before="84" w:line="195" w:lineRule="auto"/>
              <w:ind w:left="94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w:t>
            </w:r>
          </w:p>
        </w:tc>
        <w:tc>
          <w:tcPr>
            <w:tcW w:w="1616" w:type="dxa"/>
            <w:vAlign w:val="top"/>
          </w:tcPr>
          <w:p w14:paraId="77083C5E">
            <w:pPr>
              <w:rPr>
                <w:rFonts w:ascii="Arial"/>
                <w:sz w:val="21"/>
              </w:rPr>
            </w:pPr>
          </w:p>
        </w:tc>
        <w:tc>
          <w:tcPr>
            <w:tcW w:w="125" w:type="dxa"/>
            <w:tcBorders>
              <w:top w:val="nil"/>
              <w:bottom w:val="nil"/>
              <w:right w:val="single" w:color="000000" w:sz="6" w:space="0"/>
            </w:tcBorders>
            <w:vAlign w:val="top"/>
          </w:tcPr>
          <w:p w14:paraId="11C02529">
            <w:pPr>
              <w:rPr>
                <w:rFonts w:ascii="Arial"/>
                <w:sz w:val="21"/>
              </w:rPr>
            </w:pPr>
          </w:p>
        </w:tc>
      </w:tr>
      <w:tr w14:paraId="6CB47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428" w:type="dxa"/>
            <w:vMerge w:val="continue"/>
            <w:tcBorders>
              <w:top w:val="nil"/>
              <w:left w:val="single" w:color="000000" w:sz="6" w:space="0"/>
              <w:bottom w:val="nil"/>
            </w:tcBorders>
            <w:vAlign w:val="top"/>
          </w:tcPr>
          <w:p w14:paraId="286C40D2">
            <w:pPr>
              <w:rPr>
                <w:rFonts w:ascii="Arial"/>
                <w:sz w:val="21"/>
              </w:rPr>
            </w:pPr>
          </w:p>
        </w:tc>
        <w:tc>
          <w:tcPr>
            <w:tcW w:w="113" w:type="dxa"/>
            <w:tcBorders>
              <w:top w:val="nil"/>
              <w:bottom w:val="nil"/>
            </w:tcBorders>
            <w:vAlign w:val="top"/>
          </w:tcPr>
          <w:p w14:paraId="4A49A333">
            <w:pPr>
              <w:rPr>
                <w:rFonts w:ascii="Arial"/>
                <w:sz w:val="21"/>
              </w:rPr>
            </w:pPr>
          </w:p>
        </w:tc>
        <w:tc>
          <w:tcPr>
            <w:tcW w:w="895" w:type="dxa"/>
            <w:vMerge w:val="continue"/>
            <w:tcBorders>
              <w:top w:val="nil"/>
            </w:tcBorders>
            <w:vAlign w:val="top"/>
          </w:tcPr>
          <w:p w14:paraId="79B4C271">
            <w:pPr>
              <w:rPr>
                <w:rFonts w:ascii="Arial"/>
                <w:sz w:val="21"/>
              </w:rPr>
            </w:pPr>
          </w:p>
        </w:tc>
        <w:tc>
          <w:tcPr>
            <w:tcW w:w="2205" w:type="dxa"/>
            <w:vAlign w:val="top"/>
          </w:tcPr>
          <w:p w14:paraId="3B7A37EE">
            <w:pPr>
              <w:spacing w:before="41" w:line="228" w:lineRule="auto"/>
              <w:ind w:left="793"/>
              <w:rPr>
                <w:rFonts w:ascii="宋体" w:hAnsi="宋体" w:eastAsia="宋体" w:cs="宋体"/>
                <w:sz w:val="20"/>
                <w:szCs w:val="20"/>
              </w:rPr>
            </w:pPr>
            <w:r>
              <w:rPr>
                <w:rFonts w:ascii="宋体" w:hAnsi="宋体" w:eastAsia="宋体" w:cs="宋体"/>
                <w:spacing w:val="5"/>
                <w:sz w:val="20"/>
                <w:szCs w:val="20"/>
              </w:rPr>
              <w:t>天然气</w:t>
            </w:r>
          </w:p>
        </w:tc>
        <w:tc>
          <w:tcPr>
            <w:tcW w:w="1608" w:type="dxa"/>
            <w:vAlign w:val="top"/>
          </w:tcPr>
          <w:p w14:paraId="5E1778C8">
            <w:pPr>
              <w:spacing w:before="41" w:line="228" w:lineRule="auto"/>
              <w:ind w:left="492"/>
              <w:rPr>
                <w:rFonts w:ascii="Times New Roman" w:hAnsi="Times New Roman" w:eastAsia="Times New Roman" w:cs="Times New Roman"/>
                <w:sz w:val="20"/>
                <w:szCs w:val="20"/>
              </w:rPr>
            </w:pPr>
            <w:r>
              <w:rPr>
                <w:rFonts w:ascii="宋体" w:hAnsi="宋体" w:eastAsia="宋体" w:cs="宋体"/>
                <w:spacing w:val="2"/>
                <w:sz w:val="20"/>
                <w:szCs w:val="20"/>
              </w:rPr>
              <w:t>万</w:t>
            </w:r>
            <w:r>
              <w:rPr>
                <w:rFonts w:ascii="宋体" w:hAnsi="宋体" w:eastAsia="宋体" w:cs="宋体"/>
                <w:spacing w:val="-44"/>
                <w:sz w:val="20"/>
                <w:szCs w:val="20"/>
              </w:rPr>
              <w:t xml:space="preserve"> </w:t>
            </w:r>
            <w:r>
              <w:rPr>
                <w:rFonts w:ascii="Times New Roman" w:hAnsi="Times New Roman" w:eastAsia="Times New Roman" w:cs="Times New Roman"/>
                <w:spacing w:val="2"/>
                <w:sz w:val="20"/>
                <w:szCs w:val="20"/>
              </w:rPr>
              <w:t>m³/a</w:t>
            </w:r>
          </w:p>
        </w:tc>
        <w:tc>
          <w:tcPr>
            <w:tcW w:w="2074" w:type="dxa"/>
            <w:vAlign w:val="top"/>
          </w:tcPr>
          <w:p w14:paraId="54A747EB">
            <w:pPr>
              <w:spacing w:before="86" w:line="192" w:lineRule="auto"/>
              <w:ind w:left="993"/>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616" w:type="dxa"/>
            <w:vAlign w:val="top"/>
          </w:tcPr>
          <w:p w14:paraId="6CEBE127">
            <w:pPr>
              <w:rPr>
                <w:rFonts w:ascii="Arial"/>
                <w:sz w:val="21"/>
              </w:rPr>
            </w:pPr>
          </w:p>
        </w:tc>
        <w:tc>
          <w:tcPr>
            <w:tcW w:w="125" w:type="dxa"/>
            <w:tcBorders>
              <w:top w:val="nil"/>
              <w:bottom w:val="nil"/>
              <w:right w:val="single" w:color="000000" w:sz="6" w:space="0"/>
            </w:tcBorders>
            <w:vAlign w:val="top"/>
          </w:tcPr>
          <w:p w14:paraId="1C8B1D72">
            <w:pPr>
              <w:rPr>
                <w:rFonts w:ascii="Arial"/>
                <w:sz w:val="21"/>
              </w:rPr>
            </w:pPr>
          </w:p>
        </w:tc>
      </w:tr>
      <w:tr w14:paraId="4E586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428" w:type="dxa"/>
            <w:vMerge w:val="continue"/>
            <w:tcBorders>
              <w:top w:val="nil"/>
              <w:left w:val="single" w:color="000000" w:sz="6" w:space="0"/>
              <w:bottom w:val="nil"/>
            </w:tcBorders>
            <w:vAlign w:val="top"/>
          </w:tcPr>
          <w:p w14:paraId="2D9A4469">
            <w:pPr>
              <w:rPr>
                <w:rFonts w:ascii="Arial"/>
                <w:sz w:val="21"/>
              </w:rPr>
            </w:pPr>
          </w:p>
        </w:tc>
        <w:tc>
          <w:tcPr>
            <w:tcW w:w="113" w:type="dxa"/>
            <w:tcBorders>
              <w:top w:val="nil"/>
              <w:bottom w:val="nil"/>
            </w:tcBorders>
            <w:vAlign w:val="top"/>
          </w:tcPr>
          <w:p w14:paraId="166660A1">
            <w:pPr>
              <w:rPr>
                <w:rFonts w:ascii="Arial"/>
                <w:sz w:val="21"/>
              </w:rPr>
            </w:pPr>
          </w:p>
        </w:tc>
        <w:tc>
          <w:tcPr>
            <w:tcW w:w="895" w:type="dxa"/>
            <w:vMerge w:val="restart"/>
            <w:tcBorders>
              <w:bottom w:val="nil"/>
            </w:tcBorders>
            <w:vAlign w:val="top"/>
          </w:tcPr>
          <w:p w14:paraId="24B08F26">
            <w:pPr>
              <w:spacing w:line="244" w:lineRule="auto"/>
              <w:rPr>
                <w:rFonts w:ascii="Arial"/>
                <w:sz w:val="21"/>
              </w:rPr>
            </w:pPr>
          </w:p>
          <w:p w14:paraId="0B7F2E9E">
            <w:pPr>
              <w:spacing w:line="244" w:lineRule="auto"/>
              <w:rPr>
                <w:rFonts w:ascii="Arial"/>
                <w:sz w:val="21"/>
              </w:rPr>
            </w:pPr>
          </w:p>
          <w:p w14:paraId="3488C83D">
            <w:pPr>
              <w:spacing w:line="245" w:lineRule="auto"/>
              <w:rPr>
                <w:rFonts w:ascii="Arial"/>
                <w:sz w:val="21"/>
              </w:rPr>
            </w:pPr>
          </w:p>
          <w:p w14:paraId="1A5EAA40">
            <w:pPr>
              <w:spacing w:line="245" w:lineRule="auto"/>
              <w:rPr>
                <w:rFonts w:ascii="Arial"/>
                <w:sz w:val="21"/>
              </w:rPr>
            </w:pPr>
          </w:p>
          <w:p w14:paraId="70ECA58E">
            <w:pPr>
              <w:spacing w:line="245" w:lineRule="auto"/>
              <w:rPr>
                <w:rFonts w:ascii="Arial"/>
                <w:sz w:val="21"/>
              </w:rPr>
            </w:pPr>
          </w:p>
          <w:p w14:paraId="4801BE07">
            <w:pPr>
              <w:spacing w:before="65" w:line="378" w:lineRule="auto"/>
              <w:ind w:left="236" w:right="137" w:hanging="103"/>
              <w:rPr>
                <w:rFonts w:ascii="宋体" w:hAnsi="宋体" w:eastAsia="宋体" w:cs="宋体"/>
                <w:sz w:val="20"/>
                <w:szCs w:val="20"/>
              </w:rPr>
            </w:pPr>
            <w:r>
              <w:rPr>
                <w:rFonts w:ascii="宋体" w:hAnsi="宋体" w:eastAsia="宋体" w:cs="宋体"/>
                <w:spacing w:val="6"/>
                <w:sz w:val="20"/>
                <w:szCs w:val="20"/>
              </w:rPr>
              <w:t>家具生</w:t>
            </w:r>
            <w:r>
              <w:rPr>
                <w:rFonts w:ascii="宋体" w:hAnsi="宋体" w:eastAsia="宋体" w:cs="宋体"/>
                <w:spacing w:val="4"/>
                <w:sz w:val="20"/>
                <w:szCs w:val="20"/>
              </w:rPr>
              <w:t>产线</w:t>
            </w:r>
          </w:p>
        </w:tc>
        <w:tc>
          <w:tcPr>
            <w:tcW w:w="2205" w:type="dxa"/>
            <w:vAlign w:val="top"/>
          </w:tcPr>
          <w:p w14:paraId="6DAE5180">
            <w:pPr>
              <w:spacing w:before="36" w:line="227" w:lineRule="auto"/>
              <w:ind w:left="492"/>
              <w:rPr>
                <w:rFonts w:ascii="宋体" w:hAnsi="宋体" w:eastAsia="宋体" w:cs="宋体"/>
                <w:sz w:val="20"/>
                <w:szCs w:val="20"/>
              </w:rPr>
            </w:pPr>
            <w:r>
              <w:rPr>
                <w:rFonts w:ascii="宋体" w:hAnsi="宋体" w:eastAsia="宋体" w:cs="宋体"/>
                <w:spacing w:val="4"/>
                <w:sz w:val="20"/>
                <w:szCs w:val="20"/>
              </w:rPr>
              <w:t>中密度纤维板</w:t>
            </w:r>
          </w:p>
        </w:tc>
        <w:tc>
          <w:tcPr>
            <w:tcW w:w="1608" w:type="dxa"/>
            <w:vAlign w:val="top"/>
          </w:tcPr>
          <w:p w14:paraId="08FFADE4">
            <w:pPr>
              <w:spacing w:before="35" w:line="228" w:lineRule="auto"/>
              <w:ind w:left="574"/>
              <w:rPr>
                <w:rFonts w:ascii="宋体" w:hAnsi="宋体" w:eastAsia="宋体" w:cs="宋体"/>
                <w:sz w:val="20"/>
                <w:szCs w:val="20"/>
              </w:rPr>
            </w:pPr>
            <w:r>
              <w:rPr>
                <w:rFonts w:ascii="宋体" w:hAnsi="宋体" w:eastAsia="宋体" w:cs="宋体"/>
                <w:spacing w:val="3"/>
                <w:sz w:val="20"/>
                <w:szCs w:val="20"/>
              </w:rPr>
              <w:t>张</w:t>
            </w:r>
            <w:r>
              <w:rPr>
                <w:rFonts w:ascii="Times New Roman" w:hAnsi="Times New Roman" w:eastAsia="Times New Roman" w:cs="Times New Roman"/>
                <w:spacing w:val="3"/>
                <w:sz w:val="20"/>
                <w:szCs w:val="20"/>
              </w:rPr>
              <w:t>/</w:t>
            </w:r>
            <w:r>
              <w:rPr>
                <w:rFonts w:ascii="宋体" w:hAnsi="宋体" w:eastAsia="宋体" w:cs="宋体"/>
                <w:spacing w:val="3"/>
                <w:sz w:val="20"/>
                <w:szCs w:val="20"/>
              </w:rPr>
              <w:t>月</w:t>
            </w:r>
          </w:p>
        </w:tc>
        <w:tc>
          <w:tcPr>
            <w:tcW w:w="2074" w:type="dxa"/>
            <w:vAlign w:val="top"/>
          </w:tcPr>
          <w:p w14:paraId="765D49A3">
            <w:pPr>
              <w:spacing w:before="79" w:line="195" w:lineRule="auto"/>
              <w:ind w:left="8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3000</w:t>
            </w:r>
          </w:p>
        </w:tc>
        <w:tc>
          <w:tcPr>
            <w:tcW w:w="1616" w:type="dxa"/>
            <w:vAlign w:val="top"/>
          </w:tcPr>
          <w:p w14:paraId="598D9C28">
            <w:pPr>
              <w:rPr>
                <w:rFonts w:ascii="Arial"/>
                <w:sz w:val="21"/>
              </w:rPr>
            </w:pPr>
          </w:p>
        </w:tc>
        <w:tc>
          <w:tcPr>
            <w:tcW w:w="125" w:type="dxa"/>
            <w:tcBorders>
              <w:top w:val="nil"/>
              <w:bottom w:val="nil"/>
              <w:right w:val="single" w:color="000000" w:sz="6" w:space="0"/>
            </w:tcBorders>
            <w:vAlign w:val="top"/>
          </w:tcPr>
          <w:p w14:paraId="40746783">
            <w:pPr>
              <w:rPr>
                <w:rFonts w:ascii="Arial"/>
                <w:sz w:val="21"/>
              </w:rPr>
            </w:pPr>
          </w:p>
        </w:tc>
      </w:tr>
      <w:tr w14:paraId="5B353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447C1C2D">
            <w:pPr>
              <w:rPr>
                <w:rFonts w:ascii="Arial"/>
                <w:sz w:val="21"/>
              </w:rPr>
            </w:pPr>
          </w:p>
        </w:tc>
        <w:tc>
          <w:tcPr>
            <w:tcW w:w="113" w:type="dxa"/>
            <w:tcBorders>
              <w:top w:val="nil"/>
              <w:bottom w:val="nil"/>
            </w:tcBorders>
            <w:vAlign w:val="top"/>
          </w:tcPr>
          <w:p w14:paraId="378A900C">
            <w:pPr>
              <w:rPr>
                <w:rFonts w:ascii="Arial"/>
                <w:sz w:val="21"/>
              </w:rPr>
            </w:pPr>
          </w:p>
        </w:tc>
        <w:tc>
          <w:tcPr>
            <w:tcW w:w="895" w:type="dxa"/>
            <w:vMerge w:val="continue"/>
            <w:tcBorders>
              <w:top w:val="nil"/>
              <w:bottom w:val="nil"/>
            </w:tcBorders>
            <w:vAlign w:val="top"/>
          </w:tcPr>
          <w:p w14:paraId="0CAC7F45">
            <w:pPr>
              <w:rPr>
                <w:rFonts w:ascii="Arial"/>
                <w:sz w:val="21"/>
              </w:rPr>
            </w:pPr>
          </w:p>
        </w:tc>
        <w:tc>
          <w:tcPr>
            <w:tcW w:w="2205" w:type="dxa"/>
            <w:vAlign w:val="top"/>
          </w:tcPr>
          <w:p w14:paraId="77A53D41">
            <w:pPr>
              <w:spacing w:before="42" w:line="227" w:lineRule="auto"/>
              <w:ind w:left="688"/>
              <w:rPr>
                <w:rFonts w:ascii="宋体" w:hAnsi="宋体" w:eastAsia="宋体" w:cs="宋体"/>
                <w:sz w:val="20"/>
                <w:szCs w:val="20"/>
              </w:rPr>
            </w:pPr>
            <w:r>
              <w:rPr>
                <w:rFonts w:ascii="宋体" w:hAnsi="宋体" w:eastAsia="宋体" w:cs="宋体"/>
                <w:spacing w:val="6"/>
                <w:sz w:val="20"/>
                <w:szCs w:val="20"/>
              </w:rPr>
              <w:t>实木板材</w:t>
            </w:r>
          </w:p>
        </w:tc>
        <w:tc>
          <w:tcPr>
            <w:tcW w:w="1608" w:type="dxa"/>
            <w:vAlign w:val="top"/>
          </w:tcPr>
          <w:p w14:paraId="7435F520">
            <w:pPr>
              <w:spacing w:before="41" w:line="228" w:lineRule="auto"/>
              <w:ind w:left="570"/>
              <w:rPr>
                <w:rFonts w:ascii="宋体" w:hAnsi="宋体" w:eastAsia="宋体" w:cs="宋体"/>
                <w:sz w:val="20"/>
                <w:szCs w:val="20"/>
              </w:rPr>
            </w:pPr>
            <w:r>
              <w:rPr>
                <w:rFonts w:ascii="宋体" w:hAnsi="宋体" w:eastAsia="宋体" w:cs="宋体"/>
                <w:spacing w:val="4"/>
                <w:sz w:val="20"/>
                <w:szCs w:val="20"/>
              </w:rPr>
              <w:t>方</w:t>
            </w:r>
            <w:r>
              <w:rPr>
                <w:rFonts w:ascii="Times New Roman" w:hAnsi="Times New Roman" w:eastAsia="Times New Roman" w:cs="Times New Roman"/>
                <w:spacing w:val="4"/>
                <w:sz w:val="20"/>
                <w:szCs w:val="20"/>
              </w:rPr>
              <w:t>/</w:t>
            </w:r>
            <w:r>
              <w:rPr>
                <w:rFonts w:ascii="宋体" w:hAnsi="宋体" w:eastAsia="宋体" w:cs="宋体"/>
                <w:spacing w:val="4"/>
                <w:sz w:val="20"/>
                <w:szCs w:val="20"/>
              </w:rPr>
              <w:t>月</w:t>
            </w:r>
          </w:p>
        </w:tc>
        <w:tc>
          <w:tcPr>
            <w:tcW w:w="2074" w:type="dxa"/>
            <w:vAlign w:val="top"/>
          </w:tcPr>
          <w:p w14:paraId="7F8807A5">
            <w:pPr>
              <w:spacing w:before="85" w:line="195" w:lineRule="auto"/>
              <w:ind w:left="95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616" w:type="dxa"/>
            <w:vAlign w:val="top"/>
          </w:tcPr>
          <w:p w14:paraId="0A999F17">
            <w:pPr>
              <w:rPr>
                <w:rFonts w:ascii="Arial"/>
                <w:sz w:val="21"/>
              </w:rPr>
            </w:pPr>
          </w:p>
        </w:tc>
        <w:tc>
          <w:tcPr>
            <w:tcW w:w="125" w:type="dxa"/>
            <w:tcBorders>
              <w:top w:val="nil"/>
              <w:bottom w:val="nil"/>
              <w:right w:val="single" w:color="000000" w:sz="6" w:space="0"/>
            </w:tcBorders>
            <w:vAlign w:val="top"/>
          </w:tcPr>
          <w:p w14:paraId="39A07C2F">
            <w:pPr>
              <w:rPr>
                <w:rFonts w:ascii="Arial"/>
                <w:sz w:val="21"/>
              </w:rPr>
            </w:pPr>
          </w:p>
        </w:tc>
      </w:tr>
      <w:tr w14:paraId="2E909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5B42C7DA">
            <w:pPr>
              <w:rPr>
                <w:rFonts w:ascii="Arial"/>
                <w:sz w:val="21"/>
              </w:rPr>
            </w:pPr>
          </w:p>
        </w:tc>
        <w:tc>
          <w:tcPr>
            <w:tcW w:w="113" w:type="dxa"/>
            <w:tcBorders>
              <w:top w:val="nil"/>
              <w:bottom w:val="nil"/>
            </w:tcBorders>
            <w:vAlign w:val="top"/>
          </w:tcPr>
          <w:p w14:paraId="3AA3873A">
            <w:pPr>
              <w:rPr>
                <w:rFonts w:ascii="Arial"/>
                <w:sz w:val="21"/>
              </w:rPr>
            </w:pPr>
          </w:p>
        </w:tc>
        <w:tc>
          <w:tcPr>
            <w:tcW w:w="895" w:type="dxa"/>
            <w:vMerge w:val="continue"/>
            <w:tcBorders>
              <w:top w:val="nil"/>
              <w:bottom w:val="nil"/>
            </w:tcBorders>
            <w:vAlign w:val="top"/>
          </w:tcPr>
          <w:p w14:paraId="162330C1">
            <w:pPr>
              <w:rPr>
                <w:rFonts w:ascii="Arial"/>
                <w:sz w:val="21"/>
              </w:rPr>
            </w:pPr>
          </w:p>
        </w:tc>
        <w:tc>
          <w:tcPr>
            <w:tcW w:w="2205" w:type="dxa"/>
            <w:vAlign w:val="top"/>
          </w:tcPr>
          <w:p w14:paraId="18036C51">
            <w:pPr>
              <w:spacing w:before="41" w:line="229" w:lineRule="auto"/>
              <w:ind w:left="896"/>
              <w:rPr>
                <w:rFonts w:ascii="宋体" w:hAnsi="宋体" w:eastAsia="宋体" w:cs="宋体"/>
                <w:sz w:val="20"/>
                <w:szCs w:val="20"/>
              </w:rPr>
            </w:pPr>
            <w:r>
              <w:rPr>
                <w:rFonts w:ascii="宋体" w:hAnsi="宋体" w:eastAsia="宋体" w:cs="宋体"/>
                <w:spacing w:val="3"/>
                <w:sz w:val="20"/>
                <w:szCs w:val="20"/>
              </w:rPr>
              <w:t>油漆</w:t>
            </w:r>
          </w:p>
        </w:tc>
        <w:tc>
          <w:tcPr>
            <w:tcW w:w="1608" w:type="dxa"/>
            <w:vAlign w:val="top"/>
          </w:tcPr>
          <w:p w14:paraId="6F9A61A9">
            <w:pPr>
              <w:spacing w:before="81" w:line="199" w:lineRule="auto"/>
              <w:ind w:left="6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t/a</w:t>
            </w:r>
          </w:p>
        </w:tc>
        <w:tc>
          <w:tcPr>
            <w:tcW w:w="2074" w:type="dxa"/>
            <w:vAlign w:val="top"/>
          </w:tcPr>
          <w:p w14:paraId="5A53BB9D">
            <w:pPr>
              <w:spacing w:before="84" w:line="195" w:lineRule="auto"/>
              <w:ind w:left="992"/>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616" w:type="dxa"/>
            <w:vAlign w:val="top"/>
          </w:tcPr>
          <w:p w14:paraId="35FFBDAA">
            <w:pPr>
              <w:rPr>
                <w:rFonts w:ascii="Arial"/>
                <w:sz w:val="21"/>
              </w:rPr>
            </w:pPr>
          </w:p>
        </w:tc>
        <w:tc>
          <w:tcPr>
            <w:tcW w:w="125" w:type="dxa"/>
            <w:tcBorders>
              <w:top w:val="nil"/>
              <w:bottom w:val="nil"/>
              <w:right w:val="single" w:color="000000" w:sz="6" w:space="0"/>
            </w:tcBorders>
            <w:vAlign w:val="top"/>
          </w:tcPr>
          <w:p w14:paraId="0D34F2D9">
            <w:pPr>
              <w:rPr>
                <w:rFonts w:ascii="Arial"/>
                <w:sz w:val="21"/>
              </w:rPr>
            </w:pPr>
          </w:p>
        </w:tc>
      </w:tr>
      <w:tr w14:paraId="06AAD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677E3092">
            <w:pPr>
              <w:rPr>
                <w:rFonts w:ascii="Arial"/>
                <w:sz w:val="21"/>
              </w:rPr>
            </w:pPr>
          </w:p>
        </w:tc>
        <w:tc>
          <w:tcPr>
            <w:tcW w:w="113" w:type="dxa"/>
            <w:tcBorders>
              <w:top w:val="nil"/>
              <w:bottom w:val="nil"/>
            </w:tcBorders>
            <w:vAlign w:val="top"/>
          </w:tcPr>
          <w:p w14:paraId="629FC322">
            <w:pPr>
              <w:rPr>
                <w:rFonts w:ascii="Arial"/>
                <w:sz w:val="21"/>
              </w:rPr>
            </w:pPr>
          </w:p>
        </w:tc>
        <w:tc>
          <w:tcPr>
            <w:tcW w:w="895" w:type="dxa"/>
            <w:vMerge w:val="continue"/>
            <w:tcBorders>
              <w:top w:val="nil"/>
              <w:bottom w:val="nil"/>
            </w:tcBorders>
            <w:vAlign w:val="top"/>
          </w:tcPr>
          <w:p w14:paraId="28D8556E">
            <w:pPr>
              <w:rPr>
                <w:rFonts w:ascii="Arial"/>
                <w:sz w:val="21"/>
              </w:rPr>
            </w:pPr>
          </w:p>
        </w:tc>
        <w:tc>
          <w:tcPr>
            <w:tcW w:w="2205" w:type="dxa"/>
            <w:vAlign w:val="top"/>
          </w:tcPr>
          <w:p w14:paraId="7A2BCE4A">
            <w:pPr>
              <w:spacing w:before="41" w:line="227" w:lineRule="auto"/>
              <w:ind w:left="788"/>
              <w:rPr>
                <w:rFonts w:ascii="宋体" w:hAnsi="宋体" w:eastAsia="宋体" w:cs="宋体"/>
                <w:sz w:val="20"/>
                <w:szCs w:val="20"/>
              </w:rPr>
            </w:pPr>
            <w:r>
              <w:rPr>
                <w:rFonts w:ascii="宋体" w:hAnsi="宋体" w:eastAsia="宋体" w:cs="宋体"/>
                <w:spacing w:val="7"/>
                <w:sz w:val="20"/>
                <w:szCs w:val="20"/>
              </w:rPr>
              <w:t>稀释剂</w:t>
            </w:r>
          </w:p>
        </w:tc>
        <w:tc>
          <w:tcPr>
            <w:tcW w:w="1608" w:type="dxa"/>
            <w:vAlign w:val="top"/>
          </w:tcPr>
          <w:p w14:paraId="2C11D0DF">
            <w:pPr>
              <w:spacing w:before="80" w:line="199" w:lineRule="auto"/>
              <w:ind w:left="6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t/a</w:t>
            </w:r>
          </w:p>
        </w:tc>
        <w:tc>
          <w:tcPr>
            <w:tcW w:w="2074" w:type="dxa"/>
            <w:vAlign w:val="top"/>
          </w:tcPr>
          <w:p w14:paraId="5489FF11">
            <w:pPr>
              <w:spacing w:before="84" w:line="195" w:lineRule="auto"/>
              <w:ind w:left="92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1616" w:type="dxa"/>
            <w:vAlign w:val="top"/>
          </w:tcPr>
          <w:p w14:paraId="6E0A2542">
            <w:pPr>
              <w:rPr>
                <w:rFonts w:ascii="Arial"/>
                <w:sz w:val="21"/>
              </w:rPr>
            </w:pPr>
          </w:p>
        </w:tc>
        <w:tc>
          <w:tcPr>
            <w:tcW w:w="125" w:type="dxa"/>
            <w:tcBorders>
              <w:top w:val="nil"/>
              <w:bottom w:val="nil"/>
              <w:right w:val="single" w:color="000000" w:sz="6" w:space="0"/>
            </w:tcBorders>
            <w:vAlign w:val="top"/>
          </w:tcPr>
          <w:p w14:paraId="1E0673F4">
            <w:pPr>
              <w:rPr>
                <w:rFonts w:ascii="Arial"/>
                <w:sz w:val="21"/>
              </w:rPr>
            </w:pPr>
          </w:p>
        </w:tc>
      </w:tr>
      <w:tr w14:paraId="569AD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137CBBF6">
            <w:pPr>
              <w:rPr>
                <w:rFonts w:ascii="Arial"/>
                <w:sz w:val="21"/>
              </w:rPr>
            </w:pPr>
          </w:p>
        </w:tc>
        <w:tc>
          <w:tcPr>
            <w:tcW w:w="113" w:type="dxa"/>
            <w:tcBorders>
              <w:top w:val="nil"/>
              <w:bottom w:val="nil"/>
            </w:tcBorders>
            <w:vAlign w:val="top"/>
          </w:tcPr>
          <w:p w14:paraId="5A882951">
            <w:pPr>
              <w:rPr>
                <w:rFonts w:ascii="Arial"/>
                <w:sz w:val="21"/>
              </w:rPr>
            </w:pPr>
          </w:p>
        </w:tc>
        <w:tc>
          <w:tcPr>
            <w:tcW w:w="895" w:type="dxa"/>
            <w:vMerge w:val="continue"/>
            <w:tcBorders>
              <w:top w:val="nil"/>
              <w:bottom w:val="nil"/>
            </w:tcBorders>
            <w:vAlign w:val="top"/>
          </w:tcPr>
          <w:p w14:paraId="5DFD17AB">
            <w:pPr>
              <w:rPr>
                <w:rFonts w:ascii="Arial"/>
                <w:sz w:val="21"/>
              </w:rPr>
            </w:pPr>
          </w:p>
        </w:tc>
        <w:tc>
          <w:tcPr>
            <w:tcW w:w="2205" w:type="dxa"/>
            <w:vAlign w:val="top"/>
          </w:tcPr>
          <w:p w14:paraId="7A26262F">
            <w:pPr>
              <w:spacing w:before="43" w:line="227" w:lineRule="auto"/>
              <w:ind w:left="807"/>
              <w:rPr>
                <w:rFonts w:ascii="宋体" w:hAnsi="宋体" w:eastAsia="宋体" w:cs="宋体"/>
                <w:sz w:val="20"/>
                <w:szCs w:val="20"/>
              </w:rPr>
            </w:pPr>
            <w:r>
              <w:rPr>
                <w:rFonts w:ascii="宋体" w:hAnsi="宋体" w:eastAsia="宋体" w:cs="宋体"/>
                <w:sz w:val="20"/>
                <w:szCs w:val="20"/>
              </w:rPr>
              <w:t>固化剂</w:t>
            </w:r>
          </w:p>
        </w:tc>
        <w:tc>
          <w:tcPr>
            <w:tcW w:w="1608" w:type="dxa"/>
            <w:vAlign w:val="top"/>
          </w:tcPr>
          <w:p w14:paraId="051C13C8">
            <w:pPr>
              <w:spacing w:before="82" w:line="199" w:lineRule="auto"/>
              <w:ind w:left="6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t/a</w:t>
            </w:r>
          </w:p>
        </w:tc>
        <w:tc>
          <w:tcPr>
            <w:tcW w:w="2074" w:type="dxa"/>
            <w:vAlign w:val="top"/>
          </w:tcPr>
          <w:p w14:paraId="614ED090">
            <w:pPr>
              <w:spacing w:before="86" w:line="195" w:lineRule="auto"/>
              <w:ind w:left="92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1616" w:type="dxa"/>
            <w:vAlign w:val="top"/>
          </w:tcPr>
          <w:p w14:paraId="3EFCC5A1">
            <w:pPr>
              <w:rPr>
                <w:rFonts w:ascii="Arial"/>
                <w:sz w:val="21"/>
              </w:rPr>
            </w:pPr>
          </w:p>
        </w:tc>
        <w:tc>
          <w:tcPr>
            <w:tcW w:w="125" w:type="dxa"/>
            <w:tcBorders>
              <w:top w:val="nil"/>
              <w:bottom w:val="nil"/>
              <w:right w:val="single" w:color="000000" w:sz="6" w:space="0"/>
            </w:tcBorders>
            <w:vAlign w:val="top"/>
          </w:tcPr>
          <w:p w14:paraId="3C2B6015">
            <w:pPr>
              <w:rPr>
                <w:rFonts w:ascii="Arial"/>
                <w:sz w:val="21"/>
              </w:rPr>
            </w:pPr>
          </w:p>
        </w:tc>
      </w:tr>
      <w:tr w14:paraId="30E3C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7C93CFF4">
            <w:pPr>
              <w:rPr>
                <w:rFonts w:ascii="Arial"/>
                <w:sz w:val="21"/>
              </w:rPr>
            </w:pPr>
          </w:p>
        </w:tc>
        <w:tc>
          <w:tcPr>
            <w:tcW w:w="113" w:type="dxa"/>
            <w:tcBorders>
              <w:top w:val="nil"/>
              <w:bottom w:val="nil"/>
            </w:tcBorders>
            <w:vAlign w:val="top"/>
          </w:tcPr>
          <w:p w14:paraId="094A07F3">
            <w:pPr>
              <w:rPr>
                <w:rFonts w:ascii="Arial"/>
                <w:sz w:val="21"/>
              </w:rPr>
            </w:pPr>
          </w:p>
        </w:tc>
        <w:tc>
          <w:tcPr>
            <w:tcW w:w="895" w:type="dxa"/>
            <w:vMerge w:val="continue"/>
            <w:tcBorders>
              <w:top w:val="nil"/>
              <w:bottom w:val="nil"/>
            </w:tcBorders>
            <w:vAlign w:val="top"/>
          </w:tcPr>
          <w:p w14:paraId="19E3D29D">
            <w:pPr>
              <w:rPr>
                <w:rFonts w:ascii="Arial"/>
                <w:sz w:val="21"/>
              </w:rPr>
            </w:pPr>
          </w:p>
        </w:tc>
        <w:tc>
          <w:tcPr>
            <w:tcW w:w="2205" w:type="dxa"/>
            <w:vAlign w:val="top"/>
          </w:tcPr>
          <w:p w14:paraId="25F2E0CD">
            <w:pPr>
              <w:spacing w:before="42" w:line="228" w:lineRule="auto"/>
              <w:ind w:left="819"/>
              <w:rPr>
                <w:rFonts w:ascii="宋体" w:hAnsi="宋体" w:eastAsia="宋体" w:cs="宋体"/>
                <w:sz w:val="20"/>
                <w:szCs w:val="20"/>
              </w:rPr>
            </w:pPr>
            <w:r>
              <w:rPr>
                <w:rFonts w:ascii="宋体" w:hAnsi="宋体" w:eastAsia="宋体" w:cs="宋体"/>
                <w:spacing w:val="-4"/>
                <w:sz w:val="20"/>
                <w:szCs w:val="20"/>
              </w:rPr>
              <w:t>白乳胶</w:t>
            </w:r>
          </w:p>
        </w:tc>
        <w:tc>
          <w:tcPr>
            <w:tcW w:w="1608" w:type="dxa"/>
            <w:vAlign w:val="top"/>
          </w:tcPr>
          <w:p w14:paraId="551B0045">
            <w:pPr>
              <w:spacing w:before="82" w:line="199" w:lineRule="auto"/>
              <w:ind w:left="6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t/a</w:t>
            </w:r>
          </w:p>
        </w:tc>
        <w:tc>
          <w:tcPr>
            <w:tcW w:w="2074" w:type="dxa"/>
            <w:vAlign w:val="top"/>
          </w:tcPr>
          <w:p w14:paraId="5AADA20D">
            <w:pPr>
              <w:spacing w:before="86" w:line="195" w:lineRule="auto"/>
              <w:ind w:left="92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1616" w:type="dxa"/>
            <w:vAlign w:val="top"/>
          </w:tcPr>
          <w:p w14:paraId="7B9377BB">
            <w:pPr>
              <w:rPr>
                <w:rFonts w:ascii="Arial"/>
                <w:sz w:val="21"/>
              </w:rPr>
            </w:pPr>
          </w:p>
        </w:tc>
        <w:tc>
          <w:tcPr>
            <w:tcW w:w="125" w:type="dxa"/>
            <w:tcBorders>
              <w:top w:val="nil"/>
              <w:bottom w:val="nil"/>
              <w:right w:val="single" w:color="000000" w:sz="6" w:space="0"/>
            </w:tcBorders>
            <w:vAlign w:val="top"/>
          </w:tcPr>
          <w:p w14:paraId="024FA492">
            <w:pPr>
              <w:rPr>
                <w:rFonts w:ascii="Arial"/>
                <w:sz w:val="21"/>
              </w:rPr>
            </w:pPr>
          </w:p>
        </w:tc>
      </w:tr>
      <w:tr w14:paraId="6412F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2825CB57">
            <w:pPr>
              <w:rPr>
                <w:rFonts w:ascii="Arial"/>
                <w:sz w:val="21"/>
              </w:rPr>
            </w:pPr>
          </w:p>
        </w:tc>
        <w:tc>
          <w:tcPr>
            <w:tcW w:w="113" w:type="dxa"/>
            <w:tcBorders>
              <w:top w:val="nil"/>
              <w:bottom w:val="nil"/>
            </w:tcBorders>
            <w:vAlign w:val="top"/>
          </w:tcPr>
          <w:p w14:paraId="72E55D52">
            <w:pPr>
              <w:rPr>
                <w:rFonts w:ascii="Arial"/>
                <w:sz w:val="21"/>
              </w:rPr>
            </w:pPr>
          </w:p>
        </w:tc>
        <w:tc>
          <w:tcPr>
            <w:tcW w:w="895" w:type="dxa"/>
            <w:vMerge w:val="continue"/>
            <w:tcBorders>
              <w:top w:val="nil"/>
              <w:bottom w:val="nil"/>
            </w:tcBorders>
            <w:vAlign w:val="top"/>
          </w:tcPr>
          <w:p w14:paraId="622EFCC5">
            <w:pPr>
              <w:rPr>
                <w:rFonts w:ascii="Arial"/>
                <w:sz w:val="21"/>
              </w:rPr>
            </w:pPr>
          </w:p>
        </w:tc>
        <w:tc>
          <w:tcPr>
            <w:tcW w:w="2205" w:type="dxa"/>
            <w:vAlign w:val="top"/>
          </w:tcPr>
          <w:p w14:paraId="1B8465F4">
            <w:pPr>
              <w:spacing w:before="44" w:line="228" w:lineRule="auto"/>
              <w:ind w:left="687"/>
              <w:rPr>
                <w:rFonts w:ascii="宋体" w:hAnsi="宋体" w:eastAsia="宋体" w:cs="宋体"/>
                <w:sz w:val="20"/>
                <w:szCs w:val="20"/>
              </w:rPr>
            </w:pPr>
            <w:r>
              <w:rPr>
                <w:rFonts w:ascii="宋体" w:hAnsi="宋体" w:eastAsia="宋体" w:cs="宋体"/>
                <w:spacing w:val="6"/>
                <w:sz w:val="20"/>
                <w:szCs w:val="20"/>
              </w:rPr>
              <w:t>五金配件</w:t>
            </w:r>
          </w:p>
        </w:tc>
        <w:tc>
          <w:tcPr>
            <w:tcW w:w="1608" w:type="dxa"/>
            <w:vAlign w:val="top"/>
          </w:tcPr>
          <w:p w14:paraId="3FDB2470">
            <w:pPr>
              <w:spacing w:before="44" w:line="228" w:lineRule="auto"/>
              <w:ind w:left="568"/>
              <w:rPr>
                <w:rFonts w:ascii="宋体" w:hAnsi="宋体" w:eastAsia="宋体" w:cs="宋体"/>
                <w:sz w:val="20"/>
                <w:szCs w:val="20"/>
              </w:rPr>
            </w:pPr>
            <w:r>
              <w:rPr>
                <w:rFonts w:ascii="宋体" w:hAnsi="宋体" w:eastAsia="宋体" w:cs="宋体"/>
                <w:spacing w:val="4"/>
                <w:sz w:val="20"/>
                <w:szCs w:val="20"/>
              </w:rPr>
              <w:t>件</w:t>
            </w:r>
            <w:r>
              <w:rPr>
                <w:rFonts w:ascii="Times New Roman" w:hAnsi="Times New Roman" w:eastAsia="Times New Roman" w:cs="Times New Roman"/>
                <w:spacing w:val="4"/>
                <w:sz w:val="20"/>
                <w:szCs w:val="20"/>
              </w:rPr>
              <w:t>/</w:t>
            </w:r>
            <w:r>
              <w:rPr>
                <w:rFonts w:ascii="宋体" w:hAnsi="宋体" w:eastAsia="宋体" w:cs="宋体"/>
                <w:spacing w:val="4"/>
                <w:sz w:val="20"/>
                <w:szCs w:val="20"/>
              </w:rPr>
              <w:t>月</w:t>
            </w:r>
          </w:p>
        </w:tc>
        <w:tc>
          <w:tcPr>
            <w:tcW w:w="2074" w:type="dxa"/>
            <w:vAlign w:val="top"/>
          </w:tcPr>
          <w:p w14:paraId="52B323C2">
            <w:pPr>
              <w:spacing w:before="44" w:line="228" w:lineRule="auto"/>
              <w:ind w:left="521"/>
              <w:rPr>
                <w:rFonts w:ascii="宋体" w:hAnsi="宋体" w:eastAsia="宋体" w:cs="宋体"/>
                <w:sz w:val="20"/>
                <w:szCs w:val="20"/>
              </w:rPr>
            </w:pPr>
            <w:r>
              <w:rPr>
                <w:rFonts w:ascii="宋体" w:hAnsi="宋体" w:eastAsia="宋体" w:cs="宋体"/>
                <w:sz w:val="20"/>
                <w:szCs w:val="20"/>
              </w:rPr>
              <w:t>大小</w:t>
            </w:r>
            <w:r>
              <w:rPr>
                <w:rFonts w:ascii="宋体" w:hAnsi="宋体" w:eastAsia="宋体" w:cs="宋体"/>
                <w:spacing w:val="-21"/>
                <w:sz w:val="20"/>
                <w:szCs w:val="20"/>
              </w:rPr>
              <w:t xml:space="preserve"> </w:t>
            </w:r>
            <w:r>
              <w:rPr>
                <w:rFonts w:ascii="Times New Roman" w:hAnsi="Times New Roman" w:eastAsia="Times New Roman" w:cs="Times New Roman"/>
                <w:sz w:val="20"/>
                <w:szCs w:val="20"/>
              </w:rPr>
              <w:t>120</w:t>
            </w:r>
            <w:r>
              <w:rPr>
                <w:rFonts w:ascii="Times New Roman" w:hAnsi="Times New Roman" w:eastAsia="Times New Roman" w:cs="Times New Roman"/>
                <w:spacing w:val="8"/>
                <w:sz w:val="20"/>
                <w:szCs w:val="20"/>
              </w:rPr>
              <w:t xml:space="preserve"> </w:t>
            </w:r>
            <w:r>
              <w:rPr>
                <w:rFonts w:ascii="宋体" w:hAnsi="宋体" w:eastAsia="宋体" w:cs="宋体"/>
                <w:sz w:val="20"/>
                <w:szCs w:val="20"/>
              </w:rPr>
              <w:t>件</w:t>
            </w:r>
          </w:p>
        </w:tc>
        <w:tc>
          <w:tcPr>
            <w:tcW w:w="1616" w:type="dxa"/>
            <w:vAlign w:val="top"/>
          </w:tcPr>
          <w:p w14:paraId="7CB51C44">
            <w:pPr>
              <w:rPr>
                <w:rFonts w:ascii="Arial"/>
                <w:sz w:val="21"/>
              </w:rPr>
            </w:pPr>
          </w:p>
        </w:tc>
        <w:tc>
          <w:tcPr>
            <w:tcW w:w="125" w:type="dxa"/>
            <w:tcBorders>
              <w:top w:val="nil"/>
              <w:bottom w:val="nil"/>
              <w:right w:val="single" w:color="000000" w:sz="6" w:space="0"/>
            </w:tcBorders>
            <w:vAlign w:val="top"/>
          </w:tcPr>
          <w:p w14:paraId="412A5D86">
            <w:pPr>
              <w:rPr>
                <w:rFonts w:ascii="Arial"/>
                <w:sz w:val="21"/>
              </w:rPr>
            </w:pPr>
          </w:p>
        </w:tc>
      </w:tr>
      <w:tr w14:paraId="1C933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428" w:type="dxa"/>
            <w:vMerge w:val="continue"/>
            <w:tcBorders>
              <w:top w:val="nil"/>
              <w:left w:val="single" w:color="000000" w:sz="6" w:space="0"/>
              <w:bottom w:val="nil"/>
            </w:tcBorders>
            <w:vAlign w:val="top"/>
          </w:tcPr>
          <w:p w14:paraId="55A8871A">
            <w:pPr>
              <w:rPr>
                <w:rFonts w:ascii="Arial"/>
                <w:sz w:val="21"/>
              </w:rPr>
            </w:pPr>
          </w:p>
        </w:tc>
        <w:tc>
          <w:tcPr>
            <w:tcW w:w="113" w:type="dxa"/>
            <w:tcBorders>
              <w:top w:val="nil"/>
              <w:bottom w:val="nil"/>
            </w:tcBorders>
            <w:vAlign w:val="top"/>
          </w:tcPr>
          <w:p w14:paraId="745C2994">
            <w:pPr>
              <w:rPr>
                <w:rFonts w:ascii="Arial"/>
                <w:sz w:val="21"/>
              </w:rPr>
            </w:pPr>
          </w:p>
        </w:tc>
        <w:tc>
          <w:tcPr>
            <w:tcW w:w="895" w:type="dxa"/>
            <w:vMerge w:val="continue"/>
            <w:tcBorders>
              <w:top w:val="nil"/>
            </w:tcBorders>
            <w:vAlign w:val="top"/>
          </w:tcPr>
          <w:p w14:paraId="55ECE529">
            <w:pPr>
              <w:rPr>
                <w:rFonts w:ascii="Arial"/>
                <w:sz w:val="21"/>
              </w:rPr>
            </w:pPr>
          </w:p>
        </w:tc>
        <w:tc>
          <w:tcPr>
            <w:tcW w:w="2205" w:type="dxa"/>
            <w:vAlign w:val="top"/>
          </w:tcPr>
          <w:p w14:paraId="784E1303">
            <w:pPr>
              <w:spacing w:before="45" w:line="228" w:lineRule="auto"/>
              <w:ind w:left="685"/>
              <w:rPr>
                <w:rFonts w:ascii="宋体" w:hAnsi="宋体" w:eastAsia="宋体" w:cs="宋体"/>
                <w:sz w:val="20"/>
                <w:szCs w:val="20"/>
              </w:rPr>
            </w:pPr>
            <w:r>
              <w:rPr>
                <w:rFonts w:ascii="宋体" w:hAnsi="宋体" w:eastAsia="宋体" w:cs="宋体"/>
                <w:spacing w:val="6"/>
                <w:sz w:val="20"/>
                <w:szCs w:val="20"/>
              </w:rPr>
              <w:t>纸箱包装</w:t>
            </w:r>
          </w:p>
        </w:tc>
        <w:tc>
          <w:tcPr>
            <w:tcW w:w="1608" w:type="dxa"/>
            <w:vAlign w:val="top"/>
          </w:tcPr>
          <w:p w14:paraId="3AF8B7AC">
            <w:pPr>
              <w:spacing w:before="44" w:line="228" w:lineRule="auto"/>
              <w:ind w:left="555"/>
              <w:rPr>
                <w:rFonts w:ascii="宋体" w:hAnsi="宋体" w:eastAsia="宋体" w:cs="宋体"/>
                <w:sz w:val="20"/>
                <w:szCs w:val="20"/>
              </w:rPr>
            </w:pPr>
            <w:r>
              <w:rPr>
                <w:rFonts w:ascii="Times New Roman" w:hAnsi="Times New Roman" w:eastAsia="Times New Roman" w:cs="Times New Roman"/>
                <w:spacing w:val="4"/>
                <w:sz w:val="20"/>
                <w:szCs w:val="20"/>
              </w:rPr>
              <w:t>m²/</w:t>
            </w:r>
            <w:r>
              <w:rPr>
                <w:rFonts w:ascii="宋体" w:hAnsi="宋体" w:eastAsia="宋体" w:cs="宋体"/>
                <w:spacing w:val="4"/>
                <w:sz w:val="20"/>
                <w:szCs w:val="20"/>
              </w:rPr>
              <w:t>月</w:t>
            </w:r>
          </w:p>
        </w:tc>
        <w:tc>
          <w:tcPr>
            <w:tcW w:w="2074" w:type="dxa"/>
            <w:vAlign w:val="top"/>
          </w:tcPr>
          <w:p w14:paraId="60047D15">
            <w:pPr>
              <w:spacing w:before="87" w:line="195" w:lineRule="auto"/>
              <w:ind w:left="893"/>
              <w:rPr>
                <w:rFonts w:ascii="Times New Roman" w:hAnsi="Times New Roman" w:eastAsia="Times New Roman" w:cs="Times New Roman"/>
                <w:sz w:val="20"/>
                <w:szCs w:val="20"/>
              </w:rPr>
            </w:pPr>
            <w:r>
              <w:rPr>
                <w:rFonts w:ascii="Times New Roman" w:hAnsi="Times New Roman" w:eastAsia="Times New Roman" w:cs="Times New Roman"/>
                <w:sz w:val="20"/>
                <w:szCs w:val="20"/>
              </w:rPr>
              <w:t>800</w:t>
            </w:r>
          </w:p>
        </w:tc>
        <w:tc>
          <w:tcPr>
            <w:tcW w:w="1616" w:type="dxa"/>
            <w:vAlign w:val="top"/>
          </w:tcPr>
          <w:p w14:paraId="172CEF44">
            <w:pPr>
              <w:rPr>
                <w:rFonts w:ascii="Arial"/>
                <w:sz w:val="21"/>
              </w:rPr>
            </w:pPr>
          </w:p>
        </w:tc>
        <w:tc>
          <w:tcPr>
            <w:tcW w:w="125" w:type="dxa"/>
            <w:tcBorders>
              <w:top w:val="nil"/>
              <w:bottom w:val="nil"/>
              <w:right w:val="single" w:color="000000" w:sz="6" w:space="0"/>
            </w:tcBorders>
            <w:vAlign w:val="top"/>
          </w:tcPr>
          <w:p w14:paraId="7F2C4A39">
            <w:pPr>
              <w:rPr>
                <w:rFonts w:ascii="Arial"/>
                <w:sz w:val="21"/>
              </w:rPr>
            </w:pPr>
          </w:p>
        </w:tc>
      </w:tr>
      <w:tr w14:paraId="67B1E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8" w:type="dxa"/>
            <w:vMerge w:val="continue"/>
            <w:tcBorders>
              <w:top w:val="nil"/>
              <w:left w:val="single" w:color="000000" w:sz="6" w:space="0"/>
              <w:bottom w:val="nil"/>
            </w:tcBorders>
            <w:vAlign w:val="top"/>
          </w:tcPr>
          <w:p w14:paraId="2919F816">
            <w:pPr>
              <w:rPr>
                <w:rFonts w:ascii="Arial"/>
                <w:sz w:val="21"/>
              </w:rPr>
            </w:pPr>
          </w:p>
        </w:tc>
        <w:tc>
          <w:tcPr>
            <w:tcW w:w="113" w:type="dxa"/>
            <w:tcBorders>
              <w:top w:val="nil"/>
              <w:bottom w:val="nil"/>
            </w:tcBorders>
            <w:vAlign w:val="top"/>
          </w:tcPr>
          <w:p w14:paraId="0033A8D0">
            <w:pPr>
              <w:rPr>
                <w:rFonts w:ascii="Arial"/>
                <w:sz w:val="21"/>
              </w:rPr>
            </w:pPr>
          </w:p>
        </w:tc>
        <w:tc>
          <w:tcPr>
            <w:tcW w:w="895" w:type="dxa"/>
            <w:vMerge w:val="restart"/>
            <w:tcBorders>
              <w:bottom w:val="nil"/>
            </w:tcBorders>
            <w:vAlign w:val="top"/>
          </w:tcPr>
          <w:p w14:paraId="72C6EFE9">
            <w:pPr>
              <w:spacing w:line="265" w:lineRule="auto"/>
              <w:rPr>
                <w:rFonts w:ascii="Arial"/>
                <w:sz w:val="21"/>
              </w:rPr>
            </w:pPr>
          </w:p>
          <w:p w14:paraId="18A287A0">
            <w:pPr>
              <w:spacing w:line="265" w:lineRule="auto"/>
              <w:rPr>
                <w:rFonts w:ascii="Arial"/>
                <w:sz w:val="21"/>
              </w:rPr>
            </w:pPr>
          </w:p>
          <w:p w14:paraId="06E6DF7B">
            <w:pPr>
              <w:spacing w:line="265" w:lineRule="auto"/>
              <w:rPr>
                <w:rFonts w:ascii="Arial"/>
                <w:sz w:val="21"/>
              </w:rPr>
            </w:pPr>
          </w:p>
          <w:p w14:paraId="308CCC03">
            <w:pPr>
              <w:spacing w:line="265" w:lineRule="auto"/>
              <w:rPr>
                <w:rFonts w:ascii="Arial"/>
                <w:sz w:val="21"/>
              </w:rPr>
            </w:pPr>
          </w:p>
          <w:p w14:paraId="585B80FF">
            <w:pPr>
              <w:spacing w:line="265" w:lineRule="auto"/>
              <w:rPr>
                <w:rFonts w:ascii="Arial"/>
                <w:sz w:val="21"/>
              </w:rPr>
            </w:pPr>
          </w:p>
          <w:p w14:paraId="63637E9B">
            <w:pPr>
              <w:spacing w:line="265" w:lineRule="auto"/>
              <w:rPr>
                <w:rFonts w:ascii="Arial"/>
                <w:sz w:val="21"/>
              </w:rPr>
            </w:pPr>
          </w:p>
          <w:p w14:paraId="635F18BD">
            <w:pPr>
              <w:spacing w:line="266" w:lineRule="auto"/>
              <w:rPr>
                <w:rFonts w:ascii="Arial"/>
                <w:sz w:val="21"/>
              </w:rPr>
            </w:pPr>
          </w:p>
          <w:p w14:paraId="42E557AE">
            <w:pPr>
              <w:spacing w:before="65" w:line="228" w:lineRule="auto"/>
              <w:ind w:left="136"/>
              <w:rPr>
                <w:rFonts w:ascii="宋体" w:hAnsi="宋体" w:eastAsia="宋体" w:cs="宋体"/>
                <w:sz w:val="20"/>
                <w:szCs w:val="20"/>
              </w:rPr>
            </w:pPr>
            <w:r>
              <w:rPr>
                <w:rFonts w:ascii="宋体" w:hAnsi="宋体" w:eastAsia="宋体" w:cs="宋体"/>
                <w:spacing w:val="5"/>
                <w:sz w:val="20"/>
                <w:szCs w:val="20"/>
              </w:rPr>
              <w:t>免漆木</w:t>
            </w:r>
          </w:p>
          <w:p w14:paraId="0BE3AAFD">
            <w:pPr>
              <w:spacing w:before="160" w:line="228" w:lineRule="auto"/>
              <w:ind w:left="155"/>
              <w:rPr>
                <w:rFonts w:ascii="宋体" w:hAnsi="宋体" w:eastAsia="宋体" w:cs="宋体"/>
                <w:sz w:val="20"/>
                <w:szCs w:val="20"/>
              </w:rPr>
            </w:pPr>
            <w:r>
              <w:rPr>
                <w:rFonts w:ascii="宋体" w:hAnsi="宋体" w:eastAsia="宋体" w:cs="宋体"/>
                <w:spacing w:val="-1"/>
                <w:sz w:val="20"/>
                <w:szCs w:val="20"/>
              </w:rPr>
              <w:t>门生产</w:t>
            </w:r>
          </w:p>
          <w:p w14:paraId="61B381B4">
            <w:pPr>
              <w:spacing w:before="164" w:line="228" w:lineRule="auto"/>
              <w:ind w:left="343"/>
              <w:rPr>
                <w:rFonts w:ascii="宋体" w:hAnsi="宋体" w:eastAsia="宋体" w:cs="宋体"/>
                <w:sz w:val="20"/>
                <w:szCs w:val="20"/>
              </w:rPr>
            </w:pPr>
            <w:r>
              <w:rPr>
                <w:rFonts w:ascii="宋体" w:hAnsi="宋体" w:eastAsia="宋体" w:cs="宋体"/>
                <w:sz w:val="20"/>
                <w:szCs w:val="20"/>
              </w:rPr>
              <w:t>线</w:t>
            </w:r>
          </w:p>
        </w:tc>
        <w:tc>
          <w:tcPr>
            <w:tcW w:w="2205" w:type="dxa"/>
            <w:vAlign w:val="top"/>
          </w:tcPr>
          <w:p w14:paraId="1DECB928">
            <w:pPr>
              <w:spacing w:before="39" w:line="228" w:lineRule="auto"/>
              <w:ind w:left="893"/>
              <w:rPr>
                <w:rFonts w:ascii="宋体" w:hAnsi="宋体" w:eastAsia="宋体" w:cs="宋体"/>
                <w:sz w:val="20"/>
                <w:szCs w:val="20"/>
              </w:rPr>
            </w:pPr>
            <w:r>
              <w:rPr>
                <w:rFonts w:ascii="宋体" w:hAnsi="宋体" w:eastAsia="宋体" w:cs="宋体"/>
                <w:spacing w:val="4"/>
                <w:sz w:val="20"/>
                <w:szCs w:val="20"/>
              </w:rPr>
              <w:t>木方</w:t>
            </w:r>
          </w:p>
        </w:tc>
        <w:tc>
          <w:tcPr>
            <w:tcW w:w="1608" w:type="dxa"/>
            <w:vAlign w:val="top"/>
          </w:tcPr>
          <w:p w14:paraId="1671E082">
            <w:pPr>
              <w:spacing w:before="39" w:line="228" w:lineRule="auto"/>
              <w:ind w:left="626"/>
              <w:rPr>
                <w:rFonts w:ascii="Times New Roman" w:hAnsi="Times New Roman" w:eastAsia="Times New Roman" w:cs="Times New Roman"/>
                <w:sz w:val="20"/>
                <w:szCs w:val="20"/>
              </w:rPr>
            </w:pPr>
            <w:r>
              <w:rPr>
                <w:rFonts w:ascii="宋体" w:hAnsi="宋体" w:eastAsia="宋体" w:cs="宋体"/>
                <w:spacing w:val="2"/>
                <w:sz w:val="20"/>
                <w:szCs w:val="20"/>
              </w:rPr>
              <w:t>根</w:t>
            </w:r>
            <w:r>
              <w:rPr>
                <w:rFonts w:ascii="Times New Roman" w:hAnsi="Times New Roman" w:eastAsia="Times New Roman" w:cs="Times New Roman"/>
                <w:spacing w:val="2"/>
                <w:sz w:val="20"/>
                <w:szCs w:val="20"/>
              </w:rPr>
              <w:t>/a</w:t>
            </w:r>
          </w:p>
        </w:tc>
        <w:tc>
          <w:tcPr>
            <w:tcW w:w="2074" w:type="dxa"/>
            <w:vAlign w:val="top"/>
          </w:tcPr>
          <w:p w14:paraId="68667367">
            <w:pPr>
              <w:spacing w:before="38" w:line="233" w:lineRule="auto"/>
              <w:ind w:left="343"/>
              <w:rPr>
                <w:rFonts w:ascii="Times New Roman" w:hAnsi="Times New Roman" w:eastAsia="Times New Roman" w:cs="Times New Roman"/>
                <w:sz w:val="20"/>
                <w:szCs w:val="20"/>
              </w:rPr>
            </w:pPr>
            <w:r>
              <w:rPr>
                <w:rFonts w:ascii="Times New Roman" w:hAnsi="Times New Roman" w:eastAsia="Times New Roman" w:cs="Times New Roman"/>
                <w:sz w:val="20"/>
                <w:szCs w:val="20"/>
              </w:rPr>
              <w:t>15000</w:t>
            </w:r>
            <w:r>
              <w:rPr>
                <w:rFonts w:ascii="Times New Roman" w:hAnsi="Times New Roman" w:eastAsia="Times New Roman" w:cs="Times New Roman"/>
                <w:spacing w:val="-21"/>
                <w:sz w:val="20"/>
                <w:szCs w:val="20"/>
              </w:rPr>
              <w:t xml:space="preserve"> </w:t>
            </w:r>
            <w:r>
              <w:rPr>
                <w:rFonts w:ascii="宋体" w:hAnsi="宋体" w:eastAsia="宋体" w:cs="宋体"/>
                <w:sz w:val="20"/>
                <w:szCs w:val="20"/>
              </w:rPr>
              <w:t>，约</w:t>
            </w:r>
            <w:r>
              <w:rPr>
                <w:rFonts w:ascii="宋体" w:hAnsi="宋体" w:eastAsia="宋体" w:cs="宋体"/>
                <w:spacing w:val="-38"/>
                <w:sz w:val="20"/>
                <w:szCs w:val="20"/>
              </w:rPr>
              <w:t xml:space="preserve"> </w:t>
            </w:r>
            <w:r>
              <w:rPr>
                <w:rFonts w:ascii="Times New Roman" w:hAnsi="Times New Roman" w:eastAsia="Times New Roman" w:cs="Times New Roman"/>
                <w:sz w:val="20"/>
                <w:szCs w:val="20"/>
              </w:rPr>
              <w:t>59m³</w:t>
            </w:r>
          </w:p>
        </w:tc>
        <w:tc>
          <w:tcPr>
            <w:tcW w:w="1616" w:type="dxa"/>
            <w:vAlign w:val="top"/>
          </w:tcPr>
          <w:p w14:paraId="299EF4CF">
            <w:pPr>
              <w:rPr>
                <w:rFonts w:ascii="Arial"/>
                <w:sz w:val="21"/>
              </w:rPr>
            </w:pPr>
          </w:p>
        </w:tc>
        <w:tc>
          <w:tcPr>
            <w:tcW w:w="125" w:type="dxa"/>
            <w:tcBorders>
              <w:top w:val="nil"/>
              <w:bottom w:val="nil"/>
              <w:right w:val="single" w:color="000000" w:sz="6" w:space="0"/>
            </w:tcBorders>
            <w:vAlign w:val="top"/>
          </w:tcPr>
          <w:p w14:paraId="750B8ED2">
            <w:pPr>
              <w:rPr>
                <w:rFonts w:ascii="Arial"/>
                <w:sz w:val="21"/>
              </w:rPr>
            </w:pPr>
          </w:p>
        </w:tc>
      </w:tr>
      <w:tr w14:paraId="44A3E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037E6C03">
            <w:pPr>
              <w:rPr>
                <w:rFonts w:ascii="Arial"/>
                <w:sz w:val="21"/>
              </w:rPr>
            </w:pPr>
          </w:p>
        </w:tc>
        <w:tc>
          <w:tcPr>
            <w:tcW w:w="113" w:type="dxa"/>
            <w:tcBorders>
              <w:top w:val="nil"/>
              <w:bottom w:val="nil"/>
            </w:tcBorders>
            <w:vAlign w:val="top"/>
          </w:tcPr>
          <w:p w14:paraId="339FC479">
            <w:pPr>
              <w:rPr>
                <w:rFonts w:ascii="Arial"/>
                <w:sz w:val="21"/>
              </w:rPr>
            </w:pPr>
          </w:p>
        </w:tc>
        <w:tc>
          <w:tcPr>
            <w:tcW w:w="895" w:type="dxa"/>
            <w:vMerge w:val="continue"/>
            <w:tcBorders>
              <w:top w:val="nil"/>
              <w:bottom w:val="nil"/>
            </w:tcBorders>
            <w:vAlign w:val="top"/>
          </w:tcPr>
          <w:p w14:paraId="29C8D1E6">
            <w:pPr>
              <w:rPr>
                <w:rFonts w:ascii="Arial"/>
                <w:sz w:val="21"/>
              </w:rPr>
            </w:pPr>
          </w:p>
        </w:tc>
        <w:tc>
          <w:tcPr>
            <w:tcW w:w="2205" w:type="dxa"/>
            <w:vAlign w:val="top"/>
          </w:tcPr>
          <w:p w14:paraId="37E273A8">
            <w:pPr>
              <w:spacing w:before="46" w:line="227" w:lineRule="auto"/>
              <w:ind w:left="790"/>
              <w:rPr>
                <w:rFonts w:ascii="宋体" w:hAnsi="宋体" w:eastAsia="宋体" w:cs="宋体"/>
                <w:sz w:val="20"/>
                <w:szCs w:val="20"/>
              </w:rPr>
            </w:pPr>
            <w:r>
              <w:rPr>
                <w:rFonts w:ascii="宋体" w:hAnsi="宋体" w:eastAsia="宋体" w:cs="宋体"/>
                <w:spacing w:val="6"/>
                <w:sz w:val="20"/>
                <w:szCs w:val="20"/>
              </w:rPr>
              <w:t>密度板</w:t>
            </w:r>
          </w:p>
        </w:tc>
        <w:tc>
          <w:tcPr>
            <w:tcW w:w="1608" w:type="dxa"/>
            <w:vAlign w:val="top"/>
          </w:tcPr>
          <w:p w14:paraId="73062237">
            <w:pPr>
              <w:spacing w:before="46" w:line="230" w:lineRule="auto"/>
              <w:ind w:left="631"/>
              <w:rPr>
                <w:rFonts w:ascii="Times New Roman" w:hAnsi="Times New Roman" w:eastAsia="Times New Roman" w:cs="Times New Roman"/>
                <w:sz w:val="20"/>
                <w:szCs w:val="20"/>
              </w:rPr>
            </w:pPr>
            <w:r>
              <w:rPr>
                <w:rFonts w:ascii="宋体" w:hAnsi="宋体" w:eastAsia="宋体" w:cs="宋体"/>
                <w:spacing w:val="1"/>
                <w:sz w:val="20"/>
                <w:szCs w:val="20"/>
              </w:rPr>
              <w:t>张</w:t>
            </w:r>
            <w:r>
              <w:rPr>
                <w:rFonts w:ascii="Times New Roman" w:hAnsi="Times New Roman" w:eastAsia="Times New Roman" w:cs="Times New Roman"/>
                <w:spacing w:val="1"/>
                <w:sz w:val="20"/>
                <w:szCs w:val="20"/>
              </w:rPr>
              <w:t>/a</w:t>
            </w:r>
          </w:p>
        </w:tc>
        <w:tc>
          <w:tcPr>
            <w:tcW w:w="2074" w:type="dxa"/>
            <w:vAlign w:val="top"/>
          </w:tcPr>
          <w:p w14:paraId="68629B32">
            <w:pPr>
              <w:spacing w:before="45" w:line="233"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3000</w:t>
            </w:r>
            <w:r>
              <w:rPr>
                <w:rFonts w:ascii="Times New Roman" w:hAnsi="Times New Roman" w:eastAsia="Times New Roman" w:cs="Times New Roman"/>
                <w:spacing w:val="-22"/>
                <w:sz w:val="20"/>
                <w:szCs w:val="20"/>
              </w:rPr>
              <w:t xml:space="preserve"> </w:t>
            </w:r>
            <w:r>
              <w:rPr>
                <w:rFonts w:ascii="宋体" w:hAnsi="宋体" w:eastAsia="宋体" w:cs="宋体"/>
                <w:spacing w:val="2"/>
                <w:sz w:val="20"/>
                <w:szCs w:val="20"/>
              </w:rPr>
              <w:t>，约</w:t>
            </w:r>
            <w:r>
              <w:rPr>
                <w:rFonts w:ascii="宋体" w:hAnsi="宋体" w:eastAsia="宋体" w:cs="宋体"/>
                <w:spacing w:val="-43"/>
                <w:sz w:val="20"/>
                <w:szCs w:val="20"/>
              </w:rPr>
              <w:t xml:space="preserve"> </w:t>
            </w:r>
            <w:r>
              <w:rPr>
                <w:rFonts w:ascii="Times New Roman" w:hAnsi="Times New Roman" w:eastAsia="Times New Roman" w:cs="Times New Roman"/>
                <w:spacing w:val="2"/>
                <w:sz w:val="20"/>
                <w:szCs w:val="20"/>
              </w:rPr>
              <w:t>259m³</w:t>
            </w:r>
          </w:p>
        </w:tc>
        <w:tc>
          <w:tcPr>
            <w:tcW w:w="1616" w:type="dxa"/>
            <w:vAlign w:val="top"/>
          </w:tcPr>
          <w:p w14:paraId="06BB496F">
            <w:pPr>
              <w:rPr>
                <w:rFonts w:ascii="Arial"/>
                <w:sz w:val="21"/>
              </w:rPr>
            </w:pPr>
          </w:p>
        </w:tc>
        <w:tc>
          <w:tcPr>
            <w:tcW w:w="125" w:type="dxa"/>
            <w:tcBorders>
              <w:top w:val="nil"/>
              <w:bottom w:val="nil"/>
              <w:right w:val="single" w:color="000000" w:sz="6" w:space="0"/>
            </w:tcBorders>
            <w:vAlign w:val="top"/>
          </w:tcPr>
          <w:p w14:paraId="0B2F8932">
            <w:pPr>
              <w:rPr>
                <w:rFonts w:ascii="Arial"/>
                <w:sz w:val="21"/>
              </w:rPr>
            </w:pPr>
          </w:p>
        </w:tc>
      </w:tr>
      <w:tr w14:paraId="51FAD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1A5D8DDF">
            <w:pPr>
              <w:rPr>
                <w:rFonts w:ascii="Arial"/>
                <w:sz w:val="21"/>
              </w:rPr>
            </w:pPr>
          </w:p>
        </w:tc>
        <w:tc>
          <w:tcPr>
            <w:tcW w:w="113" w:type="dxa"/>
            <w:tcBorders>
              <w:top w:val="nil"/>
              <w:bottom w:val="nil"/>
            </w:tcBorders>
            <w:vAlign w:val="top"/>
          </w:tcPr>
          <w:p w14:paraId="6B17C502">
            <w:pPr>
              <w:rPr>
                <w:rFonts w:ascii="Arial"/>
                <w:sz w:val="21"/>
              </w:rPr>
            </w:pPr>
          </w:p>
        </w:tc>
        <w:tc>
          <w:tcPr>
            <w:tcW w:w="895" w:type="dxa"/>
            <w:vMerge w:val="continue"/>
            <w:tcBorders>
              <w:top w:val="nil"/>
              <w:bottom w:val="nil"/>
            </w:tcBorders>
            <w:vAlign w:val="top"/>
          </w:tcPr>
          <w:p w14:paraId="6B810E6C">
            <w:pPr>
              <w:rPr>
                <w:rFonts w:ascii="Arial"/>
                <w:sz w:val="21"/>
              </w:rPr>
            </w:pPr>
          </w:p>
        </w:tc>
        <w:tc>
          <w:tcPr>
            <w:tcW w:w="2205" w:type="dxa"/>
            <w:vAlign w:val="top"/>
          </w:tcPr>
          <w:p w14:paraId="676DF783">
            <w:pPr>
              <w:spacing w:before="46" w:line="228" w:lineRule="auto"/>
              <w:ind w:left="893"/>
              <w:rPr>
                <w:rFonts w:ascii="宋体" w:hAnsi="宋体" w:eastAsia="宋体" w:cs="宋体"/>
                <w:sz w:val="20"/>
                <w:szCs w:val="20"/>
              </w:rPr>
            </w:pPr>
            <w:r>
              <w:rPr>
                <w:rFonts w:ascii="宋体" w:hAnsi="宋体" w:eastAsia="宋体" w:cs="宋体"/>
                <w:spacing w:val="4"/>
                <w:sz w:val="20"/>
                <w:szCs w:val="20"/>
              </w:rPr>
              <w:t>木皮</w:t>
            </w:r>
          </w:p>
        </w:tc>
        <w:tc>
          <w:tcPr>
            <w:tcW w:w="1608" w:type="dxa"/>
            <w:vAlign w:val="top"/>
          </w:tcPr>
          <w:p w14:paraId="282A91AC">
            <w:pPr>
              <w:spacing w:before="45" w:line="230" w:lineRule="auto"/>
              <w:ind w:left="631"/>
              <w:rPr>
                <w:rFonts w:ascii="Times New Roman" w:hAnsi="Times New Roman" w:eastAsia="Times New Roman" w:cs="Times New Roman"/>
                <w:sz w:val="20"/>
                <w:szCs w:val="20"/>
              </w:rPr>
            </w:pPr>
            <w:r>
              <w:rPr>
                <w:rFonts w:ascii="宋体" w:hAnsi="宋体" w:eastAsia="宋体" w:cs="宋体"/>
                <w:spacing w:val="1"/>
                <w:sz w:val="20"/>
                <w:szCs w:val="20"/>
              </w:rPr>
              <w:t>张</w:t>
            </w:r>
            <w:r>
              <w:rPr>
                <w:rFonts w:ascii="Times New Roman" w:hAnsi="Times New Roman" w:eastAsia="Times New Roman" w:cs="Times New Roman"/>
                <w:spacing w:val="1"/>
                <w:sz w:val="20"/>
                <w:szCs w:val="20"/>
              </w:rPr>
              <w:t>/a</w:t>
            </w:r>
          </w:p>
        </w:tc>
        <w:tc>
          <w:tcPr>
            <w:tcW w:w="2074" w:type="dxa"/>
            <w:vAlign w:val="top"/>
          </w:tcPr>
          <w:p w14:paraId="63F7160C">
            <w:pPr>
              <w:spacing w:before="88" w:line="195" w:lineRule="auto"/>
              <w:ind w:left="85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1500</w:t>
            </w:r>
          </w:p>
        </w:tc>
        <w:tc>
          <w:tcPr>
            <w:tcW w:w="1616" w:type="dxa"/>
            <w:vAlign w:val="top"/>
          </w:tcPr>
          <w:p w14:paraId="726D44AB">
            <w:pPr>
              <w:rPr>
                <w:rFonts w:ascii="Arial"/>
                <w:sz w:val="21"/>
              </w:rPr>
            </w:pPr>
          </w:p>
        </w:tc>
        <w:tc>
          <w:tcPr>
            <w:tcW w:w="125" w:type="dxa"/>
            <w:tcBorders>
              <w:top w:val="nil"/>
              <w:bottom w:val="nil"/>
              <w:right w:val="single" w:color="000000" w:sz="6" w:space="0"/>
            </w:tcBorders>
            <w:vAlign w:val="top"/>
          </w:tcPr>
          <w:p w14:paraId="7B778443">
            <w:pPr>
              <w:rPr>
                <w:rFonts w:ascii="Arial"/>
                <w:sz w:val="21"/>
              </w:rPr>
            </w:pPr>
          </w:p>
        </w:tc>
      </w:tr>
      <w:tr w14:paraId="0FAA8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2E770151">
            <w:pPr>
              <w:rPr>
                <w:rFonts w:ascii="Arial"/>
                <w:sz w:val="21"/>
              </w:rPr>
            </w:pPr>
          </w:p>
        </w:tc>
        <w:tc>
          <w:tcPr>
            <w:tcW w:w="113" w:type="dxa"/>
            <w:tcBorders>
              <w:top w:val="nil"/>
              <w:bottom w:val="nil"/>
            </w:tcBorders>
            <w:vAlign w:val="top"/>
          </w:tcPr>
          <w:p w14:paraId="784081BC">
            <w:pPr>
              <w:rPr>
                <w:rFonts w:ascii="Arial"/>
                <w:sz w:val="21"/>
              </w:rPr>
            </w:pPr>
          </w:p>
        </w:tc>
        <w:tc>
          <w:tcPr>
            <w:tcW w:w="895" w:type="dxa"/>
            <w:vMerge w:val="continue"/>
            <w:tcBorders>
              <w:top w:val="nil"/>
              <w:bottom w:val="nil"/>
            </w:tcBorders>
            <w:vAlign w:val="top"/>
          </w:tcPr>
          <w:p w14:paraId="57C044D7">
            <w:pPr>
              <w:rPr>
                <w:rFonts w:ascii="Arial"/>
                <w:sz w:val="21"/>
              </w:rPr>
            </w:pPr>
          </w:p>
        </w:tc>
        <w:tc>
          <w:tcPr>
            <w:tcW w:w="2205" w:type="dxa"/>
            <w:vAlign w:val="top"/>
          </w:tcPr>
          <w:p w14:paraId="54D8E94C">
            <w:pPr>
              <w:spacing w:before="48" w:line="228" w:lineRule="auto"/>
              <w:ind w:left="894"/>
              <w:rPr>
                <w:rFonts w:ascii="宋体" w:hAnsi="宋体" w:eastAsia="宋体" w:cs="宋体"/>
                <w:sz w:val="20"/>
                <w:szCs w:val="20"/>
              </w:rPr>
            </w:pPr>
            <w:r>
              <w:rPr>
                <w:rFonts w:ascii="宋体" w:hAnsi="宋体" w:eastAsia="宋体" w:cs="宋体"/>
                <w:spacing w:val="3"/>
                <w:sz w:val="20"/>
                <w:szCs w:val="20"/>
              </w:rPr>
              <w:t>纸皮</w:t>
            </w:r>
          </w:p>
        </w:tc>
        <w:tc>
          <w:tcPr>
            <w:tcW w:w="1608" w:type="dxa"/>
            <w:vAlign w:val="top"/>
          </w:tcPr>
          <w:p w14:paraId="614ACBC5">
            <w:pPr>
              <w:spacing w:before="136" w:line="141" w:lineRule="exact"/>
              <w:ind w:left="721"/>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m</w:t>
            </w:r>
          </w:p>
        </w:tc>
        <w:tc>
          <w:tcPr>
            <w:tcW w:w="2074" w:type="dxa"/>
            <w:vAlign w:val="top"/>
          </w:tcPr>
          <w:p w14:paraId="0DBEAC6D">
            <w:pPr>
              <w:spacing w:before="90" w:line="195" w:lineRule="auto"/>
              <w:ind w:left="77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24000</w:t>
            </w:r>
          </w:p>
        </w:tc>
        <w:tc>
          <w:tcPr>
            <w:tcW w:w="1616" w:type="dxa"/>
            <w:vAlign w:val="top"/>
          </w:tcPr>
          <w:p w14:paraId="7251C8A2">
            <w:pPr>
              <w:rPr>
                <w:rFonts w:ascii="Arial"/>
                <w:sz w:val="21"/>
              </w:rPr>
            </w:pPr>
          </w:p>
        </w:tc>
        <w:tc>
          <w:tcPr>
            <w:tcW w:w="125" w:type="dxa"/>
            <w:tcBorders>
              <w:top w:val="nil"/>
              <w:bottom w:val="nil"/>
              <w:right w:val="single" w:color="000000" w:sz="6" w:space="0"/>
            </w:tcBorders>
            <w:vAlign w:val="top"/>
          </w:tcPr>
          <w:p w14:paraId="1D13D68A">
            <w:pPr>
              <w:rPr>
                <w:rFonts w:ascii="Arial"/>
                <w:sz w:val="21"/>
              </w:rPr>
            </w:pPr>
          </w:p>
        </w:tc>
      </w:tr>
      <w:tr w14:paraId="64230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3DE3456D">
            <w:pPr>
              <w:rPr>
                <w:rFonts w:ascii="Arial"/>
                <w:sz w:val="21"/>
              </w:rPr>
            </w:pPr>
          </w:p>
        </w:tc>
        <w:tc>
          <w:tcPr>
            <w:tcW w:w="113" w:type="dxa"/>
            <w:tcBorders>
              <w:top w:val="nil"/>
              <w:bottom w:val="nil"/>
            </w:tcBorders>
            <w:vAlign w:val="top"/>
          </w:tcPr>
          <w:p w14:paraId="3A1A383A">
            <w:pPr>
              <w:rPr>
                <w:rFonts w:ascii="Arial"/>
                <w:sz w:val="21"/>
              </w:rPr>
            </w:pPr>
          </w:p>
        </w:tc>
        <w:tc>
          <w:tcPr>
            <w:tcW w:w="895" w:type="dxa"/>
            <w:vMerge w:val="continue"/>
            <w:tcBorders>
              <w:top w:val="nil"/>
              <w:bottom w:val="nil"/>
            </w:tcBorders>
            <w:vAlign w:val="top"/>
          </w:tcPr>
          <w:p w14:paraId="79A5D3F1">
            <w:pPr>
              <w:rPr>
                <w:rFonts w:ascii="Arial"/>
                <w:sz w:val="21"/>
              </w:rPr>
            </w:pPr>
          </w:p>
        </w:tc>
        <w:tc>
          <w:tcPr>
            <w:tcW w:w="2205" w:type="dxa"/>
            <w:vAlign w:val="top"/>
          </w:tcPr>
          <w:p w14:paraId="702B5C0B">
            <w:pPr>
              <w:spacing w:before="47" w:line="227" w:lineRule="auto"/>
              <w:ind w:left="794"/>
              <w:rPr>
                <w:rFonts w:ascii="宋体" w:hAnsi="宋体" w:eastAsia="宋体" w:cs="宋体"/>
                <w:sz w:val="20"/>
                <w:szCs w:val="20"/>
              </w:rPr>
            </w:pPr>
            <w:r>
              <w:rPr>
                <w:rFonts w:ascii="宋体" w:hAnsi="宋体" w:eastAsia="宋体" w:cs="宋体"/>
                <w:spacing w:val="5"/>
                <w:sz w:val="20"/>
                <w:szCs w:val="20"/>
              </w:rPr>
              <w:t>免漆板</w:t>
            </w:r>
          </w:p>
        </w:tc>
        <w:tc>
          <w:tcPr>
            <w:tcW w:w="1608" w:type="dxa"/>
            <w:vAlign w:val="top"/>
          </w:tcPr>
          <w:p w14:paraId="0848BC6B">
            <w:pPr>
              <w:spacing w:before="47" w:line="230" w:lineRule="auto"/>
              <w:ind w:left="631"/>
              <w:rPr>
                <w:rFonts w:ascii="Times New Roman" w:hAnsi="Times New Roman" w:eastAsia="Times New Roman" w:cs="Times New Roman"/>
                <w:sz w:val="20"/>
                <w:szCs w:val="20"/>
              </w:rPr>
            </w:pPr>
            <w:r>
              <w:rPr>
                <w:rFonts w:ascii="宋体" w:hAnsi="宋体" w:eastAsia="宋体" w:cs="宋体"/>
                <w:spacing w:val="1"/>
                <w:sz w:val="20"/>
                <w:szCs w:val="20"/>
              </w:rPr>
              <w:t>张</w:t>
            </w:r>
            <w:r>
              <w:rPr>
                <w:rFonts w:ascii="Times New Roman" w:hAnsi="Times New Roman" w:eastAsia="Times New Roman" w:cs="Times New Roman"/>
                <w:spacing w:val="1"/>
                <w:sz w:val="20"/>
                <w:szCs w:val="20"/>
              </w:rPr>
              <w:t>/a</w:t>
            </w:r>
          </w:p>
        </w:tc>
        <w:tc>
          <w:tcPr>
            <w:tcW w:w="2074" w:type="dxa"/>
            <w:vAlign w:val="top"/>
          </w:tcPr>
          <w:p w14:paraId="5F10C23F">
            <w:pPr>
              <w:spacing w:before="90" w:line="195" w:lineRule="auto"/>
              <w:ind w:left="8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3500</w:t>
            </w:r>
          </w:p>
        </w:tc>
        <w:tc>
          <w:tcPr>
            <w:tcW w:w="1616" w:type="dxa"/>
            <w:vAlign w:val="top"/>
          </w:tcPr>
          <w:p w14:paraId="6060D05F">
            <w:pPr>
              <w:rPr>
                <w:rFonts w:ascii="Arial"/>
                <w:sz w:val="21"/>
              </w:rPr>
            </w:pPr>
          </w:p>
        </w:tc>
        <w:tc>
          <w:tcPr>
            <w:tcW w:w="125" w:type="dxa"/>
            <w:tcBorders>
              <w:top w:val="nil"/>
              <w:bottom w:val="nil"/>
              <w:right w:val="single" w:color="000000" w:sz="6" w:space="0"/>
            </w:tcBorders>
            <w:vAlign w:val="top"/>
          </w:tcPr>
          <w:p w14:paraId="4A89A87A">
            <w:pPr>
              <w:rPr>
                <w:rFonts w:ascii="Arial"/>
                <w:sz w:val="21"/>
              </w:rPr>
            </w:pPr>
          </w:p>
        </w:tc>
      </w:tr>
      <w:tr w14:paraId="3929D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23340FF0">
            <w:pPr>
              <w:rPr>
                <w:rFonts w:ascii="Arial"/>
                <w:sz w:val="21"/>
              </w:rPr>
            </w:pPr>
          </w:p>
        </w:tc>
        <w:tc>
          <w:tcPr>
            <w:tcW w:w="113" w:type="dxa"/>
            <w:tcBorders>
              <w:top w:val="nil"/>
              <w:bottom w:val="nil"/>
            </w:tcBorders>
            <w:vAlign w:val="top"/>
          </w:tcPr>
          <w:p w14:paraId="193A1341">
            <w:pPr>
              <w:rPr>
                <w:rFonts w:ascii="Arial"/>
                <w:sz w:val="21"/>
              </w:rPr>
            </w:pPr>
          </w:p>
        </w:tc>
        <w:tc>
          <w:tcPr>
            <w:tcW w:w="895" w:type="dxa"/>
            <w:vMerge w:val="continue"/>
            <w:tcBorders>
              <w:top w:val="nil"/>
              <w:bottom w:val="nil"/>
            </w:tcBorders>
            <w:vAlign w:val="top"/>
          </w:tcPr>
          <w:p w14:paraId="62110F78">
            <w:pPr>
              <w:rPr>
                <w:rFonts w:ascii="Arial"/>
                <w:sz w:val="21"/>
              </w:rPr>
            </w:pPr>
          </w:p>
        </w:tc>
        <w:tc>
          <w:tcPr>
            <w:tcW w:w="2205" w:type="dxa"/>
            <w:vAlign w:val="top"/>
          </w:tcPr>
          <w:p w14:paraId="3C7770AA">
            <w:pPr>
              <w:spacing w:before="49" w:line="228" w:lineRule="auto"/>
              <w:ind w:left="819"/>
              <w:rPr>
                <w:rFonts w:ascii="宋体" w:hAnsi="宋体" w:eastAsia="宋体" w:cs="宋体"/>
                <w:sz w:val="20"/>
                <w:szCs w:val="20"/>
              </w:rPr>
            </w:pPr>
            <w:r>
              <w:rPr>
                <w:rFonts w:ascii="宋体" w:hAnsi="宋体" w:eastAsia="宋体" w:cs="宋体"/>
                <w:spacing w:val="-4"/>
                <w:sz w:val="20"/>
                <w:szCs w:val="20"/>
              </w:rPr>
              <w:t>白乳胶</w:t>
            </w:r>
          </w:p>
        </w:tc>
        <w:tc>
          <w:tcPr>
            <w:tcW w:w="1608" w:type="dxa"/>
            <w:vAlign w:val="top"/>
          </w:tcPr>
          <w:p w14:paraId="2E2DB35F">
            <w:pPr>
              <w:spacing w:before="86" w:line="199" w:lineRule="auto"/>
              <w:ind w:left="6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t/a</w:t>
            </w:r>
          </w:p>
        </w:tc>
        <w:tc>
          <w:tcPr>
            <w:tcW w:w="2074" w:type="dxa"/>
            <w:vAlign w:val="top"/>
          </w:tcPr>
          <w:p w14:paraId="2FEA9E81">
            <w:pPr>
              <w:spacing w:before="93" w:line="192" w:lineRule="auto"/>
              <w:ind w:left="993"/>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616" w:type="dxa"/>
            <w:vAlign w:val="top"/>
          </w:tcPr>
          <w:p w14:paraId="6E2603D2">
            <w:pPr>
              <w:rPr>
                <w:rFonts w:ascii="Arial"/>
                <w:sz w:val="21"/>
              </w:rPr>
            </w:pPr>
          </w:p>
        </w:tc>
        <w:tc>
          <w:tcPr>
            <w:tcW w:w="125" w:type="dxa"/>
            <w:tcBorders>
              <w:top w:val="nil"/>
              <w:bottom w:val="nil"/>
              <w:right w:val="single" w:color="000000" w:sz="6" w:space="0"/>
            </w:tcBorders>
            <w:vAlign w:val="top"/>
          </w:tcPr>
          <w:p w14:paraId="72B9332A">
            <w:pPr>
              <w:rPr>
                <w:rFonts w:ascii="Arial"/>
                <w:sz w:val="21"/>
              </w:rPr>
            </w:pPr>
          </w:p>
        </w:tc>
      </w:tr>
      <w:tr w14:paraId="26AC15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6CD46E3A">
            <w:pPr>
              <w:rPr>
                <w:rFonts w:ascii="Arial"/>
                <w:sz w:val="21"/>
              </w:rPr>
            </w:pPr>
          </w:p>
        </w:tc>
        <w:tc>
          <w:tcPr>
            <w:tcW w:w="113" w:type="dxa"/>
            <w:tcBorders>
              <w:top w:val="nil"/>
              <w:bottom w:val="nil"/>
            </w:tcBorders>
            <w:vAlign w:val="top"/>
          </w:tcPr>
          <w:p w14:paraId="196719EF">
            <w:pPr>
              <w:rPr>
                <w:rFonts w:ascii="Arial"/>
                <w:sz w:val="21"/>
              </w:rPr>
            </w:pPr>
          </w:p>
        </w:tc>
        <w:tc>
          <w:tcPr>
            <w:tcW w:w="895" w:type="dxa"/>
            <w:vMerge w:val="continue"/>
            <w:tcBorders>
              <w:top w:val="nil"/>
              <w:bottom w:val="nil"/>
            </w:tcBorders>
            <w:vAlign w:val="top"/>
          </w:tcPr>
          <w:p w14:paraId="4ABF8C16">
            <w:pPr>
              <w:rPr>
                <w:rFonts w:ascii="Arial"/>
                <w:sz w:val="21"/>
              </w:rPr>
            </w:pPr>
          </w:p>
        </w:tc>
        <w:tc>
          <w:tcPr>
            <w:tcW w:w="2205" w:type="dxa"/>
            <w:vAlign w:val="top"/>
          </w:tcPr>
          <w:p w14:paraId="5A1D90EC">
            <w:pPr>
              <w:spacing w:before="48" w:line="227" w:lineRule="auto"/>
              <w:ind w:left="807"/>
              <w:rPr>
                <w:rFonts w:ascii="宋体" w:hAnsi="宋体" w:eastAsia="宋体" w:cs="宋体"/>
                <w:sz w:val="20"/>
                <w:szCs w:val="20"/>
              </w:rPr>
            </w:pPr>
            <w:r>
              <w:rPr>
                <w:rFonts w:ascii="宋体" w:hAnsi="宋体" w:eastAsia="宋体" w:cs="宋体"/>
                <w:sz w:val="20"/>
                <w:szCs w:val="20"/>
              </w:rPr>
              <w:t>固化剂</w:t>
            </w:r>
          </w:p>
        </w:tc>
        <w:tc>
          <w:tcPr>
            <w:tcW w:w="1608" w:type="dxa"/>
            <w:vAlign w:val="top"/>
          </w:tcPr>
          <w:p w14:paraId="29C39B04">
            <w:pPr>
              <w:spacing w:before="88" w:line="199" w:lineRule="auto"/>
              <w:ind w:left="6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t/a</w:t>
            </w:r>
          </w:p>
        </w:tc>
        <w:tc>
          <w:tcPr>
            <w:tcW w:w="2074" w:type="dxa"/>
            <w:vAlign w:val="top"/>
          </w:tcPr>
          <w:p w14:paraId="237D813A">
            <w:pPr>
              <w:spacing w:before="92" w:line="195" w:lineRule="auto"/>
              <w:ind w:left="100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616" w:type="dxa"/>
            <w:vAlign w:val="top"/>
          </w:tcPr>
          <w:p w14:paraId="2E1F1130">
            <w:pPr>
              <w:rPr>
                <w:rFonts w:ascii="Arial"/>
                <w:sz w:val="21"/>
              </w:rPr>
            </w:pPr>
          </w:p>
        </w:tc>
        <w:tc>
          <w:tcPr>
            <w:tcW w:w="125" w:type="dxa"/>
            <w:tcBorders>
              <w:top w:val="nil"/>
              <w:bottom w:val="nil"/>
              <w:right w:val="single" w:color="000000" w:sz="6" w:space="0"/>
            </w:tcBorders>
            <w:vAlign w:val="top"/>
          </w:tcPr>
          <w:p w14:paraId="4744379D">
            <w:pPr>
              <w:rPr>
                <w:rFonts w:ascii="Arial"/>
                <w:sz w:val="21"/>
              </w:rPr>
            </w:pPr>
          </w:p>
        </w:tc>
      </w:tr>
      <w:tr w14:paraId="31C89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6E423812">
            <w:pPr>
              <w:rPr>
                <w:rFonts w:ascii="Arial"/>
                <w:sz w:val="21"/>
              </w:rPr>
            </w:pPr>
          </w:p>
        </w:tc>
        <w:tc>
          <w:tcPr>
            <w:tcW w:w="113" w:type="dxa"/>
            <w:tcBorders>
              <w:top w:val="nil"/>
              <w:bottom w:val="nil"/>
            </w:tcBorders>
            <w:vAlign w:val="top"/>
          </w:tcPr>
          <w:p w14:paraId="2D88F744">
            <w:pPr>
              <w:rPr>
                <w:rFonts w:ascii="Arial"/>
                <w:sz w:val="21"/>
              </w:rPr>
            </w:pPr>
          </w:p>
        </w:tc>
        <w:tc>
          <w:tcPr>
            <w:tcW w:w="895" w:type="dxa"/>
            <w:vMerge w:val="continue"/>
            <w:tcBorders>
              <w:top w:val="nil"/>
              <w:bottom w:val="nil"/>
            </w:tcBorders>
            <w:vAlign w:val="top"/>
          </w:tcPr>
          <w:p w14:paraId="197C1B48">
            <w:pPr>
              <w:rPr>
                <w:rFonts w:ascii="Arial"/>
                <w:sz w:val="21"/>
              </w:rPr>
            </w:pPr>
          </w:p>
        </w:tc>
        <w:tc>
          <w:tcPr>
            <w:tcW w:w="2205" w:type="dxa"/>
            <w:vAlign w:val="top"/>
          </w:tcPr>
          <w:p w14:paraId="3FFE5969">
            <w:pPr>
              <w:spacing w:before="48" w:line="228" w:lineRule="auto"/>
              <w:ind w:left="687"/>
              <w:rPr>
                <w:rFonts w:ascii="宋体" w:hAnsi="宋体" w:eastAsia="宋体" w:cs="宋体"/>
                <w:sz w:val="20"/>
                <w:szCs w:val="20"/>
              </w:rPr>
            </w:pPr>
            <w:r>
              <w:rPr>
                <w:rFonts w:ascii="宋体" w:hAnsi="宋体" w:eastAsia="宋体" w:cs="宋体"/>
                <w:spacing w:val="6"/>
                <w:sz w:val="20"/>
                <w:szCs w:val="20"/>
              </w:rPr>
              <w:t>五金配件</w:t>
            </w:r>
          </w:p>
        </w:tc>
        <w:tc>
          <w:tcPr>
            <w:tcW w:w="1608" w:type="dxa"/>
            <w:vAlign w:val="top"/>
          </w:tcPr>
          <w:p w14:paraId="168FB448">
            <w:pPr>
              <w:spacing w:before="87" w:line="199" w:lineRule="auto"/>
              <w:ind w:left="6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t/a</w:t>
            </w:r>
          </w:p>
        </w:tc>
        <w:tc>
          <w:tcPr>
            <w:tcW w:w="2074" w:type="dxa"/>
            <w:vAlign w:val="top"/>
          </w:tcPr>
          <w:p w14:paraId="77332C85">
            <w:pPr>
              <w:spacing w:before="91" w:line="195" w:lineRule="auto"/>
              <w:ind w:left="100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616" w:type="dxa"/>
            <w:vAlign w:val="top"/>
          </w:tcPr>
          <w:p w14:paraId="662C3451">
            <w:pPr>
              <w:rPr>
                <w:rFonts w:ascii="Arial"/>
                <w:sz w:val="21"/>
              </w:rPr>
            </w:pPr>
          </w:p>
        </w:tc>
        <w:tc>
          <w:tcPr>
            <w:tcW w:w="125" w:type="dxa"/>
            <w:tcBorders>
              <w:top w:val="nil"/>
              <w:bottom w:val="nil"/>
              <w:right w:val="single" w:color="000000" w:sz="6" w:space="0"/>
            </w:tcBorders>
            <w:vAlign w:val="top"/>
          </w:tcPr>
          <w:p w14:paraId="54E926DE">
            <w:pPr>
              <w:rPr>
                <w:rFonts w:ascii="Arial"/>
                <w:sz w:val="21"/>
              </w:rPr>
            </w:pPr>
          </w:p>
        </w:tc>
      </w:tr>
      <w:tr w14:paraId="7D56F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428" w:type="dxa"/>
            <w:vMerge w:val="continue"/>
            <w:tcBorders>
              <w:top w:val="nil"/>
              <w:left w:val="single" w:color="000000" w:sz="6" w:space="0"/>
              <w:bottom w:val="nil"/>
            </w:tcBorders>
            <w:vAlign w:val="top"/>
          </w:tcPr>
          <w:p w14:paraId="08318F77">
            <w:pPr>
              <w:rPr>
                <w:rFonts w:ascii="Arial"/>
                <w:sz w:val="21"/>
              </w:rPr>
            </w:pPr>
          </w:p>
        </w:tc>
        <w:tc>
          <w:tcPr>
            <w:tcW w:w="113" w:type="dxa"/>
            <w:tcBorders>
              <w:top w:val="nil"/>
              <w:bottom w:val="nil"/>
            </w:tcBorders>
            <w:vAlign w:val="top"/>
          </w:tcPr>
          <w:p w14:paraId="60EAF9EB">
            <w:pPr>
              <w:rPr>
                <w:rFonts w:ascii="Arial"/>
                <w:sz w:val="21"/>
              </w:rPr>
            </w:pPr>
          </w:p>
        </w:tc>
        <w:tc>
          <w:tcPr>
            <w:tcW w:w="895" w:type="dxa"/>
            <w:vMerge w:val="continue"/>
            <w:tcBorders>
              <w:top w:val="nil"/>
              <w:bottom w:val="nil"/>
            </w:tcBorders>
            <w:vAlign w:val="top"/>
          </w:tcPr>
          <w:p w14:paraId="1DDECA68">
            <w:pPr>
              <w:rPr>
                <w:rFonts w:ascii="Arial"/>
                <w:sz w:val="21"/>
              </w:rPr>
            </w:pPr>
          </w:p>
        </w:tc>
        <w:tc>
          <w:tcPr>
            <w:tcW w:w="2205" w:type="dxa"/>
            <w:vAlign w:val="top"/>
          </w:tcPr>
          <w:p w14:paraId="75C5E7E4">
            <w:pPr>
              <w:spacing w:before="48" w:line="227" w:lineRule="auto"/>
              <w:ind w:left="683"/>
              <w:rPr>
                <w:rFonts w:ascii="宋体" w:hAnsi="宋体" w:eastAsia="宋体" w:cs="宋体"/>
                <w:sz w:val="20"/>
                <w:szCs w:val="20"/>
              </w:rPr>
            </w:pPr>
            <w:r>
              <w:rPr>
                <w:rFonts w:ascii="宋体" w:hAnsi="宋体" w:eastAsia="宋体" w:cs="宋体"/>
                <w:spacing w:val="7"/>
                <w:sz w:val="20"/>
                <w:szCs w:val="20"/>
              </w:rPr>
              <w:t>包装材料</w:t>
            </w:r>
          </w:p>
        </w:tc>
        <w:tc>
          <w:tcPr>
            <w:tcW w:w="1608" w:type="dxa"/>
            <w:vAlign w:val="top"/>
          </w:tcPr>
          <w:p w14:paraId="3009176D">
            <w:pPr>
              <w:spacing w:before="91" w:line="195" w:lineRule="auto"/>
              <w:ind w:left="69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m²</w:t>
            </w:r>
          </w:p>
        </w:tc>
        <w:tc>
          <w:tcPr>
            <w:tcW w:w="2074" w:type="dxa"/>
            <w:vAlign w:val="top"/>
          </w:tcPr>
          <w:p w14:paraId="23DAAD5C">
            <w:pPr>
              <w:spacing w:before="91" w:line="195" w:lineRule="auto"/>
              <w:ind w:left="799"/>
              <w:rPr>
                <w:rFonts w:ascii="Times New Roman" w:hAnsi="Times New Roman" w:eastAsia="Times New Roman" w:cs="Times New Roman"/>
                <w:sz w:val="20"/>
                <w:szCs w:val="20"/>
              </w:rPr>
            </w:pPr>
            <w:r>
              <w:rPr>
                <w:rFonts w:ascii="Times New Roman" w:hAnsi="Times New Roman" w:eastAsia="Times New Roman" w:cs="Times New Roman"/>
                <w:sz w:val="20"/>
                <w:szCs w:val="20"/>
              </w:rPr>
              <w:t>15000</w:t>
            </w:r>
          </w:p>
        </w:tc>
        <w:tc>
          <w:tcPr>
            <w:tcW w:w="1616" w:type="dxa"/>
            <w:vAlign w:val="top"/>
          </w:tcPr>
          <w:p w14:paraId="5EB47E1B">
            <w:pPr>
              <w:rPr>
                <w:rFonts w:ascii="Arial"/>
                <w:sz w:val="21"/>
              </w:rPr>
            </w:pPr>
          </w:p>
        </w:tc>
        <w:tc>
          <w:tcPr>
            <w:tcW w:w="125" w:type="dxa"/>
            <w:tcBorders>
              <w:top w:val="nil"/>
              <w:bottom w:val="nil"/>
              <w:right w:val="single" w:color="000000" w:sz="6" w:space="0"/>
            </w:tcBorders>
            <w:vAlign w:val="top"/>
          </w:tcPr>
          <w:p w14:paraId="2B0E8248">
            <w:pPr>
              <w:rPr>
                <w:rFonts w:ascii="Arial"/>
                <w:sz w:val="21"/>
              </w:rPr>
            </w:pPr>
          </w:p>
        </w:tc>
      </w:tr>
      <w:tr w14:paraId="2D064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7971EC4D">
            <w:pPr>
              <w:rPr>
                <w:rFonts w:ascii="Arial"/>
                <w:sz w:val="21"/>
              </w:rPr>
            </w:pPr>
          </w:p>
        </w:tc>
        <w:tc>
          <w:tcPr>
            <w:tcW w:w="113" w:type="dxa"/>
            <w:tcBorders>
              <w:top w:val="nil"/>
              <w:bottom w:val="nil"/>
            </w:tcBorders>
            <w:vAlign w:val="top"/>
          </w:tcPr>
          <w:p w14:paraId="09F9EBB4">
            <w:pPr>
              <w:rPr>
                <w:rFonts w:ascii="Arial"/>
                <w:sz w:val="21"/>
              </w:rPr>
            </w:pPr>
          </w:p>
        </w:tc>
        <w:tc>
          <w:tcPr>
            <w:tcW w:w="895" w:type="dxa"/>
            <w:vMerge w:val="continue"/>
            <w:tcBorders>
              <w:top w:val="nil"/>
              <w:bottom w:val="nil"/>
            </w:tcBorders>
            <w:vAlign w:val="top"/>
          </w:tcPr>
          <w:p w14:paraId="08AE617C">
            <w:pPr>
              <w:rPr>
                <w:rFonts w:ascii="Arial"/>
                <w:sz w:val="21"/>
              </w:rPr>
            </w:pPr>
          </w:p>
        </w:tc>
        <w:tc>
          <w:tcPr>
            <w:tcW w:w="2205" w:type="dxa"/>
            <w:vAlign w:val="top"/>
          </w:tcPr>
          <w:p w14:paraId="2DF6BF1E">
            <w:pPr>
              <w:spacing w:before="50" w:line="228" w:lineRule="auto"/>
              <w:ind w:left="788"/>
              <w:rPr>
                <w:rFonts w:ascii="宋体" w:hAnsi="宋体" w:eastAsia="宋体" w:cs="宋体"/>
                <w:sz w:val="20"/>
                <w:szCs w:val="20"/>
              </w:rPr>
            </w:pPr>
            <w:r>
              <w:rPr>
                <w:rFonts w:ascii="宋体" w:hAnsi="宋体" w:eastAsia="宋体" w:cs="宋体"/>
                <w:spacing w:val="7"/>
                <w:sz w:val="20"/>
                <w:szCs w:val="20"/>
              </w:rPr>
              <w:t>封边条</w:t>
            </w:r>
          </w:p>
        </w:tc>
        <w:tc>
          <w:tcPr>
            <w:tcW w:w="1608" w:type="dxa"/>
            <w:vAlign w:val="top"/>
          </w:tcPr>
          <w:p w14:paraId="5C08D13A">
            <w:pPr>
              <w:spacing w:before="51" w:line="234" w:lineRule="auto"/>
              <w:ind w:left="628"/>
              <w:rPr>
                <w:rFonts w:ascii="Times New Roman" w:hAnsi="Times New Roman" w:eastAsia="Times New Roman" w:cs="Times New Roman"/>
                <w:sz w:val="20"/>
                <w:szCs w:val="20"/>
              </w:rPr>
            </w:pPr>
            <w:r>
              <w:rPr>
                <w:rFonts w:ascii="宋体" w:hAnsi="宋体" w:eastAsia="宋体" w:cs="宋体"/>
                <w:spacing w:val="2"/>
                <w:sz w:val="20"/>
                <w:szCs w:val="20"/>
              </w:rPr>
              <w:t>卷</w:t>
            </w:r>
            <w:r>
              <w:rPr>
                <w:rFonts w:ascii="Times New Roman" w:hAnsi="Times New Roman" w:eastAsia="Times New Roman" w:cs="Times New Roman"/>
                <w:spacing w:val="2"/>
                <w:sz w:val="20"/>
                <w:szCs w:val="20"/>
              </w:rPr>
              <w:t>/a</w:t>
            </w:r>
          </w:p>
        </w:tc>
        <w:tc>
          <w:tcPr>
            <w:tcW w:w="2074" w:type="dxa"/>
            <w:vAlign w:val="top"/>
          </w:tcPr>
          <w:p w14:paraId="5CA0203A">
            <w:pPr>
              <w:spacing w:before="94" w:line="195" w:lineRule="auto"/>
              <w:ind w:left="939"/>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c>
          <w:tcPr>
            <w:tcW w:w="1616" w:type="dxa"/>
            <w:vAlign w:val="top"/>
          </w:tcPr>
          <w:p w14:paraId="14EE4BA4">
            <w:pPr>
              <w:rPr>
                <w:rFonts w:ascii="Arial"/>
                <w:sz w:val="21"/>
              </w:rPr>
            </w:pPr>
          </w:p>
        </w:tc>
        <w:tc>
          <w:tcPr>
            <w:tcW w:w="125" w:type="dxa"/>
            <w:tcBorders>
              <w:top w:val="nil"/>
              <w:bottom w:val="nil"/>
              <w:right w:val="single" w:color="000000" w:sz="6" w:space="0"/>
            </w:tcBorders>
            <w:vAlign w:val="top"/>
          </w:tcPr>
          <w:p w14:paraId="5792AD1D">
            <w:pPr>
              <w:rPr>
                <w:rFonts w:ascii="Arial"/>
                <w:sz w:val="21"/>
              </w:rPr>
            </w:pPr>
          </w:p>
        </w:tc>
      </w:tr>
      <w:tr w14:paraId="24639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4352DACF">
            <w:pPr>
              <w:rPr>
                <w:rFonts w:ascii="Arial"/>
                <w:sz w:val="21"/>
              </w:rPr>
            </w:pPr>
          </w:p>
        </w:tc>
        <w:tc>
          <w:tcPr>
            <w:tcW w:w="113" w:type="dxa"/>
            <w:tcBorders>
              <w:top w:val="nil"/>
              <w:bottom w:val="nil"/>
            </w:tcBorders>
            <w:vAlign w:val="top"/>
          </w:tcPr>
          <w:p w14:paraId="43545F4E">
            <w:pPr>
              <w:rPr>
                <w:rFonts w:ascii="Arial"/>
                <w:sz w:val="21"/>
              </w:rPr>
            </w:pPr>
          </w:p>
        </w:tc>
        <w:tc>
          <w:tcPr>
            <w:tcW w:w="895" w:type="dxa"/>
            <w:vMerge w:val="continue"/>
            <w:tcBorders>
              <w:top w:val="nil"/>
              <w:bottom w:val="nil"/>
            </w:tcBorders>
            <w:vAlign w:val="top"/>
          </w:tcPr>
          <w:p w14:paraId="375EC438">
            <w:pPr>
              <w:rPr>
                <w:rFonts w:ascii="Arial"/>
                <w:sz w:val="21"/>
              </w:rPr>
            </w:pPr>
          </w:p>
        </w:tc>
        <w:tc>
          <w:tcPr>
            <w:tcW w:w="2205" w:type="dxa"/>
            <w:vAlign w:val="top"/>
          </w:tcPr>
          <w:p w14:paraId="6DB9E90B">
            <w:pPr>
              <w:spacing w:before="50" w:line="228" w:lineRule="auto"/>
              <w:ind w:left="793"/>
              <w:rPr>
                <w:rFonts w:ascii="宋体" w:hAnsi="宋体" w:eastAsia="宋体" w:cs="宋体"/>
                <w:sz w:val="20"/>
                <w:szCs w:val="20"/>
              </w:rPr>
            </w:pPr>
            <w:r>
              <w:rPr>
                <w:rFonts w:ascii="宋体" w:hAnsi="宋体" w:eastAsia="宋体" w:cs="宋体"/>
                <w:spacing w:val="5"/>
                <w:sz w:val="20"/>
                <w:szCs w:val="20"/>
              </w:rPr>
              <w:t>热熔胶</w:t>
            </w:r>
          </w:p>
        </w:tc>
        <w:tc>
          <w:tcPr>
            <w:tcW w:w="1608" w:type="dxa"/>
            <w:vAlign w:val="top"/>
          </w:tcPr>
          <w:p w14:paraId="51E0D8D6">
            <w:pPr>
              <w:spacing w:before="90" w:line="199" w:lineRule="auto"/>
              <w:ind w:left="6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t/a</w:t>
            </w:r>
          </w:p>
        </w:tc>
        <w:tc>
          <w:tcPr>
            <w:tcW w:w="2074" w:type="dxa"/>
            <w:vAlign w:val="top"/>
          </w:tcPr>
          <w:p w14:paraId="2DBD8ECF">
            <w:pPr>
              <w:spacing w:before="93" w:line="195" w:lineRule="auto"/>
              <w:ind w:left="85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616" w:type="dxa"/>
            <w:vAlign w:val="top"/>
          </w:tcPr>
          <w:p w14:paraId="0DDC368A">
            <w:pPr>
              <w:rPr>
                <w:rFonts w:ascii="Arial"/>
                <w:sz w:val="21"/>
              </w:rPr>
            </w:pPr>
          </w:p>
        </w:tc>
        <w:tc>
          <w:tcPr>
            <w:tcW w:w="125" w:type="dxa"/>
            <w:tcBorders>
              <w:top w:val="nil"/>
              <w:bottom w:val="nil"/>
              <w:right w:val="single" w:color="000000" w:sz="6" w:space="0"/>
            </w:tcBorders>
            <w:vAlign w:val="top"/>
          </w:tcPr>
          <w:p w14:paraId="161E8DED">
            <w:pPr>
              <w:rPr>
                <w:rFonts w:ascii="Arial"/>
                <w:sz w:val="21"/>
              </w:rPr>
            </w:pPr>
          </w:p>
        </w:tc>
      </w:tr>
      <w:tr w14:paraId="36618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428" w:type="dxa"/>
            <w:vMerge w:val="continue"/>
            <w:tcBorders>
              <w:top w:val="nil"/>
              <w:left w:val="single" w:color="000000" w:sz="6" w:space="0"/>
              <w:bottom w:val="nil"/>
            </w:tcBorders>
            <w:vAlign w:val="top"/>
          </w:tcPr>
          <w:p w14:paraId="7C591F6C">
            <w:pPr>
              <w:rPr>
                <w:rFonts w:ascii="Arial"/>
                <w:sz w:val="21"/>
              </w:rPr>
            </w:pPr>
          </w:p>
        </w:tc>
        <w:tc>
          <w:tcPr>
            <w:tcW w:w="113" w:type="dxa"/>
            <w:tcBorders>
              <w:top w:val="nil"/>
              <w:bottom w:val="nil"/>
            </w:tcBorders>
            <w:vAlign w:val="top"/>
          </w:tcPr>
          <w:p w14:paraId="0010818E">
            <w:pPr>
              <w:rPr>
                <w:rFonts w:ascii="Arial"/>
                <w:sz w:val="21"/>
              </w:rPr>
            </w:pPr>
          </w:p>
        </w:tc>
        <w:tc>
          <w:tcPr>
            <w:tcW w:w="895" w:type="dxa"/>
            <w:vMerge w:val="continue"/>
            <w:tcBorders>
              <w:top w:val="nil"/>
            </w:tcBorders>
            <w:vAlign w:val="top"/>
          </w:tcPr>
          <w:p w14:paraId="2F3B87E2">
            <w:pPr>
              <w:rPr>
                <w:rFonts w:ascii="Arial"/>
                <w:sz w:val="21"/>
              </w:rPr>
            </w:pPr>
          </w:p>
        </w:tc>
        <w:tc>
          <w:tcPr>
            <w:tcW w:w="2205" w:type="dxa"/>
            <w:vAlign w:val="top"/>
          </w:tcPr>
          <w:p w14:paraId="3F3899AB">
            <w:pPr>
              <w:spacing w:before="52" w:line="231" w:lineRule="auto"/>
              <w:ind w:left="891"/>
              <w:rPr>
                <w:rFonts w:ascii="宋体" w:hAnsi="宋体" w:eastAsia="宋体" w:cs="宋体"/>
                <w:sz w:val="20"/>
                <w:szCs w:val="20"/>
              </w:rPr>
            </w:pPr>
            <w:r>
              <w:rPr>
                <w:rFonts w:ascii="宋体" w:hAnsi="宋体" w:eastAsia="宋体" w:cs="宋体"/>
                <w:spacing w:val="5"/>
                <w:sz w:val="20"/>
                <w:szCs w:val="20"/>
              </w:rPr>
              <w:t>砂纸</w:t>
            </w:r>
          </w:p>
        </w:tc>
        <w:tc>
          <w:tcPr>
            <w:tcW w:w="1608" w:type="dxa"/>
            <w:vAlign w:val="top"/>
          </w:tcPr>
          <w:p w14:paraId="523A247B">
            <w:pPr>
              <w:spacing w:before="52" w:line="230" w:lineRule="auto"/>
              <w:ind w:left="631"/>
              <w:rPr>
                <w:rFonts w:ascii="Times New Roman" w:hAnsi="Times New Roman" w:eastAsia="Times New Roman" w:cs="Times New Roman"/>
                <w:sz w:val="20"/>
                <w:szCs w:val="20"/>
              </w:rPr>
            </w:pPr>
            <w:r>
              <w:rPr>
                <w:rFonts w:ascii="宋体" w:hAnsi="宋体" w:eastAsia="宋体" w:cs="宋体"/>
                <w:spacing w:val="1"/>
                <w:sz w:val="20"/>
                <w:szCs w:val="20"/>
              </w:rPr>
              <w:t>张</w:t>
            </w:r>
            <w:r>
              <w:rPr>
                <w:rFonts w:ascii="Times New Roman" w:hAnsi="Times New Roman" w:eastAsia="Times New Roman" w:cs="Times New Roman"/>
                <w:spacing w:val="1"/>
                <w:sz w:val="20"/>
                <w:szCs w:val="20"/>
              </w:rPr>
              <w:t>/a</w:t>
            </w:r>
          </w:p>
        </w:tc>
        <w:tc>
          <w:tcPr>
            <w:tcW w:w="2074" w:type="dxa"/>
            <w:vAlign w:val="top"/>
          </w:tcPr>
          <w:p w14:paraId="0AC98667">
            <w:pPr>
              <w:spacing w:before="95" w:line="195" w:lineRule="auto"/>
              <w:ind w:left="8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2400</w:t>
            </w:r>
          </w:p>
        </w:tc>
        <w:tc>
          <w:tcPr>
            <w:tcW w:w="1616" w:type="dxa"/>
            <w:vAlign w:val="top"/>
          </w:tcPr>
          <w:p w14:paraId="1A33C0A3">
            <w:pPr>
              <w:rPr>
                <w:rFonts w:ascii="Arial"/>
                <w:sz w:val="21"/>
              </w:rPr>
            </w:pPr>
          </w:p>
        </w:tc>
        <w:tc>
          <w:tcPr>
            <w:tcW w:w="125" w:type="dxa"/>
            <w:tcBorders>
              <w:top w:val="nil"/>
              <w:bottom w:val="nil"/>
              <w:right w:val="single" w:color="000000" w:sz="6" w:space="0"/>
            </w:tcBorders>
            <w:vAlign w:val="top"/>
          </w:tcPr>
          <w:p w14:paraId="6D539373">
            <w:pPr>
              <w:rPr>
                <w:rFonts w:ascii="Arial"/>
                <w:sz w:val="21"/>
              </w:rPr>
            </w:pPr>
          </w:p>
        </w:tc>
      </w:tr>
      <w:tr w14:paraId="61EB5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428" w:type="dxa"/>
            <w:vMerge w:val="continue"/>
            <w:tcBorders>
              <w:top w:val="nil"/>
              <w:left w:val="single" w:color="000000" w:sz="6" w:space="0"/>
              <w:bottom w:val="single" w:color="000000" w:sz="6" w:space="0"/>
            </w:tcBorders>
            <w:vAlign w:val="top"/>
          </w:tcPr>
          <w:p w14:paraId="57AD888F">
            <w:pPr>
              <w:rPr>
                <w:rFonts w:ascii="Arial"/>
                <w:sz w:val="21"/>
              </w:rPr>
            </w:pPr>
          </w:p>
        </w:tc>
        <w:tc>
          <w:tcPr>
            <w:tcW w:w="8636" w:type="dxa"/>
            <w:gridSpan w:val="7"/>
            <w:tcBorders>
              <w:bottom w:val="single" w:color="000000" w:sz="6" w:space="0"/>
              <w:right w:val="single" w:color="000000" w:sz="6" w:space="0"/>
            </w:tcBorders>
            <w:vAlign w:val="top"/>
          </w:tcPr>
          <w:p w14:paraId="47D57A88">
            <w:pPr>
              <w:spacing w:before="292" w:line="219" w:lineRule="auto"/>
              <w:ind w:left="583"/>
              <w:rPr>
                <w:rFonts w:ascii="宋体" w:hAnsi="宋体" w:eastAsia="宋体" w:cs="宋体"/>
                <w:sz w:val="24"/>
                <w:szCs w:val="24"/>
              </w:rPr>
            </w:pPr>
            <w:r>
              <w:rPr>
                <w:rFonts w:ascii="Times New Roman" w:hAnsi="Times New Roman" w:eastAsia="Times New Roman" w:cs="Times New Roman"/>
                <w:b/>
                <w:bCs/>
                <w:spacing w:val="-5"/>
                <w:sz w:val="24"/>
                <w:szCs w:val="24"/>
              </w:rPr>
              <w:t>4</w:t>
            </w:r>
            <w:r>
              <w:rPr>
                <w:rFonts w:ascii="Times New Roman" w:hAnsi="Times New Roman" w:eastAsia="Times New Roman" w:cs="Times New Roman"/>
                <w:b/>
                <w:bCs/>
                <w:spacing w:val="-33"/>
                <w:sz w:val="24"/>
                <w:szCs w:val="24"/>
              </w:rPr>
              <w:t xml:space="preserve"> </w:t>
            </w:r>
            <w:r>
              <w:rPr>
                <w:rFonts w:ascii="宋体" w:hAnsi="宋体" w:eastAsia="宋体" w:cs="宋体"/>
                <w:b/>
                <w:bCs/>
                <w:spacing w:val="-5"/>
                <w:sz w:val="24"/>
                <w:szCs w:val="24"/>
              </w:rPr>
              <w:t>、现有项目产品方案</w:t>
            </w:r>
          </w:p>
        </w:tc>
      </w:tr>
    </w:tbl>
    <w:p w14:paraId="3A4401D8">
      <w:pPr>
        <w:pStyle w:val="2"/>
      </w:pPr>
    </w:p>
    <w:p w14:paraId="12A1EA7F">
      <w:pPr>
        <w:sectPr>
          <w:footerReference r:id="rId63" w:type="default"/>
          <w:pgSz w:w="11906" w:h="16839"/>
          <w:pgMar w:top="400" w:right="1413" w:bottom="1326" w:left="1413" w:header="0" w:footer="1113" w:gutter="0"/>
          <w:cols w:space="720" w:num="1"/>
        </w:sectPr>
      </w:pPr>
    </w:p>
    <w:p w14:paraId="3B86555E">
      <w:pPr>
        <w:spacing w:before="19"/>
      </w:pPr>
    </w:p>
    <w:p w14:paraId="2CDDBF26">
      <w:pPr>
        <w:spacing w:before="19"/>
      </w:pPr>
    </w:p>
    <w:p w14:paraId="42F73E76">
      <w:pPr>
        <w:spacing w:before="19"/>
      </w:pPr>
    </w:p>
    <w:p w14:paraId="712E8576">
      <w:pPr>
        <w:spacing w:before="18"/>
      </w:pPr>
    </w:p>
    <w:p w14:paraId="628B5A6C">
      <w:pPr>
        <w:spacing w:before="18"/>
      </w:pPr>
    </w:p>
    <w:tbl>
      <w:tblPr>
        <w:tblStyle w:val="10"/>
        <w:tblW w:w="90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28"/>
        <w:gridCol w:w="8636"/>
      </w:tblGrid>
      <w:tr w14:paraId="736D5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10" w:hRule="atLeast"/>
        </w:trPr>
        <w:tc>
          <w:tcPr>
            <w:tcW w:w="428" w:type="dxa"/>
            <w:tcBorders>
              <w:right w:val="single" w:color="000000" w:sz="2" w:space="0"/>
            </w:tcBorders>
            <w:vAlign w:val="top"/>
          </w:tcPr>
          <w:p w14:paraId="7465B83E">
            <w:pPr>
              <w:rPr>
                <w:rFonts w:ascii="Arial"/>
                <w:sz w:val="21"/>
              </w:rPr>
            </w:pPr>
          </w:p>
        </w:tc>
        <w:tc>
          <w:tcPr>
            <w:tcW w:w="8636" w:type="dxa"/>
            <w:tcBorders>
              <w:left w:val="single" w:color="000000" w:sz="2" w:space="0"/>
            </w:tcBorders>
            <w:vAlign w:val="top"/>
          </w:tcPr>
          <w:p w14:paraId="374FF36F">
            <w:pPr>
              <w:spacing w:before="30" w:line="219" w:lineRule="auto"/>
              <w:ind w:left="588"/>
              <w:rPr>
                <w:rFonts w:ascii="宋体" w:hAnsi="宋体" w:eastAsia="宋体" w:cs="宋体"/>
                <w:sz w:val="24"/>
                <w:szCs w:val="24"/>
              </w:rPr>
            </w:pPr>
            <w:r>
              <w:rPr>
                <w:rFonts w:ascii="宋体" w:hAnsi="宋体" w:eastAsia="宋体" w:cs="宋体"/>
                <w:spacing w:val="-3"/>
                <w:sz w:val="24"/>
                <w:szCs w:val="24"/>
              </w:rPr>
              <w:t>现有项目产品方案见表</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3"/>
                <w:sz w:val="24"/>
                <w:szCs w:val="24"/>
              </w:rPr>
              <w:t>10</w:t>
            </w:r>
            <w:r>
              <w:rPr>
                <w:rFonts w:ascii="宋体" w:hAnsi="宋体" w:eastAsia="宋体" w:cs="宋体"/>
                <w:spacing w:val="-3"/>
                <w:sz w:val="24"/>
                <w:szCs w:val="24"/>
              </w:rPr>
              <w:t>。</w:t>
            </w:r>
          </w:p>
          <w:p w14:paraId="2431FA18">
            <w:pPr>
              <w:spacing w:before="178" w:line="222" w:lineRule="auto"/>
              <w:ind w:left="2939"/>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31"/>
                <w:sz w:val="20"/>
                <w:szCs w:val="20"/>
              </w:rPr>
              <w:t xml:space="preserve"> </w:t>
            </w:r>
            <w:r>
              <w:rPr>
                <w:rFonts w:ascii="Times New Roman" w:hAnsi="Times New Roman" w:eastAsia="Times New Roman" w:cs="Times New Roman"/>
                <w:b/>
                <w:bCs/>
                <w:spacing w:val="5"/>
                <w:sz w:val="20"/>
                <w:szCs w:val="20"/>
              </w:rPr>
              <w:t xml:space="preserve">2-10    </w:t>
            </w:r>
            <w:r>
              <w:rPr>
                <w:rFonts w:ascii="宋体" w:hAnsi="宋体" w:eastAsia="宋体" w:cs="宋体"/>
                <w:b/>
                <w:bCs/>
                <w:spacing w:val="5"/>
                <w:sz w:val="20"/>
                <w:szCs w:val="20"/>
              </w:rPr>
              <w:t>现有项目产品方案表</w:t>
            </w:r>
          </w:p>
          <w:tbl>
            <w:tblPr>
              <w:tblStyle w:val="10"/>
              <w:tblW w:w="8416"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7"/>
              <w:gridCol w:w="3844"/>
              <w:gridCol w:w="3075"/>
            </w:tblGrid>
            <w:tr w14:paraId="516EC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497" w:type="dxa"/>
                  <w:vAlign w:val="top"/>
                </w:tcPr>
                <w:p w14:paraId="1ED66219">
                  <w:pPr>
                    <w:spacing w:before="35" w:line="229" w:lineRule="auto"/>
                    <w:ind w:left="542"/>
                    <w:rPr>
                      <w:rFonts w:ascii="宋体" w:hAnsi="宋体" w:eastAsia="宋体" w:cs="宋体"/>
                      <w:sz w:val="20"/>
                      <w:szCs w:val="20"/>
                    </w:rPr>
                  </w:pPr>
                  <w:r>
                    <w:rPr>
                      <w:rFonts w:ascii="宋体" w:hAnsi="宋体" w:eastAsia="宋体" w:cs="宋体"/>
                      <w:b/>
                      <w:bCs/>
                      <w:spacing w:val="4"/>
                      <w:sz w:val="20"/>
                      <w:szCs w:val="20"/>
                    </w:rPr>
                    <w:t>序号</w:t>
                  </w:r>
                </w:p>
              </w:tc>
              <w:tc>
                <w:tcPr>
                  <w:tcW w:w="3844" w:type="dxa"/>
                  <w:vAlign w:val="top"/>
                </w:tcPr>
                <w:p w14:paraId="58D69E88">
                  <w:pPr>
                    <w:spacing w:before="34" w:line="228" w:lineRule="auto"/>
                    <w:ind w:left="1506"/>
                    <w:rPr>
                      <w:rFonts w:ascii="宋体" w:hAnsi="宋体" w:eastAsia="宋体" w:cs="宋体"/>
                      <w:sz w:val="20"/>
                      <w:szCs w:val="20"/>
                    </w:rPr>
                  </w:pPr>
                  <w:r>
                    <w:rPr>
                      <w:rFonts w:ascii="宋体" w:hAnsi="宋体" w:eastAsia="宋体" w:cs="宋体"/>
                      <w:b/>
                      <w:bCs/>
                      <w:spacing w:val="6"/>
                      <w:sz w:val="20"/>
                      <w:szCs w:val="20"/>
                    </w:rPr>
                    <w:t>产品名称</w:t>
                  </w:r>
                </w:p>
              </w:tc>
              <w:tc>
                <w:tcPr>
                  <w:tcW w:w="3075" w:type="dxa"/>
                  <w:vAlign w:val="top"/>
                </w:tcPr>
                <w:p w14:paraId="2F2765EF">
                  <w:pPr>
                    <w:spacing w:before="34" w:line="228" w:lineRule="auto"/>
                    <w:ind w:left="1014"/>
                    <w:rPr>
                      <w:rFonts w:ascii="宋体" w:hAnsi="宋体" w:eastAsia="宋体" w:cs="宋体"/>
                      <w:sz w:val="20"/>
                      <w:szCs w:val="20"/>
                    </w:rPr>
                  </w:pPr>
                  <w:r>
                    <w:rPr>
                      <w:rFonts w:ascii="宋体" w:hAnsi="宋体" w:eastAsia="宋体" w:cs="宋体"/>
                      <w:b/>
                      <w:bCs/>
                      <w:spacing w:val="4"/>
                      <w:sz w:val="20"/>
                      <w:szCs w:val="20"/>
                    </w:rPr>
                    <w:t>产量（年）</w:t>
                  </w:r>
                </w:p>
              </w:tc>
            </w:tr>
            <w:tr w14:paraId="6227C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497" w:type="dxa"/>
                  <w:vAlign w:val="top"/>
                </w:tcPr>
                <w:p w14:paraId="44242A80">
                  <w:pPr>
                    <w:spacing w:before="75" w:line="195" w:lineRule="auto"/>
                    <w:ind w:left="71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844" w:type="dxa"/>
                  <w:vAlign w:val="top"/>
                </w:tcPr>
                <w:p w14:paraId="1F5C08BA">
                  <w:pPr>
                    <w:spacing w:before="32" w:line="227" w:lineRule="auto"/>
                    <w:ind w:left="1407"/>
                    <w:rPr>
                      <w:rFonts w:ascii="宋体" w:hAnsi="宋体" w:eastAsia="宋体" w:cs="宋体"/>
                      <w:sz w:val="20"/>
                      <w:szCs w:val="20"/>
                    </w:rPr>
                  </w:pPr>
                  <w:r>
                    <w:rPr>
                      <w:rFonts w:ascii="宋体" w:hAnsi="宋体" w:eastAsia="宋体" w:cs="宋体"/>
                      <w:spacing w:val="7"/>
                      <w:sz w:val="20"/>
                      <w:szCs w:val="20"/>
                    </w:rPr>
                    <w:t>免漆生态板</w:t>
                  </w:r>
                </w:p>
              </w:tc>
              <w:tc>
                <w:tcPr>
                  <w:tcW w:w="3075" w:type="dxa"/>
                  <w:vAlign w:val="top"/>
                </w:tcPr>
                <w:p w14:paraId="7ED449C2">
                  <w:pPr>
                    <w:spacing w:before="55" w:line="216" w:lineRule="auto"/>
                    <w:ind w:left="1164"/>
                    <w:rPr>
                      <w:rFonts w:ascii="Times New Roman" w:hAnsi="Times New Roman" w:eastAsia="Times New Roman" w:cs="Times New Roman"/>
                      <w:sz w:val="13"/>
                      <w:szCs w:val="13"/>
                    </w:rPr>
                  </w:pPr>
                  <w:r>
                    <w:rPr>
                      <w:rFonts w:ascii="Times New Roman" w:hAnsi="Times New Roman" w:eastAsia="Times New Roman" w:cs="Times New Roman"/>
                      <w:spacing w:val="4"/>
                      <w:sz w:val="20"/>
                      <w:szCs w:val="20"/>
                    </w:rPr>
                    <w:t>30000m</w:t>
                  </w:r>
                  <w:r>
                    <w:rPr>
                      <w:rFonts w:ascii="Times New Roman" w:hAnsi="Times New Roman" w:eastAsia="Times New Roman" w:cs="Times New Roman"/>
                      <w:spacing w:val="4"/>
                      <w:position w:val="6"/>
                      <w:sz w:val="13"/>
                      <w:szCs w:val="13"/>
                    </w:rPr>
                    <w:t>3</w:t>
                  </w:r>
                </w:p>
              </w:tc>
            </w:tr>
            <w:tr w14:paraId="2775C6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497" w:type="dxa"/>
                  <w:vAlign w:val="top"/>
                </w:tcPr>
                <w:p w14:paraId="311581F7">
                  <w:pPr>
                    <w:spacing w:before="76" w:line="195" w:lineRule="auto"/>
                    <w:ind w:left="69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3844" w:type="dxa"/>
                  <w:vAlign w:val="top"/>
                </w:tcPr>
                <w:p w14:paraId="2DB68369">
                  <w:pPr>
                    <w:spacing w:before="33" w:line="228" w:lineRule="auto"/>
                    <w:ind w:left="1507"/>
                    <w:rPr>
                      <w:rFonts w:ascii="宋体" w:hAnsi="宋体" w:eastAsia="宋体" w:cs="宋体"/>
                      <w:sz w:val="20"/>
                      <w:szCs w:val="20"/>
                    </w:rPr>
                  </w:pPr>
                  <w:r>
                    <w:rPr>
                      <w:rFonts w:ascii="宋体" w:hAnsi="宋体" w:eastAsia="宋体" w:cs="宋体"/>
                      <w:spacing w:val="6"/>
                      <w:sz w:val="20"/>
                      <w:szCs w:val="20"/>
                    </w:rPr>
                    <w:t>成套衣柜</w:t>
                  </w:r>
                </w:p>
              </w:tc>
              <w:tc>
                <w:tcPr>
                  <w:tcW w:w="3075" w:type="dxa"/>
                  <w:vAlign w:val="top"/>
                </w:tcPr>
                <w:p w14:paraId="044BF190">
                  <w:pPr>
                    <w:spacing w:before="33" w:line="228" w:lineRule="auto"/>
                    <w:ind w:left="1200"/>
                    <w:rPr>
                      <w:rFonts w:ascii="宋体" w:hAnsi="宋体" w:eastAsia="宋体" w:cs="宋体"/>
                      <w:sz w:val="20"/>
                      <w:szCs w:val="20"/>
                    </w:rPr>
                  </w:pPr>
                  <w:r>
                    <w:rPr>
                      <w:rFonts w:ascii="Times New Roman" w:hAnsi="Times New Roman" w:eastAsia="Times New Roman" w:cs="Times New Roman"/>
                      <w:spacing w:val="2"/>
                      <w:sz w:val="20"/>
                      <w:szCs w:val="20"/>
                    </w:rPr>
                    <w:t>3000</w:t>
                  </w:r>
                  <w:r>
                    <w:rPr>
                      <w:rFonts w:ascii="Times New Roman" w:hAnsi="Times New Roman" w:eastAsia="Times New Roman" w:cs="Times New Roman"/>
                      <w:spacing w:val="12"/>
                      <w:sz w:val="20"/>
                      <w:szCs w:val="20"/>
                    </w:rPr>
                    <w:t xml:space="preserve"> </w:t>
                  </w:r>
                  <w:r>
                    <w:rPr>
                      <w:rFonts w:ascii="宋体" w:hAnsi="宋体" w:eastAsia="宋体" w:cs="宋体"/>
                      <w:spacing w:val="2"/>
                      <w:sz w:val="20"/>
                      <w:szCs w:val="20"/>
                    </w:rPr>
                    <w:t>套</w:t>
                  </w:r>
                </w:p>
              </w:tc>
            </w:tr>
            <w:tr w14:paraId="7B669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497" w:type="dxa"/>
                  <w:vAlign w:val="top"/>
                </w:tcPr>
                <w:p w14:paraId="01E177B8">
                  <w:pPr>
                    <w:spacing w:before="75" w:line="195" w:lineRule="auto"/>
                    <w:ind w:left="701"/>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3844" w:type="dxa"/>
                  <w:vAlign w:val="top"/>
                </w:tcPr>
                <w:p w14:paraId="3885A38B">
                  <w:pPr>
                    <w:spacing w:before="32" w:line="228" w:lineRule="auto"/>
                    <w:ind w:left="1821"/>
                    <w:rPr>
                      <w:rFonts w:ascii="宋体" w:hAnsi="宋体" w:eastAsia="宋体" w:cs="宋体"/>
                      <w:sz w:val="20"/>
                      <w:szCs w:val="20"/>
                    </w:rPr>
                  </w:pPr>
                  <w:r>
                    <w:rPr>
                      <w:rFonts w:ascii="宋体" w:hAnsi="宋体" w:eastAsia="宋体" w:cs="宋体"/>
                      <w:spacing w:val="2"/>
                      <w:sz w:val="20"/>
                      <w:szCs w:val="20"/>
                    </w:rPr>
                    <w:t>床</w:t>
                  </w:r>
                </w:p>
              </w:tc>
              <w:tc>
                <w:tcPr>
                  <w:tcW w:w="3075" w:type="dxa"/>
                  <w:vAlign w:val="top"/>
                </w:tcPr>
                <w:p w14:paraId="0E58CA61">
                  <w:pPr>
                    <w:spacing w:before="32" w:line="230" w:lineRule="auto"/>
                    <w:ind w:left="1216"/>
                    <w:rPr>
                      <w:rFonts w:ascii="宋体" w:hAnsi="宋体" w:eastAsia="宋体" w:cs="宋体"/>
                      <w:sz w:val="20"/>
                      <w:szCs w:val="20"/>
                    </w:rPr>
                  </w:pPr>
                  <w:r>
                    <w:rPr>
                      <w:rFonts w:ascii="Times New Roman" w:hAnsi="Times New Roman" w:eastAsia="Times New Roman" w:cs="Times New Roman"/>
                      <w:spacing w:val="-1"/>
                      <w:sz w:val="20"/>
                      <w:szCs w:val="20"/>
                    </w:rPr>
                    <w:t>1000</w:t>
                  </w:r>
                  <w:r>
                    <w:rPr>
                      <w:rFonts w:ascii="Times New Roman" w:hAnsi="Times New Roman" w:eastAsia="Times New Roman" w:cs="Times New Roman"/>
                      <w:spacing w:val="15"/>
                      <w:w w:val="101"/>
                      <w:sz w:val="20"/>
                      <w:szCs w:val="20"/>
                    </w:rPr>
                    <w:t xml:space="preserve"> </w:t>
                  </w:r>
                  <w:r>
                    <w:rPr>
                      <w:rFonts w:ascii="宋体" w:hAnsi="宋体" w:eastAsia="宋体" w:cs="宋体"/>
                      <w:spacing w:val="-1"/>
                      <w:sz w:val="20"/>
                      <w:szCs w:val="20"/>
                    </w:rPr>
                    <w:t>张</w:t>
                  </w:r>
                </w:p>
              </w:tc>
            </w:tr>
            <w:tr w14:paraId="0B8F7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497" w:type="dxa"/>
                  <w:vAlign w:val="top"/>
                </w:tcPr>
                <w:p w14:paraId="4AA2E997">
                  <w:pPr>
                    <w:spacing w:before="78" w:line="195" w:lineRule="auto"/>
                    <w:ind w:left="69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3844" w:type="dxa"/>
                  <w:vAlign w:val="top"/>
                </w:tcPr>
                <w:p w14:paraId="394648DB">
                  <w:pPr>
                    <w:spacing w:before="35" w:line="228" w:lineRule="auto"/>
                    <w:ind w:left="1719"/>
                    <w:rPr>
                      <w:rFonts w:ascii="宋体" w:hAnsi="宋体" w:eastAsia="宋体" w:cs="宋体"/>
                      <w:sz w:val="20"/>
                      <w:szCs w:val="20"/>
                    </w:rPr>
                  </w:pPr>
                  <w:r>
                    <w:rPr>
                      <w:rFonts w:ascii="宋体" w:hAnsi="宋体" w:eastAsia="宋体" w:cs="宋体"/>
                      <w:spacing w:val="3"/>
                      <w:sz w:val="20"/>
                      <w:szCs w:val="20"/>
                    </w:rPr>
                    <w:t>鞋柜</w:t>
                  </w:r>
                </w:p>
              </w:tc>
              <w:tc>
                <w:tcPr>
                  <w:tcW w:w="3075" w:type="dxa"/>
                  <w:vAlign w:val="top"/>
                </w:tcPr>
                <w:p w14:paraId="1E162F51">
                  <w:pPr>
                    <w:spacing w:before="35" w:line="228" w:lineRule="auto"/>
                    <w:ind w:left="1195"/>
                    <w:rPr>
                      <w:rFonts w:ascii="宋体" w:hAnsi="宋体" w:eastAsia="宋体" w:cs="宋体"/>
                      <w:sz w:val="20"/>
                      <w:szCs w:val="20"/>
                    </w:rPr>
                  </w:pPr>
                  <w:r>
                    <w:rPr>
                      <w:rFonts w:ascii="Times New Roman" w:hAnsi="Times New Roman" w:eastAsia="Times New Roman" w:cs="Times New Roman"/>
                      <w:spacing w:val="3"/>
                      <w:sz w:val="20"/>
                      <w:szCs w:val="20"/>
                    </w:rPr>
                    <w:t>2000</w:t>
                  </w:r>
                  <w:r>
                    <w:rPr>
                      <w:rFonts w:ascii="Times New Roman" w:hAnsi="Times New Roman" w:eastAsia="Times New Roman" w:cs="Times New Roman"/>
                      <w:spacing w:val="11"/>
                      <w:sz w:val="20"/>
                      <w:szCs w:val="20"/>
                    </w:rPr>
                    <w:t xml:space="preserve"> </w:t>
                  </w:r>
                  <w:r>
                    <w:rPr>
                      <w:rFonts w:ascii="宋体" w:hAnsi="宋体" w:eastAsia="宋体" w:cs="宋体"/>
                      <w:spacing w:val="3"/>
                      <w:sz w:val="20"/>
                      <w:szCs w:val="20"/>
                    </w:rPr>
                    <w:t>套</w:t>
                  </w:r>
                </w:p>
              </w:tc>
            </w:tr>
            <w:tr w14:paraId="372E45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497" w:type="dxa"/>
                  <w:vAlign w:val="top"/>
                </w:tcPr>
                <w:p w14:paraId="774CF9A6">
                  <w:pPr>
                    <w:spacing w:before="81" w:line="192" w:lineRule="auto"/>
                    <w:ind w:left="703"/>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3844" w:type="dxa"/>
                  <w:vAlign w:val="top"/>
                </w:tcPr>
                <w:p w14:paraId="408E7882">
                  <w:pPr>
                    <w:spacing w:before="34" w:line="228" w:lineRule="auto"/>
                    <w:ind w:left="1402"/>
                    <w:rPr>
                      <w:rFonts w:ascii="宋体" w:hAnsi="宋体" w:eastAsia="宋体" w:cs="宋体"/>
                      <w:sz w:val="20"/>
                      <w:szCs w:val="20"/>
                    </w:rPr>
                  </w:pPr>
                  <w:r>
                    <w:rPr>
                      <w:rFonts w:ascii="宋体" w:hAnsi="宋体" w:eastAsia="宋体" w:cs="宋体"/>
                      <w:spacing w:val="8"/>
                      <w:sz w:val="20"/>
                      <w:szCs w:val="20"/>
                    </w:rPr>
                    <w:t>三聚氰胺纸</w:t>
                  </w:r>
                </w:p>
              </w:tc>
              <w:tc>
                <w:tcPr>
                  <w:tcW w:w="3075" w:type="dxa"/>
                  <w:vAlign w:val="top"/>
                </w:tcPr>
                <w:p w14:paraId="0FB255CF">
                  <w:pPr>
                    <w:spacing w:before="35" w:line="237" w:lineRule="auto"/>
                    <w:ind w:left="1256"/>
                    <w:rPr>
                      <w:rFonts w:ascii="宋体" w:hAnsi="宋体" w:eastAsia="宋体" w:cs="宋体"/>
                      <w:sz w:val="20"/>
                      <w:szCs w:val="20"/>
                    </w:rPr>
                  </w:pPr>
                  <w:r>
                    <w:rPr>
                      <w:rFonts w:ascii="Times New Roman" w:hAnsi="Times New Roman" w:eastAsia="Times New Roman" w:cs="Times New Roman"/>
                      <w:spacing w:val="1"/>
                      <w:sz w:val="20"/>
                      <w:szCs w:val="20"/>
                    </w:rPr>
                    <w:t>500</w:t>
                  </w:r>
                  <w:r>
                    <w:rPr>
                      <w:rFonts w:ascii="Times New Roman" w:hAnsi="Times New Roman" w:eastAsia="Times New Roman" w:cs="Times New Roman"/>
                      <w:spacing w:val="17"/>
                      <w:w w:val="101"/>
                      <w:sz w:val="20"/>
                      <w:szCs w:val="20"/>
                    </w:rPr>
                    <w:t xml:space="preserve"> </w:t>
                  </w:r>
                  <w:r>
                    <w:rPr>
                      <w:rFonts w:ascii="宋体" w:hAnsi="宋体" w:eastAsia="宋体" w:cs="宋体"/>
                      <w:spacing w:val="1"/>
                      <w:sz w:val="20"/>
                      <w:szCs w:val="20"/>
                    </w:rPr>
                    <w:t>吨</w:t>
                  </w:r>
                </w:p>
              </w:tc>
            </w:tr>
            <w:tr w14:paraId="23CC4E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497" w:type="dxa"/>
                  <w:vAlign w:val="top"/>
                </w:tcPr>
                <w:p w14:paraId="65FDE8AE">
                  <w:pPr>
                    <w:spacing w:before="80" w:line="195" w:lineRule="auto"/>
                    <w:ind w:left="702"/>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3844" w:type="dxa"/>
                  <w:vAlign w:val="top"/>
                </w:tcPr>
                <w:p w14:paraId="573965DB">
                  <w:pPr>
                    <w:spacing w:before="37" w:line="228" w:lineRule="auto"/>
                    <w:ind w:left="1511"/>
                    <w:rPr>
                      <w:rFonts w:ascii="宋体" w:hAnsi="宋体" w:eastAsia="宋体" w:cs="宋体"/>
                      <w:sz w:val="20"/>
                      <w:szCs w:val="20"/>
                    </w:rPr>
                  </w:pPr>
                  <w:r>
                    <w:rPr>
                      <w:rFonts w:ascii="宋体" w:hAnsi="宋体" w:eastAsia="宋体" w:cs="宋体"/>
                      <w:spacing w:val="6"/>
                      <w:sz w:val="20"/>
                      <w:szCs w:val="20"/>
                    </w:rPr>
                    <w:t>免漆木门</w:t>
                  </w:r>
                </w:p>
              </w:tc>
              <w:tc>
                <w:tcPr>
                  <w:tcW w:w="3075" w:type="dxa"/>
                  <w:vAlign w:val="top"/>
                </w:tcPr>
                <w:p w14:paraId="422422BF">
                  <w:pPr>
                    <w:spacing w:before="37" w:line="228" w:lineRule="auto"/>
                    <w:ind w:left="1200"/>
                    <w:rPr>
                      <w:rFonts w:ascii="宋体" w:hAnsi="宋体" w:eastAsia="宋体" w:cs="宋体"/>
                      <w:sz w:val="20"/>
                      <w:szCs w:val="20"/>
                    </w:rPr>
                  </w:pPr>
                  <w:r>
                    <w:rPr>
                      <w:rFonts w:ascii="Times New Roman" w:hAnsi="Times New Roman" w:eastAsia="Times New Roman" w:cs="Times New Roman"/>
                      <w:spacing w:val="2"/>
                      <w:sz w:val="20"/>
                      <w:szCs w:val="20"/>
                    </w:rPr>
                    <w:t>3000</w:t>
                  </w:r>
                  <w:r>
                    <w:rPr>
                      <w:rFonts w:ascii="Times New Roman" w:hAnsi="Times New Roman" w:eastAsia="Times New Roman" w:cs="Times New Roman"/>
                      <w:spacing w:val="12"/>
                      <w:sz w:val="20"/>
                      <w:szCs w:val="20"/>
                    </w:rPr>
                    <w:t xml:space="preserve"> </w:t>
                  </w:r>
                  <w:r>
                    <w:rPr>
                      <w:rFonts w:ascii="宋体" w:hAnsi="宋体" w:eastAsia="宋体" w:cs="宋体"/>
                      <w:spacing w:val="2"/>
                      <w:sz w:val="20"/>
                      <w:szCs w:val="20"/>
                    </w:rPr>
                    <w:t>套</w:t>
                  </w:r>
                </w:p>
              </w:tc>
            </w:tr>
          </w:tbl>
          <w:p w14:paraId="3215E5C2">
            <w:pPr>
              <w:spacing w:before="278" w:line="219" w:lineRule="auto"/>
              <w:ind w:left="585"/>
              <w:rPr>
                <w:rFonts w:ascii="宋体" w:hAnsi="宋体" w:eastAsia="宋体" w:cs="宋体"/>
                <w:sz w:val="24"/>
                <w:szCs w:val="24"/>
              </w:rPr>
            </w:pPr>
            <w:r>
              <w:rPr>
                <w:rFonts w:ascii="Times New Roman" w:hAnsi="Times New Roman" w:eastAsia="Times New Roman" w:cs="Times New Roman"/>
                <w:b/>
                <w:bCs/>
                <w:spacing w:val="-4"/>
                <w:sz w:val="24"/>
                <w:szCs w:val="24"/>
              </w:rPr>
              <w:t>5</w:t>
            </w:r>
            <w:r>
              <w:rPr>
                <w:rFonts w:ascii="Times New Roman" w:hAnsi="Times New Roman" w:eastAsia="Times New Roman" w:cs="Times New Roman"/>
                <w:b/>
                <w:bCs/>
                <w:spacing w:val="-33"/>
                <w:sz w:val="24"/>
                <w:szCs w:val="24"/>
              </w:rPr>
              <w:t xml:space="preserve"> </w:t>
            </w:r>
            <w:r>
              <w:rPr>
                <w:rFonts w:ascii="宋体" w:hAnsi="宋体" w:eastAsia="宋体" w:cs="宋体"/>
                <w:b/>
                <w:bCs/>
                <w:spacing w:val="-4"/>
                <w:sz w:val="24"/>
                <w:szCs w:val="24"/>
              </w:rPr>
              <w:t>、现有项目劳动定员及工作制度</w:t>
            </w:r>
          </w:p>
          <w:p w14:paraId="2B4BB7B7">
            <w:pPr>
              <w:spacing w:before="180" w:line="219" w:lineRule="auto"/>
              <w:jc w:val="right"/>
              <w:rPr>
                <w:rFonts w:ascii="宋体" w:hAnsi="宋体" w:eastAsia="宋体" w:cs="宋体"/>
                <w:sz w:val="24"/>
                <w:szCs w:val="24"/>
              </w:rPr>
            </w:pPr>
            <w:r>
              <w:rPr>
                <w:rFonts w:ascii="宋体" w:hAnsi="宋体" w:eastAsia="宋体" w:cs="宋体"/>
                <w:spacing w:val="-3"/>
                <w:sz w:val="24"/>
                <w:szCs w:val="24"/>
              </w:rPr>
              <w:t>厂区现有工作人员共</w:t>
            </w:r>
            <w:r>
              <w:rPr>
                <w:rFonts w:ascii="宋体" w:hAnsi="宋体" w:eastAsia="宋体" w:cs="宋体"/>
                <w:spacing w:val="-49"/>
                <w:sz w:val="24"/>
                <w:szCs w:val="24"/>
              </w:rPr>
              <w:t xml:space="preserve"> </w:t>
            </w:r>
            <w:r>
              <w:rPr>
                <w:rFonts w:ascii="Times New Roman" w:hAnsi="Times New Roman" w:eastAsia="Times New Roman" w:cs="Times New Roman"/>
                <w:spacing w:val="-3"/>
                <w:sz w:val="24"/>
                <w:szCs w:val="24"/>
              </w:rPr>
              <w:t xml:space="preserve">58 </w:t>
            </w:r>
            <w:r>
              <w:rPr>
                <w:rFonts w:ascii="宋体" w:hAnsi="宋体" w:eastAsia="宋体" w:cs="宋体"/>
                <w:spacing w:val="-3"/>
                <w:sz w:val="24"/>
                <w:szCs w:val="24"/>
              </w:rPr>
              <w:t>人，不设食宿。年工作</w:t>
            </w:r>
            <w:r>
              <w:rPr>
                <w:rFonts w:ascii="Times New Roman" w:hAnsi="Times New Roman" w:eastAsia="Times New Roman" w:cs="Times New Roman"/>
                <w:spacing w:val="-3"/>
                <w:sz w:val="24"/>
                <w:szCs w:val="24"/>
              </w:rPr>
              <w:t>300</w:t>
            </w:r>
            <w:r>
              <w:rPr>
                <w:rFonts w:ascii="Times New Roman" w:hAnsi="Times New Roman" w:eastAsia="Times New Roman" w:cs="Times New Roman"/>
                <w:spacing w:val="14"/>
                <w:sz w:val="24"/>
                <w:szCs w:val="24"/>
              </w:rPr>
              <w:t xml:space="preserve"> </w:t>
            </w:r>
            <w:r>
              <w:rPr>
                <w:rFonts w:ascii="宋体" w:hAnsi="宋体" w:eastAsia="宋体" w:cs="宋体"/>
                <w:spacing w:val="-4"/>
                <w:sz w:val="24"/>
                <w:szCs w:val="24"/>
              </w:rPr>
              <w:t>天，实行</w:t>
            </w:r>
            <w:r>
              <w:rPr>
                <w:rFonts w:ascii="宋体" w:hAnsi="宋体" w:eastAsia="宋体" w:cs="宋体"/>
                <w:spacing w:val="-45"/>
                <w:sz w:val="24"/>
                <w:szCs w:val="24"/>
              </w:rPr>
              <w:t xml:space="preserve"> </w:t>
            </w:r>
            <w:r>
              <w:rPr>
                <w:rFonts w:ascii="Times New Roman" w:hAnsi="Times New Roman" w:eastAsia="Times New Roman" w:cs="Times New Roman"/>
                <w:spacing w:val="-4"/>
                <w:sz w:val="24"/>
                <w:szCs w:val="24"/>
              </w:rPr>
              <w:t xml:space="preserve">8h </w:t>
            </w:r>
            <w:r>
              <w:rPr>
                <w:rFonts w:ascii="宋体" w:hAnsi="宋体" w:eastAsia="宋体" w:cs="宋体"/>
                <w:spacing w:val="-4"/>
                <w:sz w:val="24"/>
                <w:szCs w:val="24"/>
              </w:rPr>
              <w:t>单班工作制。</w:t>
            </w:r>
          </w:p>
          <w:p w14:paraId="64D28CCC">
            <w:pPr>
              <w:spacing w:before="183" w:line="219" w:lineRule="auto"/>
              <w:ind w:left="586"/>
              <w:rPr>
                <w:rFonts w:ascii="宋体" w:hAnsi="宋体" w:eastAsia="宋体" w:cs="宋体"/>
                <w:sz w:val="24"/>
                <w:szCs w:val="24"/>
              </w:rPr>
            </w:pPr>
            <w:r>
              <w:rPr>
                <w:rFonts w:ascii="Times New Roman" w:hAnsi="Times New Roman" w:eastAsia="Times New Roman" w:cs="Times New Roman"/>
                <w:b/>
                <w:bCs/>
                <w:spacing w:val="-4"/>
                <w:sz w:val="24"/>
                <w:szCs w:val="24"/>
              </w:rPr>
              <w:t>6</w:t>
            </w:r>
            <w:r>
              <w:rPr>
                <w:rFonts w:ascii="Times New Roman" w:hAnsi="Times New Roman" w:eastAsia="Times New Roman" w:cs="Times New Roman"/>
                <w:b/>
                <w:bCs/>
                <w:spacing w:val="-34"/>
                <w:sz w:val="24"/>
                <w:szCs w:val="24"/>
              </w:rPr>
              <w:t xml:space="preserve"> </w:t>
            </w:r>
            <w:r>
              <w:rPr>
                <w:rFonts w:ascii="宋体" w:hAnsi="宋体" w:eastAsia="宋体" w:cs="宋体"/>
                <w:b/>
                <w:bCs/>
                <w:spacing w:val="-4"/>
                <w:sz w:val="24"/>
                <w:szCs w:val="24"/>
              </w:rPr>
              <w:t>、原项目工艺流程及产排污环节</w:t>
            </w:r>
          </w:p>
          <w:p w14:paraId="441D1C87">
            <w:pPr>
              <w:spacing w:before="180" w:line="219" w:lineRule="auto"/>
              <w:ind w:left="588"/>
              <w:rPr>
                <w:rFonts w:ascii="宋体" w:hAnsi="宋体" w:eastAsia="宋体" w:cs="宋体"/>
                <w:sz w:val="24"/>
                <w:szCs w:val="24"/>
              </w:rPr>
            </w:pPr>
            <w:r>
              <w:rPr>
                <w:rFonts w:ascii="宋体" w:hAnsi="宋体" w:eastAsia="宋体" w:cs="宋体"/>
                <w:sz w:val="24"/>
                <w:szCs w:val="24"/>
              </w:rPr>
              <w:t>主要进行生态板、家具、浸渍纸、免漆木门</w:t>
            </w:r>
            <w:r>
              <w:rPr>
                <w:rFonts w:ascii="宋体" w:hAnsi="宋体" w:eastAsia="宋体" w:cs="宋体"/>
                <w:spacing w:val="-1"/>
                <w:sz w:val="24"/>
                <w:szCs w:val="24"/>
              </w:rPr>
              <w:t>的生产相关的工艺流程如下。</w:t>
            </w:r>
          </w:p>
          <w:p w14:paraId="6F4BBE92">
            <w:pPr>
              <w:spacing w:before="187" w:line="225" w:lineRule="auto"/>
              <w:ind w:left="598"/>
              <w:rPr>
                <w:rFonts w:ascii="宋体" w:hAnsi="宋体" w:eastAsia="宋体" w:cs="宋体"/>
                <w:sz w:val="25"/>
                <w:szCs w:val="25"/>
              </w:rPr>
            </w:pPr>
            <w:r>
              <w:rPr>
                <w:rFonts w:ascii="宋体" w:hAnsi="宋体" w:eastAsia="宋体" w:cs="宋体"/>
                <w:b/>
                <w:bCs/>
                <w:spacing w:val="8"/>
                <w:sz w:val="24"/>
                <w:szCs w:val="24"/>
              </w:rPr>
              <w:t>（</w:t>
            </w:r>
            <w:r>
              <w:rPr>
                <w:rFonts w:ascii="Times New Roman" w:hAnsi="Times New Roman" w:eastAsia="Times New Roman" w:cs="Times New Roman"/>
                <w:b/>
                <w:bCs/>
                <w:spacing w:val="8"/>
                <w:sz w:val="24"/>
                <w:szCs w:val="24"/>
              </w:rPr>
              <w:t>1</w:t>
            </w:r>
            <w:r>
              <w:rPr>
                <w:rFonts w:ascii="宋体" w:hAnsi="宋体" w:eastAsia="宋体" w:cs="宋体"/>
                <w:b/>
                <w:bCs/>
                <w:spacing w:val="8"/>
                <w:sz w:val="24"/>
                <w:szCs w:val="24"/>
              </w:rPr>
              <w:t>）</w:t>
            </w:r>
            <w:r>
              <w:rPr>
                <w:rFonts w:ascii="宋体" w:hAnsi="宋体" w:eastAsia="宋体" w:cs="宋体"/>
                <w:b/>
                <w:bCs/>
                <w:spacing w:val="8"/>
                <w:sz w:val="25"/>
                <w:szCs w:val="25"/>
              </w:rPr>
              <w:t>生态板生产工艺流程</w:t>
            </w:r>
          </w:p>
          <w:p w14:paraId="257DD712">
            <w:pPr>
              <w:spacing w:before="161" w:line="2479" w:lineRule="exact"/>
              <w:ind w:firstLine="596"/>
            </w:pPr>
            <w:r>
              <w:rPr>
                <w:position w:val="-49"/>
              </w:rPr>
              <w:drawing>
                <wp:inline distT="0" distB="0" distL="0" distR="0">
                  <wp:extent cx="4713605" cy="157416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27"/>
                          <a:stretch>
                            <a:fillRect/>
                          </a:stretch>
                        </pic:blipFill>
                        <pic:spPr>
                          <a:xfrm>
                            <a:off x="0" y="0"/>
                            <a:ext cx="4713732" cy="1574291"/>
                          </a:xfrm>
                          <a:prstGeom prst="rect">
                            <a:avLst/>
                          </a:prstGeom>
                        </pic:spPr>
                      </pic:pic>
                    </a:graphicData>
                  </a:graphic>
                </wp:inline>
              </w:drawing>
            </w:r>
          </w:p>
          <w:p w14:paraId="0D3EAA9A">
            <w:pPr>
              <w:spacing w:line="256" w:lineRule="auto"/>
              <w:rPr>
                <w:rFonts w:ascii="Arial"/>
                <w:sz w:val="21"/>
              </w:rPr>
            </w:pPr>
          </w:p>
          <w:p w14:paraId="4B6DCF2C">
            <w:pPr>
              <w:spacing w:before="79" w:line="226" w:lineRule="auto"/>
              <w:ind w:left="2764"/>
              <w:rPr>
                <w:rFonts w:ascii="宋体" w:hAnsi="宋体" w:eastAsia="宋体" w:cs="宋体"/>
                <w:sz w:val="24"/>
                <w:szCs w:val="24"/>
              </w:rPr>
            </w:pPr>
            <w:r>
              <w:rPr>
                <w:rFonts w:ascii="宋体" w:hAnsi="宋体" w:eastAsia="宋体" w:cs="宋体"/>
                <w:b/>
                <w:bCs/>
                <w:spacing w:val="14"/>
                <w:sz w:val="24"/>
                <w:szCs w:val="24"/>
              </w:rPr>
              <w:t>图</w:t>
            </w:r>
            <w:r>
              <w:rPr>
                <w:rFonts w:ascii="宋体" w:hAnsi="宋体" w:eastAsia="宋体" w:cs="宋体"/>
                <w:spacing w:val="-27"/>
                <w:sz w:val="24"/>
                <w:szCs w:val="24"/>
              </w:rPr>
              <w:t xml:space="preserve"> </w:t>
            </w:r>
            <w:r>
              <w:rPr>
                <w:rFonts w:ascii="Times New Roman" w:hAnsi="Times New Roman" w:eastAsia="Times New Roman" w:cs="Times New Roman"/>
                <w:b/>
                <w:bCs/>
                <w:spacing w:val="14"/>
                <w:sz w:val="24"/>
                <w:szCs w:val="24"/>
              </w:rPr>
              <w:t>2-4</w:t>
            </w:r>
            <w:r>
              <w:rPr>
                <w:rFonts w:ascii="Times New Roman" w:hAnsi="Times New Roman" w:eastAsia="Times New Roman" w:cs="Times New Roman"/>
                <w:b/>
                <w:bCs/>
                <w:spacing w:val="28"/>
                <w:w w:val="101"/>
                <w:sz w:val="24"/>
                <w:szCs w:val="24"/>
              </w:rPr>
              <w:t xml:space="preserve"> </w:t>
            </w:r>
            <w:r>
              <w:rPr>
                <w:rFonts w:ascii="宋体" w:hAnsi="宋体" w:eastAsia="宋体" w:cs="宋体"/>
                <w:b/>
                <w:bCs/>
                <w:spacing w:val="14"/>
                <w:sz w:val="24"/>
                <w:szCs w:val="24"/>
              </w:rPr>
              <w:t>生态板生产工艺流程</w:t>
            </w:r>
          </w:p>
          <w:p w14:paraId="647EB62F">
            <w:pPr>
              <w:spacing w:before="189" w:line="219" w:lineRule="auto"/>
              <w:ind w:left="589"/>
              <w:rPr>
                <w:rFonts w:ascii="宋体" w:hAnsi="宋体" w:eastAsia="宋体" w:cs="宋体"/>
                <w:sz w:val="24"/>
                <w:szCs w:val="24"/>
              </w:rPr>
            </w:pPr>
            <w:r>
              <w:rPr>
                <w:rFonts w:ascii="宋体" w:hAnsi="宋体" w:eastAsia="宋体" w:cs="宋体"/>
                <w:b/>
                <w:bCs/>
                <w:spacing w:val="-4"/>
                <w:sz w:val="24"/>
                <w:szCs w:val="24"/>
              </w:rPr>
              <w:t>工艺流程简介：</w:t>
            </w:r>
          </w:p>
          <w:p w14:paraId="399EE09C">
            <w:pPr>
              <w:spacing w:before="185" w:line="359" w:lineRule="auto"/>
              <w:ind w:left="105" w:right="104" w:firstLine="480"/>
              <w:rPr>
                <w:rFonts w:ascii="宋体" w:hAnsi="宋体" w:eastAsia="宋体" w:cs="宋体"/>
                <w:sz w:val="24"/>
                <w:szCs w:val="24"/>
              </w:rPr>
            </w:pPr>
            <w:r>
              <w:rPr>
                <w:rFonts w:ascii="宋体" w:hAnsi="宋体" w:eastAsia="宋体" w:cs="宋体"/>
                <w:sz w:val="24"/>
                <w:szCs w:val="24"/>
              </w:rPr>
              <w:t>①定厚：将外购生态板芯定厚砂光、刮腻分选。将基材板芯定厚砂光至所需厚度，要求砂光表面平整，没有严重凹陷和波浪纹，厚度一致，无污染。将定厚</w:t>
            </w:r>
            <w:r>
              <w:rPr>
                <w:rFonts w:ascii="宋体" w:hAnsi="宋体" w:eastAsia="宋体" w:cs="宋体"/>
                <w:spacing w:val="-1"/>
                <w:sz w:val="24"/>
                <w:szCs w:val="24"/>
              </w:rPr>
              <w:t>砂光完毕的板芯用腻子填平低凹处，检查完全。</w:t>
            </w:r>
          </w:p>
          <w:p w14:paraId="45F8A761">
            <w:pPr>
              <w:spacing w:before="1" w:line="217" w:lineRule="auto"/>
              <w:ind w:left="584"/>
              <w:rPr>
                <w:rFonts w:ascii="宋体" w:hAnsi="宋体" w:eastAsia="宋体" w:cs="宋体"/>
                <w:sz w:val="24"/>
                <w:szCs w:val="24"/>
              </w:rPr>
            </w:pPr>
            <w:r>
              <w:rPr>
                <w:rFonts w:ascii="宋体" w:hAnsi="宋体" w:eastAsia="宋体" w:cs="宋体"/>
                <w:sz w:val="24"/>
                <w:szCs w:val="24"/>
              </w:rPr>
              <w:t>②贴面：将三聚氰胺浸渍胶膜纸覆贴，采用</w:t>
            </w:r>
            <w:r>
              <w:rPr>
                <w:rFonts w:ascii="宋体" w:hAnsi="宋体" w:eastAsia="宋体" w:cs="宋体"/>
                <w:spacing w:val="-1"/>
                <w:sz w:val="24"/>
                <w:szCs w:val="24"/>
              </w:rPr>
              <w:t>贴面压机进行热压。</w:t>
            </w:r>
          </w:p>
          <w:p w14:paraId="2D395B5A">
            <w:pPr>
              <w:spacing w:before="183" w:line="217" w:lineRule="auto"/>
              <w:ind w:left="584"/>
              <w:rPr>
                <w:rFonts w:ascii="宋体" w:hAnsi="宋体" w:eastAsia="宋体" w:cs="宋体"/>
                <w:sz w:val="24"/>
                <w:szCs w:val="24"/>
              </w:rPr>
            </w:pPr>
            <w:r>
              <w:rPr>
                <w:rFonts w:ascii="宋体" w:hAnsi="宋体" w:eastAsia="宋体" w:cs="宋体"/>
                <w:sz w:val="24"/>
                <w:szCs w:val="24"/>
              </w:rPr>
              <w:t>③热压：要求热压后板面平整光洁，无干湿花、</w:t>
            </w:r>
            <w:r>
              <w:rPr>
                <w:rFonts w:ascii="宋体" w:hAnsi="宋体" w:eastAsia="宋体" w:cs="宋体"/>
                <w:spacing w:val="-1"/>
                <w:sz w:val="24"/>
                <w:szCs w:val="24"/>
              </w:rPr>
              <w:t>鼓泡、鼓包等现象。</w:t>
            </w:r>
          </w:p>
          <w:p w14:paraId="2B28A03B">
            <w:pPr>
              <w:spacing w:before="186" w:line="350" w:lineRule="auto"/>
              <w:ind w:left="106" w:right="144" w:firstLine="478"/>
              <w:rPr>
                <w:rFonts w:ascii="宋体" w:hAnsi="宋体" w:eastAsia="宋体" w:cs="宋体"/>
                <w:sz w:val="24"/>
                <w:szCs w:val="24"/>
              </w:rPr>
            </w:pPr>
            <w:r>
              <w:rPr>
                <w:rFonts w:ascii="宋体" w:hAnsi="宋体" w:eastAsia="宋体" w:cs="宋体"/>
                <w:spacing w:val="-1"/>
                <w:sz w:val="24"/>
                <w:szCs w:val="24"/>
              </w:rPr>
              <w:t>④裁边、分等和打包入库。裁边要求四角方正、平直、光洁，无明显锯痕、</w:t>
            </w:r>
            <w:r>
              <w:rPr>
                <w:rFonts w:ascii="宋体" w:hAnsi="宋体" w:eastAsia="宋体" w:cs="宋体"/>
                <w:sz w:val="24"/>
                <w:szCs w:val="24"/>
              </w:rPr>
              <w:t>焦边、崩边等缺陷。裁边完成后，按订单标</w:t>
            </w:r>
            <w:r>
              <w:rPr>
                <w:rFonts w:ascii="宋体" w:hAnsi="宋体" w:eastAsia="宋体" w:cs="宋体"/>
                <w:spacing w:val="-1"/>
                <w:sz w:val="24"/>
                <w:szCs w:val="24"/>
              </w:rPr>
              <w:t>准要求进行分等和打包。</w:t>
            </w:r>
          </w:p>
        </w:tc>
      </w:tr>
    </w:tbl>
    <w:p w14:paraId="06CF084D">
      <w:pPr>
        <w:pStyle w:val="2"/>
      </w:pPr>
    </w:p>
    <w:p w14:paraId="2F554C82">
      <w:pPr>
        <w:sectPr>
          <w:footerReference r:id="rId64" w:type="default"/>
          <w:pgSz w:w="11906" w:h="16839"/>
          <w:pgMar w:top="400" w:right="1413" w:bottom="1329" w:left="1413" w:header="0" w:footer="1113" w:gutter="0"/>
          <w:cols w:space="720" w:num="1"/>
        </w:sectPr>
      </w:pPr>
    </w:p>
    <w:p w14:paraId="3ADD0C81">
      <w:pPr>
        <w:spacing w:before="19"/>
      </w:pPr>
    </w:p>
    <w:p w14:paraId="754FA747">
      <w:pPr>
        <w:spacing w:before="19"/>
      </w:pPr>
    </w:p>
    <w:p w14:paraId="282C2AFE">
      <w:pPr>
        <w:spacing w:before="19"/>
      </w:pPr>
    </w:p>
    <w:p w14:paraId="45BA0345">
      <w:pPr>
        <w:spacing w:before="18"/>
      </w:pPr>
    </w:p>
    <w:p w14:paraId="294FC669">
      <w:pPr>
        <w:spacing w:before="18"/>
      </w:pPr>
    </w:p>
    <w:tbl>
      <w:tblPr>
        <w:tblStyle w:val="10"/>
        <w:tblW w:w="90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28"/>
        <w:gridCol w:w="8636"/>
      </w:tblGrid>
      <w:tr w14:paraId="31436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72" w:hRule="atLeast"/>
        </w:trPr>
        <w:tc>
          <w:tcPr>
            <w:tcW w:w="428" w:type="dxa"/>
            <w:tcBorders>
              <w:right w:val="single" w:color="000000" w:sz="2" w:space="0"/>
            </w:tcBorders>
            <w:vAlign w:val="top"/>
          </w:tcPr>
          <w:p w14:paraId="31726724">
            <w:pPr>
              <w:rPr>
                <w:rFonts w:ascii="Arial"/>
                <w:sz w:val="21"/>
              </w:rPr>
            </w:pPr>
          </w:p>
        </w:tc>
        <w:tc>
          <w:tcPr>
            <w:tcW w:w="8636" w:type="dxa"/>
            <w:tcBorders>
              <w:left w:val="single" w:color="000000" w:sz="2" w:space="0"/>
            </w:tcBorders>
            <w:vAlign w:val="top"/>
          </w:tcPr>
          <w:p w14:paraId="46C36955">
            <w:pPr>
              <w:spacing w:before="30" w:line="219" w:lineRule="auto"/>
              <w:ind w:left="598"/>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2</w:t>
            </w:r>
            <w:r>
              <w:rPr>
                <w:rFonts w:ascii="宋体" w:hAnsi="宋体" w:eastAsia="宋体" w:cs="宋体"/>
                <w:b/>
                <w:bCs/>
                <w:spacing w:val="-4"/>
                <w:sz w:val="24"/>
                <w:szCs w:val="24"/>
              </w:rPr>
              <w:t>）家具生产车间工艺流程</w:t>
            </w:r>
          </w:p>
          <w:p w14:paraId="1F737BF8">
            <w:pPr>
              <w:spacing w:before="179" w:line="346" w:lineRule="auto"/>
              <w:ind w:left="106" w:right="102" w:firstLine="480"/>
              <w:rPr>
                <w:rFonts w:ascii="宋体" w:hAnsi="宋体" w:eastAsia="宋体" w:cs="宋体"/>
                <w:sz w:val="24"/>
                <w:szCs w:val="24"/>
              </w:rPr>
            </w:pPr>
            <w:r>
              <w:rPr>
                <w:rFonts w:ascii="宋体" w:hAnsi="宋体" w:eastAsia="宋体" w:cs="宋体"/>
                <w:spacing w:val="-1"/>
                <w:sz w:val="24"/>
                <w:szCs w:val="24"/>
              </w:rPr>
              <w:t>本项目木制家具生产线设置在</w:t>
            </w:r>
            <w:r>
              <w:rPr>
                <w:rFonts w:ascii="宋体" w:hAnsi="宋体" w:eastAsia="宋体" w:cs="宋体"/>
                <w:spacing w:val="-56"/>
                <w:sz w:val="24"/>
                <w:szCs w:val="24"/>
              </w:rPr>
              <w:t xml:space="preserve"> </w:t>
            </w:r>
            <w:r>
              <w:rPr>
                <w:rFonts w:ascii="Times New Roman" w:hAnsi="Times New Roman" w:eastAsia="Times New Roman" w:cs="Times New Roman"/>
                <w:spacing w:val="-1"/>
                <w:sz w:val="24"/>
                <w:szCs w:val="24"/>
              </w:rPr>
              <w:t>4#</w:t>
            </w:r>
            <w:r>
              <w:rPr>
                <w:rFonts w:ascii="宋体" w:hAnsi="宋体" w:eastAsia="宋体" w:cs="宋体"/>
                <w:spacing w:val="-1"/>
                <w:sz w:val="24"/>
                <w:szCs w:val="24"/>
              </w:rPr>
              <w:t>厂房，生</w:t>
            </w:r>
            <w:r>
              <w:rPr>
                <w:rFonts w:ascii="宋体" w:hAnsi="宋体" w:eastAsia="宋体" w:cs="宋体"/>
                <w:spacing w:val="-2"/>
                <w:sz w:val="24"/>
                <w:szCs w:val="24"/>
              </w:rPr>
              <w:t>产工艺、生产产能及产污节点均一</w:t>
            </w:r>
            <w:r>
              <w:rPr>
                <w:rFonts w:ascii="宋体" w:hAnsi="宋体" w:eastAsia="宋体" w:cs="宋体"/>
                <w:spacing w:val="-1"/>
                <w:sz w:val="24"/>
                <w:szCs w:val="24"/>
              </w:rPr>
              <w:t>致。生产工艺流程见下图。</w:t>
            </w:r>
          </w:p>
          <w:p w14:paraId="747EBB52">
            <w:pPr>
              <w:spacing w:line="7742" w:lineRule="exact"/>
              <w:ind w:firstLine="851"/>
            </w:pPr>
            <w:r>
              <w:rPr>
                <w:position w:val="-154"/>
              </w:rPr>
              <w:drawing>
                <wp:inline distT="0" distB="0" distL="0" distR="0">
                  <wp:extent cx="4384040" cy="491617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28"/>
                          <a:stretch>
                            <a:fillRect/>
                          </a:stretch>
                        </pic:blipFill>
                        <pic:spPr>
                          <a:xfrm>
                            <a:off x="0" y="0"/>
                            <a:ext cx="4384548" cy="4916423"/>
                          </a:xfrm>
                          <a:prstGeom prst="rect">
                            <a:avLst/>
                          </a:prstGeom>
                        </pic:spPr>
                      </pic:pic>
                    </a:graphicData>
                  </a:graphic>
                </wp:inline>
              </w:drawing>
            </w:r>
          </w:p>
          <w:p w14:paraId="2E2AAEC6">
            <w:pPr>
              <w:spacing w:before="47" w:line="219" w:lineRule="auto"/>
              <w:ind w:left="3159"/>
              <w:rPr>
                <w:rFonts w:ascii="宋体" w:hAnsi="宋体" w:eastAsia="宋体" w:cs="宋体"/>
                <w:sz w:val="24"/>
                <w:szCs w:val="24"/>
              </w:rPr>
            </w:pPr>
            <w:r>
              <w:rPr>
                <w:rFonts w:ascii="宋体" w:hAnsi="宋体" w:eastAsia="宋体" w:cs="宋体"/>
                <w:b/>
                <w:bCs/>
                <w:spacing w:val="-5"/>
                <w:sz w:val="24"/>
                <w:szCs w:val="24"/>
              </w:rPr>
              <w:t>图</w:t>
            </w:r>
            <w:r>
              <w:rPr>
                <w:rFonts w:ascii="宋体" w:hAnsi="宋体" w:eastAsia="宋体" w:cs="宋体"/>
                <w:spacing w:val="-43"/>
                <w:sz w:val="24"/>
                <w:szCs w:val="24"/>
              </w:rPr>
              <w:t xml:space="preserve"> </w:t>
            </w:r>
            <w:r>
              <w:rPr>
                <w:rFonts w:ascii="Times New Roman" w:hAnsi="Times New Roman" w:eastAsia="Times New Roman" w:cs="Times New Roman"/>
                <w:b/>
                <w:bCs/>
                <w:spacing w:val="-5"/>
                <w:sz w:val="24"/>
                <w:szCs w:val="24"/>
              </w:rPr>
              <w:t xml:space="preserve">2-5 </w:t>
            </w:r>
            <w:r>
              <w:rPr>
                <w:rFonts w:ascii="宋体" w:hAnsi="宋体" w:eastAsia="宋体" w:cs="宋体"/>
                <w:b/>
                <w:bCs/>
                <w:spacing w:val="-5"/>
                <w:sz w:val="24"/>
                <w:szCs w:val="24"/>
              </w:rPr>
              <w:t>家具生产工艺流程图</w:t>
            </w:r>
          </w:p>
          <w:p w14:paraId="4F450D2D">
            <w:pPr>
              <w:spacing w:before="179" w:line="219" w:lineRule="auto"/>
              <w:ind w:left="589"/>
              <w:rPr>
                <w:rFonts w:ascii="宋体" w:hAnsi="宋体" w:eastAsia="宋体" w:cs="宋体"/>
                <w:sz w:val="24"/>
                <w:szCs w:val="24"/>
              </w:rPr>
            </w:pPr>
            <w:r>
              <w:rPr>
                <w:rFonts w:ascii="宋体" w:hAnsi="宋体" w:eastAsia="宋体" w:cs="宋体"/>
                <w:b/>
                <w:bCs/>
                <w:spacing w:val="-4"/>
                <w:sz w:val="24"/>
                <w:szCs w:val="24"/>
              </w:rPr>
              <w:t>工艺流程简述：</w:t>
            </w:r>
          </w:p>
          <w:p w14:paraId="3BCDC942">
            <w:pPr>
              <w:spacing w:before="184" w:line="217" w:lineRule="auto"/>
              <w:jc w:val="right"/>
              <w:rPr>
                <w:rFonts w:ascii="宋体" w:hAnsi="宋体" w:eastAsia="宋体" w:cs="宋体"/>
                <w:sz w:val="24"/>
                <w:szCs w:val="24"/>
              </w:rPr>
            </w:pPr>
            <w:r>
              <w:rPr>
                <w:rFonts w:ascii="宋体" w:hAnsi="宋体" w:eastAsia="宋体" w:cs="宋体"/>
                <w:spacing w:val="-4"/>
                <w:sz w:val="24"/>
                <w:szCs w:val="24"/>
              </w:rPr>
              <w:t>①开料：将原料板材按图纸要求进行切割，该工序产生粉尘、</w:t>
            </w:r>
            <w:r>
              <w:rPr>
                <w:rFonts w:ascii="宋体" w:hAnsi="宋体" w:eastAsia="宋体" w:cs="宋体"/>
                <w:spacing w:val="-5"/>
                <w:sz w:val="24"/>
                <w:szCs w:val="24"/>
              </w:rPr>
              <w:t>噪声、边角料。</w:t>
            </w:r>
          </w:p>
          <w:p w14:paraId="5F9F9901">
            <w:pPr>
              <w:spacing w:before="184" w:line="360" w:lineRule="auto"/>
              <w:ind w:left="105" w:right="104" w:firstLine="479"/>
              <w:rPr>
                <w:rFonts w:ascii="宋体" w:hAnsi="宋体" w:eastAsia="宋体" w:cs="宋体"/>
                <w:sz w:val="24"/>
                <w:szCs w:val="24"/>
              </w:rPr>
            </w:pPr>
            <w:r>
              <w:rPr>
                <w:rFonts w:ascii="宋体" w:hAnsi="宋体" w:eastAsia="宋体" w:cs="宋体"/>
                <w:sz w:val="24"/>
                <w:szCs w:val="24"/>
              </w:rPr>
              <w:t>②粘合：裁切好板材需要刷乳白胶后经过冷压机进行拼接、粘合，此过程中</w:t>
            </w:r>
            <w:r>
              <w:rPr>
                <w:rFonts w:ascii="宋体" w:hAnsi="宋体" w:eastAsia="宋体" w:cs="宋体"/>
                <w:spacing w:val="-1"/>
                <w:sz w:val="24"/>
                <w:szCs w:val="24"/>
              </w:rPr>
              <w:t>会产生噪声、废气。</w:t>
            </w:r>
          </w:p>
          <w:p w14:paraId="22DD2CCF">
            <w:pPr>
              <w:spacing w:line="358" w:lineRule="auto"/>
              <w:ind w:left="118" w:right="104" w:firstLine="466"/>
              <w:rPr>
                <w:rFonts w:ascii="宋体" w:hAnsi="宋体" w:eastAsia="宋体" w:cs="宋体"/>
                <w:sz w:val="24"/>
                <w:szCs w:val="24"/>
              </w:rPr>
            </w:pPr>
            <w:r>
              <w:rPr>
                <w:rFonts w:ascii="宋体" w:hAnsi="宋体" w:eastAsia="宋体" w:cs="宋体"/>
                <w:sz w:val="24"/>
                <w:szCs w:val="24"/>
              </w:rPr>
              <w:t>③铣型、雕刻：按照图纸将压合后板材表面处理出需要的花纹，此过程产生</w:t>
            </w:r>
            <w:r>
              <w:rPr>
                <w:rFonts w:ascii="宋体" w:hAnsi="宋体" w:eastAsia="宋体" w:cs="宋体"/>
                <w:spacing w:val="-2"/>
                <w:sz w:val="24"/>
                <w:szCs w:val="24"/>
              </w:rPr>
              <w:t>噪声、木屑粉尘和固废。</w:t>
            </w:r>
          </w:p>
          <w:p w14:paraId="1AB2EF6E">
            <w:pPr>
              <w:spacing w:before="2" w:line="350" w:lineRule="auto"/>
              <w:ind w:left="105" w:right="104" w:firstLine="479"/>
              <w:rPr>
                <w:rFonts w:ascii="宋体" w:hAnsi="宋体" w:eastAsia="宋体" w:cs="宋体"/>
                <w:sz w:val="24"/>
                <w:szCs w:val="24"/>
              </w:rPr>
            </w:pPr>
            <w:r>
              <w:rPr>
                <w:rFonts w:ascii="宋体" w:hAnsi="宋体" w:eastAsia="宋体" w:cs="宋体"/>
                <w:sz w:val="24"/>
                <w:szCs w:val="24"/>
              </w:rPr>
              <w:t>④封边：使用白乳胶在处理好的板材表面铺贴相应的装饰纸，该过程将产生</w:t>
            </w:r>
            <w:r>
              <w:rPr>
                <w:rFonts w:ascii="宋体" w:hAnsi="宋体" w:eastAsia="宋体" w:cs="宋体"/>
                <w:spacing w:val="-3"/>
                <w:sz w:val="24"/>
                <w:szCs w:val="24"/>
              </w:rPr>
              <w:t>废气。</w:t>
            </w:r>
          </w:p>
        </w:tc>
      </w:tr>
    </w:tbl>
    <w:p w14:paraId="71D5EE63">
      <w:pPr>
        <w:pStyle w:val="2"/>
      </w:pPr>
    </w:p>
    <w:p w14:paraId="10B31C12">
      <w:pPr>
        <w:sectPr>
          <w:footerReference r:id="rId65" w:type="default"/>
          <w:pgSz w:w="11906" w:h="16839"/>
          <w:pgMar w:top="400" w:right="1413" w:bottom="1329" w:left="1413" w:header="0" w:footer="1113" w:gutter="0"/>
          <w:cols w:space="720" w:num="1"/>
        </w:sectPr>
      </w:pPr>
    </w:p>
    <w:p w14:paraId="74879923">
      <w:pPr>
        <w:spacing w:before="19"/>
      </w:pPr>
    </w:p>
    <w:p w14:paraId="327180C7">
      <w:pPr>
        <w:spacing w:before="19"/>
      </w:pPr>
    </w:p>
    <w:p w14:paraId="258FA266">
      <w:pPr>
        <w:spacing w:before="19"/>
      </w:pPr>
    </w:p>
    <w:p w14:paraId="14282FDE">
      <w:pPr>
        <w:spacing w:before="18"/>
      </w:pPr>
    </w:p>
    <w:p w14:paraId="3FDCEA6E">
      <w:pPr>
        <w:spacing w:before="18"/>
      </w:pPr>
    </w:p>
    <w:tbl>
      <w:tblPr>
        <w:tblStyle w:val="10"/>
        <w:tblW w:w="90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28"/>
        <w:gridCol w:w="8636"/>
      </w:tblGrid>
      <w:tr w14:paraId="14215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0" w:hRule="atLeast"/>
        </w:trPr>
        <w:tc>
          <w:tcPr>
            <w:tcW w:w="428" w:type="dxa"/>
            <w:vMerge w:val="restart"/>
            <w:tcBorders>
              <w:bottom w:val="nil"/>
              <w:right w:val="single" w:color="000000" w:sz="2" w:space="0"/>
            </w:tcBorders>
            <w:vAlign w:val="top"/>
          </w:tcPr>
          <w:p w14:paraId="289033E6">
            <w:pPr>
              <w:rPr>
                <w:rFonts w:ascii="Arial"/>
                <w:sz w:val="21"/>
              </w:rPr>
            </w:pPr>
          </w:p>
        </w:tc>
        <w:tc>
          <w:tcPr>
            <w:tcW w:w="8636" w:type="dxa"/>
            <w:tcBorders>
              <w:left w:val="single" w:color="000000" w:sz="2" w:space="0"/>
              <w:bottom w:val="nil"/>
            </w:tcBorders>
            <w:vAlign w:val="top"/>
          </w:tcPr>
          <w:p w14:paraId="499F77EA">
            <w:pPr>
              <w:spacing w:before="31" w:line="359" w:lineRule="auto"/>
              <w:ind w:left="106" w:right="102" w:firstLine="478"/>
              <w:rPr>
                <w:rFonts w:ascii="宋体" w:hAnsi="宋体" w:eastAsia="宋体" w:cs="宋体"/>
                <w:sz w:val="24"/>
                <w:szCs w:val="24"/>
              </w:rPr>
            </w:pPr>
            <w:r>
              <w:rPr>
                <w:rFonts w:ascii="宋体" w:hAnsi="宋体" w:eastAsia="宋体" w:cs="宋体"/>
                <w:sz w:val="24"/>
                <w:szCs w:val="24"/>
              </w:rPr>
              <w:t>⑤底处理：对雕刻后素板使用磨光机进行打磨，使其表面光滑平整。该过程</w:t>
            </w:r>
            <w:r>
              <w:rPr>
                <w:rFonts w:ascii="宋体" w:hAnsi="宋体" w:eastAsia="宋体" w:cs="宋体"/>
                <w:spacing w:val="-3"/>
                <w:sz w:val="24"/>
                <w:szCs w:val="24"/>
              </w:rPr>
              <w:t>产生粉尘，经集气罩收集后由布袋除尘器处理，处理后统一汇集至</w:t>
            </w:r>
            <w:r>
              <w:rPr>
                <w:rFonts w:ascii="宋体" w:hAnsi="宋体" w:eastAsia="宋体" w:cs="宋体"/>
                <w:spacing w:val="-20"/>
                <w:sz w:val="24"/>
                <w:szCs w:val="24"/>
              </w:rPr>
              <w:t xml:space="preserve"> </w:t>
            </w:r>
            <w:r>
              <w:rPr>
                <w:rFonts w:ascii="Times New Roman" w:hAnsi="Times New Roman" w:eastAsia="Times New Roman" w:cs="Times New Roman"/>
                <w:spacing w:val="-3"/>
                <w:sz w:val="24"/>
                <w:szCs w:val="24"/>
              </w:rPr>
              <w:t>15m</w:t>
            </w:r>
            <w:r>
              <w:rPr>
                <w:rFonts w:ascii="Times New Roman" w:hAnsi="Times New Roman" w:eastAsia="Times New Roman" w:cs="Times New Roman"/>
                <w:spacing w:val="17"/>
                <w:sz w:val="24"/>
                <w:szCs w:val="24"/>
              </w:rPr>
              <w:t xml:space="preserve"> </w:t>
            </w:r>
            <w:r>
              <w:rPr>
                <w:rFonts w:ascii="宋体" w:hAnsi="宋体" w:eastAsia="宋体" w:cs="宋体"/>
                <w:spacing w:val="-3"/>
                <w:sz w:val="24"/>
                <w:szCs w:val="24"/>
              </w:rPr>
              <w:t>高排气筒</w:t>
            </w:r>
            <w:r>
              <w:rPr>
                <w:rFonts w:ascii="宋体" w:hAnsi="宋体" w:eastAsia="宋体" w:cs="宋体"/>
                <w:spacing w:val="-2"/>
                <w:sz w:val="24"/>
                <w:szCs w:val="24"/>
              </w:rPr>
              <w:t>排放（</w:t>
            </w:r>
            <w:r>
              <w:rPr>
                <w:rFonts w:ascii="Times New Roman" w:hAnsi="Times New Roman" w:eastAsia="Times New Roman" w:cs="Times New Roman"/>
                <w:spacing w:val="-2"/>
                <w:sz w:val="24"/>
                <w:szCs w:val="24"/>
              </w:rPr>
              <w:t>DA001</w:t>
            </w:r>
            <w:r>
              <w:rPr>
                <w:rFonts w:ascii="宋体" w:hAnsi="宋体" w:eastAsia="宋体" w:cs="宋体"/>
                <w:spacing w:val="-2"/>
                <w:sz w:val="24"/>
                <w:szCs w:val="24"/>
              </w:rPr>
              <w:t>）。</w:t>
            </w:r>
          </w:p>
          <w:p w14:paraId="65C127B4">
            <w:pPr>
              <w:spacing w:before="4" w:line="357" w:lineRule="auto"/>
              <w:ind w:left="106" w:right="40" w:firstLine="478"/>
              <w:rPr>
                <w:rFonts w:ascii="宋体" w:hAnsi="宋体" w:eastAsia="宋体" w:cs="宋体"/>
                <w:sz w:val="24"/>
                <w:szCs w:val="24"/>
              </w:rPr>
            </w:pPr>
            <w:r>
              <w:rPr>
                <w:rFonts w:ascii="宋体" w:hAnsi="宋体" w:eastAsia="宋体" w:cs="宋体"/>
                <w:sz w:val="24"/>
                <w:szCs w:val="24"/>
              </w:rPr>
              <w:t>⑥喷底漆、面漆：在喷漆房喷漆操作，本道工序会产生有机废气、废油漆包</w:t>
            </w:r>
            <w:r>
              <w:rPr>
                <w:rFonts w:ascii="宋体" w:hAnsi="宋体" w:eastAsia="宋体" w:cs="宋体"/>
                <w:spacing w:val="-2"/>
                <w:sz w:val="24"/>
                <w:szCs w:val="24"/>
              </w:rPr>
              <w:t>装桶、噪声、漆渣。漆雾由漆雾分离柜处理，废气经</w:t>
            </w:r>
            <w:r>
              <w:rPr>
                <w:rFonts w:ascii="Times New Roman" w:hAnsi="Times New Roman" w:eastAsia="Times New Roman" w:cs="Times New Roman"/>
                <w:spacing w:val="-2"/>
                <w:sz w:val="24"/>
                <w:szCs w:val="24"/>
              </w:rPr>
              <w:t>“uv</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光氧</w:t>
            </w:r>
            <w:r>
              <w:rPr>
                <w:rFonts w:ascii="Times New Roman" w:hAnsi="Times New Roman" w:eastAsia="Times New Roman" w:cs="Times New Roman"/>
                <w:spacing w:val="-3"/>
                <w:sz w:val="24"/>
                <w:szCs w:val="24"/>
              </w:rPr>
              <w:t>+</w:t>
            </w:r>
            <w:r>
              <w:rPr>
                <w:rFonts w:ascii="宋体" w:hAnsi="宋体" w:eastAsia="宋体" w:cs="宋体"/>
                <w:spacing w:val="-3"/>
                <w:sz w:val="24"/>
                <w:szCs w:val="24"/>
              </w:rPr>
              <w:t>活性炭吸附</w:t>
            </w:r>
            <w:r>
              <w:rPr>
                <w:rFonts w:ascii="Times New Roman" w:hAnsi="Times New Roman" w:eastAsia="Times New Roman" w:cs="Times New Roman"/>
                <w:spacing w:val="-3"/>
                <w:sz w:val="24"/>
                <w:szCs w:val="24"/>
              </w:rPr>
              <w:t>”</w:t>
            </w:r>
            <w:r>
              <w:rPr>
                <w:rFonts w:ascii="宋体" w:hAnsi="宋体" w:eastAsia="宋体" w:cs="宋体"/>
                <w:spacing w:val="-3"/>
                <w:sz w:val="24"/>
                <w:szCs w:val="24"/>
              </w:rPr>
              <w:t>处理，</w:t>
            </w:r>
            <w:r>
              <w:rPr>
                <w:rFonts w:ascii="宋体" w:hAnsi="宋体" w:eastAsia="宋体" w:cs="宋体"/>
                <w:spacing w:val="-1"/>
                <w:sz w:val="24"/>
                <w:szCs w:val="24"/>
              </w:rPr>
              <w:t>处理后经</w:t>
            </w:r>
            <w:r>
              <w:rPr>
                <w:rFonts w:ascii="宋体" w:hAnsi="宋体" w:eastAsia="宋体" w:cs="宋体"/>
                <w:spacing w:val="-30"/>
                <w:sz w:val="24"/>
                <w:szCs w:val="24"/>
              </w:rPr>
              <w:t xml:space="preserve"> </w:t>
            </w:r>
            <w:r>
              <w:rPr>
                <w:rFonts w:ascii="Times New Roman" w:hAnsi="Times New Roman" w:eastAsia="Times New Roman" w:cs="Times New Roman"/>
                <w:spacing w:val="-1"/>
                <w:sz w:val="24"/>
                <w:szCs w:val="24"/>
              </w:rPr>
              <w:t>15m</w:t>
            </w:r>
            <w:r>
              <w:rPr>
                <w:rFonts w:ascii="Times New Roman" w:hAnsi="Times New Roman" w:eastAsia="Times New Roman" w:cs="Times New Roman"/>
                <w:spacing w:val="19"/>
                <w:w w:val="101"/>
                <w:sz w:val="24"/>
                <w:szCs w:val="24"/>
              </w:rPr>
              <w:t xml:space="preserve"> </w:t>
            </w:r>
            <w:r>
              <w:rPr>
                <w:rFonts w:ascii="宋体" w:hAnsi="宋体" w:eastAsia="宋体" w:cs="宋体"/>
                <w:spacing w:val="-1"/>
                <w:sz w:val="24"/>
                <w:szCs w:val="24"/>
              </w:rPr>
              <w:t>高排气筒排放</w:t>
            </w:r>
            <w:r>
              <w:rPr>
                <w:rFonts w:ascii="Times New Roman" w:hAnsi="Times New Roman" w:eastAsia="Times New Roman" w:cs="Times New Roman"/>
                <w:spacing w:val="-1"/>
                <w:sz w:val="24"/>
                <w:szCs w:val="24"/>
              </w:rPr>
              <w:t>(DA002)</w:t>
            </w:r>
            <w:r>
              <w:rPr>
                <w:rFonts w:ascii="Times New Roman" w:hAnsi="Times New Roman" w:eastAsia="Times New Roman" w:cs="Times New Roman"/>
                <w:spacing w:val="-23"/>
                <w:sz w:val="24"/>
                <w:szCs w:val="24"/>
              </w:rPr>
              <w:t xml:space="preserve"> </w:t>
            </w:r>
            <w:r>
              <w:rPr>
                <w:rFonts w:ascii="宋体" w:hAnsi="宋体" w:eastAsia="宋体" w:cs="宋体"/>
                <w:spacing w:val="-1"/>
                <w:sz w:val="24"/>
                <w:szCs w:val="24"/>
              </w:rPr>
              <w:t>。建设单位拟采用的漆主要是以</w:t>
            </w:r>
            <w:r>
              <w:rPr>
                <w:rFonts w:ascii="宋体" w:hAnsi="宋体" w:eastAsia="宋体" w:cs="宋体"/>
                <w:spacing w:val="-2"/>
                <w:sz w:val="24"/>
                <w:szCs w:val="24"/>
              </w:rPr>
              <w:t>油漆、固化</w:t>
            </w:r>
            <w:r>
              <w:rPr>
                <w:rFonts w:ascii="宋体" w:hAnsi="宋体" w:eastAsia="宋体" w:cs="宋体"/>
                <w:spacing w:val="-1"/>
                <w:sz w:val="24"/>
                <w:szCs w:val="24"/>
              </w:rPr>
              <w:t>剂、稀释剂三组分调配后而成。</w:t>
            </w:r>
          </w:p>
          <w:p w14:paraId="225CCA77">
            <w:pPr>
              <w:spacing w:before="6" w:line="359" w:lineRule="auto"/>
              <w:ind w:left="587" w:right="128" w:firstLine="10"/>
              <w:rPr>
                <w:rFonts w:ascii="宋体" w:hAnsi="宋体" w:eastAsia="宋体" w:cs="宋体"/>
                <w:sz w:val="24"/>
                <w:szCs w:val="24"/>
              </w:rPr>
            </w:pPr>
            <w:r>
              <w:rPr>
                <w:rFonts w:ascii="宋体" w:hAnsi="宋体" w:eastAsia="宋体" w:cs="宋体"/>
                <w:spacing w:val="-1"/>
                <w:sz w:val="24"/>
                <w:szCs w:val="24"/>
              </w:rPr>
              <w:t>晾干：喷涂面漆后对板材进行自然晾干，晾干房为密闭式区域，采用负压通风，晾干废气主要为有机废气。</w:t>
            </w:r>
          </w:p>
          <w:p w14:paraId="7C673D10">
            <w:pPr>
              <w:spacing w:before="2" w:line="358" w:lineRule="auto"/>
              <w:ind w:left="106" w:right="104" w:firstLine="479"/>
              <w:jc w:val="both"/>
              <w:rPr>
                <w:rFonts w:ascii="宋体" w:hAnsi="宋体" w:eastAsia="宋体" w:cs="宋体"/>
                <w:sz w:val="24"/>
                <w:szCs w:val="24"/>
              </w:rPr>
            </w:pPr>
            <w:r>
              <w:rPr>
                <w:rFonts w:ascii="宋体" w:hAnsi="宋体" w:eastAsia="宋体" w:cs="宋体"/>
                <w:sz w:val="24"/>
                <w:szCs w:val="24"/>
              </w:rPr>
              <w:t>砂磨：底漆晾干后需人工对板材进行打磨，去掉多余的底漆，同时使板面光滑、平整均匀。该过程产生粉尘，经集气罩收集后进入布袋除尘器处理，处理后</w:t>
            </w:r>
            <w:r>
              <w:rPr>
                <w:rFonts w:ascii="宋体" w:hAnsi="宋体" w:eastAsia="宋体" w:cs="宋体"/>
                <w:spacing w:val="-3"/>
                <w:sz w:val="24"/>
                <w:szCs w:val="24"/>
              </w:rPr>
              <w:t>统一汇集至</w:t>
            </w:r>
            <w:r>
              <w:rPr>
                <w:rFonts w:ascii="宋体" w:hAnsi="宋体" w:eastAsia="宋体" w:cs="宋体"/>
                <w:spacing w:val="-23"/>
                <w:sz w:val="24"/>
                <w:szCs w:val="24"/>
              </w:rPr>
              <w:t xml:space="preserve"> </w:t>
            </w:r>
            <w:r>
              <w:rPr>
                <w:rFonts w:ascii="Times New Roman" w:hAnsi="Times New Roman" w:eastAsia="Times New Roman" w:cs="Times New Roman"/>
                <w:spacing w:val="-3"/>
                <w:sz w:val="24"/>
                <w:szCs w:val="24"/>
              </w:rPr>
              <w:t>15m</w:t>
            </w:r>
            <w:r>
              <w:rPr>
                <w:rFonts w:ascii="Times New Roman" w:hAnsi="Times New Roman" w:eastAsia="Times New Roman" w:cs="Times New Roman"/>
                <w:spacing w:val="17"/>
                <w:sz w:val="24"/>
                <w:szCs w:val="24"/>
              </w:rPr>
              <w:t xml:space="preserve"> </w:t>
            </w:r>
            <w:r>
              <w:rPr>
                <w:rFonts w:ascii="宋体" w:hAnsi="宋体" w:eastAsia="宋体" w:cs="宋体"/>
                <w:spacing w:val="-3"/>
                <w:sz w:val="24"/>
                <w:szCs w:val="24"/>
              </w:rPr>
              <w:t>高排气筒排放</w:t>
            </w:r>
            <w:r>
              <w:rPr>
                <w:rFonts w:ascii="Times New Roman" w:hAnsi="Times New Roman" w:eastAsia="Times New Roman" w:cs="Times New Roman"/>
                <w:spacing w:val="-3"/>
                <w:sz w:val="24"/>
                <w:szCs w:val="24"/>
              </w:rPr>
              <w:t>(DA001)</w:t>
            </w:r>
            <w:r>
              <w:rPr>
                <w:rFonts w:ascii="宋体" w:hAnsi="宋体" w:eastAsia="宋体" w:cs="宋体"/>
                <w:spacing w:val="-3"/>
                <w:sz w:val="24"/>
                <w:szCs w:val="24"/>
              </w:rPr>
              <w:t>。</w:t>
            </w:r>
          </w:p>
          <w:p w14:paraId="1EC323BB">
            <w:pPr>
              <w:spacing w:before="3" w:line="359" w:lineRule="auto"/>
              <w:ind w:left="126" w:right="104" w:firstLine="461"/>
              <w:rPr>
                <w:rFonts w:ascii="宋体" w:hAnsi="宋体" w:eastAsia="宋体" w:cs="宋体"/>
                <w:sz w:val="24"/>
                <w:szCs w:val="24"/>
              </w:rPr>
            </w:pPr>
            <w:r>
              <w:rPr>
                <w:rFonts w:ascii="宋体" w:hAnsi="宋体" w:eastAsia="宋体" w:cs="宋体"/>
                <w:sz w:val="24"/>
                <w:szCs w:val="24"/>
              </w:rPr>
              <w:t>质检包装：经质检合格后对产品包装入库，该过程将产生固废，主要为废弃</w:t>
            </w:r>
            <w:r>
              <w:rPr>
                <w:rFonts w:ascii="宋体" w:hAnsi="宋体" w:eastAsia="宋体" w:cs="宋体"/>
                <w:spacing w:val="-5"/>
                <w:sz w:val="24"/>
                <w:szCs w:val="24"/>
              </w:rPr>
              <w:t>的包装用纸。</w:t>
            </w:r>
          </w:p>
          <w:p w14:paraId="25AE2ACB">
            <w:pPr>
              <w:spacing w:line="219" w:lineRule="auto"/>
              <w:ind w:left="598"/>
              <w:rPr>
                <w:rFonts w:ascii="宋体" w:hAnsi="宋体" w:eastAsia="宋体" w:cs="宋体"/>
                <w:sz w:val="24"/>
                <w:szCs w:val="24"/>
              </w:rPr>
            </w:pPr>
            <w:r>
              <w:rPr>
                <w:rFonts w:ascii="宋体" w:hAnsi="宋体" w:eastAsia="宋体" w:cs="宋体"/>
                <w:b/>
                <w:bCs/>
                <w:spacing w:val="-3"/>
                <w:sz w:val="24"/>
                <w:szCs w:val="24"/>
              </w:rPr>
              <w:t>（</w:t>
            </w:r>
            <w:r>
              <w:rPr>
                <w:rFonts w:ascii="Times New Roman" w:hAnsi="Times New Roman" w:eastAsia="Times New Roman" w:cs="Times New Roman"/>
                <w:b/>
                <w:bCs/>
                <w:spacing w:val="-3"/>
                <w:sz w:val="24"/>
                <w:szCs w:val="24"/>
              </w:rPr>
              <w:t>3</w:t>
            </w:r>
            <w:r>
              <w:rPr>
                <w:rFonts w:ascii="宋体" w:hAnsi="宋体" w:eastAsia="宋体" w:cs="宋体"/>
                <w:b/>
                <w:bCs/>
                <w:spacing w:val="-3"/>
                <w:sz w:val="24"/>
                <w:szCs w:val="24"/>
              </w:rPr>
              <w:t>）浸渍纸生产车间工艺流程</w:t>
            </w:r>
          </w:p>
        </w:tc>
      </w:tr>
      <w:tr w14:paraId="5450A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1" w:hRule="atLeast"/>
        </w:trPr>
        <w:tc>
          <w:tcPr>
            <w:tcW w:w="428" w:type="dxa"/>
            <w:vMerge w:val="continue"/>
            <w:tcBorders>
              <w:top w:val="nil"/>
              <w:bottom w:val="nil"/>
              <w:right w:val="single" w:color="000000" w:sz="2" w:space="0"/>
            </w:tcBorders>
            <w:vAlign w:val="top"/>
          </w:tcPr>
          <w:p w14:paraId="4582D28B">
            <w:pPr>
              <w:rPr>
                <w:rFonts w:ascii="Arial"/>
                <w:sz w:val="21"/>
              </w:rPr>
            </w:pPr>
          </w:p>
        </w:tc>
        <w:tc>
          <w:tcPr>
            <w:tcW w:w="8636" w:type="dxa"/>
            <w:tcBorders>
              <w:top w:val="nil"/>
              <w:left w:val="single" w:color="000000" w:sz="2" w:space="0"/>
              <w:bottom w:val="nil"/>
            </w:tcBorders>
            <w:vAlign w:val="top"/>
          </w:tcPr>
          <w:p w14:paraId="54E58100">
            <w:pPr>
              <w:spacing w:before="8" w:line="3573" w:lineRule="exact"/>
              <w:ind w:firstLine="99"/>
            </w:pPr>
            <w:r>
              <w:rPr>
                <w:position w:val="-71"/>
              </w:rPr>
              <w:drawing>
                <wp:inline distT="0" distB="0" distL="0" distR="0">
                  <wp:extent cx="5359400" cy="226822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29"/>
                          <a:stretch>
                            <a:fillRect/>
                          </a:stretch>
                        </pic:blipFill>
                        <pic:spPr>
                          <a:xfrm>
                            <a:off x="0" y="0"/>
                            <a:ext cx="5359907" cy="2268600"/>
                          </a:xfrm>
                          <a:prstGeom prst="rect">
                            <a:avLst/>
                          </a:prstGeom>
                        </pic:spPr>
                      </pic:pic>
                    </a:graphicData>
                  </a:graphic>
                </wp:inline>
              </w:drawing>
            </w:r>
          </w:p>
        </w:tc>
      </w:tr>
      <w:tr w14:paraId="18312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2" w:hRule="atLeast"/>
        </w:trPr>
        <w:tc>
          <w:tcPr>
            <w:tcW w:w="428" w:type="dxa"/>
            <w:vMerge w:val="continue"/>
            <w:tcBorders>
              <w:top w:val="nil"/>
              <w:right w:val="single" w:color="000000" w:sz="2" w:space="0"/>
            </w:tcBorders>
            <w:vAlign w:val="top"/>
          </w:tcPr>
          <w:p w14:paraId="7706CAB6">
            <w:pPr>
              <w:rPr>
                <w:rFonts w:ascii="Arial"/>
                <w:sz w:val="21"/>
              </w:rPr>
            </w:pPr>
          </w:p>
        </w:tc>
        <w:tc>
          <w:tcPr>
            <w:tcW w:w="8636" w:type="dxa"/>
            <w:tcBorders>
              <w:top w:val="nil"/>
              <w:left w:val="single" w:color="000000" w:sz="2" w:space="0"/>
            </w:tcBorders>
            <w:vAlign w:val="top"/>
          </w:tcPr>
          <w:p w14:paraId="085CD9C5">
            <w:pPr>
              <w:spacing w:before="172" w:line="219" w:lineRule="auto"/>
              <w:ind w:left="3007"/>
              <w:rPr>
                <w:rFonts w:ascii="宋体" w:hAnsi="宋体" w:eastAsia="宋体" w:cs="宋体"/>
                <w:sz w:val="24"/>
                <w:szCs w:val="24"/>
              </w:rPr>
            </w:pPr>
            <w:r>
              <w:rPr>
                <w:rFonts w:ascii="宋体" w:hAnsi="宋体" w:eastAsia="宋体" w:cs="宋体"/>
                <w:b/>
                <w:bCs/>
                <w:spacing w:val="-4"/>
                <w:sz w:val="24"/>
                <w:szCs w:val="24"/>
              </w:rPr>
              <w:t>图</w:t>
            </w:r>
            <w:r>
              <w:rPr>
                <w:rFonts w:ascii="宋体" w:hAnsi="宋体" w:eastAsia="宋体" w:cs="宋体"/>
                <w:spacing w:val="-47"/>
                <w:sz w:val="24"/>
                <w:szCs w:val="24"/>
              </w:rPr>
              <w:t xml:space="preserve"> </w:t>
            </w:r>
            <w:r>
              <w:rPr>
                <w:rFonts w:ascii="Times New Roman" w:hAnsi="Times New Roman" w:eastAsia="Times New Roman" w:cs="Times New Roman"/>
                <w:b/>
                <w:bCs/>
                <w:spacing w:val="-4"/>
                <w:sz w:val="24"/>
                <w:szCs w:val="24"/>
              </w:rPr>
              <w:t xml:space="preserve">2-6  </w:t>
            </w:r>
            <w:r>
              <w:rPr>
                <w:rFonts w:ascii="宋体" w:hAnsi="宋体" w:eastAsia="宋体" w:cs="宋体"/>
                <w:b/>
                <w:bCs/>
                <w:spacing w:val="-4"/>
                <w:sz w:val="24"/>
                <w:szCs w:val="24"/>
              </w:rPr>
              <w:t>浸渍纸生产工艺流程图</w:t>
            </w:r>
          </w:p>
          <w:p w14:paraId="2EE11418">
            <w:pPr>
              <w:spacing w:before="179" w:line="219" w:lineRule="auto"/>
              <w:ind w:left="589"/>
              <w:rPr>
                <w:rFonts w:ascii="宋体" w:hAnsi="宋体" w:eastAsia="宋体" w:cs="宋体"/>
                <w:sz w:val="24"/>
                <w:szCs w:val="24"/>
              </w:rPr>
            </w:pPr>
            <w:r>
              <w:rPr>
                <w:rFonts w:ascii="宋体" w:hAnsi="宋体" w:eastAsia="宋体" w:cs="宋体"/>
                <w:b/>
                <w:bCs/>
                <w:spacing w:val="-4"/>
                <w:sz w:val="24"/>
                <w:szCs w:val="24"/>
              </w:rPr>
              <w:t>工艺流程简述：</w:t>
            </w:r>
          </w:p>
          <w:p w14:paraId="768DBDC7">
            <w:pPr>
              <w:spacing w:before="184" w:line="359" w:lineRule="auto"/>
              <w:ind w:left="105" w:right="104" w:firstLine="480"/>
              <w:rPr>
                <w:rFonts w:ascii="宋体" w:hAnsi="宋体" w:eastAsia="宋体" w:cs="宋体"/>
                <w:sz w:val="24"/>
                <w:szCs w:val="24"/>
              </w:rPr>
            </w:pPr>
            <w:r>
              <w:rPr>
                <w:rFonts w:ascii="宋体" w:hAnsi="宋体" w:eastAsia="宋体" w:cs="宋体"/>
                <w:sz w:val="24"/>
                <w:szCs w:val="24"/>
              </w:rPr>
              <w:t>胶水搅拌：将外购胶水按生产所需配比用搅拌机进行搅拌备用，建设单位拟</w:t>
            </w:r>
            <w:r>
              <w:rPr>
                <w:rFonts w:ascii="宋体" w:hAnsi="宋体" w:eastAsia="宋体" w:cs="宋体"/>
                <w:spacing w:val="-1"/>
                <w:sz w:val="24"/>
                <w:szCs w:val="24"/>
              </w:rPr>
              <w:t>采用的胶水为三聚氰胺甲醛树脂胶。</w:t>
            </w:r>
          </w:p>
          <w:p w14:paraId="25FE21BB">
            <w:pPr>
              <w:spacing w:line="219" w:lineRule="auto"/>
              <w:ind w:left="590"/>
              <w:rPr>
                <w:rFonts w:ascii="宋体" w:hAnsi="宋体" w:eastAsia="宋体" w:cs="宋体"/>
                <w:sz w:val="24"/>
                <w:szCs w:val="24"/>
              </w:rPr>
            </w:pPr>
            <w:r>
              <w:rPr>
                <w:rFonts w:ascii="宋体" w:hAnsi="宋体" w:eastAsia="宋体" w:cs="宋体"/>
                <w:sz w:val="24"/>
                <w:szCs w:val="24"/>
              </w:rPr>
              <w:t>一次涂胶：将外购原纸放入浸渍纸生产线，用生产线内的涂胶设备对原纸进</w:t>
            </w:r>
          </w:p>
        </w:tc>
      </w:tr>
    </w:tbl>
    <w:p w14:paraId="705C92A3">
      <w:pPr>
        <w:pStyle w:val="2"/>
      </w:pPr>
    </w:p>
    <w:p w14:paraId="781D4424">
      <w:pPr>
        <w:sectPr>
          <w:footerReference r:id="rId66" w:type="default"/>
          <w:pgSz w:w="11906" w:h="16839"/>
          <w:pgMar w:top="400" w:right="1413" w:bottom="1329" w:left="1413" w:header="0" w:footer="1113" w:gutter="0"/>
          <w:cols w:space="720" w:num="1"/>
        </w:sectPr>
      </w:pPr>
    </w:p>
    <w:p w14:paraId="4E927B2D">
      <w:pPr>
        <w:spacing w:before="19"/>
      </w:pPr>
    </w:p>
    <w:p w14:paraId="2990C5EB">
      <w:pPr>
        <w:spacing w:before="19"/>
      </w:pPr>
    </w:p>
    <w:p w14:paraId="632609B1">
      <w:pPr>
        <w:spacing w:before="19"/>
      </w:pPr>
    </w:p>
    <w:p w14:paraId="59BF4007">
      <w:pPr>
        <w:spacing w:before="18"/>
      </w:pPr>
    </w:p>
    <w:p w14:paraId="3F5C15ED">
      <w:pPr>
        <w:spacing w:before="18"/>
      </w:pPr>
    </w:p>
    <w:tbl>
      <w:tblPr>
        <w:tblStyle w:val="10"/>
        <w:tblW w:w="90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28"/>
        <w:gridCol w:w="8636"/>
      </w:tblGrid>
      <w:tr w14:paraId="6F7AA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73" w:hRule="atLeast"/>
        </w:trPr>
        <w:tc>
          <w:tcPr>
            <w:tcW w:w="428" w:type="dxa"/>
            <w:tcBorders>
              <w:right w:val="single" w:color="000000" w:sz="2" w:space="0"/>
            </w:tcBorders>
            <w:vAlign w:val="top"/>
          </w:tcPr>
          <w:p w14:paraId="585D9636">
            <w:pPr>
              <w:rPr>
                <w:rFonts w:ascii="Arial"/>
                <w:sz w:val="21"/>
              </w:rPr>
            </w:pPr>
          </w:p>
        </w:tc>
        <w:tc>
          <w:tcPr>
            <w:tcW w:w="8636" w:type="dxa"/>
            <w:tcBorders>
              <w:left w:val="single" w:color="000000" w:sz="2" w:space="0"/>
            </w:tcBorders>
            <w:vAlign w:val="top"/>
          </w:tcPr>
          <w:p w14:paraId="60A3743A">
            <w:pPr>
              <w:spacing w:before="30" w:line="219" w:lineRule="auto"/>
              <w:ind w:left="110"/>
              <w:rPr>
                <w:rFonts w:ascii="宋体" w:hAnsi="宋体" w:eastAsia="宋体" w:cs="宋体"/>
                <w:sz w:val="24"/>
                <w:szCs w:val="24"/>
              </w:rPr>
            </w:pPr>
            <w:r>
              <w:rPr>
                <w:rFonts w:ascii="宋体" w:hAnsi="宋体" w:eastAsia="宋体" w:cs="宋体"/>
                <w:spacing w:val="-3"/>
                <w:sz w:val="24"/>
                <w:szCs w:val="24"/>
              </w:rPr>
              <w:t>行一次涂胶；</w:t>
            </w:r>
          </w:p>
          <w:p w14:paraId="6E6F6242">
            <w:pPr>
              <w:spacing w:before="181" w:line="359" w:lineRule="auto"/>
              <w:ind w:left="107" w:right="95" w:firstLine="470"/>
              <w:jc w:val="both"/>
              <w:rPr>
                <w:rFonts w:ascii="宋体" w:hAnsi="宋体" w:eastAsia="宋体" w:cs="宋体"/>
                <w:sz w:val="24"/>
                <w:szCs w:val="24"/>
              </w:rPr>
            </w:pPr>
            <w:r>
              <w:rPr>
                <w:rFonts w:ascii="宋体" w:hAnsi="宋体" w:eastAsia="宋体" w:cs="宋体"/>
                <w:spacing w:val="-6"/>
                <w:sz w:val="24"/>
                <w:szCs w:val="24"/>
              </w:rPr>
              <w:t>一次烘干：一次涂胶完成后，浸渍纸进入生产线密闭烘干箱进行一</w:t>
            </w:r>
            <w:r>
              <w:rPr>
                <w:rFonts w:ascii="宋体" w:hAnsi="宋体" w:eastAsia="宋体" w:cs="宋体"/>
                <w:spacing w:val="-7"/>
                <w:sz w:val="24"/>
                <w:szCs w:val="24"/>
              </w:rPr>
              <w:t>次烘干，该</w:t>
            </w:r>
            <w:r>
              <w:rPr>
                <w:rFonts w:ascii="宋体" w:hAnsi="宋体" w:eastAsia="宋体" w:cs="宋体"/>
                <w:sz w:val="24"/>
                <w:szCs w:val="24"/>
              </w:rPr>
              <w:t>过程采用天然气燃烧机作为热源进行干燥，烘干过程中产生的废气主要为天然气</w:t>
            </w:r>
            <w:r>
              <w:rPr>
                <w:rFonts w:ascii="宋体" w:hAnsi="宋体" w:eastAsia="宋体" w:cs="宋体"/>
                <w:spacing w:val="-1"/>
                <w:sz w:val="24"/>
                <w:szCs w:val="24"/>
              </w:rPr>
              <w:t>燃烧废气以及游离甲醛。</w:t>
            </w:r>
          </w:p>
          <w:p w14:paraId="73235A28">
            <w:pPr>
              <w:spacing w:before="1" w:line="436" w:lineRule="auto"/>
              <w:ind w:left="113" w:right="104" w:firstLine="477"/>
              <w:rPr>
                <w:rFonts w:ascii="宋体" w:hAnsi="宋体" w:eastAsia="宋体" w:cs="宋体"/>
                <w:sz w:val="24"/>
                <w:szCs w:val="24"/>
              </w:rPr>
            </w:pPr>
            <w:r>
              <w:rPr>
                <w:rFonts w:ascii="宋体" w:hAnsi="宋体" w:eastAsia="宋体" w:cs="宋体"/>
                <w:sz w:val="24"/>
                <w:szCs w:val="24"/>
              </w:rPr>
              <w:t>二次涂胶：浸渍纸经过一次烘干后，传送到辊轮进行涂胶，涂胶完后进入二</w:t>
            </w:r>
            <w:r>
              <w:rPr>
                <w:rFonts w:ascii="宋体" w:hAnsi="宋体" w:eastAsia="宋体" w:cs="宋体"/>
                <w:spacing w:val="-3"/>
                <w:sz w:val="24"/>
                <w:szCs w:val="24"/>
              </w:rPr>
              <w:t>次烘干过程。</w:t>
            </w:r>
          </w:p>
          <w:p w14:paraId="2903B88D">
            <w:pPr>
              <w:spacing w:line="218" w:lineRule="auto"/>
              <w:ind w:left="590"/>
              <w:rPr>
                <w:rFonts w:ascii="宋体" w:hAnsi="宋体" w:eastAsia="宋体" w:cs="宋体"/>
                <w:sz w:val="24"/>
                <w:szCs w:val="24"/>
              </w:rPr>
            </w:pPr>
            <w:r>
              <w:rPr>
                <w:rFonts w:ascii="宋体" w:hAnsi="宋体" w:eastAsia="宋体" w:cs="宋体"/>
                <w:spacing w:val="-1"/>
                <w:sz w:val="24"/>
                <w:szCs w:val="24"/>
              </w:rPr>
              <w:t>二次烘干：经过二次涂胶的浸渍纸再被传送到烘箱内烘干。</w:t>
            </w:r>
          </w:p>
          <w:p w14:paraId="341D9881">
            <w:pPr>
              <w:spacing w:before="185" w:line="219" w:lineRule="auto"/>
              <w:ind w:left="595"/>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4</w:t>
            </w:r>
            <w:r>
              <w:rPr>
                <w:rFonts w:ascii="宋体" w:hAnsi="宋体" w:eastAsia="宋体" w:cs="宋体"/>
                <w:b/>
                <w:bCs/>
                <w:spacing w:val="-5"/>
                <w:sz w:val="24"/>
                <w:szCs w:val="24"/>
              </w:rPr>
              <w:t>）免漆木门生产工艺流程图</w:t>
            </w:r>
          </w:p>
          <w:p w14:paraId="35720600">
            <w:pPr>
              <w:spacing w:before="145" w:line="3415" w:lineRule="exact"/>
              <w:ind w:firstLine="639"/>
            </w:pPr>
            <w:r>
              <w:rPr>
                <w:position w:val="-68"/>
              </w:rPr>
              <w:drawing>
                <wp:inline distT="0" distB="0" distL="0" distR="0">
                  <wp:extent cx="4961890" cy="2168525"/>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30"/>
                          <a:stretch>
                            <a:fillRect/>
                          </a:stretch>
                        </pic:blipFill>
                        <pic:spPr>
                          <a:xfrm>
                            <a:off x="0" y="0"/>
                            <a:ext cx="4962144" cy="2168652"/>
                          </a:xfrm>
                          <a:prstGeom prst="rect">
                            <a:avLst/>
                          </a:prstGeom>
                        </pic:spPr>
                      </pic:pic>
                    </a:graphicData>
                  </a:graphic>
                </wp:inline>
              </w:drawing>
            </w:r>
          </w:p>
          <w:p w14:paraId="7589A563">
            <w:pPr>
              <w:spacing w:before="38" w:line="219" w:lineRule="auto"/>
              <w:ind w:left="3019"/>
              <w:rPr>
                <w:rFonts w:ascii="宋体" w:hAnsi="宋体" w:eastAsia="宋体" w:cs="宋体"/>
                <w:sz w:val="24"/>
                <w:szCs w:val="24"/>
              </w:rPr>
            </w:pPr>
            <w:r>
              <w:rPr>
                <w:rFonts w:ascii="宋体" w:hAnsi="宋体" w:eastAsia="宋体" w:cs="宋体"/>
                <w:b/>
                <w:bCs/>
                <w:spacing w:val="-5"/>
                <w:sz w:val="24"/>
                <w:szCs w:val="24"/>
              </w:rPr>
              <w:t>图</w:t>
            </w:r>
            <w:r>
              <w:rPr>
                <w:rFonts w:ascii="宋体" w:hAnsi="宋体" w:eastAsia="宋体" w:cs="宋体"/>
                <w:spacing w:val="-57"/>
                <w:sz w:val="24"/>
                <w:szCs w:val="24"/>
              </w:rPr>
              <w:t xml:space="preserve"> </w:t>
            </w:r>
            <w:r>
              <w:rPr>
                <w:rFonts w:ascii="Times New Roman" w:hAnsi="Times New Roman" w:eastAsia="Times New Roman" w:cs="Times New Roman"/>
                <w:b/>
                <w:bCs/>
                <w:spacing w:val="-5"/>
                <w:sz w:val="24"/>
                <w:szCs w:val="24"/>
              </w:rPr>
              <w:t xml:space="preserve">2-7  </w:t>
            </w:r>
            <w:r>
              <w:rPr>
                <w:rFonts w:ascii="宋体" w:hAnsi="宋体" w:eastAsia="宋体" w:cs="宋体"/>
                <w:b/>
                <w:bCs/>
                <w:spacing w:val="-5"/>
                <w:sz w:val="24"/>
                <w:szCs w:val="24"/>
              </w:rPr>
              <w:t>免漆木门生产工艺流程</w:t>
            </w:r>
          </w:p>
          <w:p w14:paraId="5277555D">
            <w:pPr>
              <w:spacing w:before="182" w:line="219" w:lineRule="auto"/>
              <w:ind w:left="589"/>
              <w:rPr>
                <w:rFonts w:ascii="宋体" w:hAnsi="宋体" w:eastAsia="宋体" w:cs="宋体"/>
                <w:sz w:val="24"/>
                <w:szCs w:val="24"/>
              </w:rPr>
            </w:pPr>
            <w:r>
              <w:rPr>
                <w:rFonts w:ascii="宋体" w:hAnsi="宋体" w:eastAsia="宋体" w:cs="宋体"/>
                <w:b/>
                <w:bCs/>
                <w:spacing w:val="-4"/>
                <w:sz w:val="24"/>
                <w:szCs w:val="24"/>
              </w:rPr>
              <w:t>工艺流程简述：</w:t>
            </w:r>
          </w:p>
          <w:p w14:paraId="126B2631">
            <w:pPr>
              <w:spacing w:before="182" w:line="217" w:lineRule="auto"/>
              <w:ind w:left="585"/>
              <w:rPr>
                <w:rFonts w:ascii="宋体" w:hAnsi="宋体" w:eastAsia="宋体" w:cs="宋体"/>
                <w:sz w:val="24"/>
                <w:szCs w:val="24"/>
              </w:rPr>
            </w:pPr>
            <w:r>
              <w:rPr>
                <w:rFonts w:ascii="宋体" w:hAnsi="宋体" w:eastAsia="宋体" w:cs="宋体"/>
                <w:spacing w:val="-1"/>
                <w:sz w:val="24"/>
                <w:szCs w:val="24"/>
              </w:rPr>
              <w:t>①板材购入：项目采用外购合格板材作为原材料进行深加工。</w:t>
            </w:r>
          </w:p>
          <w:p w14:paraId="7F52F146">
            <w:pPr>
              <w:spacing w:before="183" w:line="360" w:lineRule="auto"/>
              <w:ind w:left="133" w:right="163" w:firstLine="450"/>
              <w:rPr>
                <w:rFonts w:ascii="宋体" w:hAnsi="宋体" w:eastAsia="宋体" w:cs="宋体"/>
                <w:sz w:val="24"/>
                <w:szCs w:val="24"/>
              </w:rPr>
            </w:pPr>
            <w:r>
              <w:rPr>
                <w:rFonts w:ascii="宋体" w:hAnsi="宋体" w:eastAsia="宋体" w:cs="宋体"/>
                <w:spacing w:val="-1"/>
                <w:sz w:val="24"/>
                <w:szCs w:val="24"/>
              </w:rPr>
              <w:t>②开料：即是将购进的原材料根据客户需求及木门</w:t>
            </w:r>
            <w:r>
              <w:rPr>
                <w:rFonts w:ascii="宋体" w:hAnsi="宋体" w:eastAsia="宋体" w:cs="宋体"/>
                <w:spacing w:val="-2"/>
                <w:sz w:val="24"/>
                <w:szCs w:val="24"/>
              </w:rPr>
              <w:t>实际尺寸进行裁锯成型，</w:t>
            </w:r>
            <w:r>
              <w:rPr>
                <w:rFonts w:ascii="宋体" w:hAnsi="宋体" w:eastAsia="宋体" w:cs="宋体"/>
                <w:spacing w:val="-1"/>
                <w:sz w:val="24"/>
                <w:szCs w:val="24"/>
              </w:rPr>
              <w:t>以获得板式木门初成板。本工序产生的污染物有：噪声</w:t>
            </w:r>
            <w:r>
              <w:rPr>
                <w:rFonts w:ascii="宋体" w:hAnsi="宋体" w:eastAsia="宋体" w:cs="宋体"/>
                <w:spacing w:val="-2"/>
                <w:sz w:val="24"/>
                <w:szCs w:val="24"/>
              </w:rPr>
              <w:t>、粉尘及固废。</w:t>
            </w:r>
          </w:p>
          <w:p w14:paraId="52B84CD9">
            <w:pPr>
              <w:spacing w:before="1" w:line="359" w:lineRule="auto"/>
              <w:ind w:left="108" w:right="104" w:firstLine="476"/>
              <w:rPr>
                <w:rFonts w:ascii="宋体" w:hAnsi="宋体" w:eastAsia="宋体" w:cs="宋体"/>
                <w:sz w:val="24"/>
                <w:szCs w:val="24"/>
              </w:rPr>
            </w:pPr>
            <w:r>
              <w:rPr>
                <w:rFonts w:ascii="宋体" w:hAnsi="宋体" w:eastAsia="宋体" w:cs="宋体"/>
                <w:sz w:val="24"/>
                <w:szCs w:val="24"/>
              </w:rPr>
              <w:t>③粘合、拼接：对完成下料的密度板和木方进行人工组装，将各板材涂抹白乳胶后使其充分粘合。本工序产生的污染物有</w:t>
            </w:r>
            <w:r>
              <w:rPr>
                <w:rFonts w:ascii="宋体" w:hAnsi="宋体" w:eastAsia="宋体" w:cs="宋体"/>
                <w:spacing w:val="-1"/>
                <w:sz w:val="24"/>
                <w:szCs w:val="24"/>
              </w:rPr>
              <w:t>：废胶桶、胶合废气及噪声。</w:t>
            </w:r>
          </w:p>
          <w:p w14:paraId="3523E5DB">
            <w:pPr>
              <w:spacing w:line="359" w:lineRule="auto"/>
              <w:ind w:left="108" w:right="104" w:firstLine="476"/>
              <w:rPr>
                <w:rFonts w:ascii="宋体" w:hAnsi="宋体" w:eastAsia="宋体" w:cs="宋体"/>
                <w:sz w:val="24"/>
                <w:szCs w:val="24"/>
              </w:rPr>
            </w:pPr>
            <w:r>
              <w:rPr>
                <w:rFonts w:ascii="宋体" w:hAnsi="宋体" w:eastAsia="宋体" w:cs="宋体"/>
                <w:sz w:val="24"/>
                <w:szCs w:val="24"/>
              </w:rPr>
              <w:t>④精修：根据客户需求，按照图纸将压合后板材表面处理出需要的花纹，采用数控雕刻机进行门面花形图案的雕饰。本工序产</w:t>
            </w:r>
            <w:r>
              <w:rPr>
                <w:rFonts w:ascii="宋体" w:hAnsi="宋体" w:eastAsia="宋体" w:cs="宋体"/>
                <w:spacing w:val="-1"/>
                <w:sz w:val="24"/>
                <w:szCs w:val="24"/>
              </w:rPr>
              <w:t>生的污染物有：噪声、粉尘。</w:t>
            </w:r>
          </w:p>
          <w:p w14:paraId="3F02EA74">
            <w:pPr>
              <w:spacing w:line="353" w:lineRule="auto"/>
              <w:ind w:left="107" w:right="104" w:firstLine="477"/>
              <w:rPr>
                <w:rFonts w:ascii="宋体" w:hAnsi="宋体" w:eastAsia="宋体" w:cs="宋体"/>
                <w:sz w:val="24"/>
                <w:szCs w:val="24"/>
              </w:rPr>
            </w:pPr>
            <w:r>
              <w:rPr>
                <w:rFonts w:ascii="宋体" w:hAnsi="宋体" w:eastAsia="宋体" w:cs="宋体"/>
                <w:sz w:val="24"/>
                <w:szCs w:val="24"/>
              </w:rPr>
              <w:t>⑤打磨：门扇、门套在砂光机上进行砂光打磨，去掉木材表面毛刺和锐角，使其表面平整、光滑，以便于后续加工处理。本工序产生的污染物有：噪声、粉</w:t>
            </w:r>
            <w:r>
              <w:rPr>
                <w:rFonts w:ascii="宋体" w:hAnsi="宋体" w:eastAsia="宋体" w:cs="宋体"/>
                <w:spacing w:val="-6"/>
                <w:sz w:val="24"/>
                <w:szCs w:val="24"/>
              </w:rPr>
              <w:t>尘。</w:t>
            </w:r>
          </w:p>
        </w:tc>
      </w:tr>
    </w:tbl>
    <w:p w14:paraId="75340FC2">
      <w:pPr>
        <w:pStyle w:val="2"/>
      </w:pPr>
    </w:p>
    <w:p w14:paraId="7D44DB77">
      <w:pPr>
        <w:sectPr>
          <w:footerReference r:id="rId67" w:type="default"/>
          <w:pgSz w:w="11906" w:h="16839"/>
          <w:pgMar w:top="400" w:right="1413" w:bottom="1329" w:left="1413" w:header="0" w:footer="1113" w:gutter="0"/>
          <w:cols w:space="720" w:num="1"/>
        </w:sectPr>
      </w:pPr>
    </w:p>
    <w:p w14:paraId="1065986E">
      <w:pPr>
        <w:spacing w:before="19"/>
      </w:pPr>
    </w:p>
    <w:p w14:paraId="48D4A08D">
      <w:pPr>
        <w:spacing w:before="19"/>
      </w:pPr>
    </w:p>
    <w:p w14:paraId="5AB0C0A8">
      <w:pPr>
        <w:spacing w:before="19"/>
      </w:pPr>
    </w:p>
    <w:p w14:paraId="073FF279">
      <w:pPr>
        <w:spacing w:before="18"/>
      </w:pPr>
    </w:p>
    <w:p w14:paraId="39D64F81">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864"/>
        <w:gridCol w:w="2251"/>
        <w:gridCol w:w="5283"/>
        <w:gridCol w:w="125"/>
      </w:tblGrid>
      <w:tr w14:paraId="64D0E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1" w:hRule="atLeast"/>
        </w:trPr>
        <w:tc>
          <w:tcPr>
            <w:tcW w:w="428" w:type="dxa"/>
            <w:vMerge w:val="restart"/>
            <w:tcBorders>
              <w:top w:val="single" w:color="000000" w:sz="6" w:space="0"/>
              <w:left w:val="single" w:color="000000" w:sz="6" w:space="0"/>
              <w:bottom w:val="nil"/>
            </w:tcBorders>
            <w:vAlign w:val="top"/>
          </w:tcPr>
          <w:p w14:paraId="705DCAB5">
            <w:pPr>
              <w:rPr>
                <w:rFonts w:ascii="Arial"/>
                <w:sz w:val="21"/>
              </w:rPr>
            </w:pPr>
          </w:p>
        </w:tc>
        <w:tc>
          <w:tcPr>
            <w:tcW w:w="8636" w:type="dxa"/>
            <w:gridSpan w:val="5"/>
            <w:tcBorders>
              <w:top w:val="single" w:color="000000" w:sz="6" w:space="0"/>
              <w:right w:val="single" w:color="000000" w:sz="6" w:space="0"/>
            </w:tcBorders>
            <w:vAlign w:val="top"/>
          </w:tcPr>
          <w:p w14:paraId="02179DA4">
            <w:pPr>
              <w:spacing w:before="31" w:line="359" w:lineRule="auto"/>
              <w:ind w:left="109" w:right="104" w:firstLine="475"/>
              <w:rPr>
                <w:rFonts w:ascii="宋体" w:hAnsi="宋体" w:eastAsia="宋体" w:cs="宋体"/>
                <w:sz w:val="24"/>
                <w:szCs w:val="24"/>
              </w:rPr>
            </w:pPr>
            <w:r>
              <w:rPr>
                <w:rFonts w:ascii="宋体" w:hAnsi="宋体" w:eastAsia="宋体" w:cs="宋体"/>
                <w:sz w:val="24"/>
                <w:szCs w:val="24"/>
              </w:rPr>
              <w:t>⑥刮灰补平：采用滑石粉对木工车间生产完成的半成品板材表面以及边角进行空隙矫正填平，保证料边的平整。平整后采用砂纸对刮好灰的板材进行人工打</w:t>
            </w:r>
            <w:r>
              <w:rPr>
                <w:rFonts w:ascii="宋体" w:hAnsi="宋体" w:eastAsia="宋体" w:cs="宋体"/>
                <w:spacing w:val="-1"/>
                <w:sz w:val="24"/>
                <w:szCs w:val="24"/>
              </w:rPr>
              <w:t>磨以保证板材边缘的光滑、平整。本工序产生的污染物有：粉尘、噪声。</w:t>
            </w:r>
          </w:p>
          <w:p w14:paraId="2FF4CB3C">
            <w:pPr>
              <w:spacing w:line="359" w:lineRule="auto"/>
              <w:ind w:left="107" w:right="119" w:firstLine="477"/>
              <w:rPr>
                <w:rFonts w:ascii="宋体" w:hAnsi="宋体" w:eastAsia="宋体" w:cs="宋体"/>
                <w:sz w:val="24"/>
                <w:szCs w:val="24"/>
              </w:rPr>
            </w:pPr>
            <w:r>
              <w:rPr>
                <w:rFonts w:ascii="宋体" w:hAnsi="宋体" w:eastAsia="宋体" w:cs="宋体"/>
                <w:spacing w:val="-2"/>
                <w:sz w:val="24"/>
                <w:szCs w:val="24"/>
              </w:rPr>
              <w:t>⑦贴皮</w:t>
            </w:r>
            <w:r>
              <w:rPr>
                <w:rFonts w:ascii="Times New Roman" w:hAnsi="Times New Roman" w:eastAsia="Times New Roman" w:cs="Times New Roman"/>
                <w:spacing w:val="-2"/>
                <w:sz w:val="24"/>
                <w:szCs w:val="24"/>
              </w:rPr>
              <w:t>/</w:t>
            </w:r>
            <w:r>
              <w:rPr>
                <w:rFonts w:ascii="宋体" w:hAnsi="宋体" w:eastAsia="宋体" w:cs="宋体"/>
                <w:spacing w:val="-2"/>
                <w:sz w:val="24"/>
                <w:szCs w:val="24"/>
              </w:rPr>
              <w:t>贴纸：根据客户需求，对半成品木门进行人工贴纸或粘贴天然木皮，</w:t>
            </w:r>
            <w:r>
              <w:rPr>
                <w:rFonts w:ascii="宋体" w:hAnsi="宋体" w:eastAsia="宋体" w:cs="宋体"/>
                <w:sz w:val="24"/>
                <w:szCs w:val="24"/>
              </w:rPr>
              <w:t>本工序需使用白乳胶进行粘合。本工序产生的污染</w:t>
            </w:r>
            <w:r>
              <w:rPr>
                <w:rFonts w:ascii="宋体" w:hAnsi="宋体" w:eastAsia="宋体" w:cs="宋体"/>
                <w:spacing w:val="-1"/>
                <w:sz w:val="24"/>
                <w:szCs w:val="24"/>
              </w:rPr>
              <w:t>物有：废胶桶及胶合废气。</w:t>
            </w:r>
          </w:p>
          <w:p w14:paraId="626CCD75">
            <w:pPr>
              <w:spacing w:line="359" w:lineRule="auto"/>
              <w:ind w:left="105" w:right="104" w:firstLine="479"/>
              <w:rPr>
                <w:rFonts w:ascii="宋体" w:hAnsi="宋体" w:eastAsia="宋体" w:cs="宋体"/>
                <w:sz w:val="24"/>
                <w:szCs w:val="24"/>
              </w:rPr>
            </w:pPr>
            <w:r>
              <w:rPr>
                <w:rFonts w:ascii="宋体" w:hAnsi="宋体" w:eastAsia="宋体" w:cs="宋体"/>
                <w:sz w:val="24"/>
                <w:szCs w:val="24"/>
              </w:rPr>
              <w:t>⑧质检、包装：经质检合格后对产品包装入库，该过程将产生固废，主要为</w:t>
            </w:r>
            <w:r>
              <w:rPr>
                <w:rFonts w:ascii="宋体" w:hAnsi="宋体" w:eastAsia="宋体" w:cs="宋体"/>
                <w:spacing w:val="-2"/>
                <w:sz w:val="24"/>
                <w:szCs w:val="24"/>
              </w:rPr>
              <w:t>废弃的包装物。</w:t>
            </w:r>
          </w:p>
          <w:p w14:paraId="1857BF14">
            <w:pPr>
              <w:spacing w:line="220" w:lineRule="auto"/>
              <w:ind w:left="585"/>
              <w:rPr>
                <w:rFonts w:ascii="宋体" w:hAnsi="宋体" w:eastAsia="宋体" w:cs="宋体"/>
                <w:sz w:val="24"/>
                <w:szCs w:val="24"/>
              </w:rPr>
            </w:pPr>
            <w:r>
              <w:rPr>
                <w:rFonts w:ascii="Times New Roman" w:hAnsi="Times New Roman" w:eastAsia="Times New Roman" w:cs="Times New Roman"/>
                <w:b/>
                <w:bCs/>
                <w:spacing w:val="-5"/>
                <w:sz w:val="24"/>
                <w:szCs w:val="24"/>
              </w:rPr>
              <w:t>7</w:t>
            </w:r>
            <w:r>
              <w:rPr>
                <w:rFonts w:ascii="Times New Roman" w:hAnsi="Times New Roman" w:eastAsia="Times New Roman" w:cs="Times New Roman"/>
                <w:b/>
                <w:bCs/>
                <w:spacing w:val="-28"/>
                <w:sz w:val="24"/>
                <w:szCs w:val="24"/>
              </w:rPr>
              <w:t xml:space="preserve"> </w:t>
            </w:r>
            <w:r>
              <w:rPr>
                <w:rFonts w:ascii="宋体" w:hAnsi="宋体" w:eastAsia="宋体" w:cs="宋体"/>
                <w:b/>
                <w:bCs/>
                <w:spacing w:val="-5"/>
                <w:sz w:val="24"/>
                <w:szCs w:val="24"/>
              </w:rPr>
              <w:t>、原项目污染物排放情况</w:t>
            </w:r>
          </w:p>
          <w:p w14:paraId="0C2A4FC5">
            <w:pPr>
              <w:spacing w:before="181" w:line="220" w:lineRule="auto"/>
              <w:ind w:left="598"/>
              <w:rPr>
                <w:rFonts w:ascii="宋体" w:hAnsi="宋体" w:eastAsia="宋体" w:cs="宋体"/>
                <w:sz w:val="24"/>
                <w:szCs w:val="24"/>
              </w:rPr>
            </w:pPr>
            <w:r>
              <w:rPr>
                <w:rFonts w:ascii="宋体" w:hAnsi="宋体" w:eastAsia="宋体" w:cs="宋体"/>
                <w:b/>
                <w:bCs/>
                <w:spacing w:val="-6"/>
                <w:sz w:val="24"/>
                <w:szCs w:val="24"/>
              </w:rPr>
              <w:t>（</w:t>
            </w:r>
            <w:r>
              <w:rPr>
                <w:rFonts w:ascii="Times New Roman" w:hAnsi="Times New Roman" w:eastAsia="Times New Roman" w:cs="Times New Roman"/>
                <w:b/>
                <w:bCs/>
                <w:spacing w:val="-6"/>
                <w:sz w:val="24"/>
                <w:szCs w:val="24"/>
              </w:rPr>
              <w:t>1</w:t>
            </w:r>
            <w:r>
              <w:rPr>
                <w:rFonts w:ascii="宋体" w:hAnsi="宋体" w:eastAsia="宋体" w:cs="宋体"/>
                <w:b/>
                <w:bCs/>
                <w:spacing w:val="-6"/>
                <w:sz w:val="24"/>
                <w:szCs w:val="24"/>
              </w:rPr>
              <w:t>）废气</w:t>
            </w:r>
          </w:p>
          <w:p w14:paraId="29DE2DB8">
            <w:pPr>
              <w:spacing w:before="179" w:line="359" w:lineRule="auto"/>
              <w:ind w:left="109" w:right="104" w:firstLine="479"/>
              <w:rPr>
                <w:rFonts w:ascii="宋体" w:hAnsi="宋体" w:eastAsia="宋体" w:cs="宋体"/>
                <w:sz w:val="24"/>
                <w:szCs w:val="24"/>
              </w:rPr>
            </w:pPr>
            <w:r>
              <w:rPr>
                <w:rFonts w:ascii="宋体" w:hAnsi="宋体" w:eastAsia="宋体" w:cs="宋体"/>
                <w:spacing w:val="-2"/>
                <w:sz w:val="24"/>
                <w:szCs w:val="24"/>
              </w:rPr>
              <w:t>现有项目</w:t>
            </w:r>
            <w:r>
              <w:rPr>
                <w:rFonts w:ascii="Times New Roman" w:hAnsi="Times New Roman" w:eastAsia="Times New Roman" w:cs="Times New Roman"/>
                <w:spacing w:val="-2"/>
                <w:sz w:val="24"/>
                <w:szCs w:val="24"/>
              </w:rPr>
              <w:t>“</w:t>
            </w:r>
            <w:r>
              <w:rPr>
                <w:rFonts w:ascii="Times New Roman" w:hAnsi="Times New Roman" w:eastAsia="Times New Roman" w:cs="Times New Roman"/>
                <w:spacing w:val="-8"/>
                <w:sz w:val="24"/>
                <w:szCs w:val="24"/>
              </w:rPr>
              <w:t xml:space="preserve"> </w:t>
            </w:r>
            <w:r>
              <w:rPr>
                <w:rFonts w:ascii="宋体" w:hAnsi="宋体" w:eastAsia="宋体" w:cs="宋体"/>
                <w:spacing w:val="-2"/>
                <w:sz w:val="24"/>
                <w:szCs w:val="24"/>
              </w:rPr>
              <w:t>昆明欧铂瑞木制品有限公司年产</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3</w:t>
            </w:r>
            <w:r>
              <w:rPr>
                <w:rFonts w:ascii="Times New Roman" w:hAnsi="Times New Roman" w:eastAsia="Times New Roman" w:cs="Times New Roman"/>
                <w:spacing w:val="15"/>
                <w:w w:val="101"/>
                <w:sz w:val="24"/>
                <w:szCs w:val="24"/>
              </w:rPr>
              <w:t xml:space="preserve"> </w:t>
            </w:r>
            <w:r>
              <w:rPr>
                <w:rFonts w:ascii="宋体" w:hAnsi="宋体" w:eastAsia="宋体" w:cs="宋体"/>
                <w:spacing w:val="-2"/>
                <w:sz w:val="24"/>
                <w:szCs w:val="24"/>
              </w:rPr>
              <w:t>万</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m3</w:t>
            </w:r>
            <w:r>
              <w:rPr>
                <w:rFonts w:ascii="宋体" w:hAnsi="宋体" w:eastAsia="宋体" w:cs="宋体"/>
                <w:spacing w:val="-2"/>
                <w:sz w:val="24"/>
                <w:szCs w:val="24"/>
              </w:rPr>
              <w:t>免漆生态板及深加工生产</w:t>
            </w:r>
            <w:r>
              <w:rPr>
                <w:rFonts w:ascii="宋体" w:hAnsi="宋体" w:eastAsia="宋体" w:cs="宋体"/>
                <w:spacing w:val="-3"/>
                <w:sz w:val="24"/>
                <w:szCs w:val="24"/>
              </w:rPr>
              <w:t>线项目</w:t>
            </w:r>
            <w:r>
              <w:rPr>
                <w:rFonts w:ascii="Times New Roman" w:hAnsi="Times New Roman" w:eastAsia="Times New Roman" w:cs="Times New Roman"/>
                <w:spacing w:val="-3"/>
                <w:sz w:val="24"/>
                <w:szCs w:val="24"/>
              </w:rPr>
              <w:t>”</w:t>
            </w:r>
            <w:r>
              <w:rPr>
                <w:rFonts w:ascii="Times New Roman" w:hAnsi="Times New Roman" w:eastAsia="Times New Roman" w:cs="Times New Roman"/>
                <w:spacing w:val="-23"/>
                <w:sz w:val="24"/>
                <w:szCs w:val="24"/>
              </w:rPr>
              <w:t xml:space="preserve"> </w:t>
            </w:r>
            <w:r>
              <w:rPr>
                <w:rFonts w:ascii="宋体" w:hAnsi="宋体" w:eastAsia="宋体" w:cs="宋体"/>
                <w:spacing w:val="-3"/>
                <w:sz w:val="24"/>
                <w:szCs w:val="24"/>
              </w:rPr>
              <w:t>已于</w:t>
            </w:r>
            <w:r>
              <w:rPr>
                <w:rFonts w:ascii="宋体" w:hAnsi="宋体" w:eastAsia="宋体" w:cs="宋体"/>
                <w:spacing w:val="-54"/>
                <w:sz w:val="24"/>
                <w:szCs w:val="24"/>
              </w:rPr>
              <w:t xml:space="preserve"> </w:t>
            </w:r>
            <w:r>
              <w:rPr>
                <w:rFonts w:ascii="Times New Roman" w:hAnsi="Times New Roman" w:eastAsia="Times New Roman" w:cs="Times New Roman"/>
                <w:spacing w:val="-3"/>
                <w:sz w:val="24"/>
                <w:szCs w:val="24"/>
              </w:rPr>
              <w:t xml:space="preserve">2024 </w:t>
            </w:r>
            <w:r>
              <w:rPr>
                <w:rFonts w:ascii="宋体" w:hAnsi="宋体" w:eastAsia="宋体" w:cs="宋体"/>
                <w:spacing w:val="-3"/>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1</w:t>
            </w:r>
            <w:r>
              <w:rPr>
                <w:rFonts w:ascii="Times New Roman" w:hAnsi="Times New Roman" w:eastAsia="Times New Roman" w:cs="Times New Roman"/>
                <w:spacing w:val="15"/>
                <w:sz w:val="24"/>
                <w:szCs w:val="24"/>
              </w:rPr>
              <w:t xml:space="preserve"> </w:t>
            </w:r>
            <w:r>
              <w:rPr>
                <w:rFonts w:ascii="宋体" w:hAnsi="宋体" w:eastAsia="宋体" w:cs="宋体"/>
                <w:spacing w:val="-3"/>
                <w:sz w:val="24"/>
                <w:szCs w:val="24"/>
              </w:rPr>
              <w:t>月完成建设</w:t>
            </w:r>
            <w:r>
              <w:rPr>
                <w:rFonts w:ascii="宋体" w:hAnsi="宋体" w:eastAsia="宋体" w:cs="宋体"/>
                <w:spacing w:val="-4"/>
                <w:sz w:val="24"/>
                <w:szCs w:val="24"/>
              </w:rPr>
              <w:t>项目竣工环境保护验收。</w:t>
            </w:r>
          </w:p>
          <w:p w14:paraId="20AC0A20">
            <w:pPr>
              <w:spacing w:before="1" w:line="358" w:lineRule="auto"/>
              <w:ind w:left="105" w:right="102" w:firstLine="482"/>
              <w:jc w:val="both"/>
              <w:rPr>
                <w:rFonts w:ascii="宋体" w:hAnsi="宋体" w:eastAsia="宋体" w:cs="宋体"/>
                <w:sz w:val="24"/>
                <w:szCs w:val="24"/>
              </w:rPr>
            </w:pPr>
            <w:r>
              <w:rPr>
                <w:rFonts w:ascii="宋体" w:hAnsi="宋体" w:eastAsia="宋体" w:cs="宋体"/>
                <w:spacing w:val="-4"/>
                <w:sz w:val="24"/>
                <w:szCs w:val="24"/>
              </w:rPr>
              <w:t>经现场踏勘及《昆明欧铂瑞木制品有限公司年产</w:t>
            </w:r>
            <w:r>
              <w:rPr>
                <w:rFonts w:ascii="宋体" w:hAnsi="宋体" w:eastAsia="宋体" w:cs="宋体"/>
                <w:spacing w:val="-50"/>
                <w:sz w:val="24"/>
                <w:szCs w:val="24"/>
              </w:rPr>
              <w:t xml:space="preserve"> </w:t>
            </w:r>
            <w:r>
              <w:rPr>
                <w:rFonts w:ascii="Times New Roman" w:hAnsi="Times New Roman" w:eastAsia="Times New Roman" w:cs="Times New Roman"/>
                <w:spacing w:val="-4"/>
                <w:sz w:val="24"/>
                <w:szCs w:val="24"/>
              </w:rPr>
              <w:t>3</w:t>
            </w:r>
            <w:r>
              <w:rPr>
                <w:rFonts w:ascii="Times New Roman" w:hAnsi="Times New Roman" w:eastAsia="Times New Roman" w:cs="Times New Roman"/>
                <w:spacing w:val="15"/>
                <w:sz w:val="24"/>
                <w:szCs w:val="24"/>
              </w:rPr>
              <w:t xml:space="preserve"> </w:t>
            </w:r>
            <w:r>
              <w:rPr>
                <w:rFonts w:ascii="宋体" w:hAnsi="宋体" w:eastAsia="宋体" w:cs="宋体"/>
                <w:spacing w:val="-4"/>
                <w:sz w:val="24"/>
                <w:szCs w:val="24"/>
              </w:rPr>
              <w:t>万</w:t>
            </w:r>
            <w:r>
              <w:rPr>
                <w:rFonts w:ascii="宋体" w:hAnsi="宋体" w:eastAsia="宋体" w:cs="宋体"/>
                <w:spacing w:val="-58"/>
                <w:sz w:val="24"/>
                <w:szCs w:val="24"/>
              </w:rPr>
              <w:t xml:space="preserve"> </w:t>
            </w:r>
            <w:r>
              <w:rPr>
                <w:rFonts w:ascii="Times New Roman" w:hAnsi="Times New Roman" w:eastAsia="Times New Roman" w:cs="Times New Roman"/>
                <w:spacing w:val="-4"/>
                <w:sz w:val="24"/>
                <w:szCs w:val="24"/>
              </w:rPr>
              <w:t>m3</w:t>
            </w:r>
            <w:r>
              <w:rPr>
                <w:rFonts w:ascii="宋体" w:hAnsi="宋体" w:eastAsia="宋体" w:cs="宋体"/>
                <w:spacing w:val="-4"/>
                <w:sz w:val="24"/>
                <w:szCs w:val="24"/>
              </w:rPr>
              <w:t>免漆生态板</w:t>
            </w:r>
            <w:r>
              <w:rPr>
                <w:rFonts w:ascii="宋体" w:hAnsi="宋体" w:eastAsia="宋体" w:cs="宋体"/>
                <w:spacing w:val="-5"/>
                <w:sz w:val="24"/>
                <w:szCs w:val="24"/>
              </w:rPr>
              <w:t>及深加工</w:t>
            </w:r>
            <w:r>
              <w:rPr>
                <w:rFonts w:ascii="宋体" w:hAnsi="宋体" w:eastAsia="宋体" w:cs="宋体"/>
                <w:sz w:val="24"/>
                <w:szCs w:val="24"/>
              </w:rPr>
              <w:t>生产线项目竣工环境保护验收监测报告表》，现有项目废气及废气治理措施详见</w:t>
            </w:r>
            <w:r>
              <w:rPr>
                <w:rFonts w:ascii="宋体" w:hAnsi="宋体" w:eastAsia="宋体" w:cs="宋体"/>
                <w:spacing w:val="-9"/>
                <w:sz w:val="24"/>
                <w:szCs w:val="24"/>
              </w:rPr>
              <w:t>表</w:t>
            </w:r>
            <w:r>
              <w:rPr>
                <w:rFonts w:ascii="宋体" w:hAnsi="宋体" w:eastAsia="宋体" w:cs="宋体"/>
                <w:spacing w:val="-51"/>
                <w:sz w:val="24"/>
                <w:szCs w:val="24"/>
              </w:rPr>
              <w:t xml:space="preserve"> </w:t>
            </w:r>
            <w:r>
              <w:rPr>
                <w:rFonts w:ascii="Times New Roman" w:hAnsi="Times New Roman" w:eastAsia="Times New Roman" w:cs="Times New Roman"/>
                <w:spacing w:val="-9"/>
                <w:sz w:val="24"/>
                <w:szCs w:val="24"/>
              </w:rPr>
              <w:t>2-</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9"/>
                <w:sz w:val="24"/>
                <w:szCs w:val="24"/>
              </w:rPr>
              <w:t>11</w:t>
            </w:r>
            <w:r>
              <w:rPr>
                <w:rFonts w:ascii="宋体" w:hAnsi="宋体" w:eastAsia="宋体" w:cs="宋体"/>
                <w:spacing w:val="-9"/>
                <w:sz w:val="24"/>
                <w:szCs w:val="24"/>
              </w:rPr>
              <w:t>。</w:t>
            </w:r>
          </w:p>
          <w:p w14:paraId="44568A74">
            <w:pPr>
              <w:spacing w:before="1" w:line="210" w:lineRule="auto"/>
              <w:ind w:left="2519"/>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42"/>
                <w:sz w:val="20"/>
                <w:szCs w:val="20"/>
              </w:rPr>
              <w:t xml:space="preserve"> </w:t>
            </w:r>
            <w:r>
              <w:rPr>
                <w:rFonts w:ascii="Times New Roman" w:hAnsi="Times New Roman" w:eastAsia="Times New Roman" w:cs="Times New Roman"/>
                <w:b/>
                <w:bCs/>
                <w:spacing w:val="6"/>
                <w:sz w:val="20"/>
                <w:szCs w:val="20"/>
              </w:rPr>
              <w:t xml:space="preserve">2-11    </w:t>
            </w:r>
            <w:r>
              <w:rPr>
                <w:rFonts w:ascii="宋体" w:hAnsi="宋体" w:eastAsia="宋体" w:cs="宋体"/>
                <w:b/>
                <w:bCs/>
                <w:spacing w:val="6"/>
                <w:sz w:val="20"/>
                <w:szCs w:val="20"/>
              </w:rPr>
              <w:t>现有项目废气及废气治理措施</w:t>
            </w:r>
          </w:p>
        </w:tc>
      </w:tr>
      <w:tr w14:paraId="25FC5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6F6DD82D">
            <w:pPr>
              <w:rPr>
                <w:rFonts w:ascii="Arial"/>
                <w:sz w:val="21"/>
              </w:rPr>
            </w:pPr>
          </w:p>
        </w:tc>
        <w:tc>
          <w:tcPr>
            <w:tcW w:w="113" w:type="dxa"/>
            <w:tcBorders>
              <w:top w:val="nil"/>
              <w:bottom w:val="nil"/>
            </w:tcBorders>
            <w:vAlign w:val="top"/>
          </w:tcPr>
          <w:p w14:paraId="2D761F8C">
            <w:pPr>
              <w:rPr>
                <w:rFonts w:ascii="Arial"/>
                <w:sz w:val="21"/>
              </w:rPr>
            </w:pPr>
          </w:p>
        </w:tc>
        <w:tc>
          <w:tcPr>
            <w:tcW w:w="864" w:type="dxa"/>
            <w:vAlign w:val="top"/>
          </w:tcPr>
          <w:p w14:paraId="551ABD0A">
            <w:pPr>
              <w:spacing w:before="37" w:line="229" w:lineRule="auto"/>
              <w:ind w:left="219"/>
              <w:rPr>
                <w:rFonts w:ascii="宋体" w:hAnsi="宋体" w:eastAsia="宋体" w:cs="宋体"/>
                <w:sz w:val="20"/>
                <w:szCs w:val="20"/>
              </w:rPr>
            </w:pPr>
            <w:r>
              <w:rPr>
                <w:rFonts w:ascii="宋体" w:hAnsi="宋体" w:eastAsia="宋体" w:cs="宋体"/>
                <w:b/>
                <w:bCs/>
                <w:spacing w:val="4"/>
                <w:sz w:val="20"/>
                <w:szCs w:val="20"/>
              </w:rPr>
              <w:t>序号</w:t>
            </w:r>
          </w:p>
        </w:tc>
        <w:tc>
          <w:tcPr>
            <w:tcW w:w="2251" w:type="dxa"/>
            <w:vAlign w:val="top"/>
          </w:tcPr>
          <w:p w14:paraId="11108FA5">
            <w:pPr>
              <w:spacing w:before="37" w:line="230" w:lineRule="auto"/>
              <w:ind w:left="919"/>
              <w:rPr>
                <w:rFonts w:ascii="宋体" w:hAnsi="宋体" w:eastAsia="宋体" w:cs="宋体"/>
                <w:sz w:val="20"/>
                <w:szCs w:val="20"/>
              </w:rPr>
            </w:pPr>
            <w:r>
              <w:rPr>
                <w:rFonts w:ascii="宋体" w:hAnsi="宋体" w:eastAsia="宋体" w:cs="宋体"/>
                <w:b/>
                <w:bCs/>
                <w:spacing w:val="2"/>
                <w:sz w:val="20"/>
                <w:szCs w:val="20"/>
              </w:rPr>
              <w:t>名称</w:t>
            </w:r>
          </w:p>
        </w:tc>
        <w:tc>
          <w:tcPr>
            <w:tcW w:w="5283" w:type="dxa"/>
            <w:vAlign w:val="top"/>
          </w:tcPr>
          <w:p w14:paraId="29370944">
            <w:pPr>
              <w:spacing w:before="38" w:line="228" w:lineRule="auto"/>
              <w:ind w:left="2015"/>
              <w:rPr>
                <w:rFonts w:ascii="宋体" w:hAnsi="宋体" w:eastAsia="宋体" w:cs="宋体"/>
                <w:sz w:val="20"/>
                <w:szCs w:val="20"/>
              </w:rPr>
            </w:pPr>
            <w:r>
              <w:rPr>
                <w:rFonts w:ascii="宋体" w:hAnsi="宋体" w:eastAsia="宋体" w:cs="宋体"/>
                <w:b/>
                <w:bCs/>
                <w:spacing w:val="7"/>
                <w:sz w:val="20"/>
                <w:szCs w:val="20"/>
              </w:rPr>
              <w:t>废气治理措施</w:t>
            </w:r>
          </w:p>
        </w:tc>
        <w:tc>
          <w:tcPr>
            <w:tcW w:w="125" w:type="dxa"/>
            <w:tcBorders>
              <w:top w:val="nil"/>
              <w:bottom w:val="nil"/>
              <w:right w:val="single" w:color="000000" w:sz="6" w:space="0"/>
            </w:tcBorders>
            <w:vAlign w:val="top"/>
          </w:tcPr>
          <w:p w14:paraId="5A2FF4C0">
            <w:pPr>
              <w:rPr>
                <w:rFonts w:ascii="Arial"/>
                <w:sz w:val="21"/>
              </w:rPr>
            </w:pPr>
          </w:p>
        </w:tc>
      </w:tr>
      <w:tr w14:paraId="07C60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428" w:type="dxa"/>
            <w:vMerge w:val="continue"/>
            <w:tcBorders>
              <w:top w:val="nil"/>
              <w:left w:val="single" w:color="000000" w:sz="6" w:space="0"/>
              <w:bottom w:val="nil"/>
            </w:tcBorders>
            <w:vAlign w:val="top"/>
          </w:tcPr>
          <w:p w14:paraId="2427BA47">
            <w:pPr>
              <w:rPr>
                <w:rFonts w:ascii="Arial"/>
                <w:sz w:val="21"/>
              </w:rPr>
            </w:pPr>
          </w:p>
        </w:tc>
        <w:tc>
          <w:tcPr>
            <w:tcW w:w="113" w:type="dxa"/>
            <w:tcBorders>
              <w:top w:val="nil"/>
              <w:bottom w:val="nil"/>
            </w:tcBorders>
            <w:vAlign w:val="top"/>
          </w:tcPr>
          <w:p w14:paraId="44F673AD">
            <w:pPr>
              <w:rPr>
                <w:rFonts w:ascii="Arial"/>
                <w:sz w:val="21"/>
              </w:rPr>
            </w:pPr>
          </w:p>
        </w:tc>
        <w:tc>
          <w:tcPr>
            <w:tcW w:w="864" w:type="dxa"/>
            <w:vAlign w:val="top"/>
          </w:tcPr>
          <w:p w14:paraId="26E89D9A">
            <w:pPr>
              <w:spacing w:line="316" w:lineRule="auto"/>
              <w:rPr>
                <w:rFonts w:ascii="Arial"/>
                <w:sz w:val="21"/>
              </w:rPr>
            </w:pPr>
          </w:p>
          <w:p w14:paraId="11435BFE">
            <w:pPr>
              <w:spacing w:line="317" w:lineRule="auto"/>
              <w:rPr>
                <w:rFonts w:ascii="Arial"/>
                <w:sz w:val="21"/>
              </w:rPr>
            </w:pPr>
          </w:p>
          <w:p w14:paraId="3701A846">
            <w:pPr>
              <w:spacing w:before="58" w:line="195" w:lineRule="auto"/>
              <w:ind w:left="39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251" w:type="dxa"/>
            <w:vAlign w:val="top"/>
          </w:tcPr>
          <w:p w14:paraId="105B1066">
            <w:pPr>
              <w:spacing w:line="380" w:lineRule="auto"/>
              <w:rPr>
                <w:rFonts w:ascii="Arial"/>
                <w:sz w:val="21"/>
              </w:rPr>
            </w:pPr>
          </w:p>
          <w:p w14:paraId="3BC9C1B0">
            <w:pPr>
              <w:spacing w:before="65" w:line="227" w:lineRule="auto"/>
              <w:ind w:left="112"/>
              <w:rPr>
                <w:rFonts w:ascii="宋体" w:hAnsi="宋体" w:eastAsia="宋体" w:cs="宋体"/>
                <w:sz w:val="20"/>
                <w:szCs w:val="20"/>
              </w:rPr>
            </w:pPr>
            <w:r>
              <w:rPr>
                <w:rFonts w:ascii="宋体" w:hAnsi="宋体" w:eastAsia="宋体" w:cs="宋体"/>
                <w:spacing w:val="2"/>
                <w:sz w:val="20"/>
                <w:szCs w:val="20"/>
              </w:rPr>
              <w:t>免漆木门、生态板生产</w:t>
            </w:r>
          </w:p>
          <w:p w14:paraId="0AC28382">
            <w:pPr>
              <w:spacing w:before="161" w:line="228" w:lineRule="auto"/>
              <w:ind w:left="915"/>
              <w:rPr>
                <w:rFonts w:ascii="宋体" w:hAnsi="宋体" w:eastAsia="宋体" w:cs="宋体"/>
                <w:sz w:val="20"/>
                <w:szCs w:val="20"/>
              </w:rPr>
            </w:pPr>
            <w:r>
              <w:rPr>
                <w:rFonts w:ascii="宋体" w:hAnsi="宋体" w:eastAsia="宋体" w:cs="宋体"/>
                <w:spacing w:val="5"/>
                <w:sz w:val="20"/>
                <w:szCs w:val="20"/>
              </w:rPr>
              <w:t>粉尘</w:t>
            </w:r>
          </w:p>
        </w:tc>
        <w:tc>
          <w:tcPr>
            <w:tcW w:w="5283" w:type="dxa"/>
            <w:vAlign w:val="top"/>
          </w:tcPr>
          <w:p w14:paraId="785203BB">
            <w:pPr>
              <w:spacing w:before="39" w:line="227" w:lineRule="auto"/>
              <w:ind w:left="134"/>
              <w:rPr>
                <w:rFonts w:ascii="宋体" w:hAnsi="宋体" w:eastAsia="宋体" w:cs="宋体"/>
                <w:sz w:val="20"/>
                <w:szCs w:val="20"/>
              </w:rPr>
            </w:pPr>
            <w:r>
              <w:rPr>
                <w:rFonts w:ascii="宋体" w:hAnsi="宋体" w:eastAsia="宋体" w:cs="宋体"/>
                <w:spacing w:val="9"/>
                <w:sz w:val="20"/>
                <w:szCs w:val="20"/>
              </w:rPr>
              <w:t>免漆木门、生态板在下料、打眼、雕刻、打磨工序产生</w:t>
            </w:r>
          </w:p>
          <w:p w14:paraId="239270BE">
            <w:pPr>
              <w:spacing w:before="162" w:line="227" w:lineRule="auto"/>
              <w:ind w:left="129"/>
              <w:rPr>
                <w:rFonts w:ascii="宋体" w:hAnsi="宋体" w:eastAsia="宋体" w:cs="宋体"/>
                <w:sz w:val="20"/>
                <w:szCs w:val="20"/>
              </w:rPr>
            </w:pPr>
            <w:r>
              <w:rPr>
                <w:rFonts w:ascii="宋体" w:hAnsi="宋体" w:eastAsia="宋体" w:cs="宋体"/>
                <w:spacing w:val="5"/>
                <w:sz w:val="20"/>
                <w:szCs w:val="20"/>
              </w:rPr>
              <w:t>的粉尘经集气罩、吸尘管收集</w:t>
            </w:r>
            <w:r>
              <w:rPr>
                <w:rFonts w:ascii="Times New Roman" w:hAnsi="Times New Roman" w:eastAsia="Times New Roman" w:cs="Times New Roman"/>
                <w:spacing w:val="5"/>
                <w:sz w:val="20"/>
                <w:szCs w:val="20"/>
              </w:rPr>
              <w:t>+</w:t>
            </w:r>
            <w:r>
              <w:rPr>
                <w:rFonts w:ascii="宋体" w:hAnsi="宋体" w:eastAsia="宋体" w:cs="宋体"/>
                <w:spacing w:val="5"/>
                <w:sz w:val="20"/>
                <w:szCs w:val="20"/>
              </w:rPr>
              <w:t>布袋除尘器处理后，通过</w:t>
            </w:r>
          </w:p>
          <w:p w14:paraId="023BB8F8">
            <w:pPr>
              <w:spacing w:before="161" w:line="228" w:lineRule="auto"/>
              <w:ind w:left="129"/>
              <w:rPr>
                <w:rFonts w:ascii="宋体" w:hAnsi="宋体" w:eastAsia="宋体" w:cs="宋体"/>
                <w:sz w:val="20"/>
                <w:szCs w:val="20"/>
              </w:rPr>
            </w:pPr>
            <w:r>
              <w:rPr>
                <w:rFonts w:ascii="Times New Roman" w:hAnsi="Times New Roman" w:eastAsia="Times New Roman" w:cs="Times New Roman"/>
                <w:spacing w:val="3"/>
                <w:sz w:val="20"/>
                <w:szCs w:val="20"/>
              </w:rPr>
              <w:t xml:space="preserve">1 </w:t>
            </w:r>
            <w:r>
              <w:rPr>
                <w:rFonts w:ascii="宋体" w:hAnsi="宋体" w:eastAsia="宋体" w:cs="宋体"/>
                <w:spacing w:val="3"/>
                <w:sz w:val="20"/>
                <w:szCs w:val="20"/>
              </w:rPr>
              <w:t>根</w:t>
            </w:r>
            <w:r>
              <w:rPr>
                <w:rFonts w:ascii="宋体" w:hAnsi="宋体" w:eastAsia="宋体" w:cs="宋体"/>
                <w:spacing w:val="-13"/>
                <w:sz w:val="20"/>
                <w:szCs w:val="20"/>
              </w:rPr>
              <w:t xml:space="preserve"> </w:t>
            </w:r>
            <w:r>
              <w:rPr>
                <w:rFonts w:ascii="Times New Roman" w:hAnsi="Times New Roman" w:eastAsia="Times New Roman" w:cs="Times New Roman"/>
                <w:spacing w:val="3"/>
                <w:sz w:val="20"/>
                <w:szCs w:val="20"/>
              </w:rPr>
              <w:t>15m</w:t>
            </w:r>
            <w:r>
              <w:rPr>
                <w:rFonts w:ascii="Times New Roman" w:hAnsi="Times New Roman" w:eastAsia="Times New Roman" w:cs="Times New Roman"/>
                <w:spacing w:val="27"/>
                <w:sz w:val="20"/>
                <w:szCs w:val="20"/>
              </w:rPr>
              <w:t xml:space="preserve"> </w:t>
            </w:r>
            <w:r>
              <w:rPr>
                <w:rFonts w:ascii="宋体" w:hAnsi="宋体" w:eastAsia="宋体" w:cs="宋体"/>
                <w:spacing w:val="3"/>
                <w:sz w:val="20"/>
                <w:szCs w:val="20"/>
              </w:rPr>
              <w:t>的排气筒</w:t>
            </w:r>
            <w:r>
              <w:rPr>
                <w:rFonts w:ascii="宋体" w:hAnsi="宋体" w:eastAsia="宋体" w:cs="宋体"/>
                <w:spacing w:val="-42"/>
                <w:sz w:val="20"/>
                <w:szCs w:val="20"/>
              </w:rPr>
              <w:t xml:space="preserve"> </w:t>
            </w:r>
            <w:r>
              <w:rPr>
                <w:rFonts w:ascii="Times New Roman" w:hAnsi="Times New Roman" w:eastAsia="Times New Roman" w:cs="Times New Roman"/>
                <w:sz w:val="20"/>
                <w:szCs w:val="20"/>
              </w:rPr>
              <w:t>DA</w:t>
            </w:r>
            <w:r>
              <w:rPr>
                <w:rFonts w:ascii="Times New Roman" w:hAnsi="Times New Roman" w:eastAsia="Times New Roman" w:cs="Times New Roman"/>
                <w:spacing w:val="3"/>
                <w:sz w:val="20"/>
                <w:szCs w:val="20"/>
              </w:rPr>
              <w:t xml:space="preserve">004 </w:t>
            </w:r>
            <w:r>
              <w:rPr>
                <w:rFonts w:ascii="宋体" w:hAnsi="宋体" w:eastAsia="宋体" w:cs="宋体"/>
                <w:spacing w:val="3"/>
                <w:sz w:val="20"/>
                <w:szCs w:val="20"/>
              </w:rPr>
              <w:t>排放，未被收集的粉尘无组织</w:t>
            </w:r>
          </w:p>
          <w:p w14:paraId="5B8D38B1">
            <w:pPr>
              <w:spacing w:before="161" w:line="229" w:lineRule="auto"/>
              <w:ind w:left="2335"/>
              <w:rPr>
                <w:rFonts w:ascii="宋体" w:hAnsi="宋体" w:eastAsia="宋体" w:cs="宋体"/>
                <w:sz w:val="20"/>
                <w:szCs w:val="20"/>
              </w:rPr>
            </w:pPr>
            <w:r>
              <w:rPr>
                <w:rFonts w:ascii="宋体" w:hAnsi="宋体" w:eastAsia="宋体" w:cs="宋体"/>
                <w:spacing w:val="3"/>
                <w:sz w:val="20"/>
                <w:szCs w:val="20"/>
              </w:rPr>
              <w:t>排放。</w:t>
            </w:r>
          </w:p>
        </w:tc>
        <w:tc>
          <w:tcPr>
            <w:tcW w:w="125" w:type="dxa"/>
            <w:tcBorders>
              <w:top w:val="nil"/>
              <w:bottom w:val="nil"/>
              <w:right w:val="single" w:color="000000" w:sz="6" w:space="0"/>
            </w:tcBorders>
            <w:vAlign w:val="top"/>
          </w:tcPr>
          <w:p w14:paraId="525D1DBD">
            <w:pPr>
              <w:rPr>
                <w:rFonts w:ascii="Arial"/>
                <w:sz w:val="21"/>
              </w:rPr>
            </w:pPr>
          </w:p>
        </w:tc>
      </w:tr>
      <w:tr w14:paraId="70CAF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428" w:type="dxa"/>
            <w:vMerge w:val="continue"/>
            <w:tcBorders>
              <w:top w:val="nil"/>
              <w:left w:val="single" w:color="000000" w:sz="6" w:space="0"/>
              <w:bottom w:val="nil"/>
            </w:tcBorders>
            <w:vAlign w:val="top"/>
          </w:tcPr>
          <w:p w14:paraId="4FC4E9D8">
            <w:pPr>
              <w:rPr>
                <w:rFonts w:ascii="Arial"/>
                <w:sz w:val="21"/>
              </w:rPr>
            </w:pPr>
          </w:p>
        </w:tc>
        <w:tc>
          <w:tcPr>
            <w:tcW w:w="113" w:type="dxa"/>
            <w:tcBorders>
              <w:top w:val="nil"/>
              <w:bottom w:val="nil"/>
            </w:tcBorders>
            <w:vAlign w:val="top"/>
          </w:tcPr>
          <w:p w14:paraId="21D5D242">
            <w:pPr>
              <w:rPr>
                <w:rFonts w:ascii="Arial"/>
                <w:sz w:val="21"/>
              </w:rPr>
            </w:pPr>
          </w:p>
        </w:tc>
        <w:tc>
          <w:tcPr>
            <w:tcW w:w="864" w:type="dxa"/>
            <w:vAlign w:val="top"/>
          </w:tcPr>
          <w:p w14:paraId="7A60CEC6">
            <w:pPr>
              <w:spacing w:line="317" w:lineRule="auto"/>
              <w:rPr>
                <w:rFonts w:ascii="Arial"/>
                <w:sz w:val="21"/>
              </w:rPr>
            </w:pPr>
          </w:p>
          <w:p w14:paraId="0F1261D5">
            <w:pPr>
              <w:spacing w:line="318" w:lineRule="auto"/>
              <w:rPr>
                <w:rFonts w:ascii="Arial"/>
                <w:sz w:val="21"/>
              </w:rPr>
            </w:pPr>
          </w:p>
          <w:p w14:paraId="770E776D">
            <w:pPr>
              <w:spacing w:before="58" w:line="195" w:lineRule="auto"/>
              <w:ind w:left="37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251" w:type="dxa"/>
            <w:vMerge w:val="restart"/>
            <w:tcBorders>
              <w:bottom w:val="nil"/>
            </w:tcBorders>
            <w:vAlign w:val="top"/>
          </w:tcPr>
          <w:p w14:paraId="38685342">
            <w:pPr>
              <w:spacing w:line="275" w:lineRule="auto"/>
              <w:rPr>
                <w:rFonts w:ascii="Arial"/>
                <w:sz w:val="21"/>
              </w:rPr>
            </w:pPr>
          </w:p>
          <w:p w14:paraId="16C1917B">
            <w:pPr>
              <w:spacing w:line="276" w:lineRule="auto"/>
              <w:rPr>
                <w:rFonts w:ascii="Arial"/>
                <w:sz w:val="21"/>
              </w:rPr>
            </w:pPr>
          </w:p>
          <w:p w14:paraId="637E4058">
            <w:pPr>
              <w:spacing w:line="276" w:lineRule="auto"/>
              <w:rPr>
                <w:rFonts w:ascii="Arial"/>
                <w:sz w:val="21"/>
              </w:rPr>
            </w:pPr>
          </w:p>
          <w:p w14:paraId="0FA0F48B">
            <w:pPr>
              <w:spacing w:line="276" w:lineRule="auto"/>
              <w:rPr>
                <w:rFonts w:ascii="Arial"/>
                <w:sz w:val="21"/>
              </w:rPr>
            </w:pPr>
          </w:p>
          <w:p w14:paraId="774ABE3F">
            <w:pPr>
              <w:spacing w:line="276" w:lineRule="auto"/>
              <w:rPr>
                <w:rFonts w:ascii="Arial"/>
                <w:sz w:val="21"/>
              </w:rPr>
            </w:pPr>
          </w:p>
          <w:p w14:paraId="62A45270">
            <w:pPr>
              <w:spacing w:before="65" w:line="228" w:lineRule="auto"/>
              <w:ind w:left="498"/>
              <w:rPr>
                <w:rFonts w:ascii="宋体" w:hAnsi="宋体" w:eastAsia="宋体" w:cs="宋体"/>
                <w:sz w:val="20"/>
                <w:szCs w:val="20"/>
              </w:rPr>
            </w:pPr>
            <w:r>
              <w:rPr>
                <w:rFonts w:ascii="宋体" w:hAnsi="宋体" w:eastAsia="宋体" w:cs="宋体"/>
                <w:spacing w:val="7"/>
                <w:sz w:val="20"/>
                <w:szCs w:val="20"/>
              </w:rPr>
              <w:t>家具生产废气</w:t>
            </w:r>
          </w:p>
        </w:tc>
        <w:tc>
          <w:tcPr>
            <w:tcW w:w="5283" w:type="dxa"/>
            <w:vAlign w:val="top"/>
          </w:tcPr>
          <w:p w14:paraId="00604712">
            <w:pPr>
              <w:spacing w:before="41" w:line="227" w:lineRule="auto"/>
              <w:ind w:left="131"/>
              <w:rPr>
                <w:rFonts w:ascii="宋体" w:hAnsi="宋体" w:eastAsia="宋体" w:cs="宋体"/>
                <w:sz w:val="20"/>
                <w:szCs w:val="20"/>
              </w:rPr>
            </w:pPr>
            <w:r>
              <w:rPr>
                <w:rFonts w:ascii="宋体" w:hAnsi="宋体" w:eastAsia="宋体" w:cs="宋体"/>
                <w:spacing w:val="9"/>
                <w:sz w:val="20"/>
                <w:szCs w:val="20"/>
              </w:rPr>
              <w:t>家具生产在下料、打眼、雕刻、打磨工序产生的粉尘采</w:t>
            </w:r>
          </w:p>
          <w:p w14:paraId="7648428F">
            <w:pPr>
              <w:spacing w:before="162" w:line="227" w:lineRule="auto"/>
              <w:ind w:left="176"/>
              <w:rPr>
                <w:rFonts w:ascii="宋体" w:hAnsi="宋体" w:eastAsia="宋体" w:cs="宋体"/>
                <w:sz w:val="20"/>
                <w:szCs w:val="20"/>
              </w:rPr>
            </w:pPr>
            <w:r>
              <w:rPr>
                <w:rFonts w:ascii="宋体" w:hAnsi="宋体" w:eastAsia="宋体" w:cs="宋体"/>
                <w:spacing w:val="7"/>
                <w:sz w:val="20"/>
                <w:szCs w:val="20"/>
              </w:rPr>
              <w:t>用集气罩、吸尘管收集</w:t>
            </w:r>
            <w:r>
              <w:rPr>
                <w:rFonts w:ascii="Times New Roman" w:hAnsi="Times New Roman" w:eastAsia="Times New Roman" w:cs="Times New Roman"/>
                <w:spacing w:val="7"/>
                <w:sz w:val="20"/>
                <w:szCs w:val="20"/>
              </w:rPr>
              <w:t>+</w:t>
            </w:r>
            <w:r>
              <w:rPr>
                <w:rFonts w:ascii="宋体" w:hAnsi="宋体" w:eastAsia="宋体" w:cs="宋体"/>
                <w:spacing w:val="7"/>
                <w:sz w:val="20"/>
                <w:szCs w:val="20"/>
              </w:rPr>
              <w:t>布袋除尘器除尘后，通过</w:t>
            </w:r>
            <w:r>
              <w:rPr>
                <w:rFonts w:ascii="宋体" w:hAnsi="宋体" w:eastAsia="宋体" w:cs="宋体"/>
                <w:spacing w:val="-3"/>
                <w:sz w:val="20"/>
                <w:szCs w:val="20"/>
              </w:rPr>
              <w:t xml:space="preserve"> </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根</w:t>
            </w:r>
          </w:p>
          <w:p w14:paraId="75BC21E2">
            <w:pPr>
              <w:spacing w:before="161" w:line="228" w:lineRule="auto"/>
              <w:ind w:left="129"/>
              <w:rPr>
                <w:rFonts w:ascii="宋体" w:hAnsi="宋体" w:eastAsia="宋体" w:cs="宋体"/>
                <w:sz w:val="20"/>
                <w:szCs w:val="20"/>
              </w:rPr>
            </w:pPr>
            <w:r>
              <w:rPr>
                <w:rFonts w:ascii="Times New Roman" w:hAnsi="Times New Roman" w:eastAsia="Times New Roman" w:cs="Times New Roman"/>
                <w:spacing w:val="5"/>
                <w:sz w:val="20"/>
                <w:szCs w:val="20"/>
              </w:rPr>
              <w:t>15m</w:t>
            </w:r>
            <w:r>
              <w:rPr>
                <w:rFonts w:ascii="Times New Roman" w:hAnsi="Times New Roman" w:eastAsia="Times New Roman" w:cs="Times New Roman"/>
                <w:spacing w:val="17"/>
                <w:w w:val="101"/>
                <w:sz w:val="20"/>
                <w:szCs w:val="20"/>
              </w:rPr>
              <w:t xml:space="preserve"> </w:t>
            </w:r>
            <w:r>
              <w:rPr>
                <w:rFonts w:ascii="宋体" w:hAnsi="宋体" w:eastAsia="宋体" w:cs="宋体"/>
                <w:spacing w:val="5"/>
                <w:sz w:val="20"/>
                <w:szCs w:val="20"/>
              </w:rPr>
              <w:t>高的排气筒</w:t>
            </w:r>
            <w:r>
              <w:rPr>
                <w:rFonts w:ascii="宋体" w:hAnsi="宋体" w:eastAsia="宋体" w:cs="宋体"/>
                <w:spacing w:val="-44"/>
                <w:sz w:val="20"/>
                <w:szCs w:val="20"/>
              </w:rPr>
              <w:t xml:space="preserve"> </w:t>
            </w:r>
            <w:r>
              <w:rPr>
                <w:rFonts w:ascii="Times New Roman" w:hAnsi="Times New Roman" w:eastAsia="Times New Roman" w:cs="Times New Roman"/>
                <w:sz w:val="20"/>
                <w:szCs w:val="20"/>
              </w:rPr>
              <w:t>DA</w:t>
            </w:r>
            <w:r>
              <w:rPr>
                <w:rFonts w:ascii="Times New Roman" w:hAnsi="Times New Roman" w:eastAsia="Times New Roman" w:cs="Times New Roman"/>
                <w:spacing w:val="5"/>
                <w:sz w:val="20"/>
                <w:szCs w:val="20"/>
              </w:rPr>
              <w:t xml:space="preserve">001 </w:t>
            </w:r>
            <w:r>
              <w:rPr>
                <w:rFonts w:ascii="宋体" w:hAnsi="宋体" w:eastAsia="宋体" w:cs="宋体"/>
                <w:spacing w:val="5"/>
                <w:sz w:val="20"/>
                <w:szCs w:val="20"/>
              </w:rPr>
              <w:t>排放，未被收集的非甲烷总烃无</w:t>
            </w:r>
          </w:p>
          <w:p w14:paraId="7C6F237E">
            <w:pPr>
              <w:spacing w:before="161" w:line="229" w:lineRule="auto"/>
              <w:ind w:left="2126"/>
              <w:rPr>
                <w:rFonts w:ascii="宋体" w:hAnsi="宋体" w:eastAsia="宋体" w:cs="宋体"/>
                <w:sz w:val="20"/>
                <w:szCs w:val="20"/>
              </w:rPr>
            </w:pPr>
            <w:r>
              <w:rPr>
                <w:rFonts w:ascii="宋体" w:hAnsi="宋体" w:eastAsia="宋体" w:cs="宋体"/>
                <w:spacing w:val="5"/>
                <w:sz w:val="20"/>
                <w:szCs w:val="20"/>
              </w:rPr>
              <w:t>组织排放。</w:t>
            </w:r>
          </w:p>
        </w:tc>
        <w:tc>
          <w:tcPr>
            <w:tcW w:w="125" w:type="dxa"/>
            <w:tcBorders>
              <w:top w:val="nil"/>
              <w:bottom w:val="nil"/>
              <w:right w:val="single" w:color="000000" w:sz="6" w:space="0"/>
            </w:tcBorders>
            <w:vAlign w:val="top"/>
          </w:tcPr>
          <w:p w14:paraId="1EA32B0E">
            <w:pPr>
              <w:rPr>
                <w:rFonts w:ascii="Arial"/>
                <w:sz w:val="21"/>
              </w:rPr>
            </w:pPr>
          </w:p>
        </w:tc>
      </w:tr>
      <w:tr w14:paraId="4C6B7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1" w:hRule="atLeast"/>
        </w:trPr>
        <w:tc>
          <w:tcPr>
            <w:tcW w:w="428" w:type="dxa"/>
            <w:vMerge w:val="continue"/>
            <w:tcBorders>
              <w:top w:val="nil"/>
              <w:left w:val="single" w:color="000000" w:sz="6" w:space="0"/>
              <w:bottom w:val="nil"/>
            </w:tcBorders>
            <w:vAlign w:val="top"/>
          </w:tcPr>
          <w:p w14:paraId="607A6642">
            <w:pPr>
              <w:rPr>
                <w:rFonts w:ascii="Arial"/>
                <w:sz w:val="21"/>
              </w:rPr>
            </w:pPr>
          </w:p>
        </w:tc>
        <w:tc>
          <w:tcPr>
            <w:tcW w:w="113" w:type="dxa"/>
            <w:tcBorders>
              <w:top w:val="nil"/>
              <w:bottom w:val="nil"/>
            </w:tcBorders>
            <w:vAlign w:val="top"/>
          </w:tcPr>
          <w:p w14:paraId="320323F6">
            <w:pPr>
              <w:rPr>
                <w:rFonts w:ascii="Arial"/>
                <w:sz w:val="21"/>
              </w:rPr>
            </w:pPr>
          </w:p>
        </w:tc>
        <w:tc>
          <w:tcPr>
            <w:tcW w:w="864" w:type="dxa"/>
            <w:vAlign w:val="top"/>
          </w:tcPr>
          <w:p w14:paraId="315C1116">
            <w:pPr>
              <w:spacing w:line="308" w:lineRule="auto"/>
              <w:rPr>
                <w:rFonts w:ascii="Arial"/>
                <w:sz w:val="21"/>
              </w:rPr>
            </w:pPr>
          </w:p>
          <w:p w14:paraId="0E27EE7A">
            <w:pPr>
              <w:spacing w:line="308" w:lineRule="auto"/>
              <w:rPr>
                <w:rFonts w:ascii="Arial"/>
                <w:sz w:val="21"/>
              </w:rPr>
            </w:pPr>
          </w:p>
          <w:p w14:paraId="60C500E8">
            <w:pPr>
              <w:spacing w:before="57" w:line="195" w:lineRule="auto"/>
              <w:ind w:left="379"/>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251" w:type="dxa"/>
            <w:vMerge w:val="continue"/>
            <w:tcBorders>
              <w:top w:val="nil"/>
            </w:tcBorders>
            <w:vAlign w:val="top"/>
          </w:tcPr>
          <w:p w14:paraId="19D7C51D">
            <w:pPr>
              <w:rPr>
                <w:rFonts w:ascii="Arial"/>
                <w:sz w:val="21"/>
              </w:rPr>
            </w:pPr>
          </w:p>
        </w:tc>
        <w:tc>
          <w:tcPr>
            <w:tcW w:w="5283" w:type="dxa"/>
            <w:vAlign w:val="top"/>
          </w:tcPr>
          <w:p w14:paraId="5C0CC19B">
            <w:pPr>
              <w:spacing w:before="43" w:line="228" w:lineRule="auto"/>
              <w:ind w:left="157"/>
              <w:rPr>
                <w:rFonts w:ascii="宋体" w:hAnsi="宋体" w:eastAsia="宋体" w:cs="宋体"/>
                <w:sz w:val="20"/>
                <w:szCs w:val="20"/>
              </w:rPr>
            </w:pPr>
            <w:r>
              <w:rPr>
                <w:rFonts w:ascii="宋体" w:hAnsi="宋体" w:eastAsia="宋体" w:cs="宋体"/>
                <w:spacing w:val="6"/>
                <w:sz w:val="20"/>
                <w:szCs w:val="20"/>
              </w:rPr>
              <w:t>家具生产配套设置</w:t>
            </w:r>
            <w:r>
              <w:rPr>
                <w:rFonts w:ascii="宋体" w:hAnsi="宋体" w:eastAsia="宋体" w:cs="宋体"/>
                <w:spacing w:val="-20"/>
                <w:sz w:val="20"/>
                <w:szCs w:val="20"/>
              </w:rPr>
              <w:t xml:space="preserve"> </w:t>
            </w:r>
            <w:r>
              <w:rPr>
                <w:rFonts w:ascii="Times New Roman" w:hAnsi="Times New Roman" w:eastAsia="Times New Roman" w:cs="Times New Roman"/>
                <w:spacing w:val="6"/>
                <w:sz w:val="20"/>
                <w:szCs w:val="20"/>
              </w:rPr>
              <w:t>1</w:t>
            </w:r>
            <w:r>
              <w:rPr>
                <w:rFonts w:ascii="Times New Roman" w:hAnsi="Times New Roman" w:eastAsia="Times New Roman" w:cs="Times New Roman"/>
                <w:spacing w:val="26"/>
                <w:sz w:val="20"/>
                <w:szCs w:val="20"/>
              </w:rPr>
              <w:t xml:space="preserve"> </w:t>
            </w:r>
            <w:r>
              <w:rPr>
                <w:rFonts w:ascii="宋体" w:hAnsi="宋体" w:eastAsia="宋体" w:cs="宋体"/>
                <w:spacing w:val="6"/>
                <w:sz w:val="20"/>
                <w:szCs w:val="20"/>
              </w:rPr>
              <w:t>间喷漆房、</w:t>
            </w:r>
            <w:r>
              <w:rPr>
                <w:rFonts w:ascii="Times New Roman" w:hAnsi="Times New Roman" w:eastAsia="Times New Roman" w:cs="Times New Roman"/>
                <w:spacing w:val="6"/>
                <w:sz w:val="20"/>
                <w:szCs w:val="20"/>
              </w:rPr>
              <w:t>1</w:t>
            </w:r>
            <w:r>
              <w:rPr>
                <w:rFonts w:ascii="Times New Roman" w:hAnsi="Times New Roman" w:eastAsia="Times New Roman" w:cs="Times New Roman"/>
                <w:spacing w:val="26"/>
                <w:sz w:val="20"/>
                <w:szCs w:val="20"/>
              </w:rPr>
              <w:t xml:space="preserve"> </w:t>
            </w:r>
            <w:r>
              <w:rPr>
                <w:rFonts w:ascii="宋体" w:hAnsi="宋体" w:eastAsia="宋体" w:cs="宋体"/>
                <w:spacing w:val="6"/>
                <w:sz w:val="20"/>
                <w:szCs w:val="20"/>
              </w:rPr>
              <w:t>间烤漆房，产生</w:t>
            </w:r>
            <w:r>
              <w:rPr>
                <w:rFonts w:ascii="宋体" w:hAnsi="宋体" w:eastAsia="宋体" w:cs="宋体"/>
                <w:spacing w:val="5"/>
                <w:sz w:val="20"/>
                <w:szCs w:val="20"/>
              </w:rPr>
              <w:t>的废</w:t>
            </w:r>
          </w:p>
          <w:p w14:paraId="0B781965">
            <w:pPr>
              <w:spacing w:before="161" w:line="227" w:lineRule="auto"/>
              <w:ind w:left="113"/>
              <w:rPr>
                <w:rFonts w:ascii="宋体" w:hAnsi="宋体" w:eastAsia="宋体" w:cs="宋体"/>
                <w:sz w:val="20"/>
                <w:szCs w:val="20"/>
              </w:rPr>
            </w:pPr>
            <w:r>
              <w:rPr>
                <w:rFonts w:ascii="宋体" w:hAnsi="宋体" w:eastAsia="宋体" w:cs="宋体"/>
                <w:spacing w:val="6"/>
                <w:sz w:val="20"/>
                <w:szCs w:val="20"/>
              </w:rPr>
              <w:t>气经负压收集，采用</w:t>
            </w:r>
            <w:r>
              <w:rPr>
                <w:rFonts w:ascii="宋体" w:hAnsi="宋体" w:eastAsia="宋体" w:cs="宋体"/>
                <w:spacing w:val="-18"/>
                <w:sz w:val="20"/>
                <w:szCs w:val="20"/>
              </w:rPr>
              <w:t xml:space="preserve"> </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套漆雾分离柜</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uv</w:t>
            </w:r>
            <w:r>
              <w:rPr>
                <w:rFonts w:ascii="Times New Roman" w:hAnsi="Times New Roman" w:eastAsia="Times New Roman" w:cs="Times New Roman"/>
                <w:spacing w:val="6"/>
                <w:sz w:val="20"/>
                <w:szCs w:val="20"/>
              </w:rPr>
              <w:t xml:space="preserve"> </w:t>
            </w:r>
            <w:r>
              <w:rPr>
                <w:rFonts w:ascii="宋体" w:hAnsi="宋体" w:eastAsia="宋体" w:cs="宋体"/>
                <w:spacing w:val="6"/>
                <w:sz w:val="20"/>
                <w:szCs w:val="20"/>
              </w:rPr>
              <w:t>光氧</w:t>
            </w:r>
            <w:r>
              <w:rPr>
                <w:rFonts w:ascii="Times New Roman" w:hAnsi="Times New Roman" w:eastAsia="Times New Roman" w:cs="Times New Roman"/>
                <w:spacing w:val="6"/>
                <w:sz w:val="20"/>
                <w:szCs w:val="20"/>
              </w:rPr>
              <w:t>+</w:t>
            </w:r>
            <w:r>
              <w:rPr>
                <w:rFonts w:ascii="宋体" w:hAnsi="宋体" w:eastAsia="宋体" w:cs="宋体"/>
                <w:spacing w:val="6"/>
                <w:sz w:val="20"/>
                <w:szCs w:val="20"/>
              </w:rPr>
              <w:t>活性炭吸</w:t>
            </w:r>
          </w:p>
          <w:p w14:paraId="02C2B5CA">
            <w:pPr>
              <w:spacing w:before="162" w:line="227" w:lineRule="auto"/>
              <w:ind w:left="325"/>
              <w:rPr>
                <w:rFonts w:ascii="宋体" w:hAnsi="宋体" w:eastAsia="宋体" w:cs="宋体"/>
                <w:sz w:val="20"/>
                <w:szCs w:val="20"/>
              </w:rPr>
            </w:pPr>
            <w:r>
              <w:rPr>
                <w:rFonts w:ascii="宋体" w:hAnsi="宋体" w:eastAsia="宋体" w:cs="宋体"/>
                <w:spacing w:val="5"/>
                <w:sz w:val="20"/>
                <w:szCs w:val="20"/>
              </w:rPr>
              <w:t>附装置进行处理后，通过</w:t>
            </w:r>
            <w:r>
              <w:rPr>
                <w:rFonts w:ascii="宋体" w:hAnsi="宋体" w:eastAsia="宋体" w:cs="宋体"/>
                <w:spacing w:val="-18"/>
                <w:sz w:val="20"/>
                <w:szCs w:val="20"/>
              </w:rPr>
              <w:t xml:space="preserve">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根</w:t>
            </w:r>
            <w:r>
              <w:rPr>
                <w:rFonts w:ascii="宋体" w:hAnsi="宋体" w:eastAsia="宋体" w:cs="宋体"/>
                <w:spacing w:val="-21"/>
                <w:sz w:val="20"/>
                <w:szCs w:val="20"/>
              </w:rPr>
              <w:t xml:space="preserve"> </w:t>
            </w:r>
            <w:r>
              <w:rPr>
                <w:rFonts w:ascii="Times New Roman" w:hAnsi="Times New Roman" w:eastAsia="Times New Roman" w:cs="Times New Roman"/>
                <w:spacing w:val="5"/>
                <w:sz w:val="20"/>
                <w:szCs w:val="20"/>
              </w:rPr>
              <w:t>15m</w:t>
            </w:r>
            <w:r>
              <w:rPr>
                <w:rFonts w:ascii="Times New Roman" w:hAnsi="Times New Roman" w:eastAsia="Times New Roman" w:cs="Times New Roman"/>
                <w:spacing w:val="15"/>
                <w:w w:val="101"/>
                <w:sz w:val="20"/>
                <w:szCs w:val="20"/>
              </w:rPr>
              <w:t xml:space="preserve"> </w:t>
            </w:r>
            <w:r>
              <w:rPr>
                <w:rFonts w:ascii="宋体" w:hAnsi="宋体" w:eastAsia="宋体" w:cs="宋体"/>
                <w:spacing w:val="5"/>
                <w:sz w:val="20"/>
                <w:szCs w:val="20"/>
              </w:rPr>
              <w:t>高的排气筒外排</w:t>
            </w:r>
          </w:p>
          <w:p w14:paraId="5FADDB57">
            <w:pPr>
              <w:spacing w:before="183" w:line="195" w:lineRule="auto"/>
              <w:ind w:left="2335"/>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002</w:t>
            </w:r>
          </w:p>
        </w:tc>
        <w:tc>
          <w:tcPr>
            <w:tcW w:w="125" w:type="dxa"/>
            <w:tcBorders>
              <w:top w:val="nil"/>
              <w:bottom w:val="nil"/>
              <w:right w:val="single" w:color="000000" w:sz="6" w:space="0"/>
            </w:tcBorders>
            <w:vAlign w:val="top"/>
          </w:tcPr>
          <w:p w14:paraId="69F30CE6">
            <w:pPr>
              <w:rPr>
                <w:rFonts w:ascii="Arial"/>
                <w:sz w:val="21"/>
              </w:rPr>
            </w:pPr>
          </w:p>
        </w:tc>
      </w:tr>
      <w:tr w14:paraId="6D116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2" w:hRule="atLeast"/>
        </w:trPr>
        <w:tc>
          <w:tcPr>
            <w:tcW w:w="428" w:type="dxa"/>
            <w:vMerge w:val="continue"/>
            <w:tcBorders>
              <w:top w:val="nil"/>
              <w:left w:val="single" w:color="000000" w:sz="6" w:space="0"/>
              <w:bottom w:val="single" w:color="000000" w:sz="6" w:space="0"/>
            </w:tcBorders>
            <w:vAlign w:val="top"/>
          </w:tcPr>
          <w:p w14:paraId="554E8C8B">
            <w:pPr>
              <w:rPr>
                <w:rFonts w:ascii="Arial"/>
                <w:sz w:val="21"/>
              </w:rPr>
            </w:pPr>
          </w:p>
        </w:tc>
        <w:tc>
          <w:tcPr>
            <w:tcW w:w="113" w:type="dxa"/>
            <w:tcBorders>
              <w:top w:val="nil"/>
              <w:bottom w:val="single" w:color="000000" w:sz="6" w:space="0"/>
            </w:tcBorders>
            <w:vAlign w:val="top"/>
          </w:tcPr>
          <w:p w14:paraId="6849AE14">
            <w:pPr>
              <w:rPr>
                <w:rFonts w:ascii="Arial"/>
                <w:sz w:val="21"/>
              </w:rPr>
            </w:pPr>
          </w:p>
        </w:tc>
        <w:tc>
          <w:tcPr>
            <w:tcW w:w="864" w:type="dxa"/>
            <w:tcBorders>
              <w:bottom w:val="single" w:color="000000" w:sz="6" w:space="0"/>
            </w:tcBorders>
            <w:vAlign w:val="top"/>
          </w:tcPr>
          <w:p w14:paraId="3ABB42FA">
            <w:pPr>
              <w:spacing w:line="437" w:lineRule="auto"/>
              <w:rPr>
                <w:rFonts w:ascii="Arial"/>
                <w:sz w:val="21"/>
              </w:rPr>
            </w:pPr>
          </w:p>
          <w:p w14:paraId="3BA4BC59">
            <w:pPr>
              <w:spacing w:before="57" w:line="195" w:lineRule="auto"/>
              <w:ind w:left="37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251" w:type="dxa"/>
            <w:tcBorders>
              <w:bottom w:val="single" w:color="000000" w:sz="6" w:space="0"/>
            </w:tcBorders>
            <w:vAlign w:val="top"/>
          </w:tcPr>
          <w:p w14:paraId="2301C8E9">
            <w:pPr>
              <w:spacing w:line="386" w:lineRule="auto"/>
              <w:rPr>
                <w:rFonts w:ascii="Arial"/>
                <w:sz w:val="21"/>
              </w:rPr>
            </w:pPr>
          </w:p>
          <w:p w14:paraId="60B15533">
            <w:pPr>
              <w:spacing w:before="65" w:line="228" w:lineRule="auto"/>
              <w:ind w:left="390"/>
              <w:rPr>
                <w:rFonts w:ascii="宋体" w:hAnsi="宋体" w:eastAsia="宋体" w:cs="宋体"/>
                <w:sz w:val="20"/>
                <w:szCs w:val="20"/>
              </w:rPr>
            </w:pPr>
            <w:r>
              <w:rPr>
                <w:rFonts w:ascii="宋体" w:hAnsi="宋体" w:eastAsia="宋体" w:cs="宋体"/>
                <w:spacing w:val="8"/>
                <w:sz w:val="20"/>
                <w:szCs w:val="20"/>
              </w:rPr>
              <w:t>浸渍纸生产废气</w:t>
            </w:r>
          </w:p>
        </w:tc>
        <w:tc>
          <w:tcPr>
            <w:tcW w:w="5283" w:type="dxa"/>
            <w:tcBorders>
              <w:bottom w:val="single" w:color="000000" w:sz="6" w:space="0"/>
            </w:tcBorders>
            <w:vAlign w:val="top"/>
          </w:tcPr>
          <w:p w14:paraId="5477042E">
            <w:pPr>
              <w:spacing w:before="46" w:line="227" w:lineRule="auto"/>
              <w:ind w:left="129"/>
              <w:rPr>
                <w:rFonts w:ascii="宋体" w:hAnsi="宋体" w:eastAsia="宋体" w:cs="宋体"/>
                <w:sz w:val="20"/>
                <w:szCs w:val="20"/>
              </w:rPr>
            </w:pPr>
            <w:r>
              <w:rPr>
                <w:rFonts w:ascii="宋体" w:hAnsi="宋体" w:eastAsia="宋体" w:cs="宋体"/>
                <w:spacing w:val="9"/>
                <w:sz w:val="20"/>
                <w:szCs w:val="20"/>
              </w:rPr>
              <w:t>浸渍纸生产线涂胶、烘干、天然气燃烧产生废气采用集</w:t>
            </w:r>
          </w:p>
          <w:p w14:paraId="421A7A2F">
            <w:pPr>
              <w:spacing w:before="162" w:line="227" w:lineRule="auto"/>
              <w:ind w:left="113"/>
              <w:rPr>
                <w:rFonts w:ascii="Times New Roman" w:hAnsi="Times New Roman" w:eastAsia="Times New Roman" w:cs="Times New Roman"/>
                <w:sz w:val="20"/>
                <w:szCs w:val="20"/>
              </w:rPr>
            </w:pPr>
            <w:r>
              <w:rPr>
                <w:rFonts w:ascii="宋体" w:hAnsi="宋体" w:eastAsia="宋体" w:cs="宋体"/>
                <w:spacing w:val="5"/>
                <w:sz w:val="20"/>
                <w:szCs w:val="20"/>
              </w:rPr>
              <w:t>气罩收集</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uv</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光氧</w:t>
            </w:r>
            <w:r>
              <w:rPr>
                <w:rFonts w:ascii="Times New Roman" w:hAnsi="Times New Roman" w:eastAsia="Times New Roman" w:cs="Times New Roman"/>
                <w:spacing w:val="5"/>
                <w:sz w:val="20"/>
                <w:szCs w:val="20"/>
              </w:rPr>
              <w:t>+</w:t>
            </w:r>
            <w:r>
              <w:rPr>
                <w:rFonts w:ascii="宋体" w:hAnsi="宋体" w:eastAsia="宋体" w:cs="宋体"/>
                <w:spacing w:val="5"/>
                <w:sz w:val="20"/>
                <w:szCs w:val="20"/>
              </w:rPr>
              <w:t>活性炭吸附装置处理后通过</w:t>
            </w:r>
            <w:r>
              <w:rPr>
                <w:rFonts w:ascii="宋体" w:hAnsi="宋体" w:eastAsia="宋体" w:cs="宋体"/>
                <w:spacing w:val="-19"/>
                <w:sz w:val="20"/>
                <w:szCs w:val="20"/>
              </w:rPr>
              <w:t xml:space="preserve">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根</w:t>
            </w:r>
            <w:r>
              <w:rPr>
                <w:rFonts w:ascii="宋体" w:hAnsi="宋体" w:eastAsia="宋体" w:cs="宋体"/>
                <w:spacing w:val="-35"/>
                <w:sz w:val="20"/>
                <w:szCs w:val="20"/>
              </w:rPr>
              <w:t xml:space="preserve"> </w:t>
            </w:r>
            <w:r>
              <w:rPr>
                <w:rFonts w:ascii="Times New Roman" w:hAnsi="Times New Roman" w:eastAsia="Times New Roman" w:cs="Times New Roman"/>
                <w:spacing w:val="5"/>
                <w:sz w:val="20"/>
                <w:szCs w:val="20"/>
              </w:rPr>
              <w:t>15m</w:t>
            </w:r>
          </w:p>
          <w:p w14:paraId="1D56A4BB">
            <w:pPr>
              <w:spacing w:before="161" w:line="228" w:lineRule="auto"/>
              <w:ind w:left="1452"/>
              <w:rPr>
                <w:rFonts w:ascii="宋体" w:hAnsi="宋体" w:eastAsia="宋体" w:cs="宋体"/>
                <w:sz w:val="20"/>
                <w:szCs w:val="20"/>
              </w:rPr>
            </w:pPr>
            <w:r>
              <w:rPr>
                <w:rFonts w:ascii="宋体" w:hAnsi="宋体" w:eastAsia="宋体" w:cs="宋体"/>
                <w:spacing w:val="6"/>
                <w:sz w:val="20"/>
                <w:szCs w:val="20"/>
              </w:rPr>
              <w:t>高的排气筒</w:t>
            </w:r>
            <w:r>
              <w:rPr>
                <w:rFonts w:ascii="宋体" w:hAnsi="宋体" w:eastAsia="宋体" w:cs="宋体"/>
                <w:spacing w:val="-35"/>
                <w:sz w:val="20"/>
                <w:szCs w:val="20"/>
              </w:rPr>
              <w:t xml:space="preserve"> </w:t>
            </w:r>
            <w:r>
              <w:rPr>
                <w:rFonts w:ascii="Times New Roman" w:hAnsi="Times New Roman" w:eastAsia="Times New Roman" w:cs="Times New Roman"/>
                <w:sz w:val="20"/>
                <w:szCs w:val="20"/>
              </w:rPr>
              <w:t>DA</w:t>
            </w:r>
            <w:r>
              <w:rPr>
                <w:rFonts w:ascii="Times New Roman" w:hAnsi="Times New Roman" w:eastAsia="Times New Roman" w:cs="Times New Roman"/>
                <w:spacing w:val="6"/>
                <w:sz w:val="20"/>
                <w:szCs w:val="20"/>
              </w:rPr>
              <w:t xml:space="preserve">003 </w:t>
            </w:r>
            <w:r>
              <w:rPr>
                <w:rFonts w:ascii="宋体" w:hAnsi="宋体" w:eastAsia="宋体" w:cs="宋体"/>
                <w:spacing w:val="6"/>
                <w:sz w:val="20"/>
                <w:szCs w:val="20"/>
              </w:rPr>
              <w:t>排放。</w:t>
            </w:r>
          </w:p>
        </w:tc>
        <w:tc>
          <w:tcPr>
            <w:tcW w:w="125" w:type="dxa"/>
            <w:tcBorders>
              <w:top w:val="nil"/>
              <w:bottom w:val="single" w:color="000000" w:sz="6" w:space="0"/>
              <w:right w:val="single" w:color="000000" w:sz="6" w:space="0"/>
            </w:tcBorders>
            <w:vAlign w:val="top"/>
          </w:tcPr>
          <w:p w14:paraId="57390F9A">
            <w:pPr>
              <w:rPr>
                <w:rFonts w:ascii="Arial"/>
                <w:sz w:val="21"/>
              </w:rPr>
            </w:pPr>
          </w:p>
        </w:tc>
      </w:tr>
    </w:tbl>
    <w:p w14:paraId="6162105C">
      <w:pPr>
        <w:pStyle w:val="2"/>
      </w:pPr>
    </w:p>
    <w:p w14:paraId="5B6A821B">
      <w:pPr>
        <w:sectPr>
          <w:footerReference r:id="rId68" w:type="default"/>
          <w:pgSz w:w="11906" w:h="16839"/>
          <w:pgMar w:top="400" w:right="1413" w:bottom="1329" w:left="1413" w:header="0" w:footer="1113" w:gutter="0"/>
          <w:cols w:space="720" w:num="1"/>
        </w:sectPr>
      </w:pPr>
    </w:p>
    <w:p w14:paraId="6E54F83A">
      <w:pPr>
        <w:spacing w:before="19"/>
      </w:pPr>
    </w:p>
    <w:p w14:paraId="5D59D061">
      <w:pPr>
        <w:spacing w:before="19"/>
      </w:pPr>
    </w:p>
    <w:p w14:paraId="0991284D">
      <w:pPr>
        <w:spacing w:before="19"/>
      </w:pPr>
    </w:p>
    <w:p w14:paraId="1E20B49E">
      <w:pPr>
        <w:spacing w:before="18"/>
      </w:pPr>
    </w:p>
    <w:p w14:paraId="1183CD5B">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383"/>
        <w:gridCol w:w="711"/>
        <w:gridCol w:w="542"/>
        <w:gridCol w:w="871"/>
        <w:gridCol w:w="1017"/>
        <w:gridCol w:w="1008"/>
        <w:gridCol w:w="1596"/>
        <w:gridCol w:w="871"/>
        <w:gridCol w:w="1017"/>
        <w:gridCol w:w="384"/>
        <w:gridCol w:w="123"/>
      </w:tblGrid>
      <w:tr w14:paraId="33B11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428" w:type="dxa"/>
            <w:vMerge w:val="restart"/>
            <w:tcBorders>
              <w:top w:val="single" w:color="000000" w:sz="6" w:space="0"/>
              <w:left w:val="single" w:color="000000" w:sz="6" w:space="0"/>
              <w:bottom w:val="nil"/>
            </w:tcBorders>
            <w:vAlign w:val="top"/>
          </w:tcPr>
          <w:p w14:paraId="0252DF6E">
            <w:pPr>
              <w:rPr>
                <w:rFonts w:ascii="Arial"/>
                <w:sz w:val="21"/>
              </w:rPr>
            </w:pPr>
          </w:p>
        </w:tc>
        <w:tc>
          <w:tcPr>
            <w:tcW w:w="8636" w:type="dxa"/>
            <w:gridSpan w:val="12"/>
            <w:tcBorders>
              <w:top w:val="single" w:color="000000" w:sz="6" w:space="0"/>
              <w:right w:val="single" w:color="000000" w:sz="6" w:space="0"/>
            </w:tcBorders>
            <w:vAlign w:val="top"/>
          </w:tcPr>
          <w:p w14:paraId="53B95168">
            <w:pPr>
              <w:spacing w:before="30" w:line="357" w:lineRule="auto"/>
              <w:ind w:left="105" w:right="43" w:firstLine="480"/>
              <w:rPr>
                <w:rFonts w:ascii="宋体" w:hAnsi="宋体" w:eastAsia="宋体" w:cs="宋体"/>
                <w:sz w:val="24"/>
                <w:szCs w:val="24"/>
              </w:rPr>
            </w:pPr>
            <w:r>
              <w:rPr>
                <w:rFonts w:ascii="宋体" w:hAnsi="宋体" w:eastAsia="宋体" w:cs="宋体"/>
                <w:spacing w:val="-5"/>
                <w:sz w:val="24"/>
                <w:szCs w:val="24"/>
              </w:rPr>
              <w:t>根据</w:t>
            </w:r>
            <w:r>
              <w:rPr>
                <w:rFonts w:ascii="宋体" w:hAnsi="宋体" w:eastAsia="宋体" w:cs="宋体"/>
                <w:spacing w:val="-66"/>
                <w:sz w:val="24"/>
                <w:szCs w:val="24"/>
              </w:rPr>
              <w:t xml:space="preserve"> </w:t>
            </w:r>
            <w:r>
              <w:rPr>
                <w:rFonts w:ascii="Times New Roman" w:hAnsi="Times New Roman" w:eastAsia="Times New Roman" w:cs="Times New Roman"/>
                <w:spacing w:val="-5"/>
                <w:sz w:val="24"/>
                <w:szCs w:val="24"/>
              </w:rPr>
              <w:t xml:space="preserve">2025 </w:t>
            </w:r>
            <w:r>
              <w:rPr>
                <w:rFonts w:ascii="宋体" w:hAnsi="宋体" w:eastAsia="宋体" w:cs="宋体"/>
                <w:spacing w:val="-5"/>
                <w:sz w:val="24"/>
                <w:szCs w:val="24"/>
              </w:rPr>
              <w:t>年昆明欧铂瑞木制品有限公司排污许可证自行检测报告（附件</w:t>
            </w:r>
            <w:r>
              <w:rPr>
                <w:rFonts w:ascii="宋体" w:hAnsi="宋体" w:eastAsia="宋体" w:cs="宋体"/>
                <w:spacing w:val="-44"/>
                <w:sz w:val="24"/>
                <w:szCs w:val="24"/>
              </w:rPr>
              <w:t xml:space="preserve"> </w:t>
            </w:r>
            <w:r>
              <w:rPr>
                <w:rFonts w:ascii="Times New Roman" w:hAnsi="Times New Roman" w:eastAsia="Times New Roman" w:cs="Times New Roman"/>
                <w:spacing w:val="-5"/>
                <w:sz w:val="24"/>
                <w:szCs w:val="24"/>
              </w:rPr>
              <w:t>10</w:t>
            </w:r>
            <w:r>
              <w:rPr>
                <w:rFonts w:ascii="宋体" w:hAnsi="宋体" w:eastAsia="宋体" w:cs="宋体"/>
                <w:spacing w:val="-54"/>
                <w:w w:val="86"/>
                <w:sz w:val="24"/>
                <w:szCs w:val="24"/>
              </w:rPr>
              <w:t>），</w:t>
            </w:r>
            <w:r>
              <w:rPr>
                <w:rFonts w:ascii="宋体" w:hAnsi="宋体" w:eastAsia="宋体" w:cs="宋体"/>
                <w:spacing w:val="-3"/>
                <w:sz w:val="24"/>
                <w:szCs w:val="24"/>
              </w:rPr>
              <w:t>验收监测数据详见表</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3"/>
                <w:sz w:val="24"/>
                <w:szCs w:val="24"/>
              </w:rPr>
              <w:t>12</w:t>
            </w:r>
            <w:r>
              <w:rPr>
                <w:rFonts w:ascii="宋体" w:hAnsi="宋体" w:eastAsia="宋体" w:cs="宋体"/>
                <w:spacing w:val="-3"/>
                <w:sz w:val="24"/>
                <w:szCs w:val="24"/>
              </w:rPr>
              <w:t>。</w:t>
            </w:r>
          </w:p>
          <w:p w14:paraId="2E8EC168">
            <w:pPr>
              <w:spacing w:line="216" w:lineRule="auto"/>
              <w:ind w:left="3255"/>
              <w:rPr>
                <w:rFonts w:ascii="宋体" w:hAnsi="宋体" w:eastAsia="宋体" w:cs="宋体"/>
                <w:sz w:val="20"/>
                <w:szCs w:val="20"/>
              </w:rPr>
            </w:pPr>
            <w:r>
              <w:rPr>
                <w:rFonts w:ascii="宋体" w:hAnsi="宋体" w:eastAsia="宋体" w:cs="宋体"/>
                <w:b/>
                <w:bCs/>
                <w:spacing w:val="4"/>
                <w:sz w:val="20"/>
                <w:szCs w:val="20"/>
              </w:rPr>
              <w:t>表</w:t>
            </w:r>
            <w:r>
              <w:rPr>
                <w:rFonts w:ascii="宋体" w:hAnsi="宋体" w:eastAsia="宋体" w:cs="宋体"/>
                <w:spacing w:val="-28"/>
                <w:sz w:val="20"/>
                <w:szCs w:val="20"/>
              </w:rPr>
              <w:t xml:space="preserve"> </w:t>
            </w:r>
            <w:r>
              <w:rPr>
                <w:rFonts w:ascii="Times New Roman" w:hAnsi="Times New Roman" w:eastAsia="Times New Roman" w:cs="Times New Roman"/>
                <w:b/>
                <w:bCs/>
                <w:spacing w:val="4"/>
                <w:sz w:val="20"/>
                <w:szCs w:val="20"/>
              </w:rPr>
              <w:t xml:space="preserve">2-12    </w:t>
            </w:r>
            <w:r>
              <w:rPr>
                <w:rFonts w:ascii="宋体" w:hAnsi="宋体" w:eastAsia="宋体" w:cs="宋体"/>
                <w:b/>
                <w:bCs/>
                <w:spacing w:val="4"/>
                <w:sz w:val="20"/>
                <w:szCs w:val="20"/>
              </w:rPr>
              <w:t>废气监测数据</w:t>
            </w:r>
          </w:p>
        </w:tc>
      </w:tr>
      <w:tr w14:paraId="628C7E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428" w:type="dxa"/>
            <w:vMerge w:val="continue"/>
            <w:tcBorders>
              <w:top w:val="nil"/>
              <w:left w:val="single" w:color="000000" w:sz="6" w:space="0"/>
              <w:bottom w:val="nil"/>
            </w:tcBorders>
            <w:vAlign w:val="top"/>
          </w:tcPr>
          <w:p w14:paraId="1A21A90C">
            <w:pPr>
              <w:rPr>
                <w:rFonts w:ascii="Arial"/>
                <w:sz w:val="21"/>
              </w:rPr>
            </w:pPr>
          </w:p>
        </w:tc>
        <w:tc>
          <w:tcPr>
            <w:tcW w:w="113" w:type="dxa"/>
            <w:tcBorders>
              <w:top w:val="nil"/>
              <w:bottom w:val="nil"/>
            </w:tcBorders>
            <w:vAlign w:val="top"/>
          </w:tcPr>
          <w:p w14:paraId="18DB76CF">
            <w:pPr>
              <w:rPr>
                <w:rFonts w:ascii="Arial"/>
                <w:sz w:val="21"/>
              </w:rPr>
            </w:pPr>
          </w:p>
        </w:tc>
        <w:tc>
          <w:tcPr>
            <w:tcW w:w="383" w:type="dxa"/>
            <w:vMerge w:val="restart"/>
            <w:tcBorders>
              <w:bottom w:val="nil"/>
            </w:tcBorders>
            <w:textDirection w:val="tbRlV"/>
            <w:vAlign w:val="top"/>
          </w:tcPr>
          <w:p w14:paraId="7AB362D2">
            <w:pPr>
              <w:spacing w:before="68" w:line="216" w:lineRule="auto"/>
              <w:ind w:left="854"/>
              <w:rPr>
                <w:rFonts w:ascii="宋体" w:hAnsi="宋体" w:eastAsia="宋体" w:cs="宋体"/>
                <w:sz w:val="20"/>
                <w:szCs w:val="20"/>
              </w:rPr>
            </w:pPr>
            <w:r>
              <w:rPr>
                <w:rFonts w:ascii="宋体" w:hAnsi="宋体" w:eastAsia="宋体" w:cs="宋体"/>
                <w:b/>
                <w:bCs/>
                <w:spacing w:val="6"/>
                <w:sz w:val="20"/>
                <w:szCs w:val="20"/>
              </w:rPr>
              <w:t>类</w:t>
            </w:r>
            <w:r>
              <w:rPr>
                <w:rFonts w:ascii="宋体" w:hAnsi="宋体" w:eastAsia="宋体" w:cs="宋体"/>
                <w:spacing w:val="99"/>
                <w:sz w:val="20"/>
                <w:szCs w:val="20"/>
              </w:rPr>
              <w:t xml:space="preserve"> </w:t>
            </w:r>
            <w:r>
              <w:rPr>
                <w:rFonts w:ascii="宋体" w:hAnsi="宋体" w:eastAsia="宋体" w:cs="宋体"/>
                <w:b/>
                <w:bCs/>
                <w:spacing w:val="6"/>
                <w:sz w:val="20"/>
                <w:szCs w:val="20"/>
              </w:rPr>
              <w:t>别</w:t>
            </w:r>
          </w:p>
        </w:tc>
        <w:tc>
          <w:tcPr>
            <w:tcW w:w="711" w:type="dxa"/>
            <w:vMerge w:val="restart"/>
            <w:tcBorders>
              <w:bottom w:val="nil"/>
            </w:tcBorders>
            <w:vAlign w:val="top"/>
          </w:tcPr>
          <w:p w14:paraId="4C51F748">
            <w:pPr>
              <w:spacing w:line="261" w:lineRule="auto"/>
              <w:rPr>
                <w:rFonts w:ascii="Arial"/>
                <w:sz w:val="21"/>
              </w:rPr>
            </w:pPr>
          </w:p>
          <w:p w14:paraId="47D70AD1">
            <w:pPr>
              <w:spacing w:line="261" w:lineRule="auto"/>
              <w:rPr>
                <w:rFonts w:ascii="Arial"/>
                <w:sz w:val="21"/>
              </w:rPr>
            </w:pPr>
          </w:p>
          <w:p w14:paraId="6F89665E">
            <w:pPr>
              <w:spacing w:line="261" w:lineRule="auto"/>
              <w:rPr>
                <w:rFonts w:ascii="Arial"/>
                <w:sz w:val="21"/>
              </w:rPr>
            </w:pPr>
          </w:p>
          <w:p w14:paraId="2555E7C9">
            <w:pPr>
              <w:spacing w:before="65" w:line="379" w:lineRule="auto"/>
              <w:ind w:left="154" w:right="149" w:hanging="9"/>
              <w:rPr>
                <w:rFonts w:ascii="宋体" w:hAnsi="宋体" w:eastAsia="宋体" w:cs="宋体"/>
                <w:sz w:val="20"/>
                <w:szCs w:val="20"/>
              </w:rPr>
            </w:pPr>
            <w:r>
              <w:rPr>
                <w:rFonts w:ascii="宋体" w:hAnsi="宋体" w:eastAsia="宋体" w:cs="宋体"/>
                <w:b/>
                <w:bCs/>
                <w:spacing w:val="3"/>
                <w:sz w:val="20"/>
                <w:szCs w:val="20"/>
              </w:rPr>
              <w:t>监测</w:t>
            </w:r>
            <w:r>
              <w:rPr>
                <w:rFonts w:ascii="宋体" w:hAnsi="宋体" w:eastAsia="宋体" w:cs="宋体"/>
                <w:b/>
                <w:bCs/>
                <w:spacing w:val="-2"/>
                <w:sz w:val="20"/>
                <w:szCs w:val="20"/>
              </w:rPr>
              <w:t>点位</w:t>
            </w:r>
          </w:p>
        </w:tc>
        <w:tc>
          <w:tcPr>
            <w:tcW w:w="542" w:type="dxa"/>
            <w:vMerge w:val="restart"/>
            <w:tcBorders>
              <w:bottom w:val="nil"/>
            </w:tcBorders>
            <w:textDirection w:val="tbRlV"/>
            <w:vAlign w:val="top"/>
          </w:tcPr>
          <w:p w14:paraId="348A77B1">
            <w:pPr>
              <w:spacing w:before="170" w:line="217" w:lineRule="auto"/>
              <w:ind w:left="242"/>
              <w:rPr>
                <w:rFonts w:ascii="宋体" w:hAnsi="宋体" w:eastAsia="宋体" w:cs="宋体"/>
                <w:sz w:val="20"/>
                <w:szCs w:val="20"/>
              </w:rPr>
            </w:pPr>
            <w:r>
              <w:rPr>
                <w:rFonts w:ascii="宋体" w:hAnsi="宋体" w:eastAsia="宋体" w:cs="宋体"/>
                <w:b/>
                <w:bCs/>
                <w:spacing w:val="6"/>
                <w:sz w:val="20"/>
                <w:szCs w:val="20"/>
              </w:rPr>
              <w:t>污</w:t>
            </w:r>
            <w:r>
              <w:rPr>
                <w:rFonts w:ascii="宋体" w:hAnsi="宋体" w:eastAsia="宋体" w:cs="宋体"/>
                <w:spacing w:val="101"/>
                <w:sz w:val="20"/>
                <w:szCs w:val="20"/>
              </w:rPr>
              <w:t xml:space="preserve"> </w:t>
            </w:r>
            <w:r>
              <w:rPr>
                <w:rFonts w:ascii="宋体" w:hAnsi="宋体" w:eastAsia="宋体" w:cs="宋体"/>
                <w:b/>
                <w:bCs/>
                <w:spacing w:val="6"/>
                <w:sz w:val="20"/>
                <w:szCs w:val="20"/>
              </w:rPr>
              <w:t>染</w:t>
            </w:r>
            <w:r>
              <w:rPr>
                <w:rFonts w:ascii="宋体" w:hAnsi="宋体" w:eastAsia="宋体" w:cs="宋体"/>
                <w:spacing w:val="1"/>
                <w:sz w:val="20"/>
                <w:szCs w:val="20"/>
              </w:rPr>
              <w:t xml:space="preserve">  </w:t>
            </w:r>
            <w:r>
              <w:rPr>
                <w:rFonts w:ascii="宋体" w:hAnsi="宋体" w:eastAsia="宋体" w:cs="宋体"/>
                <w:b/>
                <w:bCs/>
                <w:spacing w:val="6"/>
                <w:sz w:val="20"/>
                <w:szCs w:val="20"/>
              </w:rPr>
              <w:t>物</w:t>
            </w:r>
            <w:r>
              <w:rPr>
                <w:rFonts w:ascii="宋体" w:hAnsi="宋体" w:eastAsia="宋体" w:cs="宋体"/>
                <w:spacing w:val="99"/>
                <w:sz w:val="20"/>
                <w:szCs w:val="20"/>
              </w:rPr>
              <w:t xml:space="preserve"> </w:t>
            </w:r>
            <w:r>
              <w:rPr>
                <w:rFonts w:ascii="宋体" w:hAnsi="宋体" w:eastAsia="宋体" w:cs="宋体"/>
                <w:b/>
                <w:bCs/>
                <w:spacing w:val="6"/>
                <w:sz w:val="20"/>
                <w:szCs w:val="20"/>
              </w:rPr>
              <w:t>名</w:t>
            </w:r>
            <w:r>
              <w:rPr>
                <w:rFonts w:ascii="宋体" w:hAnsi="宋体" w:eastAsia="宋体" w:cs="宋体"/>
                <w:spacing w:val="99"/>
                <w:sz w:val="20"/>
                <w:szCs w:val="20"/>
              </w:rPr>
              <w:t xml:space="preserve"> </w:t>
            </w:r>
            <w:r>
              <w:rPr>
                <w:rFonts w:ascii="宋体" w:hAnsi="宋体" w:eastAsia="宋体" w:cs="宋体"/>
                <w:b/>
                <w:bCs/>
                <w:spacing w:val="6"/>
                <w:sz w:val="20"/>
                <w:szCs w:val="20"/>
              </w:rPr>
              <w:t>称</w:t>
            </w:r>
          </w:p>
        </w:tc>
        <w:tc>
          <w:tcPr>
            <w:tcW w:w="871" w:type="dxa"/>
            <w:vMerge w:val="restart"/>
            <w:tcBorders>
              <w:bottom w:val="nil"/>
            </w:tcBorders>
            <w:vAlign w:val="top"/>
          </w:tcPr>
          <w:p w14:paraId="6E9F2366">
            <w:pPr>
              <w:spacing w:line="378" w:lineRule="auto"/>
              <w:rPr>
                <w:rFonts w:ascii="Arial"/>
                <w:sz w:val="21"/>
              </w:rPr>
            </w:pPr>
          </w:p>
          <w:p w14:paraId="101295E8">
            <w:pPr>
              <w:spacing w:before="65" w:line="378" w:lineRule="auto"/>
              <w:ind w:left="332" w:right="122" w:hanging="212"/>
              <w:rPr>
                <w:rFonts w:ascii="宋体" w:hAnsi="宋体" w:eastAsia="宋体" w:cs="宋体"/>
                <w:sz w:val="20"/>
                <w:szCs w:val="20"/>
              </w:rPr>
            </w:pPr>
            <w:r>
              <w:rPr>
                <w:rFonts w:ascii="宋体" w:hAnsi="宋体" w:eastAsia="宋体" w:cs="宋体"/>
                <w:b/>
                <w:bCs/>
                <w:spacing w:val="5"/>
                <w:sz w:val="20"/>
                <w:szCs w:val="20"/>
              </w:rPr>
              <w:t>排放速</w:t>
            </w:r>
            <w:r>
              <w:rPr>
                <w:rFonts w:ascii="宋体" w:hAnsi="宋体" w:eastAsia="宋体" w:cs="宋体"/>
                <w:b/>
                <w:bCs/>
                <w:spacing w:val="-3"/>
                <w:sz w:val="20"/>
                <w:szCs w:val="20"/>
              </w:rPr>
              <w:t>率</w:t>
            </w:r>
          </w:p>
          <w:p w14:paraId="36AC2FB3">
            <w:pPr>
              <w:spacing w:line="221" w:lineRule="auto"/>
              <w:ind w:left="142"/>
              <w:rPr>
                <w:rFonts w:ascii="Times New Roman" w:hAnsi="Times New Roman" w:eastAsia="Times New Roman" w:cs="Times New Roman"/>
                <w:sz w:val="20"/>
                <w:szCs w:val="20"/>
              </w:rPr>
            </w:pPr>
            <w:r>
              <w:rPr>
                <w:rFonts w:ascii="宋体" w:hAnsi="宋体" w:eastAsia="宋体" w:cs="宋体"/>
                <w:b/>
                <w:bCs/>
                <w:spacing w:val="2"/>
                <w:sz w:val="20"/>
                <w:szCs w:val="20"/>
              </w:rPr>
              <w:t>（</w:t>
            </w:r>
            <w:r>
              <w:rPr>
                <w:rFonts w:ascii="Times New Roman" w:hAnsi="Times New Roman" w:eastAsia="Times New Roman" w:cs="Times New Roman"/>
                <w:b/>
                <w:bCs/>
                <w:sz w:val="20"/>
                <w:szCs w:val="20"/>
              </w:rPr>
              <w:t>kg</w:t>
            </w:r>
            <w:r>
              <w:rPr>
                <w:rFonts w:ascii="Times New Roman" w:hAnsi="Times New Roman" w:eastAsia="Times New Roman" w:cs="Times New Roman"/>
                <w:b/>
                <w:bCs/>
                <w:spacing w:val="2"/>
                <w:sz w:val="20"/>
                <w:szCs w:val="20"/>
              </w:rPr>
              <w:t>/h</w:t>
            </w:r>
          </w:p>
          <w:p w14:paraId="3E3CA648">
            <w:pPr>
              <w:spacing w:before="168" w:line="231" w:lineRule="auto"/>
              <w:ind w:left="353"/>
              <w:rPr>
                <w:rFonts w:ascii="宋体" w:hAnsi="宋体" w:eastAsia="宋体" w:cs="宋体"/>
                <w:sz w:val="20"/>
                <w:szCs w:val="20"/>
              </w:rPr>
            </w:pPr>
            <w:r>
              <w:rPr>
                <w:rFonts w:ascii="宋体" w:hAnsi="宋体" w:eastAsia="宋体" w:cs="宋体"/>
                <w:b/>
                <w:bCs/>
                <w:spacing w:val="-3"/>
                <w:sz w:val="20"/>
                <w:szCs w:val="20"/>
              </w:rPr>
              <w:t>)</w:t>
            </w:r>
          </w:p>
        </w:tc>
        <w:tc>
          <w:tcPr>
            <w:tcW w:w="1017" w:type="dxa"/>
            <w:vMerge w:val="restart"/>
            <w:tcBorders>
              <w:bottom w:val="nil"/>
            </w:tcBorders>
            <w:vAlign w:val="top"/>
          </w:tcPr>
          <w:p w14:paraId="256D4692">
            <w:pPr>
              <w:spacing w:line="378" w:lineRule="auto"/>
              <w:rPr>
                <w:rFonts w:ascii="Arial"/>
                <w:sz w:val="21"/>
              </w:rPr>
            </w:pPr>
          </w:p>
          <w:p w14:paraId="03111F8E">
            <w:pPr>
              <w:spacing w:before="65" w:line="229" w:lineRule="auto"/>
              <w:ind w:left="195"/>
              <w:rPr>
                <w:rFonts w:ascii="宋体" w:hAnsi="宋体" w:eastAsia="宋体" w:cs="宋体"/>
                <w:sz w:val="20"/>
                <w:szCs w:val="20"/>
              </w:rPr>
            </w:pPr>
            <w:r>
              <w:rPr>
                <w:rFonts w:ascii="宋体" w:hAnsi="宋体" w:eastAsia="宋体" w:cs="宋体"/>
                <w:b/>
                <w:bCs/>
                <w:spacing w:val="5"/>
                <w:sz w:val="20"/>
                <w:szCs w:val="20"/>
              </w:rPr>
              <w:t>排放浓</w:t>
            </w:r>
          </w:p>
          <w:p w14:paraId="2C1907A0">
            <w:pPr>
              <w:spacing w:before="160" w:line="228" w:lineRule="auto"/>
              <w:ind w:left="405"/>
              <w:rPr>
                <w:rFonts w:ascii="宋体" w:hAnsi="宋体" w:eastAsia="宋体" w:cs="宋体"/>
                <w:sz w:val="20"/>
                <w:szCs w:val="20"/>
              </w:rPr>
            </w:pPr>
            <w:r>
              <w:rPr>
                <w:rFonts w:ascii="宋体" w:hAnsi="宋体" w:eastAsia="宋体" w:cs="宋体"/>
                <w:b/>
                <w:bCs/>
                <w:spacing w:val="-1"/>
                <w:sz w:val="20"/>
                <w:szCs w:val="20"/>
              </w:rPr>
              <w:t>度</w:t>
            </w:r>
          </w:p>
          <w:p w14:paraId="5814D730">
            <w:pPr>
              <w:spacing w:before="163" w:line="221" w:lineRule="auto"/>
              <w:ind w:left="126"/>
              <w:rPr>
                <w:rFonts w:ascii="Times New Roman" w:hAnsi="Times New Roman" w:eastAsia="Times New Roman" w:cs="Times New Roman"/>
                <w:sz w:val="13"/>
                <w:szCs w:val="13"/>
              </w:rPr>
            </w:pPr>
            <w:r>
              <w:rPr>
                <w:rFonts w:ascii="宋体" w:hAnsi="宋体" w:eastAsia="宋体" w:cs="宋体"/>
                <w:b/>
                <w:bCs/>
                <w:spacing w:val="4"/>
                <w:sz w:val="20"/>
                <w:szCs w:val="20"/>
              </w:rPr>
              <w:t>（</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4"/>
                <w:sz w:val="20"/>
                <w:szCs w:val="20"/>
              </w:rPr>
              <w:t>/m</w:t>
            </w:r>
            <w:r>
              <w:rPr>
                <w:rFonts w:ascii="Times New Roman" w:hAnsi="Times New Roman" w:eastAsia="Times New Roman" w:cs="Times New Roman"/>
                <w:b/>
                <w:bCs/>
                <w:spacing w:val="4"/>
                <w:position w:val="6"/>
                <w:sz w:val="13"/>
                <w:szCs w:val="13"/>
              </w:rPr>
              <w:t>3</w:t>
            </w:r>
          </w:p>
          <w:p w14:paraId="33CF87DB">
            <w:pPr>
              <w:spacing w:before="168" w:line="231" w:lineRule="auto"/>
              <w:ind w:left="428"/>
              <w:rPr>
                <w:rFonts w:ascii="宋体" w:hAnsi="宋体" w:eastAsia="宋体" w:cs="宋体"/>
                <w:sz w:val="20"/>
                <w:szCs w:val="20"/>
              </w:rPr>
            </w:pPr>
            <w:r>
              <w:rPr>
                <w:rFonts w:ascii="宋体" w:hAnsi="宋体" w:eastAsia="宋体" w:cs="宋体"/>
                <w:b/>
                <w:bCs/>
                <w:spacing w:val="-3"/>
                <w:sz w:val="20"/>
                <w:szCs w:val="20"/>
              </w:rPr>
              <w:t>)</w:t>
            </w:r>
          </w:p>
        </w:tc>
        <w:tc>
          <w:tcPr>
            <w:tcW w:w="1008" w:type="dxa"/>
            <w:vMerge w:val="restart"/>
            <w:tcBorders>
              <w:bottom w:val="nil"/>
            </w:tcBorders>
            <w:vAlign w:val="top"/>
          </w:tcPr>
          <w:p w14:paraId="1F5B99E2">
            <w:pPr>
              <w:spacing w:line="290" w:lineRule="auto"/>
              <w:rPr>
                <w:rFonts w:ascii="Arial"/>
                <w:sz w:val="21"/>
              </w:rPr>
            </w:pPr>
          </w:p>
          <w:p w14:paraId="3C2A2CE1">
            <w:pPr>
              <w:spacing w:line="290" w:lineRule="auto"/>
              <w:rPr>
                <w:rFonts w:ascii="Arial"/>
                <w:sz w:val="21"/>
              </w:rPr>
            </w:pPr>
          </w:p>
          <w:p w14:paraId="0B8DCBCA">
            <w:pPr>
              <w:spacing w:before="65" w:line="378" w:lineRule="auto"/>
              <w:ind w:left="129" w:right="113" w:firstLine="63"/>
              <w:rPr>
                <w:rFonts w:ascii="Times New Roman" w:hAnsi="Times New Roman" w:eastAsia="Times New Roman" w:cs="Times New Roman"/>
                <w:sz w:val="20"/>
                <w:szCs w:val="20"/>
              </w:rPr>
            </w:pPr>
            <w:r>
              <w:rPr>
                <w:rFonts w:ascii="宋体" w:hAnsi="宋体" w:eastAsia="宋体" w:cs="宋体"/>
                <w:b/>
                <w:bCs/>
                <w:spacing w:val="5"/>
                <w:sz w:val="20"/>
                <w:szCs w:val="20"/>
              </w:rPr>
              <w:t>废气量</w:t>
            </w:r>
            <w:r>
              <w:rPr>
                <w:rFonts w:ascii="宋体" w:hAnsi="宋体" w:eastAsia="宋体" w:cs="宋体"/>
                <w:b/>
                <w:bCs/>
                <w:spacing w:val="3"/>
                <w:sz w:val="20"/>
                <w:szCs w:val="20"/>
              </w:rPr>
              <w:t>（</w:t>
            </w:r>
            <w:r>
              <w:rPr>
                <w:rFonts w:ascii="Times New Roman" w:hAnsi="Times New Roman" w:eastAsia="Times New Roman" w:cs="Times New Roman"/>
                <w:b/>
                <w:bCs/>
                <w:sz w:val="20"/>
                <w:szCs w:val="20"/>
              </w:rPr>
              <w:t>Nm</w:t>
            </w:r>
            <w:r>
              <w:rPr>
                <w:rFonts w:ascii="Times New Roman" w:hAnsi="Times New Roman" w:eastAsia="Times New Roman" w:cs="Times New Roman"/>
                <w:b/>
                <w:bCs/>
                <w:spacing w:val="3"/>
                <w:position w:val="6"/>
                <w:sz w:val="13"/>
                <w:szCs w:val="13"/>
              </w:rPr>
              <w:t>3</w:t>
            </w:r>
            <w:r>
              <w:rPr>
                <w:rFonts w:ascii="Times New Roman" w:hAnsi="Times New Roman" w:eastAsia="Times New Roman" w:cs="Times New Roman"/>
                <w:b/>
                <w:bCs/>
                <w:spacing w:val="3"/>
                <w:sz w:val="20"/>
                <w:szCs w:val="20"/>
              </w:rPr>
              <w:t>/h</w:t>
            </w:r>
          </w:p>
          <w:p w14:paraId="47244E72">
            <w:pPr>
              <w:spacing w:line="230" w:lineRule="auto"/>
              <w:ind w:left="426"/>
              <w:rPr>
                <w:rFonts w:ascii="宋体" w:hAnsi="宋体" w:eastAsia="宋体" w:cs="宋体"/>
                <w:sz w:val="20"/>
                <w:szCs w:val="20"/>
              </w:rPr>
            </w:pPr>
            <w:r>
              <w:rPr>
                <w:rFonts w:ascii="宋体" w:hAnsi="宋体" w:eastAsia="宋体" w:cs="宋体"/>
                <w:b/>
                <w:bCs/>
                <w:spacing w:val="-3"/>
                <w:sz w:val="20"/>
                <w:szCs w:val="20"/>
              </w:rPr>
              <w:t>)</w:t>
            </w:r>
          </w:p>
        </w:tc>
        <w:tc>
          <w:tcPr>
            <w:tcW w:w="3484" w:type="dxa"/>
            <w:gridSpan w:val="3"/>
            <w:vAlign w:val="top"/>
          </w:tcPr>
          <w:p w14:paraId="2553D40C">
            <w:pPr>
              <w:spacing w:before="32" w:line="228" w:lineRule="auto"/>
              <w:ind w:left="1328"/>
              <w:rPr>
                <w:rFonts w:ascii="宋体" w:hAnsi="宋体" w:eastAsia="宋体" w:cs="宋体"/>
                <w:sz w:val="20"/>
                <w:szCs w:val="20"/>
              </w:rPr>
            </w:pPr>
            <w:r>
              <w:rPr>
                <w:rFonts w:ascii="宋体" w:hAnsi="宋体" w:eastAsia="宋体" w:cs="宋体"/>
                <w:b/>
                <w:bCs/>
                <w:spacing w:val="6"/>
                <w:sz w:val="20"/>
                <w:szCs w:val="20"/>
              </w:rPr>
              <w:t>执行标准</w:t>
            </w:r>
          </w:p>
        </w:tc>
        <w:tc>
          <w:tcPr>
            <w:tcW w:w="384" w:type="dxa"/>
            <w:vMerge w:val="restart"/>
            <w:tcBorders>
              <w:bottom w:val="nil"/>
            </w:tcBorders>
            <w:textDirection w:val="tbRlV"/>
            <w:vAlign w:val="top"/>
          </w:tcPr>
          <w:p w14:paraId="0AA70080">
            <w:pPr>
              <w:spacing w:before="58" w:line="217" w:lineRule="auto"/>
              <w:ind w:left="650"/>
              <w:rPr>
                <w:rFonts w:ascii="宋体" w:hAnsi="宋体" w:eastAsia="宋体" w:cs="宋体"/>
                <w:sz w:val="20"/>
                <w:szCs w:val="20"/>
              </w:rPr>
            </w:pPr>
            <w:r>
              <w:rPr>
                <w:rFonts w:ascii="宋体" w:hAnsi="宋体" w:eastAsia="宋体" w:cs="宋体"/>
                <w:b/>
                <w:bCs/>
                <w:spacing w:val="6"/>
                <w:sz w:val="20"/>
                <w:szCs w:val="20"/>
              </w:rPr>
              <w:t>达</w:t>
            </w:r>
            <w:r>
              <w:rPr>
                <w:rFonts w:ascii="宋体" w:hAnsi="宋体" w:eastAsia="宋体" w:cs="宋体"/>
                <w:spacing w:val="100"/>
                <w:sz w:val="20"/>
                <w:szCs w:val="20"/>
              </w:rPr>
              <w:t xml:space="preserve"> </w:t>
            </w:r>
            <w:r>
              <w:rPr>
                <w:rFonts w:ascii="宋体" w:hAnsi="宋体" w:eastAsia="宋体" w:cs="宋体"/>
                <w:b/>
                <w:bCs/>
                <w:spacing w:val="6"/>
                <w:sz w:val="20"/>
                <w:szCs w:val="20"/>
              </w:rPr>
              <w:t>标</w:t>
            </w:r>
            <w:r>
              <w:rPr>
                <w:rFonts w:ascii="宋体" w:hAnsi="宋体" w:eastAsia="宋体" w:cs="宋体"/>
                <w:sz w:val="20"/>
                <w:szCs w:val="20"/>
              </w:rPr>
              <w:t xml:space="preserve">  </w:t>
            </w:r>
            <w:r>
              <w:rPr>
                <w:rFonts w:ascii="宋体" w:hAnsi="宋体" w:eastAsia="宋体" w:cs="宋体"/>
                <w:b/>
                <w:bCs/>
                <w:spacing w:val="6"/>
                <w:sz w:val="20"/>
                <w:szCs w:val="20"/>
              </w:rPr>
              <w:t>性</w:t>
            </w:r>
          </w:p>
        </w:tc>
        <w:tc>
          <w:tcPr>
            <w:tcW w:w="123" w:type="dxa"/>
            <w:tcBorders>
              <w:top w:val="nil"/>
              <w:bottom w:val="nil"/>
              <w:right w:val="single" w:color="000000" w:sz="6" w:space="0"/>
            </w:tcBorders>
            <w:vAlign w:val="top"/>
          </w:tcPr>
          <w:p w14:paraId="24332B7A">
            <w:pPr>
              <w:rPr>
                <w:rFonts w:ascii="Arial"/>
                <w:sz w:val="21"/>
              </w:rPr>
            </w:pPr>
          </w:p>
        </w:tc>
      </w:tr>
      <w:tr w14:paraId="1AFB5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4" w:hRule="atLeast"/>
        </w:trPr>
        <w:tc>
          <w:tcPr>
            <w:tcW w:w="428" w:type="dxa"/>
            <w:vMerge w:val="continue"/>
            <w:tcBorders>
              <w:top w:val="nil"/>
              <w:left w:val="single" w:color="000000" w:sz="6" w:space="0"/>
              <w:bottom w:val="nil"/>
            </w:tcBorders>
            <w:vAlign w:val="top"/>
          </w:tcPr>
          <w:p w14:paraId="663F4929">
            <w:pPr>
              <w:rPr>
                <w:rFonts w:ascii="Arial"/>
                <w:sz w:val="21"/>
              </w:rPr>
            </w:pPr>
          </w:p>
        </w:tc>
        <w:tc>
          <w:tcPr>
            <w:tcW w:w="113" w:type="dxa"/>
            <w:tcBorders>
              <w:top w:val="nil"/>
              <w:bottom w:val="nil"/>
            </w:tcBorders>
            <w:vAlign w:val="top"/>
          </w:tcPr>
          <w:p w14:paraId="6F6F7C2D">
            <w:pPr>
              <w:rPr>
                <w:rFonts w:ascii="Arial"/>
                <w:sz w:val="21"/>
              </w:rPr>
            </w:pPr>
          </w:p>
        </w:tc>
        <w:tc>
          <w:tcPr>
            <w:tcW w:w="383" w:type="dxa"/>
            <w:vMerge w:val="continue"/>
            <w:tcBorders>
              <w:top w:val="nil"/>
            </w:tcBorders>
            <w:textDirection w:val="tbRlV"/>
            <w:vAlign w:val="top"/>
          </w:tcPr>
          <w:p w14:paraId="620EA4B7">
            <w:pPr>
              <w:rPr>
                <w:rFonts w:ascii="Arial"/>
                <w:sz w:val="21"/>
              </w:rPr>
            </w:pPr>
          </w:p>
        </w:tc>
        <w:tc>
          <w:tcPr>
            <w:tcW w:w="711" w:type="dxa"/>
            <w:vMerge w:val="continue"/>
            <w:tcBorders>
              <w:top w:val="nil"/>
            </w:tcBorders>
            <w:vAlign w:val="top"/>
          </w:tcPr>
          <w:p w14:paraId="7A65FB23">
            <w:pPr>
              <w:rPr>
                <w:rFonts w:ascii="Arial"/>
                <w:sz w:val="21"/>
              </w:rPr>
            </w:pPr>
          </w:p>
        </w:tc>
        <w:tc>
          <w:tcPr>
            <w:tcW w:w="542" w:type="dxa"/>
            <w:vMerge w:val="continue"/>
            <w:tcBorders>
              <w:top w:val="nil"/>
            </w:tcBorders>
            <w:textDirection w:val="tbRlV"/>
            <w:vAlign w:val="top"/>
          </w:tcPr>
          <w:p w14:paraId="0F246697">
            <w:pPr>
              <w:rPr>
                <w:rFonts w:ascii="Arial"/>
                <w:sz w:val="21"/>
              </w:rPr>
            </w:pPr>
          </w:p>
        </w:tc>
        <w:tc>
          <w:tcPr>
            <w:tcW w:w="871" w:type="dxa"/>
            <w:vMerge w:val="continue"/>
            <w:tcBorders>
              <w:top w:val="nil"/>
            </w:tcBorders>
            <w:vAlign w:val="top"/>
          </w:tcPr>
          <w:p w14:paraId="09CA6CC8">
            <w:pPr>
              <w:rPr>
                <w:rFonts w:ascii="Arial"/>
                <w:sz w:val="21"/>
              </w:rPr>
            </w:pPr>
          </w:p>
        </w:tc>
        <w:tc>
          <w:tcPr>
            <w:tcW w:w="1017" w:type="dxa"/>
            <w:vMerge w:val="continue"/>
            <w:tcBorders>
              <w:top w:val="nil"/>
            </w:tcBorders>
            <w:vAlign w:val="top"/>
          </w:tcPr>
          <w:p w14:paraId="3C0910B6">
            <w:pPr>
              <w:rPr>
                <w:rFonts w:ascii="Arial"/>
                <w:sz w:val="21"/>
              </w:rPr>
            </w:pPr>
          </w:p>
        </w:tc>
        <w:tc>
          <w:tcPr>
            <w:tcW w:w="1008" w:type="dxa"/>
            <w:vMerge w:val="continue"/>
            <w:tcBorders>
              <w:top w:val="nil"/>
            </w:tcBorders>
            <w:vAlign w:val="top"/>
          </w:tcPr>
          <w:p w14:paraId="7E0C739A">
            <w:pPr>
              <w:rPr>
                <w:rFonts w:ascii="Arial"/>
                <w:sz w:val="21"/>
              </w:rPr>
            </w:pPr>
          </w:p>
        </w:tc>
        <w:tc>
          <w:tcPr>
            <w:tcW w:w="1596" w:type="dxa"/>
            <w:vAlign w:val="top"/>
          </w:tcPr>
          <w:p w14:paraId="4C6EC54D">
            <w:pPr>
              <w:spacing w:line="268" w:lineRule="auto"/>
              <w:rPr>
                <w:rFonts w:ascii="Arial"/>
                <w:sz w:val="21"/>
              </w:rPr>
            </w:pPr>
          </w:p>
          <w:p w14:paraId="689AC3BA">
            <w:pPr>
              <w:spacing w:line="269" w:lineRule="auto"/>
              <w:rPr>
                <w:rFonts w:ascii="Arial"/>
                <w:sz w:val="21"/>
              </w:rPr>
            </w:pPr>
          </w:p>
          <w:p w14:paraId="45B76091">
            <w:pPr>
              <w:spacing w:line="269" w:lineRule="auto"/>
              <w:rPr>
                <w:rFonts w:ascii="Arial"/>
                <w:sz w:val="21"/>
              </w:rPr>
            </w:pPr>
          </w:p>
          <w:p w14:paraId="3911C8CC">
            <w:pPr>
              <w:spacing w:before="65" w:line="230" w:lineRule="auto"/>
              <w:ind w:left="596"/>
              <w:rPr>
                <w:rFonts w:ascii="宋体" w:hAnsi="宋体" w:eastAsia="宋体" w:cs="宋体"/>
                <w:sz w:val="20"/>
                <w:szCs w:val="20"/>
              </w:rPr>
            </w:pPr>
            <w:r>
              <w:rPr>
                <w:rFonts w:ascii="宋体" w:hAnsi="宋体" w:eastAsia="宋体" w:cs="宋体"/>
                <w:b/>
                <w:bCs/>
                <w:spacing w:val="2"/>
                <w:sz w:val="20"/>
                <w:szCs w:val="20"/>
              </w:rPr>
              <w:t>名称</w:t>
            </w:r>
          </w:p>
        </w:tc>
        <w:tc>
          <w:tcPr>
            <w:tcW w:w="871" w:type="dxa"/>
            <w:vAlign w:val="top"/>
          </w:tcPr>
          <w:p w14:paraId="0426EB3E">
            <w:pPr>
              <w:spacing w:before="60" w:line="229" w:lineRule="auto"/>
              <w:ind w:left="128"/>
              <w:rPr>
                <w:rFonts w:ascii="宋体" w:hAnsi="宋体" w:eastAsia="宋体" w:cs="宋体"/>
                <w:sz w:val="20"/>
                <w:szCs w:val="20"/>
              </w:rPr>
            </w:pPr>
            <w:r>
              <w:rPr>
                <w:rFonts w:ascii="宋体" w:hAnsi="宋体" w:eastAsia="宋体" w:cs="宋体"/>
                <w:b/>
                <w:bCs/>
                <w:spacing w:val="5"/>
                <w:sz w:val="20"/>
                <w:szCs w:val="20"/>
              </w:rPr>
              <w:t>排放速</w:t>
            </w:r>
          </w:p>
          <w:p w14:paraId="0C4F5934">
            <w:pPr>
              <w:spacing w:before="159" w:line="228" w:lineRule="auto"/>
              <w:ind w:left="130"/>
              <w:rPr>
                <w:rFonts w:ascii="宋体" w:hAnsi="宋体" w:eastAsia="宋体" w:cs="宋体"/>
                <w:sz w:val="20"/>
                <w:szCs w:val="20"/>
              </w:rPr>
            </w:pPr>
            <w:r>
              <w:rPr>
                <w:rFonts w:ascii="宋体" w:hAnsi="宋体" w:eastAsia="宋体" w:cs="宋体"/>
                <w:b/>
                <w:bCs/>
                <w:spacing w:val="5"/>
                <w:sz w:val="20"/>
                <w:szCs w:val="20"/>
              </w:rPr>
              <w:t>率标准</w:t>
            </w:r>
          </w:p>
          <w:p w14:paraId="08936C49">
            <w:pPr>
              <w:spacing w:before="163" w:line="228" w:lineRule="auto"/>
              <w:ind w:left="339"/>
              <w:rPr>
                <w:rFonts w:ascii="宋体" w:hAnsi="宋体" w:eastAsia="宋体" w:cs="宋体"/>
                <w:sz w:val="20"/>
                <w:szCs w:val="20"/>
              </w:rPr>
            </w:pPr>
            <w:r>
              <w:rPr>
                <w:rFonts w:ascii="宋体" w:hAnsi="宋体" w:eastAsia="宋体" w:cs="宋体"/>
                <w:b/>
                <w:bCs/>
                <w:spacing w:val="-2"/>
                <w:sz w:val="20"/>
                <w:szCs w:val="20"/>
              </w:rPr>
              <w:t>值</w:t>
            </w:r>
          </w:p>
          <w:p w14:paraId="72AA49FF">
            <w:pPr>
              <w:spacing w:before="161" w:line="221" w:lineRule="auto"/>
              <w:ind w:left="150"/>
              <w:rPr>
                <w:rFonts w:ascii="Times New Roman" w:hAnsi="Times New Roman" w:eastAsia="Times New Roman" w:cs="Times New Roman"/>
                <w:sz w:val="20"/>
                <w:szCs w:val="20"/>
              </w:rPr>
            </w:pPr>
            <w:r>
              <w:rPr>
                <w:rFonts w:ascii="宋体" w:hAnsi="宋体" w:eastAsia="宋体" w:cs="宋体"/>
                <w:b/>
                <w:bCs/>
                <w:spacing w:val="2"/>
                <w:sz w:val="20"/>
                <w:szCs w:val="20"/>
              </w:rPr>
              <w:t>（</w:t>
            </w:r>
            <w:r>
              <w:rPr>
                <w:rFonts w:ascii="Times New Roman" w:hAnsi="Times New Roman" w:eastAsia="Times New Roman" w:cs="Times New Roman"/>
                <w:b/>
                <w:bCs/>
                <w:sz w:val="20"/>
                <w:szCs w:val="20"/>
              </w:rPr>
              <w:t>kg</w:t>
            </w:r>
            <w:r>
              <w:rPr>
                <w:rFonts w:ascii="Times New Roman" w:hAnsi="Times New Roman" w:eastAsia="Times New Roman" w:cs="Times New Roman"/>
                <w:b/>
                <w:bCs/>
                <w:spacing w:val="2"/>
                <w:sz w:val="20"/>
                <w:szCs w:val="20"/>
              </w:rPr>
              <w:t>/h</w:t>
            </w:r>
          </w:p>
          <w:p w14:paraId="3A9D46BD">
            <w:pPr>
              <w:spacing w:before="168" w:line="231" w:lineRule="auto"/>
              <w:ind w:left="361"/>
              <w:rPr>
                <w:rFonts w:ascii="宋体" w:hAnsi="宋体" w:eastAsia="宋体" w:cs="宋体"/>
                <w:sz w:val="20"/>
                <w:szCs w:val="20"/>
              </w:rPr>
            </w:pPr>
            <w:r>
              <w:rPr>
                <w:rFonts w:ascii="宋体" w:hAnsi="宋体" w:eastAsia="宋体" w:cs="宋体"/>
                <w:b/>
                <w:bCs/>
                <w:spacing w:val="-3"/>
                <w:sz w:val="20"/>
                <w:szCs w:val="20"/>
              </w:rPr>
              <w:t>)</w:t>
            </w:r>
          </w:p>
        </w:tc>
        <w:tc>
          <w:tcPr>
            <w:tcW w:w="1017" w:type="dxa"/>
            <w:vAlign w:val="top"/>
          </w:tcPr>
          <w:p w14:paraId="581036ED">
            <w:pPr>
              <w:spacing w:before="60" w:line="229" w:lineRule="auto"/>
              <w:ind w:left="203"/>
              <w:rPr>
                <w:rFonts w:ascii="宋体" w:hAnsi="宋体" w:eastAsia="宋体" w:cs="宋体"/>
                <w:sz w:val="20"/>
                <w:szCs w:val="20"/>
              </w:rPr>
            </w:pPr>
            <w:r>
              <w:rPr>
                <w:rFonts w:ascii="宋体" w:hAnsi="宋体" w:eastAsia="宋体" w:cs="宋体"/>
                <w:b/>
                <w:bCs/>
                <w:spacing w:val="5"/>
                <w:sz w:val="20"/>
                <w:szCs w:val="20"/>
              </w:rPr>
              <w:t>排放浓</w:t>
            </w:r>
          </w:p>
          <w:p w14:paraId="4651294F">
            <w:pPr>
              <w:spacing w:before="160" w:line="228" w:lineRule="auto"/>
              <w:ind w:left="202"/>
              <w:rPr>
                <w:rFonts w:ascii="宋体" w:hAnsi="宋体" w:eastAsia="宋体" w:cs="宋体"/>
                <w:sz w:val="20"/>
                <w:szCs w:val="20"/>
              </w:rPr>
            </w:pPr>
            <w:r>
              <w:rPr>
                <w:rFonts w:ascii="宋体" w:hAnsi="宋体" w:eastAsia="宋体" w:cs="宋体"/>
                <w:b/>
                <w:bCs/>
                <w:spacing w:val="5"/>
                <w:sz w:val="20"/>
                <w:szCs w:val="20"/>
              </w:rPr>
              <w:t>度标准</w:t>
            </w:r>
          </w:p>
          <w:p w14:paraId="61350BAD">
            <w:pPr>
              <w:spacing w:before="162" w:line="228" w:lineRule="auto"/>
              <w:ind w:left="414"/>
              <w:rPr>
                <w:rFonts w:ascii="宋体" w:hAnsi="宋体" w:eastAsia="宋体" w:cs="宋体"/>
                <w:sz w:val="20"/>
                <w:szCs w:val="20"/>
              </w:rPr>
            </w:pPr>
            <w:r>
              <w:rPr>
                <w:rFonts w:ascii="宋体" w:hAnsi="宋体" w:eastAsia="宋体" w:cs="宋体"/>
                <w:b/>
                <w:bCs/>
                <w:spacing w:val="-2"/>
                <w:sz w:val="20"/>
                <w:szCs w:val="20"/>
              </w:rPr>
              <w:t>值</w:t>
            </w:r>
          </w:p>
          <w:p w14:paraId="368038FB">
            <w:pPr>
              <w:spacing w:before="161" w:line="221" w:lineRule="auto"/>
              <w:ind w:left="134"/>
              <w:rPr>
                <w:rFonts w:ascii="Times New Roman" w:hAnsi="Times New Roman" w:eastAsia="Times New Roman" w:cs="Times New Roman"/>
                <w:sz w:val="13"/>
                <w:szCs w:val="13"/>
              </w:rPr>
            </w:pPr>
            <w:r>
              <w:rPr>
                <w:rFonts w:ascii="宋体" w:hAnsi="宋体" w:eastAsia="宋体" w:cs="宋体"/>
                <w:b/>
                <w:bCs/>
                <w:spacing w:val="4"/>
                <w:sz w:val="20"/>
                <w:szCs w:val="20"/>
              </w:rPr>
              <w:t>（</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4"/>
                <w:sz w:val="20"/>
                <w:szCs w:val="20"/>
              </w:rPr>
              <w:t>/m</w:t>
            </w:r>
            <w:r>
              <w:rPr>
                <w:rFonts w:ascii="Times New Roman" w:hAnsi="Times New Roman" w:eastAsia="Times New Roman" w:cs="Times New Roman"/>
                <w:b/>
                <w:bCs/>
                <w:spacing w:val="4"/>
                <w:position w:val="6"/>
                <w:sz w:val="13"/>
                <w:szCs w:val="13"/>
              </w:rPr>
              <w:t>3</w:t>
            </w:r>
          </w:p>
          <w:p w14:paraId="750948ED">
            <w:pPr>
              <w:spacing w:before="168" w:line="231" w:lineRule="auto"/>
              <w:ind w:left="436"/>
              <w:rPr>
                <w:rFonts w:ascii="宋体" w:hAnsi="宋体" w:eastAsia="宋体" w:cs="宋体"/>
                <w:sz w:val="20"/>
                <w:szCs w:val="20"/>
              </w:rPr>
            </w:pPr>
            <w:r>
              <w:rPr>
                <w:rFonts w:ascii="宋体" w:hAnsi="宋体" w:eastAsia="宋体" w:cs="宋体"/>
                <w:b/>
                <w:bCs/>
                <w:spacing w:val="-3"/>
                <w:sz w:val="20"/>
                <w:szCs w:val="20"/>
              </w:rPr>
              <w:t>)</w:t>
            </w:r>
          </w:p>
        </w:tc>
        <w:tc>
          <w:tcPr>
            <w:tcW w:w="384" w:type="dxa"/>
            <w:vMerge w:val="continue"/>
            <w:tcBorders>
              <w:top w:val="nil"/>
            </w:tcBorders>
            <w:textDirection w:val="tbRlV"/>
            <w:vAlign w:val="top"/>
          </w:tcPr>
          <w:p w14:paraId="7ABA74F3">
            <w:pPr>
              <w:rPr>
                <w:rFonts w:ascii="Arial"/>
                <w:sz w:val="21"/>
              </w:rPr>
            </w:pPr>
          </w:p>
        </w:tc>
        <w:tc>
          <w:tcPr>
            <w:tcW w:w="123" w:type="dxa"/>
            <w:tcBorders>
              <w:top w:val="nil"/>
              <w:bottom w:val="nil"/>
              <w:right w:val="single" w:color="000000" w:sz="6" w:space="0"/>
            </w:tcBorders>
            <w:vAlign w:val="top"/>
          </w:tcPr>
          <w:p w14:paraId="420B30F3">
            <w:pPr>
              <w:rPr>
                <w:rFonts w:ascii="Arial"/>
                <w:sz w:val="21"/>
              </w:rPr>
            </w:pPr>
          </w:p>
        </w:tc>
      </w:tr>
      <w:tr w14:paraId="6C22A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trPr>
        <w:tc>
          <w:tcPr>
            <w:tcW w:w="428" w:type="dxa"/>
            <w:vMerge w:val="continue"/>
            <w:tcBorders>
              <w:top w:val="nil"/>
              <w:left w:val="single" w:color="000000" w:sz="6" w:space="0"/>
              <w:bottom w:val="nil"/>
            </w:tcBorders>
            <w:vAlign w:val="top"/>
          </w:tcPr>
          <w:p w14:paraId="637F1B8E">
            <w:pPr>
              <w:rPr>
                <w:rFonts w:ascii="Arial"/>
                <w:sz w:val="21"/>
              </w:rPr>
            </w:pPr>
          </w:p>
        </w:tc>
        <w:tc>
          <w:tcPr>
            <w:tcW w:w="113" w:type="dxa"/>
            <w:tcBorders>
              <w:top w:val="nil"/>
              <w:bottom w:val="nil"/>
            </w:tcBorders>
            <w:vAlign w:val="top"/>
          </w:tcPr>
          <w:p w14:paraId="6365CDA4">
            <w:pPr>
              <w:rPr>
                <w:rFonts w:ascii="Arial"/>
                <w:sz w:val="21"/>
              </w:rPr>
            </w:pPr>
          </w:p>
        </w:tc>
        <w:tc>
          <w:tcPr>
            <w:tcW w:w="383" w:type="dxa"/>
            <w:vMerge w:val="restart"/>
            <w:tcBorders>
              <w:bottom w:val="nil"/>
            </w:tcBorders>
            <w:textDirection w:val="tbRlV"/>
            <w:vAlign w:val="top"/>
          </w:tcPr>
          <w:p w14:paraId="37847CA2">
            <w:pPr>
              <w:spacing w:before="68" w:line="216" w:lineRule="auto"/>
              <w:ind w:left="4154"/>
              <w:rPr>
                <w:rFonts w:ascii="宋体" w:hAnsi="宋体" w:eastAsia="宋体" w:cs="宋体"/>
                <w:sz w:val="20"/>
                <w:szCs w:val="20"/>
              </w:rPr>
            </w:pPr>
            <w:r>
              <w:rPr>
                <w:rFonts w:ascii="宋体" w:hAnsi="宋体" w:eastAsia="宋体" w:cs="宋体"/>
                <w:spacing w:val="8"/>
                <w:sz w:val="20"/>
                <w:szCs w:val="20"/>
              </w:rPr>
              <w:t>有</w:t>
            </w:r>
            <w:r>
              <w:rPr>
                <w:rFonts w:ascii="宋体" w:hAnsi="宋体" w:eastAsia="宋体" w:cs="宋体"/>
                <w:spacing w:val="100"/>
                <w:sz w:val="20"/>
                <w:szCs w:val="20"/>
              </w:rPr>
              <w:t xml:space="preserve"> </w:t>
            </w:r>
            <w:r>
              <w:rPr>
                <w:rFonts w:ascii="宋体" w:hAnsi="宋体" w:eastAsia="宋体" w:cs="宋体"/>
                <w:spacing w:val="8"/>
                <w:sz w:val="20"/>
                <w:szCs w:val="20"/>
              </w:rPr>
              <w:t>组</w:t>
            </w:r>
            <w:r>
              <w:rPr>
                <w:rFonts w:ascii="宋体" w:hAnsi="宋体" w:eastAsia="宋体" w:cs="宋体"/>
                <w:spacing w:val="99"/>
                <w:sz w:val="20"/>
                <w:szCs w:val="20"/>
              </w:rPr>
              <w:t xml:space="preserve"> </w:t>
            </w:r>
            <w:r>
              <w:rPr>
                <w:rFonts w:ascii="宋体" w:hAnsi="宋体" w:eastAsia="宋体" w:cs="宋体"/>
                <w:spacing w:val="8"/>
                <w:sz w:val="20"/>
                <w:szCs w:val="20"/>
              </w:rPr>
              <w:t>织</w:t>
            </w:r>
          </w:p>
        </w:tc>
        <w:tc>
          <w:tcPr>
            <w:tcW w:w="711" w:type="dxa"/>
            <w:vAlign w:val="top"/>
          </w:tcPr>
          <w:p w14:paraId="1C824C4F">
            <w:pPr>
              <w:spacing w:line="248" w:lineRule="auto"/>
              <w:rPr>
                <w:rFonts w:ascii="Arial"/>
                <w:sz w:val="21"/>
              </w:rPr>
            </w:pPr>
          </w:p>
          <w:p w14:paraId="2061A643">
            <w:pPr>
              <w:spacing w:before="57" w:line="195" w:lineRule="auto"/>
              <w:ind w:left="147"/>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14"/>
                <w:sz w:val="20"/>
                <w:szCs w:val="20"/>
              </w:rPr>
              <w:t>0</w:t>
            </w:r>
          </w:p>
          <w:p w14:paraId="2403C36D">
            <w:pPr>
              <w:spacing w:before="173" w:line="195" w:lineRule="auto"/>
              <w:ind w:left="24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01</w:t>
            </w:r>
          </w:p>
        </w:tc>
        <w:tc>
          <w:tcPr>
            <w:tcW w:w="542" w:type="dxa"/>
            <w:textDirection w:val="tbRlV"/>
            <w:vAlign w:val="top"/>
          </w:tcPr>
          <w:p w14:paraId="4577AA06">
            <w:pPr>
              <w:spacing w:before="170" w:line="217" w:lineRule="auto"/>
              <w:ind w:left="36"/>
              <w:rPr>
                <w:rFonts w:ascii="宋体" w:hAnsi="宋体" w:eastAsia="宋体" w:cs="宋体"/>
                <w:sz w:val="20"/>
                <w:szCs w:val="20"/>
              </w:rPr>
            </w:pPr>
            <w:r>
              <w:rPr>
                <w:rFonts w:ascii="宋体" w:hAnsi="宋体" w:eastAsia="宋体" w:cs="宋体"/>
                <w:spacing w:val="8"/>
                <w:sz w:val="20"/>
                <w:szCs w:val="20"/>
              </w:rPr>
              <w:t>颗</w:t>
            </w:r>
            <w:r>
              <w:rPr>
                <w:rFonts w:ascii="宋体" w:hAnsi="宋体" w:eastAsia="宋体" w:cs="宋体"/>
                <w:spacing w:val="100"/>
                <w:sz w:val="20"/>
                <w:szCs w:val="20"/>
              </w:rPr>
              <w:t xml:space="preserve"> </w:t>
            </w:r>
            <w:r>
              <w:rPr>
                <w:rFonts w:ascii="宋体" w:hAnsi="宋体" w:eastAsia="宋体" w:cs="宋体"/>
                <w:spacing w:val="8"/>
                <w:sz w:val="20"/>
                <w:szCs w:val="20"/>
              </w:rPr>
              <w:t>粒</w:t>
            </w:r>
            <w:r>
              <w:rPr>
                <w:rFonts w:ascii="宋体" w:hAnsi="宋体" w:eastAsia="宋体" w:cs="宋体"/>
                <w:spacing w:val="99"/>
                <w:sz w:val="20"/>
                <w:szCs w:val="20"/>
              </w:rPr>
              <w:t xml:space="preserve"> </w:t>
            </w:r>
            <w:r>
              <w:rPr>
                <w:rFonts w:ascii="宋体" w:hAnsi="宋体" w:eastAsia="宋体" w:cs="宋体"/>
                <w:spacing w:val="8"/>
                <w:sz w:val="20"/>
                <w:szCs w:val="20"/>
              </w:rPr>
              <w:t>物</w:t>
            </w:r>
          </w:p>
        </w:tc>
        <w:tc>
          <w:tcPr>
            <w:tcW w:w="871" w:type="dxa"/>
            <w:vAlign w:val="top"/>
          </w:tcPr>
          <w:p w14:paraId="60E0DFBA">
            <w:pPr>
              <w:spacing w:line="427" w:lineRule="auto"/>
              <w:rPr>
                <w:rFonts w:ascii="Arial"/>
                <w:sz w:val="21"/>
              </w:rPr>
            </w:pPr>
          </w:p>
          <w:p w14:paraId="4C2A33D8">
            <w:pPr>
              <w:spacing w:before="57" w:line="195"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0.084</w:t>
            </w:r>
          </w:p>
        </w:tc>
        <w:tc>
          <w:tcPr>
            <w:tcW w:w="1017" w:type="dxa"/>
            <w:vAlign w:val="top"/>
          </w:tcPr>
          <w:p w14:paraId="4E0C7E61">
            <w:pPr>
              <w:spacing w:line="427" w:lineRule="auto"/>
              <w:rPr>
                <w:rFonts w:ascii="Arial"/>
                <w:sz w:val="21"/>
              </w:rPr>
            </w:pPr>
          </w:p>
          <w:p w14:paraId="498F3070">
            <w:pPr>
              <w:spacing w:before="57" w:line="195"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6.15</w:t>
            </w:r>
          </w:p>
        </w:tc>
        <w:tc>
          <w:tcPr>
            <w:tcW w:w="1008" w:type="dxa"/>
            <w:vAlign w:val="top"/>
          </w:tcPr>
          <w:p w14:paraId="08E13767">
            <w:pPr>
              <w:spacing w:line="427" w:lineRule="auto"/>
              <w:rPr>
                <w:rFonts w:ascii="Arial"/>
                <w:sz w:val="21"/>
              </w:rPr>
            </w:pPr>
          </w:p>
          <w:p w14:paraId="56F8A1A7">
            <w:pPr>
              <w:spacing w:before="57" w:line="195" w:lineRule="auto"/>
              <w:ind w:left="262"/>
              <w:rPr>
                <w:rFonts w:ascii="Times New Roman" w:hAnsi="Times New Roman" w:eastAsia="Times New Roman" w:cs="Times New Roman"/>
                <w:sz w:val="20"/>
                <w:szCs w:val="20"/>
              </w:rPr>
            </w:pPr>
            <w:r>
              <w:rPr>
                <w:rFonts w:ascii="Times New Roman" w:hAnsi="Times New Roman" w:eastAsia="Times New Roman" w:cs="Times New Roman"/>
                <w:sz w:val="20"/>
                <w:szCs w:val="20"/>
              </w:rPr>
              <w:t>13745</w:t>
            </w:r>
          </w:p>
        </w:tc>
        <w:tc>
          <w:tcPr>
            <w:tcW w:w="1596" w:type="dxa"/>
            <w:vMerge w:val="restart"/>
            <w:tcBorders>
              <w:bottom w:val="nil"/>
            </w:tcBorders>
            <w:vAlign w:val="top"/>
          </w:tcPr>
          <w:p w14:paraId="6A3D3FF6">
            <w:pPr>
              <w:spacing w:line="249" w:lineRule="auto"/>
              <w:rPr>
                <w:rFonts w:ascii="Arial"/>
                <w:sz w:val="21"/>
              </w:rPr>
            </w:pPr>
          </w:p>
          <w:p w14:paraId="2B9045C7">
            <w:pPr>
              <w:spacing w:line="249" w:lineRule="auto"/>
              <w:rPr>
                <w:rFonts w:ascii="Arial"/>
                <w:sz w:val="21"/>
              </w:rPr>
            </w:pPr>
          </w:p>
          <w:p w14:paraId="14570E75">
            <w:pPr>
              <w:spacing w:line="249" w:lineRule="auto"/>
              <w:rPr>
                <w:rFonts w:ascii="Arial"/>
                <w:sz w:val="21"/>
              </w:rPr>
            </w:pPr>
          </w:p>
          <w:p w14:paraId="0AF320F1">
            <w:pPr>
              <w:spacing w:line="249" w:lineRule="auto"/>
              <w:rPr>
                <w:rFonts w:ascii="Arial"/>
                <w:sz w:val="21"/>
              </w:rPr>
            </w:pPr>
          </w:p>
          <w:p w14:paraId="07FDEB82">
            <w:pPr>
              <w:spacing w:line="250" w:lineRule="auto"/>
              <w:rPr>
                <w:rFonts w:ascii="Arial"/>
                <w:sz w:val="21"/>
              </w:rPr>
            </w:pPr>
          </w:p>
          <w:p w14:paraId="08D64BD7">
            <w:pPr>
              <w:spacing w:line="250" w:lineRule="auto"/>
              <w:rPr>
                <w:rFonts w:ascii="Arial"/>
                <w:sz w:val="21"/>
              </w:rPr>
            </w:pPr>
          </w:p>
          <w:p w14:paraId="6D936719">
            <w:pPr>
              <w:spacing w:line="250" w:lineRule="auto"/>
              <w:rPr>
                <w:rFonts w:ascii="Arial"/>
                <w:sz w:val="21"/>
              </w:rPr>
            </w:pPr>
          </w:p>
          <w:p w14:paraId="3C2D6025">
            <w:pPr>
              <w:spacing w:line="250" w:lineRule="auto"/>
              <w:rPr>
                <w:rFonts w:ascii="Arial"/>
                <w:sz w:val="21"/>
              </w:rPr>
            </w:pPr>
          </w:p>
          <w:p w14:paraId="57BFA480">
            <w:pPr>
              <w:spacing w:line="250" w:lineRule="auto"/>
              <w:rPr>
                <w:rFonts w:ascii="Arial"/>
                <w:sz w:val="21"/>
              </w:rPr>
            </w:pPr>
          </w:p>
          <w:p w14:paraId="6E494017">
            <w:pPr>
              <w:spacing w:line="250" w:lineRule="auto"/>
              <w:rPr>
                <w:rFonts w:ascii="Arial"/>
                <w:sz w:val="21"/>
              </w:rPr>
            </w:pPr>
          </w:p>
          <w:p w14:paraId="176C2A50">
            <w:pPr>
              <w:spacing w:line="250" w:lineRule="auto"/>
              <w:rPr>
                <w:rFonts w:ascii="Arial"/>
                <w:sz w:val="21"/>
              </w:rPr>
            </w:pPr>
          </w:p>
          <w:p w14:paraId="3A276218">
            <w:pPr>
              <w:spacing w:line="250" w:lineRule="auto"/>
              <w:rPr>
                <w:rFonts w:ascii="Arial"/>
                <w:sz w:val="21"/>
              </w:rPr>
            </w:pPr>
          </w:p>
          <w:p w14:paraId="356C8E53">
            <w:pPr>
              <w:spacing w:line="250" w:lineRule="auto"/>
              <w:rPr>
                <w:rFonts w:ascii="Arial"/>
                <w:sz w:val="21"/>
              </w:rPr>
            </w:pPr>
          </w:p>
          <w:p w14:paraId="5D8947DA">
            <w:pPr>
              <w:spacing w:before="65" w:line="228" w:lineRule="auto"/>
              <w:ind w:left="181"/>
              <w:rPr>
                <w:rFonts w:ascii="宋体" w:hAnsi="宋体" w:eastAsia="宋体" w:cs="宋体"/>
                <w:sz w:val="20"/>
                <w:szCs w:val="20"/>
              </w:rPr>
            </w:pPr>
            <w:r>
              <w:rPr>
                <w:rFonts w:ascii="宋体" w:hAnsi="宋体" w:eastAsia="宋体" w:cs="宋体"/>
                <w:spacing w:val="7"/>
                <w:sz w:val="20"/>
                <w:szCs w:val="20"/>
              </w:rPr>
              <w:t>《大气污染物</w:t>
            </w:r>
          </w:p>
          <w:p w14:paraId="491FDE71">
            <w:pPr>
              <w:spacing w:before="160" w:line="228" w:lineRule="auto"/>
              <w:ind w:left="116"/>
              <w:rPr>
                <w:rFonts w:ascii="宋体" w:hAnsi="宋体" w:eastAsia="宋体" w:cs="宋体"/>
                <w:sz w:val="20"/>
                <w:szCs w:val="20"/>
              </w:rPr>
            </w:pPr>
            <w:r>
              <w:rPr>
                <w:rFonts w:ascii="宋体" w:hAnsi="宋体" w:eastAsia="宋体" w:cs="宋体"/>
                <w:spacing w:val="6"/>
                <w:sz w:val="20"/>
                <w:szCs w:val="20"/>
              </w:rPr>
              <w:t>综合排放标准》</w:t>
            </w:r>
          </w:p>
          <w:p w14:paraId="5120B19B">
            <w:pPr>
              <w:spacing w:before="162" w:line="241" w:lineRule="auto"/>
              <w:ind w:left="162"/>
              <w:rPr>
                <w:rFonts w:ascii="Times New Roman" w:hAnsi="Times New Roman" w:eastAsia="Times New Roman" w:cs="Times New Roman"/>
                <w:sz w:val="20"/>
                <w:szCs w:val="20"/>
              </w:rPr>
            </w:pPr>
            <w:r>
              <w:rPr>
                <w:rFonts w:ascii="宋体" w:hAnsi="宋体" w:eastAsia="宋体" w:cs="宋体"/>
                <w:spacing w:val="2"/>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16297-</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19</w:t>
            </w:r>
          </w:p>
          <w:p w14:paraId="4BADE374">
            <w:pPr>
              <w:spacing w:before="147"/>
              <w:ind w:left="596"/>
              <w:rPr>
                <w:rFonts w:ascii="宋体" w:hAnsi="宋体" w:eastAsia="宋体" w:cs="宋体"/>
                <w:sz w:val="20"/>
                <w:szCs w:val="20"/>
              </w:rPr>
            </w:pPr>
            <w:r>
              <w:rPr>
                <w:rFonts w:ascii="Times New Roman" w:hAnsi="Times New Roman" w:eastAsia="Times New Roman" w:cs="Times New Roman"/>
                <w:sz w:val="20"/>
                <w:szCs w:val="20"/>
              </w:rPr>
              <w:t>96</w:t>
            </w:r>
            <w:r>
              <w:rPr>
                <w:rFonts w:ascii="宋体" w:hAnsi="宋体" w:eastAsia="宋体" w:cs="宋体"/>
                <w:sz w:val="20"/>
                <w:szCs w:val="20"/>
              </w:rPr>
              <w:t>）</w:t>
            </w:r>
          </w:p>
        </w:tc>
        <w:tc>
          <w:tcPr>
            <w:tcW w:w="871" w:type="dxa"/>
            <w:vAlign w:val="top"/>
          </w:tcPr>
          <w:p w14:paraId="35379BA3">
            <w:pPr>
              <w:spacing w:line="427" w:lineRule="auto"/>
              <w:rPr>
                <w:rFonts w:ascii="Arial"/>
                <w:sz w:val="21"/>
              </w:rPr>
            </w:pPr>
          </w:p>
          <w:p w14:paraId="757178FF">
            <w:pPr>
              <w:spacing w:before="57" w:line="195" w:lineRule="auto"/>
              <w:ind w:left="31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017" w:type="dxa"/>
            <w:vAlign w:val="top"/>
          </w:tcPr>
          <w:p w14:paraId="0C81750B">
            <w:pPr>
              <w:spacing w:line="427" w:lineRule="auto"/>
              <w:rPr>
                <w:rFonts w:ascii="Arial"/>
                <w:sz w:val="21"/>
              </w:rPr>
            </w:pPr>
          </w:p>
          <w:p w14:paraId="7733B5C2">
            <w:pPr>
              <w:spacing w:before="57" w:line="195"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120</w:t>
            </w:r>
          </w:p>
        </w:tc>
        <w:tc>
          <w:tcPr>
            <w:tcW w:w="384" w:type="dxa"/>
            <w:textDirection w:val="tbRlV"/>
            <w:vAlign w:val="top"/>
          </w:tcPr>
          <w:p w14:paraId="5317FE72">
            <w:pPr>
              <w:spacing w:before="58" w:line="217" w:lineRule="auto"/>
              <w:ind w:left="237"/>
              <w:rPr>
                <w:rFonts w:ascii="宋体" w:hAnsi="宋体" w:eastAsia="宋体" w:cs="宋体"/>
                <w:sz w:val="20"/>
                <w:szCs w:val="20"/>
              </w:rPr>
            </w:pPr>
            <w:r>
              <w:rPr>
                <w:rFonts w:ascii="宋体" w:hAnsi="宋体" w:eastAsia="宋体" w:cs="宋体"/>
                <w:spacing w:val="8"/>
                <w:sz w:val="20"/>
                <w:szCs w:val="20"/>
              </w:rPr>
              <w:t>达</w:t>
            </w:r>
            <w:r>
              <w:rPr>
                <w:rFonts w:ascii="宋体" w:hAnsi="宋体" w:eastAsia="宋体" w:cs="宋体"/>
                <w:spacing w:val="99"/>
                <w:sz w:val="20"/>
                <w:szCs w:val="20"/>
              </w:rPr>
              <w:t xml:space="preserve"> </w:t>
            </w:r>
            <w:r>
              <w:rPr>
                <w:rFonts w:ascii="宋体" w:hAnsi="宋体" w:eastAsia="宋体" w:cs="宋体"/>
                <w:spacing w:val="8"/>
                <w:sz w:val="20"/>
                <w:szCs w:val="20"/>
              </w:rPr>
              <w:t>标</w:t>
            </w:r>
          </w:p>
        </w:tc>
        <w:tc>
          <w:tcPr>
            <w:tcW w:w="123" w:type="dxa"/>
            <w:tcBorders>
              <w:top w:val="nil"/>
              <w:bottom w:val="nil"/>
              <w:right w:val="single" w:color="000000" w:sz="6" w:space="0"/>
            </w:tcBorders>
            <w:vAlign w:val="top"/>
          </w:tcPr>
          <w:p w14:paraId="30A45CF1">
            <w:pPr>
              <w:rPr>
                <w:rFonts w:ascii="Arial"/>
                <w:sz w:val="21"/>
              </w:rPr>
            </w:pPr>
          </w:p>
        </w:tc>
      </w:tr>
      <w:tr w14:paraId="379276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8" w:hRule="atLeast"/>
        </w:trPr>
        <w:tc>
          <w:tcPr>
            <w:tcW w:w="428" w:type="dxa"/>
            <w:vMerge w:val="continue"/>
            <w:tcBorders>
              <w:top w:val="nil"/>
              <w:left w:val="single" w:color="000000" w:sz="6" w:space="0"/>
              <w:bottom w:val="nil"/>
            </w:tcBorders>
            <w:vAlign w:val="top"/>
          </w:tcPr>
          <w:p w14:paraId="2E675C83">
            <w:pPr>
              <w:rPr>
                <w:rFonts w:ascii="Arial"/>
                <w:sz w:val="21"/>
              </w:rPr>
            </w:pPr>
          </w:p>
        </w:tc>
        <w:tc>
          <w:tcPr>
            <w:tcW w:w="113" w:type="dxa"/>
            <w:tcBorders>
              <w:top w:val="nil"/>
              <w:bottom w:val="nil"/>
            </w:tcBorders>
            <w:vAlign w:val="top"/>
          </w:tcPr>
          <w:p w14:paraId="3BEB2C7C">
            <w:pPr>
              <w:rPr>
                <w:rFonts w:ascii="Arial"/>
                <w:sz w:val="21"/>
              </w:rPr>
            </w:pPr>
          </w:p>
        </w:tc>
        <w:tc>
          <w:tcPr>
            <w:tcW w:w="383" w:type="dxa"/>
            <w:vMerge w:val="continue"/>
            <w:tcBorders>
              <w:top w:val="nil"/>
              <w:bottom w:val="nil"/>
            </w:tcBorders>
            <w:textDirection w:val="tbRlV"/>
            <w:vAlign w:val="top"/>
          </w:tcPr>
          <w:p w14:paraId="7C97AA8D">
            <w:pPr>
              <w:rPr>
                <w:rFonts w:ascii="Arial"/>
                <w:sz w:val="21"/>
              </w:rPr>
            </w:pPr>
          </w:p>
        </w:tc>
        <w:tc>
          <w:tcPr>
            <w:tcW w:w="711" w:type="dxa"/>
            <w:vMerge w:val="restart"/>
            <w:tcBorders>
              <w:bottom w:val="nil"/>
            </w:tcBorders>
            <w:vAlign w:val="top"/>
          </w:tcPr>
          <w:p w14:paraId="05E1C8DF">
            <w:pPr>
              <w:spacing w:line="259" w:lineRule="auto"/>
              <w:rPr>
                <w:rFonts w:ascii="Arial"/>
                <w:sz w:val="21"/>
              </w:rPr>
            </w:pPr>
          </w:p>
          <w:p w14:paraId="0CFD7621">
            <w:pPr>
              <w:spacing w:line="259" w:lineRule="auto"/>
              <w:rPr>
                <w:rFonts w:ascii="Arial"/>
                <w:sz w:val="21"/>
              </w:rPr>
            </w:pPr>
          </w:p>
          <w:p w14:paraId="65E0E2B2">
            <w:pPr>
              <w:spacing w:line="259" w:lineRule="auto"/>
              <w:rPr>
                <w:rFonts w:ascii="Arial"/>
                <w:sz w:val="21"/>
              </w:rPr>
            </w:pPr>
          </w:p>
          <w:p w14:paraId="267DEB9F">
            <w:pPr>
              <w:spacing w:line="259" w:lineRule="auto"/>
              <w:rPr>
                <w:rFonts w:ascii="Arial"/>
                <w:sz w:val="21"/>
              </w:rPr>
            </w:pPr>
          </w:p>
          <w:p w14:paraId="69BAFB54">
            <w:pPr>
              <w:spacing w:line="260" w:lineRule="auto"/>
              <w:rPr>
                <w:rFonts w:ascii="Arial"/>
                <w:sz w:val="21"/>
              </w:rPr>
            </w:pPr>
          </w:p>
          <w:p w14:paraId="01875D2B">
            <w:pPr>
              <w:spacing w:line="260" w:lineRule="auto"/>
              <w:rPr>
                <w:rFonts w:ascii="Arial"/>
                <w:sz w:val="21"/>
              </w:rPr>
            </w:pPr>
          </w:p>
          <w:p w14:paraId="0B7E7814">
            <w:pPr>
              <w:spacing w:line="260" w:lineRule="auto"/>
              <w:rPr>
                <w:rFonts w:ascii="Arial"/>
                <w:sz w:val="21"/>
              </w:rPr>
            </w:pPr>
          </w:p>
          <w:p w14:paraId="46F19F8F">
            <w:pPr>
              <w:spacing w:line="260" w:lineRule="auto"/>
              <w:rPr>
                <w:rFonts w:ascii="Arial"/>
                <w:sz w:val="21"/>
              </w:rPr>
            </w:pPr>
          </w:p>
          <w:p w14:paraId="2A337B0C">
            <w:pPr>
              <w:spacing w:line="260" w:lineRule="auto"/>
              <w:rPr>
                <w:rFonts w:ascii="Arial"/>
                <w:sz w:val="21"/>
              </w:rPr>
            </w:pPr>
          </w:p>
          <w:p w14:paraId="1FB61E30">
            <w:pPr>
              <w:spacing w:line="260" w:lineRule="auto"/>
              <w:rPr>
                <w:rFonts w:ascii="Arial"/>
                <w:sz w:val="21"/>
              </w:rPr>
            </w:pPr>
          </w:p>
          <w:p w14:paraId="14B49B20">
            <w:pPr>
              <w:spacing w:line="260" w:lineRule="auto"/>
              <w:rPr>
                <w:rFonts w:ascii="Arial"/>
                <w:sz w:val="21"/>
              </w:rPr>
            </w:pPr>
          </w:p>
          <w:p w14:paraId="7BC40435">
            <w:pPr>
              <w:spacing w:line="260" w:lineRule="auto"/>
              <w:rPr>
                <w:rFonts w:ascii="Arial"/>
                <w:sz w:val="21"/>
              </w:rPr>
            </w:pPr>
          </w:p>
          <w:p w14:paraId="5BDE0ADC">
            <w:pPr>
              <w:spacing w:before="57" w:line="195" w:lineRule="auto"/>
              <w:ind w:left="147"/>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14"/>
                <w:sz w:val="20"/>
                <w:szCs w:val="20"/>
              </w:rPr>
              <w:t>0</w:t>
            </w:r>
          </w:p>
          <w:p w14:paraId="4006C1D9">
            <w:pPr>
              <w:spacing w:before="175" w:line="195" w:lineRule="auto"/>
              <w:ind w:left="24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542" w:type="dxa"/>
            <w:textDirection w:val="tbRlV"/>
            <w:vAlign w:val="top"/>
          </w:tcPr>
          <w:p w14:paraId="6EE32E51">
            <w:pPr>
              <w:spacing w:before="170" w:line="217" w:lineRule="auto"/>
              <w:ind w:left="36"/>
              <w:rPr>
                <w:rFonts w:ascii="宋体" w:hAnsi="宋体" w:eastAsia="宋体" w:cs="宋体"/>
                <w:sz w:val="20"/>
                <w:szCs w:val="20"/>
              </w:rPr>
            </w:pPr>
            <w:r>
              <w:rPr>
                <w:rFonts w:ascii="宋体" w:hAnsi="宋体" w:eastAsia="宋体" w:cs="宋体"/>
                <w:spacing w:val="8"/>
                <w:sz w:val="20"/>
                <w:szCs w:val="20"/>
              </w:rPr>
              <w:t>颗</w:t>
            </w:r>
            <w:r>
              <w:rPr>
                <w:rFonts w:ascii="宋体" w:hAnsi="宋体" w:eastAsia="宋体" w:cs="宋体"/>
                <w:spacing w:val="100"/>
                <w:sz w:val="20"/>
                <w:szCs w:val="20"/>
              </w:rPr>
              <w:t xml:space="preserve"> </w:t>
            </w:r>
            <w:r>
              <w:rPr>
                <w:rFonts w:ascii="宋体" w:hAnsi="宋体" w:eastAsia="宋体" w:cs="宋体"/>
                <w:spacing w:val="8"/>
                <w:sz w:val="20"/>
                <w:szCs w:val="20"/>
              </w:rPr>
              <w:t>粒</w:t>
            </w:r>
            <w:r>
              <w:rPr>
                <w:rFonts w:ascii="宋体" w:hAnsi="宋体" w:eastAsia="宋体" w:cs="宋体"/>
                <w:spacing w:val="1"/>
                <w:sz w:val="20"/>
                <w:szCs w:val="20"/>
              </w:rPr>
              <w:t xml:space="preserve">  </w:t>
            </w:r>
            <w:r>
              <w:rPr>
                <w:rFonts w:ascii="宋体" w:hAnsi="宋体" w:eastAsia="宋体" w:cs="宋体"/>
                <w:spacing w:val="8"/>
                <w:sz w:val="20"/>
                <w:szCs w:val="20"/>
              </w:rPr>
              <w:t>物</w:t>
            </w:r>
          </w:p>
        </w:tc>
        <w:tc>
          <w:tcPr>
            <w:tcW w:w="871" w:type="dxa"/>
            <w:vAlign w:val="top"/>
          </w:tcPr>
          <w:p w14:paraId="3F949E65">
            <w:pPr>
              <w:spacing w:line="430" w:lineRule="auto"/>
              <w:rPr>
                <w:rFonts w:ascii="Arial"/>
                <w:sz w:val="21"/>
              </w:rPr>
            </w:pPr>
          </w:p>
          <w:p w14:paraId="6C9B0BD8">
            <w:pPr>
              <w:spacing w:before="57" w:line="195"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0.063</w:t>
            </w:r>
          </w:p>
        </w:tc>
        <w:tc>
          <w:tcPr>
            <w:tcW w:w="1017" w:type="dxa"/>
            <w:vAlign w:val="top"/>
          </w:tcPr>
          <w:p w14:paraId="0E7E8A0F">
            <w:pPr>
              <w:spacing w:line="430" w:lineRule="auto"/>
              <w:rPr>
                <w:rFonts w:ascii="Arial"/>
                <w:sz w:val="21"/>
              </w:rPr>
            </w:pPr>
          </w:p>
          <w:p w14:paraId="164B08FF">
            <w:pPr>
              <w:spacing w:before="57" w:line="195" w:lineRule="auto"/>
              <w:ind w:left="32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5.56</w:t>
            </w:r>
          </w:p>
        </w:tc>
        <w:tc>
          <w:tcPr>
            <w:tcW w:w="1008" w:type="dxa"/>
            <w:vMerge w:val="restart"/>
            <w:tcBorders>
              <w:bottom w:val="nil"/>
            </w:tcBorders>
            <w:vAlign w:val="top"/>
          </w:tcPr>
          <w:p w14:paraId="08FE0AD0">
            <w:pPr>
              <w:spacing w:line="253" w:lineRule="auto"/>
              <w:rPr>
                <w:rFonts w:ascii="Arial"/>
                <w:sz w:val="21"/>
              </w:rPr>
            </w:pPr>
          </w:p>
          <w:p w14:paraId="69FF35CF">
            <w:pPr>
              <w:spacing w:line="253" w:lineRule="auto"/>
              <w:rPr>
                <w:rFonts w:ascii="Arial"/>
                <w:sz w:val="21"/>
              </w:rPr>
            </w:pPr>
          </w:p>
          <w:p w14:paraId="42C1D75B">
            <w:pPr>
              <w:spacing w:line="253" w:lineRule="auto"/>
              <w:rPr>
                <w:rFonts w:ascii="Arial"/>
                <w:sz w:val="21"/>
              </w:rPr>
            </w:pPr>
          </w:p>
          <w:p w14:paraId="730D1CE8">
            <w:pPr>
              <w:spacing w:line="253" w:lineRule="auto"/>
              <w:rPr>
                <w:rFonts w:ascii="Arial"/>
                <w:sz w:val="21"/>
              </w:rPr>
            </w:pPr>
          </w:p>
          <w:p w14:paraId="53552E4F">
            <w:pPr>
              <w:spacing w:line="253" w:lineRule="auto"/>
              <w:rPr>
                <w:rFonts w:ascii="Arial"/>
                <w:sz w:val="21"/>
              </w:rPr>
            </w:pPr>
          </w:p>
          <w:p w14:paraId="458220FA">
            <w:pPr>
              <w:spacing w:line="253" w:lineRule="auto"/>
              <w:rPr>
                <w:rFonts w:ascii="Arial"/>
                <w:sz w:val="21"/>
              </w:rPr>
            </w:pPr>
          </w:p>
          <w:p w14:paraId="045C633A">
            <w:pPr>
              <w:spacing w:line="253" w:lineRule="auto"/>
              <w:rPr>
                <w:rFonts w:ascii="Arial"/>
                <w:sz w:val="21"/>
              </w:rPr>
            </w:pPr>
          </w:p>
          <w:p w14:paraId="355A0F5C">
            <w:pPr>
              <w:spacing w:line="253" w:lineRule="auto"/>
              <w:rPr>
                <w:rFonts w:ascii="Arial"/>
                <w:sz w:val="21"/>
              </w:rPr>
            </w:pPr>
          </w:p>
          <w:p w14:paraId="6133DCDA">
            <w:pPr>
              <w:spacing w:line="254" w:lineRule="auto"/>
              <w:rPr>
                <w:rFonts w:ascii="Arial"/>
                <w:sz w:val="21"/>
              </w:rPr>
            </w:pPr>
          </w:p>
          <w:p w14:paraId="097A951C">
            <w:pPr>
              <w:spacing w:line="254" w:lineRule="auto"/>
              <w:rPr>
                <w:rFonts w:ascii="Arial"/>
                <w:sz w:val="21"/>
              </w:rPr>
            </w:pPr>
          </w:p>
          <w:p w14:paraId="1289E394">
            <w:pPr>
              <w:spacing w:line="254" w:lineRule="auto"/>
              <w:rPr>
                <w:rFonts w:ascii="Arial"/>
                <w:sz w:val="21"/>
              </w:rPr>
            </w:pPr>
          </w:p>
          <w:p w14:paraId="6FCE8E75">
            <w:pPr>
              <w:spacing w:line="254" w:lineRule="auto"/>
              <w:rPr>
                <w:rFonts w:ascii="Arial"/>
                <w:sz w:val="21"/>
              </w:rPr>
            </w:pPr>
          </w:p>
          <w:p w14:paraId="75474ECF">
            <w:pPr>
              <w:spacing w:line="254" w:lineRule="auto"/>
              <w:rPr>
                <w:rFonts w:ascii="Arial"/>
                <w:sz w:val="21"/>
              </w:rPr>
            </w:pPr>
          </w:p>
          <w:p w14:paraId="5BDCB9FE">
            <w:pPr>
              <w:spacing w:before="58" w:line="195" w:lineRule="auto"/>
              <w:ind w:left="262"/>
              <w:rPr>
                <w:rFonts w:ascii="Times New Roman" w:hAnsi="Times New Roman" w:eastAsia="Times New Roman" w:cs="Times New Roman"/>
                <w:sz w:val="20"/>
                <w:szCs w:val="20"/>
              </w:rPr>
            </w:pPr>
            <w:r>
              <w:rPr>
                <w:rFonts w:ascii="Times New Roman" w:hAnsi="Times New Roman" w:eastAsia="Times New Roman" w:cs="Times New Roman"/>
                <w:sz w:val="20"/>
                <w:szCs w:val="20"/>
              </w:rPr>
              <w:t>11382</w:t>
            </w:r>
          </w:p>
        </w:tc>
        <w:tc>
          <w:tcPr>
            <w:tcW w:w="1596" w:type="dxa"/>
            <w:vMerge w:val="continue"/>
            <w:tcBorders>
              <w:top w:val="nil"/>
              <w:bottom w:val="nil"/>
            </w:tcBorders>
            <w:vAlign w:val="top"/>
          </w:tcPr>
          <w:p w14:paraId="09D92BF1">
            <w:pPr>
              <w:rPr>
                <w:rFonts w:ascii="Arial"/>
                <w:sz w:val="21"/>
              </w:rPr>
            </w:pPr>
          </w:p>
        </w:tc>
        <w:tc>
          <w:tcPr>
            <w:tcW w:w="871" w:type="dxa"/>
            <w:vAlign w:val="top"/>
          </w:tcPr>
          <w:p w14:paraId="7C69F5BA">
            <w:pPr>
              <w:spacing w:line="430" w:lineRule="auto"/>
              <w:rPr>
                <w:rFonts w:ascii="Arial"/>
                <w:sz w:val="21"/>
              </w:rPr>
            </w:pPr>
          </w:p>
          <w:p w14:paraId="0F307C48">
            <w:pPr>
              <w:spacing w:before="57" w:line="195" w:lineRule="auto"/>
              <w:ind w:left="31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017" w:type="dxa"/>
            <w:vAlign w:val="top"/>
          </w:tcPr>
          <w:p w14:paraId="4B8EDA60">
            <w:pPr>
              <w:spacing w:line="430" w:lineRule="auto"/>
              <w:rPr>
                <w:rFonts w:ascii="Arial"/>
                <w:sz w:val="21"/>
              </w:rPr>
            </w:pPr>
          </w:p>
          <w:p w14:paraId="743B242D">
            <w:pPr>
              <w:spacing w:before="57" w:line="195"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120</w:t>
            </w:r>
          </w:p>
        </w:tc>
        <w:tc>
          <w:tcPr>
            <w:tcW w:w="384" w:type="dxa"/>
            <w:textDirection w:val="tbRlV"/>
            <w:vAlign w:val="top"/>
          </w:tcPr>
          <w:p w14:paraId="44BF3D8E">
            <w:pPr>
              <w:spacing w:before="58" w:line="217" w:lineRule="auto"/>
              <w:ind w:left="240"/>
              <w:rPr>
                <w:rFonts w:ascii="宋体" w:hAnsi="宋体" w:eastAsia="宋体" w:cs="宋体"/>
                <w:sz w:val="20"/>
                <w:szCs w:val="20"/>
              </w:rPr>
            </w:pPr>
            <w:r>
              <w:rPr>
                <w:rFonts w:ascii="宋体" w:hAnsi="宋体" w:eastAsia="宋体" w:cs="宋体"/>
                <w:spacing w:val="8"/>
                <w:sz w:val="20"/>
                <w:szCs w:val="20"/>
              </w:rPr>
              <w:t>达</w:t>
            </w:r>
            <w:r>
              <w:rPr>
                <w:rFonts w:ascii="宋体" w:hAnsi="宋体" w:eastAsia="宋体" w:cs="宋体"/>
                <w:spacing w:val="99"/>
                <w:sz w:val="20"/>
                <w:szCs w:val="20"/>
              </w:rPr>
              <w:t xml:space="preserve"> </w:t>
            </w:r>
            <w:r>
              <w:rPr>
                <w:rFonts w:ascii="宋体" w:hAnsi="宋体" w:eastAsia="宋体" w:cs="宋体"/>
                <w:spacing w:val="8"/>
                <w:sz w:val="20"/>
                <w:szCs w:val="20"/>
              </w:rPr>
              <w:t>标</w:t>
            </w:r>
          </w:p>
        </w:tc>
        <w:tc>
          <w:tcPr>
            <w:tcW w:w="123" w:type="dxa"/>
            <w:tcBorders>
              <w:top w:val="nil"/>
              <w:bottom w:val="nil"/>
              <w:right w:val="single" w:color="000000" w:sz="6" w:space="0"/>
            </w:tcBorders>
            <w:vAlign w:val="top"/>
          </w:tcPr>
          <w:p w14:paraId="4E62D643">
            <w:pPr>
              <w:rPr>
                <w:rFonts w:ascii="Arial"/>
                <w:sz w:val="21"/>
              </w:rPr>
            </w:pPr>
          </w:p>
        </w:tc>
      </w:tr>
      <w:tr w14:paraId="3F3ED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0" w:hRule="atLeast"/>
        </w:trPr>
        <w:tc>
          <w:tcPr>
            <w:tcW w:w="428" w:type="dxa"/>
            <w:vMerge w:val="continue"/>
            <w:tcBorders>
              <w:top w:val="nil"/>
              <w:left w:val="single" w:color="000000" w:sz="6" w:space="0"/>
              <w:bottom w:val="nil"/>
            </w:tcBorders>
            <w:vAlign w:val="top"/>
          </w:tcPr>
          <w:p w14:paraId="41FFA892">
            <w:pPr>
              <w:rPr>
                <w:rFonts w:ascii="Arial"/>
                <w:sz w:val="21"/>
              </w:rPr>
            </w:pPr>
          </w:p>
        </w:tc>
        <w:tc>
          <w:tcPr>
            <w:tcW w:w="113" w:type="dxa"/>
            <w:tcBorders>
              <w:top w:val="nil"/>
              <w:bottom w:val="nil"/>
            </w:tcBorders>
            <w:vAlign w:val="top"/>
          </w:tcPr>
          <w:p w14:paraId="2521C757">
            <w:pPr>
              <w:rPr>
                <w:rFonts w:ascii="Arial"/>
                <w:sz w:val="21"/>
              </w:rPr>
            </w:pPr>
          </w:p>
        </w:tc>
        <w:tc>
          <w:tcPr>
            <w:tcW w:w="383" w:type="dxa"/>
            <w:vMerge w:val="continue"/>
            <w:tcBorders>
              <w:top w:val="nil"/>
              <w:bottom w:val="nil"/>
            </w:tcBorders>
            <w:textDirection w:val="tbRlV"/>
            <w:vAlign w:val="top"/>
          </w:tcPr>
          <w:p w14:paraId="296C009D">
            <w:pPr>
              <w:rPr>
                <w:rFonts w:ascii="Arial"/>
                <w:sz w:val="21"/>
              </w:rPr>
            </w:pPr>
          </w:p>
        </w:tc>
        <w:tc>
          <w:tcPr>
            <w:tcW w:w="711" w:type="dxa"/>
            <w:vMerge w:val="continue"/>
            <w:tcBorders>
              <w:top w:val="nil"/>
              <w:bottom w:val="nil"/>
            </w:tcBorders>
            <w:vAlign w:val="top"/>
          </w:tcPr>
          <w:p w14:paraId="6D385F42">
            <w:pPr>
              <w:rPr>
                <w:rFonts w:ascii="Arial"/>
                <w:sz w:val="21"/>
              </w:rPr>
            </w:pPr>
          </w:p>
        </w:tc>
        <w:tc>
          <w:tcPr>
            <w:tcW w:w="542" w:type="dxa"/>
            <w:textDirection w:val="tbRlV"/>
            <w:vAlign w:val="top"/>
          </w:tcPr>
          <w:p w14:paraId="75087C34">
            <w:pPr>
              <w:spacing w:before="169" w:line="207" w:lineRule="auto"/>
              <w:ind w:left="49"/>
              <w:rPr>
                <w:rFonts w:ascii="宋体" w:hAnsi="宋体" w:eastAsia="宋体" w:cs="宋体"/>
                <w:sz w:val="20"/>
                <w:szCs w:val="20"/>
              </w:rPr>
            </w:pPr>
            <w:r>
              <w:rPr>
                <w:rFonts w:ascii="宋体" w:hAnsi="宋体" w:eastAsia="宋体" w:cs="宋体"/>
                <w:spacing w:val="8"/>
                <w:sz w:val="20"/>
                <w:szCs w:val="20"/>
              </w:rPr>
              <w:t>非</w:t>
            </w:r>
            <w:r>
              <w:rPr>
                <w:rFonts w:ascii="宋体" w:hAnsi="宋体" w:eastAsia="宋体" w:cs="宋体"/>
                <w:spacing w:val="102"/>
                <w:sz w:val="20"/>
                <w:szCs w:val="20"/>
              </w:rPr>
              <w:t xml:space="preserve"> </w:t>
            </w:r>
            <w:r>
              <w:rPr>
                <w:rFonts w:ascii="宋体" w:hAnsi="宋体" w:eastAsia="宋体" w:cs="宋体"/>
                <w:spacing w:val="8"/>
                <w:position w:val="1"/>
                <w:sz w:val="20"/>
                <w:szCs w:val="20"/>
              </w:rPr>
              <w:t>甲</w:t>
            </w:r>
            <w:r>
              <w:rPr>
                <w:rFonts w:ascii="宋体" w:hAnsi="宋体" w:eastAsia="宋体" w:cs="宋体"/>
                <w:position w:val="1"/>
                <w:sz w:val="20"/>
                <w:szCs w:val="20"/>
              </w:rPr>
              <w:t xml:space="preserve">  </w:t>
            </w:r>
            <w:r>
              <w:rPr>
                <w:rFonts w:ascii="宋体" w:hAnsi="宋体" w:eastAsia="宋体" w:cs="宋体"/>
                <w:spacing w:val="8"/>
                <w:sz w:val="20"/>
                <w:szCs w:val="20"/>
              </w:rPr>
              <w:t>烷</w:t>
            </w:r>
            <w:r>
              <w:rPr>
                <w:rFonts w:ascii="宋体" w:hAnsi="宋体" w:eastAsia="宋体" w:cs="宋体"/>
                <w:spacing w:val="101"/>
                <w:sz w:val="20"/>
                <w:szCs w:val="20"/>
              </w:rPr>
              <w:t xml:space="preserve"> </w:t>
            </w:r>
            <w:r>
              <w:rPr>
                <w:rFonts w:ascii="宋体" w:hAnsi="宋体" w:eastAsia="宋体" w:cs="宋体"/>
                <w:spacing w:val="8"/>
                <w:sz w:val="20"/>
                <w:szCs w:val="20"/>
              </w:rPr>
              <w:t>总</w:t>
            </w:r>
            <w:r>
              <w:rPr>
                <w:rFonts w:ascii="宋体" w:hAnsi="宋体" w:eastAsia="宋体" w:cs="宋体"/>
                <w:spacing w:val="99"/>
                <w:sz w:val="20"/>
                <w:szCs w:val="20"/>
              </w:rPr>
              <w:t xml:space="preserve"> </w:t>
            </w:r>
            <w:r>
              <w:rPr>
                <w:rFonts w:ascii="宋体" w:hAnsi="宋体" w:eastAsia="宋体" w:cs="宋体"/>
                <w:spacing w:val="8"/>
                <w:sz w:val="20"/>
                <w:szCs w:val="20"/>
              </w:rPr>
              <w:t>烃</w:t>
            </w:r>
          </w:p>
        </w:tc>
        <w:tc>
          <w:tcPr>
            <w:tcW w:w="871" w:type="dxa"/>
            <w:vAlign w:val="top"/>
          </w:tcPr>
          <w:p w14:paraId="486E76B1">
            <w:pPr>
              <w:spacing w:line="282" w:lineRule="auto"/>
              <w:rPr>
                <w:rFonts w:ascii="Arial"/>
                <w:sz w:val="21"/>
              </w:rPr>
            </w:pPr>
          </w:p>
          <w:p w14:paraId="5CB7595E">
            <w:pPr>
              <w:spacing w:line="283" w:lineRule="auto"/>
              <w:rPr>
                <w:rFonts w:ascii="Arial"/>
                <w:sz w:val="21"/>
              </w:rPr>
            </w:pPr>
          </w:p>
          <w:p w14:paraId="38079B1E">
            <w:pPr>
              <w:spacing w:line="283" w:lineRule="auto"/>
              <w:rPr>
                <w:rFonts w:ascii="Arial"/>
                <w:sz w:val="21"/>
              </w:rPr>
            </w:pPr>
          </w:p>
          <w:p w14:paraId="159BED8E">
            <w:pPr>
              <w:spacing w:before="58" w:line="195"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0.293</w:t>
            </w:r>
          </w:p>
        </w:tc>
        <w:tc>
          <w:tcPr>
            <w:tcW w:w="1017" w:type="dxa"/>
            <w:vAlign w:val="top"/>
          </w:tcPr>
          <w:p w14:paraId="5BF16AC1">
            <w:pPr>
              <w:spacing w:line="282" w:lineRule="auto"/>
              <w:rPr>
                <w:rFonts w:ascii="Arial"/>
                <w:sz w:val="21"/>
              </w:rPr>
            </w:pPr>
          </w:p>
          <w:p w14:paraId="4C51077B">
            <w:pPr>
              <w:spacing w:line="283" w:lineRule="auto"/>
              <w:rPr>
                <w:rFonts w:ascii="Arial"/>
                <w:sz w:val="21"/>
              </w:rPr>
            </w:pPr>
          </w:p>
          <w:p w14:paraId="79F18A8A">
            <w:pPr>
              <w:spacing w:line="283" w:lineRule="auto"/>
              <w:rPr>
                <w:rFonts w:ascii="Arial"/>
                <w:sz w:val="21"/>
              </w:rPr>
            </w:pPr>
          </w:p>
          <w:p w14:paraId="0DD469AC">
            <w:pPr>
              <w:spacing w:before="58"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25.7</w:t>
            </w:r>
          </w:p>
        </w:tc>
        <w:tc>
          <w:tcPr>
            <w:tcW w:w="1008" w:type="dxa"/>
            <w:vMerge w:val="continue"/>
            <w:tcBorders>
              <w:top w:val="nil"/>
              <w:bottom w:val="nil"/>
            </w:tcBorders>
            <w:vAlign w:val="top"/>
          </w:tcPr>
          <w:p w14:paraId="7DBB29E1">
            <w:pPr>
              <w:rPr>
                <w:rFonts w:ascii="Arial"/>
                <w:sz w:val="21"/>
              </w:rPr>
            </w:pPr>
          </w:p>
        </w:tc>
        <w:tc>
          <w:tcPr>
            <w:tcW w:w="1596" w:type="dxa"/>
            <w:vMerge w:val="continue"/>
            <w:tcBorders>
              <w:top w:val="nil"/>
              <w:bottom w:val="nil"/>
            </w:tcBorders>
            <w:vAlign w:val="top"/>
          </w:tcPr>
          <w:p w14:paraId="0D19F97A">
            <w:pPr>
              <w:rPr>
                <w:rFonts w:ascii="Arial"/>
                <w:sz w:val="21"/>
              </w:rPr>
            </w:pPr>
          </w:p>
        </w:tc>
        <w:tc>
          <w:tcPr>
            <w:tcW w:w="871" w:type="dxa"/>
            <w:vAlign w:val="top"/>
          </w:tcPr>
          <w:p w14:paraId="7B2D6391">
            <w:pPr>
              <w:spacing w:line="282" w:lineRule="auto"/>
              <w:rPr>
                <w:rFonts w:ascii="Arial"/>
                <w:sz w:val="21"/>
              </w:rPr>
            </w:pPr>
          </w:p>
          <w:p w14:paraId="523C3289">
            <w:pPr>
              <w:spacing w:line="283" w:lineRule="auto"/>
              <w:rPr>
                <w:rFonts w:ascii="Arial"/>
                <w:sz w:val="21"/>
              </w:rPr>
            </w:pPr>
          </w:p>
          <w:p w14:paraId="1547B769">
            <w:pPr>
              <w:spacing w:line="283" w:lineRule="auto"/>
              <w:rPr>
                <w:rFonts w:ascii="Arial"/>
                <w:sz w:val="21"/>
              </w:rPr>
            </w:pPr>
          </w:p>
          <w:p w14:paraId="1BF4DB80">
            <w:pPr>
              <w:spacing w:before="58" w:line="195" w:lineRule="auto"/>
              <w:ind w:left="35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017" w:type="dxa"/>
            <w:vAlign w:val="top"/>
          </w:tcPr>
          <w:p w14:paraId="397B5686">
            <w:pPr>
              <w:spacing w:line="282" w:lineRule="auto"/>
              <w:rPr>
                <w:rFonts w:ascii="Arial"/>
                <w:sz w:val="21"/>
              </w:rPr>
            </w:pPr>
          </w:p>
          <w:p w14:paraId="24170774">
            <w:pPr>
              <w:spacing w:line="283" w:lineRule="auto"/>
              <w:rPr>
                <w:rFonts w:ascii="Arial"/>
                <w:sz w:val="21"/>
              </w:rPr>
            </w:pPr>
          </w:p>
          <w:p w14:paraId="43DDECC4">
            <w:pPr>
              <w:spacing w:line="283" w:lineRule="auto"/>
              <w:rPr>
                <w:rFonts w:ascii="Arial"/>
                <w:sz w:val="21"/>
              </w:rPr>
            </w:pPr>
          </w:p>
          <w:p w14:paraId="28641B96">
            <w:pPr>
              <w:spacing w:before="58" w:line="195"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120</w:t>
            </w:r>
          </w:p>
        </w:tc>
        <w:tc>
          <w:tcPr>
            <w:tcW w:w="384" w:type="dxa"/>
            <w:textDirection w:val="tbRlV"/>
            <w:vAlign w:val="top"/>
          </w:tcPr>
          <w:p w14:paraId="4601B9E8">
            <w:pPr>
              <w:spacing w:before="58" w:line="217" w:lineRule="auto"/>
              <w:ind w:left="661"/>
              <w:rPr>
                <w:rFonts w:ascii="宋体" w:hAnsi="宋体" w:eastAsia="宋体" w:cs="宋体"/>
                <w:sz w:val="20"/>
                <w:szCs w:val="20"/>
              </w:rPr>
            </w:pPr>
            <w:r>
              <w:rPr>
                <w:rFonts w:ascii="宋体" w:hAnsi="宋体" w:eastAsia="宋体" w:cs="宋体"/>
                <w:spacing w:val="8"/>
                <w:sz w:val="20"/>
                <w:szCs w:val="20"/>
              </w:rPr>
              <w:t>达</w:t>
            </w:r>
            <w:r>
              <w:rPr>
                <w:rFonts w:ascii="宋体" w:hAnsi="宋体" w:eastAsia="宋体" w:cs="宋体"/>
                <w:spacing w:val="99"/>
                <w:sz w:val="20"/>
                <w:szCs w:val="20"/>
              </w:rPr>
              <w:t xml:space="preserve"> </w:t>
            </w:r>
            <w:r>
              <w:rPr>
                <w:rFonts w:ascii="宋体" w:hAnsi="宋体" w:eastAsia="宋体" w:cs="宋体"/>
                <w:spacing w:val="8"/>
                <w:sz w:val="20"/>
                <w:szCs w:val="20"/>
              </w:rPr>
              <w:t>标</w:t>
            </w:r>
          </w:p>
        </w:tc>
        <w:tc>
          <w:tcPr>
            <w:tcW w:w="123" w:type="dxa"/>
            <w:tcBorders>
              <w:top w:val="nil"/>
              <w:bottom w:val="nil"/>
              <w:right w:val="single" w:color="000000" w:sz="6" w:space="0"/>
            </w:tcBorders>
            <w:vAlign w:val="top"/>
          </w:tcPr>
          <w:p w14:paraId="622B3DE0">
            <w:pPr>
              <w:rPr>
                <w:rFonts w:ascii="Arial"/>
                <w:sz w:val="21"/>
              </w:rPr>
            </w:pPr>
          </w:p>
        </w:tc>
      </w:tr>
      <w:tr w14:paraId="2725A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428" w:type="dxa"/>
            <w:vMerge w:val="continue"/>
            <w:tcBorders>
              <w:top w:val="nil"/>
              <w:left w:val="single" w:color="000000" w:sz="6" w:space="0"/>
              <w:bottom w:val="nil"/>
            </w:tcBorders>
            <w:vAlign w:val="top"/>
          </w:tcPr>
          <w:p w14:paraId="1A6C96E3">
            <w:pPr>
              <w:rPr>
                <w:rFonts w:ascii="Arial"/>
                <w:sz w:val="21"/>
              </w:rPr>
            </w:pPr>
          </w:p>
        </w:tc>
        <w:tc>
          <w:tcPr>
            <w:tcW w:w="113" w:type="dxa"/>
            <w:tcBorders>
              <w:top w:val="nil"/>
              <w:bottom w:val="nil"/>
            </w:tcBorders>
            <w:vAlign w:val="top"/>
          </w:tcPr>
          <w:p w14:paraId="1C2B8B1C">
            <w:pPr>
              <w:rPr>
                <w:rFonts w:ascii="Arial"/>
                <w:sz w:val="21"/>
              </w:rPr>
            </w:pPr>
          </w:p>
        </w:tc>
        <w:tc>
          <w:tcPr>
            <w:tcW w:w="383" w:type="dxa"/>
            <w:vMerge w:val="continue"/>
            <w:tcBorders>
              <w:top w:val="nil"/>
              <w:bottom w:val="nil"/>
            </w:tcBorders>
            <w:textDirection w:val="tbRlV"/>
            <w:vAlign w:val="top"/>
          </w:tcPr>
          <w:p w14:paraId="372B90C7">
            <w:pPr>
              <w:rPr>
                <w:rFonts w:ascii="Arial"/>
                <w:sz w:val="21"/>
              </w:rPr>
            </w:pPr>
          </w:p>
        </w:tc>
        <w:tc>
          <w:tcPr>
            <w:tcW w:w="711" w:type="dxa"/>
            <w:vMerge w:val="continue"/>
            <w:tcBorders>
              <w:top w:val="nil"/>
              <w:bottom w:val="nil"/>
            </w:tcBorders>
            <w:vAlign w:val="top"/>
          </w:tcPr>
          <w:p w14:paraId="1548B070">
            <w:pPr>
              <w:rPr>
                <w:rFonts w:ascii="Arial"/>
                <w:sz w:val="21"/>
              </w:rPr>
            </w:pPr>
          </w:p>
        </w:tc>
        <w:tc>
          <w:tcPr>
            <w:tcW w:w="542" w:type="dxa"/>
            <w:textDirection w:val="tbRlV"/>
            <w:vAlign w:val="top"/>
          </w:tcPr>
          <w:p w14:paraId="50C65DB1">
            <w:pPr>
              <w:spacing w:before="169" w:line="218" w:lineRule="auto"/>
              <w:ind w:left="46"/>
              <w:rPr>
                <w:rFonts w:ascii="宋体" w:hAnsi="宋体" w:eastAsia="宋体" w:cs="宋体"/>
                <w:sz w:val="20"/>
                <w:szCs w:val="20"/>
              </w:rPr>
            </w:pPr>
            <w:r>
              <w:rPr>
                <w:rFonts w:ascii="宋体" w:hAnsi="宋体" w:eastAsia="宋体" w:cs="宋体"/>
                <w:spacing w:val="8"/>
                <w:sz w:val="20"/>
                <w:szCs w:val="20"/>
              </w:rPr>
              <w:t>甲</w:t>
            </w:r>
            <w:r>
              <w:rPr>
                <w:rFonts w:ascii="宋体" w:hAnsi="宋体" w:eastAsia="宋体" w:cs="宋体"/>
                <w:spacing w:val="99"/>
                <w:sz w:val="20"/>
                <w:szCs w:val="20"/>
              </w:rPr>
              <w:t xml:space="preserve"> </w:t>
            </w:r>
            <w:r>
              <w:rPr>
                <w:rFonts w:ascii="宋体" w:hAnsi="宋体" w:eastAsia="宋体" w:cs="宋体"/>
                <w:spacing w:val="8"/>
                <w:sz w:val="20"/>
                <w:szCs w:val="20"/>
              </w:rPr>
              <w:t>醛</w:t>
            </w:r>
          </w:p>
        </w:tc>
        <w:tc>
          <w:tcPr>
            <w:tcW w:w="871" w:type="dxa"/>
            <w:vAlign w:val="top"/>
          </w:tcPr>
          <w:p w14:paraId="191AB41F">
            <w:pPr>
              <w:spacing w:before="296" w:line="195"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0.003</w:t>
            </w:r>
          </w:p>
        </w:tc>
        <w:tc>
          <w:tcPr>
            <w:tcW w:w="1017" w:type="dxa"/>
            <w:vAlign w:val="top"/>
          </w:tcPr>
          <w:p w14:paraId="66AA6252">
            <w:pPr>
              <w:spacing w:before="296" w:line="195" w:lineRule="auto"/>
              <w:ind w:left="3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0.23</w:t>
            </w:r>
          </w:p>
        </w:tc>
        <w:tc>
          <w:tcPr>
            <w:tcW w:w="1008" w:type="dxa"/>
            <w:vMerge w:val="continue"/>
            <w:tcBorders>
              <w:top w:val="nil"/>
              <w:bottom w:val="nil"/>
            </w:tcBorders>
            <w:vAlign w:val="top"/>
          </w:tcPr>
          <w:p w14:paraId="4A4B6353">
            <w:pPr>
              <w:rPr>
                <w:rFonts w:ascii="Arial"/>
                <w:sz w:val="21"/>
              </w:rPr>
            </w:pPr>
          </w:p>
        </w:tc>
        <w:tc>
          <w:tcPr>
            <w:tcW w:w="1596" w:type="dxa"/>
            <w:vMerge w:val="continue"/>
            <w:tcBorders>
              <w:top w:val="nil"/>
              <w:bottom w:val="nil"/>
            </w:tcBorders>
            <w:vAlign w:val="top"/>
          </w:tcPr>
          <w:p w14:paraId="68452A30">
            <w:pPr>
              <w:rPr>
                <w:rFonts w:ascii="Arial"/>
                <w:sz w:val="21"/>
              </w:rPr>
            </w:pPr>
          </w:p>
        </w:tc>
        <w:tc>
          <w:tcPr>
            <w:tcW w:w="871" w:type="dxa"/>
            <w:vAlign w:val="top"/>
          </w:tcPr>
          <w:p w14:paraId="23ABF3E2">
            <w:pPr>
              <w:spacing w:before="296" w:line="195" w:lineRule="auto"/>
              <w:ind w:left="31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0.3</w:t>
            </w:r>
          </w:p>
        </w:tc>
        <w:tc>
          <w:tcPr>
            <w:tcW w:w="1017" w:type="dxa"/>
            <w:vAlign w:val="top"/>
          </w:tcPr>
          <w:p w14:paraId="210E6CC5">
            <w:pPr>
              <w:spacing w:before="296" w:line="195" w:lineRule="auto"/>
              <w:ind w:left="414"/>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c>
          <w:tcPr>
            <w:tcW w:w="384" w:type="dxa"/>
            <w:vAlign w:val="top"/>
          </w:tcPr>
          <w:p w14:paraId="30C4C3BC">
            <w:pPr>
              <w:rPr>
                <w:rFonts w:ascii="Arial"/>
                <w:sz w:val="21"/>
              </w:rPr>
            </w:pPr>
          </w:p>
        </w:tc>
        <w:tc>
          <w:tcPr>
            <w:tcW w:w="123" w:type="dxa"/>
            <w:tcBorders>
              <w:top w:val="nil"/>
              <w:bottom w:val="nil"/>
              <w:right w:val="single" w:color="000000" w:sz="6" w:space="0"/>
            </w:tcBorders>
            <w:vAlign w:val="top"/>
          </w:tcPr>
          <w:p w14:paraId="636DE094">
            <w:pPr>
              <w:rPr>
                <w:rFonts w:ascii="Arial"/>
                <w:sz w:val="21"/>
              </w:rPr>
            </w:pPr>
          </w:p>
        </w:tc>
      </w:tr>
      <w:tr w14:paraId="6E680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428" w:type="dxa"/>
            <w:vMerge w:val="continue"/>
            <w:tcBorders>
              <w:top w:val="nil"/>
              <w:left w:val="single" w:color="000000" w:sz="6" w:space="0"/>
              <w:bottom w:val="nil"/>
            </w:tcBorders>
            <w:vAlign w:val="top"/>
          </w:tcPr>
          <w:p w14:paraId="4C337F8E">
            <w:pPr>
              <w:rPr>
                <w:rFonts w:ascii="Arial"/>
                <w:sz w:val="21"/>
              </w:rPr>
            </w:pPr>
          </w:p>
        </w:tc>
        <w:tc>
          <w:tcPr>
            <w:tcW w:w="113" w:type="dxa"/>
            <w:tcBorders>
              <w:top w:val="nil"/>
              <w:bottom w:val="nil"/>
            </w:tcBorders>
            <w:vAlign w:val="top"/>
          </w:tcPr>
          <w:p w14:paraId="48496F91">
            <w:pPr>
              <w:rPr>
                <w:rFonts w:ascii="Arial"/>
                <w:sz w:val="21"/>
              </w:rPr>
            </w:pPr>
          </w:p>
        </w:tc>
        <w:tc>
          <w:tcPr>
            <w:tcW w:w="383" w:type="dxa"/>
            <w:vMerge w:val="continue"/>
            <w:tcBorders>
              <w:top w:val="nil"/>
              <w:bottom w:val="nil"/>
            </w:tcBorders>
            <w:textDirection w:val="tbRlV"/>
            <w:vAlign w:val="top"/>
          </w:tcPr>
          <w:p w14:paraId="16ED12D2">
            <w:pPr>
              <w:rPr>
                <w:rFonts w:ascii="Arial"/>
                <w:sz w:val="21"/>
              </w:rPr>
            </w:pPr>
          </w:p>
        </w:tc>
        <w:tc>
          <w:tcPr>
            <w:tcW w:w="711" w:type="dxa"/>
            <w:vMerge w:val="continue"/>
            <w:tcBorders>
              <w:top w:val="nil"/>
              <w:bottom w:val="nil"/>
            </w:tcBorders>
            <w:vAlign w:val="top"/>
          </w:tcPr>
          <w:p w14:paraId="71E97133">
            <w:pPr>
              <w:rPr>
                <w:rFonts w:ascii="Arial"/>
                <w:sz w:val="21"/>
              </w:rPr>
            </w:pPr>
          </w:p>
        </w:tc>
        <w:tc>
          <w:tcPr>
            <w:tcW w:w="542" w:type="dxa"/>
            <w:vAlign w:val="top"/>
          </w:tcPr>
          <w:p w14:paraId="22300BC4">
            <w:pPr>
              <w:spacing w:before="251" w:line="227" w:lineRule="auto"/>
              <w:ind w:left="168"/>
              <w:rPr>
                <w:rFonts w:ascii="宋体" w:hAnsi="宋体" w:eastAsia="宋体" w:cs="宋体"/>
                <w:sz w:val="20"/>
                <w:szCs w:val="20"/>
              </w:rPr>
            </w:pPr>
            <w:r>
              <w:rPr>
                <w:rFonts w:ascii="宋体" w:hAnsi="宋体" w:eastAsia="宋体" w:cs="宋体"/>
                <w:sz w:val="20"/>
                <w:szCs w:val="20"/>
              </w:rPr>
              <w:t>苯</w:t>
            </w:r>
          </w:p>
        </w:tc>
        <w:tc>
          <w:tcPr>
            <w:tcW w:w="871" w:type="dxa"/>
            <w:vAlign w:val="top"/>
          </w:tcPr>
          <w:p w14:paraId="03578DCF">
            <w:pPr>
              <w:spacing w:before="294"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0.0012</w:t>
            </w:r>
          </w:p>
        </w:tc>
        <w:tc>
          <w:tcPr>
            <w:tcW w:w="1017" w:type="dxa"/>
            <w:vAlign w:val="top"/>
          </w:tcPr>
          <w:p w14:paraId="084F8ADD">
            <w:pPr>
              <w:spacing w:before="294"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0.131</w:t>
            </w:r>
          </w:p>
        </w:tc>
        <w:tc>
          <w:tcPr>
            <w:tcW w:w="1008" w:type="dxa"/>
            <w:vMerge w:val="continue"/>
            <w:tcBorders>
              <w:top w:val="nil"/>
              <w:bottom w:val="nil"/>
            </w:tcBorders>
            <w:vAlign w:val="top"/>
          </w:tcPr>
          <w:p w14:paraId="3F276AC6">
            <w:pPr>
              <w:rPr>
                <w:rFonts w:ascii="Arial"/>
                <w:sz w:val="21"/>
              </w:rPr>
            </w:pPr>
          </w:p>
        </w:tc>
        <w:tc>
          <w:tcPr>
            <w:tcW w:w="1596" w:type="dxa"/>
            <w:vMerge w:val="continue"/>
            <w:tcBorders>
              <w:top w:val="nil"/>
              <w:bottom w:val="nil"/>
            </w:tcBorders>
            <w:vAlign w:val="top"/>
          </w:tcPr>
          <w:p w14:paraId="45CAAC59">
            <w:pPr>
              <w:rPr>
                <w:rFonts w:ascii="Arial"/>
                <w:sz w:val="21"/>
              </w:rPr>
            </w:pPr>
          </w:p>
        </w:tc>
        <w:tc>
          <w:tcPr>
            <w:tcW w:w="871" w:type="dxa"/>
            <w:vAlign w:val="top"/>
          </w:tcPr>
          <w:p w14:paraId="66C84850">
            <w:pPr>
              <w:spacing w:before="294" w:line="195" w:lineRule="auto"/>
              <w:ind w:left="31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1017" w:type="dxa"/>
            <w:vAlign w:val="top"/>
          </w:tcPr>
          <w:p w14:paraId="292078BD">
            <w:pPr>
              <w:spacing w:before="295" w:line="195" w:lineRule="auto"/>
              <w:ind w:left="43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384" w:type="dxa"/>
            <w:textDirection w:val="tbRlV"/>
            <w:vAlign w:val="top"/>
          </w:tcPr>
          <w:p w14:paraId="6ED4A4E3">
            <w:pPr>
              <w:spacing w:before="58" w:line="217" w:lineRule="auto"/>
              <w:ind w:left="47"/>
              <w:rPr>
                <w:rFonts w:ascii="宋体" w:hAnsi="宋体" w:eastAsia="宋体" w:cs="宋体"/>
                <w:sz w:val="20"/>
                <w:szCs w:val="20"/>
              </w:rPr>
            </w:pPr>
            <w:r>
              <w:rPr>
                <w:rFonts w:ascii="宋体" w:hAnsi="宋体" w:eastAsia="宋体" w:cs="宋体"/>
                <w:spacing w:val="8"/>
                <w:sz w:val="20"/>
                <w:szCs w:val="20"/>
              </w:rPr>
              <w:t>达</w:t>
            </w:r>
            <w:r>
              <w:rPr>
                <w:rFonts w:ascii="宋体" w:hAnsi="宋体" w:eastAsia="宋体" w:cs="宋体"/>
                <w:spacing w:val="99"/>
                <w:sz w:val="20"/>
                <w:szCs w:val="20"/>
              </w:rPr>
              <w:t xml:space="preserve"> </w:t>
            </w:r>
            <w:r>
              <w:rPr>
                <w:rFonts w:ascii="宋体" w:hAnsi="宋体" w:eastAsia="宋体" w:cs="宋体"/>
                <w:spacing w:val="8"/>
                <w:sz w:val="20"/>
                <w:szCs w:val="20"/>
              </w:rPr>
              <w:t>标</w:t>
            </w:r>
          </w:p>
        </w:tc>
        <w:tc>
          <w:tcPr>
            <w:tcW w:w="123" w:type="dxa"/>
            <w:tcBorders>
              <w:top w:val="nil"/>
              <w:bottom w:val="nil"/>
              <w:right w:val="single" w:color="000000" w:sz="6" w:space="0"/>
            </w:tcBorders>
            <w:vAlign w:val="top"/>
          </w:tcPr>
          <w:p w14:paraId="2AF10C6D">
            <w:pPr>
              <w:rPr>
                <w:rFonts w:ascii="Arial"/>
                <w:sz w:val="21"/>
              </w:rPr>
            </w:pPr>
          </w:p>
        </w:tc>
      </w:tr>
      <w:tr w14:paraId="2304F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428" w:type="dxa"/>
            <w:vMerge w:val="continue"/>
            <w:tcBorders>
              <w:top w:val="nil"/>
              <w:left w:val="single" w:color="000000" w:sz="6" w:space="0"/>
              <w:bottom w:val="nil"/>
            </w:tcBorders>
            <w:vAlign w:val="top"/>
          </w:tcPr>
          <w:p w14:paraId="16FC25C8">
            <w:pPr>
              <w:rPr>
                <w:rFonts w:ascii="Arial"/>
                <w:sz w:val="21"/>
              </w:rPr>
            </w:pPr>
          </w:p>
        </w:tc>
        <w:tc>
          <w:tcPr>
            <w:tcW w:w="113" w:type="dxa"/>
            <w:tcBorders>
              <w:top w:val="nil"/>
              <w:bottom w:val="nil"/>
            </w:tcBorders>
            <w:vAlign w:val="top"/>
          </w:tcPr>
          <w:p w14:paraId="40153BE4">
            <w:pPr>
              <w:rPr>
                <w:rFonts w:ascii="Arial"/>
                <w:sz w:val="21"/>
              </w:rPr>
            </w:pPr>
          </w:p>
        </w:tc>
        <w:tc>
          <w:tcPr>
            <w:tcW w:w="383" w:type="dxa"/>
            <w:vMerge w:val="continue"/>
            <w:tcBorders>
              <w:top w:val="nil"/>
              <w:bottom w:val="nil"/>
            </w:tcBorders>
            <w:textDirection w:val="tbRlV"/>
            <w:vAlign w:val="top"/>
          </w:tcPr>
          <w:p w14:paraId="014E1B4F">
            <w:pPr>
              <w:rPr>
                <w:rFonts w:ascii="Arial"/>
                <w:sz w:val="21"/>
              </w:rPr>
            </w:pPr>
          </w:p>
        </w:tc>
        <w:tc>
          <w:tcPr>
            <w:tcW w:w="711" w:type="dxa"/>
            <w:vMerge w:val="continue"/>
            <w:tcBorders>
              <w:top w:val="nil"/>
              <w:bottom w:val="nil"/>
            </w:tcBorders>
            <w:vAlign w:val="top"/>
          </w:tcPr>
          <w:p w14:paraId="1EB3984C">
            <w:pPr>
              <w:rPr>
                <w:rFonts w:ascii="Arial"/>
                <w:sz w:val="21"/>
              </w:rPr>
            </w:pPr>
          </w:p>
        </w:tc>
        <w:tc>
          <w:tcPr>
            <w:tcW w:w="542" w:type="dxa"/>
            <w:textDirection w:val="tbRlV"/>
            <w:vAlign w:val="top"/>
          </w:tcPr>
          <w:p w14:paraId="02D72E14">
            <w:pPr>
              <w:spacing w:before="169" w:line="213" w:lineRule="auto"/>
              <w:ind w:left="46"/>
              <w:rPr>
                <w:rFonts w:ascii="宋体" w:hAnsi="宋体" w:eastAsia="宋体" w:cs="宋体"/>
                <w:sz w:val="20"/>
                <w:szCs w:val="20"/>
              </w:rPr>
            </w:pPr>
            <w:r>
              <w:rPr>
                <w:rFonts w:ascii="宋体" w:hAnsi="宋体" w:eastAsia="宋体" w:cs="宋体"/>
                <w:spacing w:val="8"/>
                <w:sz w:val="20"/>
                <w:szCs w:val="20"/>
              </w:rPr>
              <w:t>甲</w:t>
            </w:r>
            <w:r>
              <w:rPr>
                <w:rFonts w:ascii="宋体" w:hAnsi="宋体" w:eastAsia="宋体" w:cs="宋体"/>
                <w:spacing w:val="99"/>
                <w:sz w:val="20"/>
                <w:szCs w:val="20"/>
              </w:rPr>
              <w:t xml:space="preserve"> </w:t>
            </w:r>
            <w:r>
              <w:rPr>
                <w:rFonts w:ascii="宋体" w:hAnsi="宋体" w:eastAsia="宋体" w:cs="宋体"/>
                <w:spacing w:val="8"/>
                <w:sz w:val="20"/>
                <w:szCs w:val="20"/>
              </w:rPr>
              <w:t>苯</w:t>
            </w:r>
          </w:p>
        </w:tc>
        <w:tc>
          <w:tcPr>
            <w:tcW w:w="871" w:type="dxa"/>
            <w:vAlign w:val="top"/>
          </w:tcPr>
          <w:p w14:paraId="25AE3068">
            <w:pPr>
              <w:spacing w:before="295"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0.0001</w:t>
            </w:r>
          </w:p>
        </w:tc>
        <w:tc>
          <w:tcPr>
            <w:tcW w:w="1017" w:type="dxa"/>
            <w:vAlign w:val="top"/>
          </w:tcPr>
          <w:p w14:paraId="35C06EC6">
            <w:pPr>
              <w:spacing w:before="295"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0.012</w:t>
            </w:r>
          </w:p>
        </w:tc>
        <w:tc>
          <w:tcPr>
            <w:tcW w:w="1008" w:type="dxa"/>
            <w:vMerge w:val="continue"/>
            <w:tcBorders>
              <w:top w:val="nil"/>
              <w:bottom w:val="nil"/>
            </w:tcBorders>
            <w:vAlign w:val="top"/>
          </w:tcPr>
          <w:p w14:paraId="7E7D84AF">
            <w:pPr>
              <w:rPr>
                <w:rFonts w:ascii="Arial"/>
                <w:sz w:val="21"/>
              </w:rPr>
            </w:pPr>
          </w:p>
        </w:tc>
        <w:tc>
          <w:tcPr>
            <w:tcW w:w="1596" w:type="dxa"/>
            <w:vMerge w:val="continue"/>
            <w:tcBorders>
              <w:top w:val="nil"/>
              <w:bottom w:val="nil"/>
            </w:tcBorders>
            <w:vAlign w:val="top"/>
          </w:tcPr>
          <w:p w14:paraId="0C191600">
            <w:pPr>
              <w:rPr>
                <w:rFonts w:ascii="Arial"/>
                <w:sz w:val="21"/>
              </w:rPr>
            </w:pPr>
          </w:p>
        </w:tc>
        <w:tc>
          <w:tcPr>
            <w:tcW w:w="871" w:type="dxa"/>
            <w:vAlign w:val="top"/>
          </w:tcPr>
          <w:p w14:paraId="2D4F7E4B">
            <w:pPr>
              <w:spacing w:before="295" w:line="195" w:lineRule="auto"/>
              <w:ind w:left="31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1"/>
                <w:sz w:val="20"/>
                <w:szCs w:val="20"/>
              </w:rPr>
              <w:t>1</w:t>
            </w:r>
          </w:p>
        </w:tc>
        <w:tc>
          <w:tcPr>
            <w:tcW w:w="1017" w:type="dxa"/>
            <w:vAlign w:val="top"/>
          </w:tcPr>
          <w:p w14:paraId="777A1D65">
            <w:pPr>
              <w:spacing w:before="295" w:line="195" w:lineRule="auto"/>
              <w:ind w:left="4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384" w:type="dxa"/>
            <w:textDirection w:val="tbRlV"/>
            <w:vAlign w:val="top"/>
          </w:tcPr>
          <w:p w14:paraId="4E7B88B3">
            <w:pPr>
              <w:spacing w:before="58" w:line="217" w:lineRule="auto"/>
              <w:ind w:left="46"/>
              <w:rPr>
                <w:rFonts w:ascii="宋体" w:hAnsi="宋体" w:eastAsia="宋体" w:cs="宋体"/>
                <w:sz w:val="20"/>
                <w:szCs w:val="20"/>
              </w:rPr>
            </w:pPr>
            <w:r>
              <w:rPr>
                <w:rFonts w:ascii="宋体" w:hAnsi="宋体" w:eastAsia="宋体" w:cs="宋体"/>
                <w:spacing w:val="8"/>
                <w:sz w:val="20"/>
                <w:szCs w:val="20"/>
              </w:rPr>
              <w:t>达</w:t>
            </w:r>
            <w:r>
              <w:rPr>
                <w:rFonts w:ascii="宋体" w:hAnsi="宋体" w:eastAsia="宋体" w:cs="宋体"/>
                <w:spacing w:val="99"/>
                <w:sz w:val="20"/>
                <w:szCs w:val="20"/>
              </w:rPr>
              <w:t xml:space="preserve"> </w:t>
            </w:r>
            <w:r>
              <w:rPr>
                <w:rFonts w:ascii="宋体" w:hAnsi="宋体" w:eastAsia="宋体" w:cs="宋体"/>
                <w:spacing w:val="8"/>
                <w:sz w:val="20"/>
                <w:szCs w:val="20"/>
              </w:rPr>
              <w:t>标</w:t>
            </w:r>
          </w:p>
        </w:tc>
        <w:tc>
          <w:tcPr>
            <w:tcW w:w="123" w:type="dxa"/>
            <w:tcBorders>
              <w:top w:val="nil"/>
              <w:bottom w:val="nil"/>
              <w:right w:val="single" w:color="000000" w:sz="6" w:space="0"/>
            </w:tcBorders>
            <w:vAlign w:val="top"/>
          </w:tcPr>
          <w:p w14:paraId="0290DEA8">
            <w:pPr>
              <w:rPr>
                <w:rFonts w:ascii="Arial"/>
                <w:sz w:val="21"/>
              </w:rPr>
            </w:pPr>
          </w:p>
        </w:tc>
      </w:tr>
      <w:tr w14:paraId="19D7E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428" w:type="dxa"/>
            <w:vMerge w:val="continue"/>
            <w:tcBorders>
              <w:top w:val="nil"/>
              <w:left w:val="single" w:color="000000" w:sz="6" w:space="0"/>
              <w:bottom w:val="nil"/>
            </w:tcBorders>
            <w:vAlign w:val="top"/>
          </w:tcPr>
          <w:p w14:paraId="6C0C8452">
            <w:pPr>
              <w:rPr>
                <w:rFonts w:ascii="Arial"/>
                <w:sz w:val="21"/>
              </w:rPr>
            </w:pPr>
          </w:p>
        </w:tc>
        <w:tc>
          <w:tcPr>
            <w:tcW w:w="113" w:type="dxa"/>
            <w:tcBorders>
              <w:top w:val="nil"/>
              <w:bottom w:val="nil"/>
            </w:tcBorders>
            <w:vAlign w:val="top"/>
          </w:tcPr>
          <w:p w14:paraId="05F52C6A">
            <w:pPr>
              <w:rPr>
                <w:rFonts w:ascii="Arial"/>
                <w:sz w:val="21"/>
              </w:rPr>
            </w:pPr>
          </w:p>
        </w:tc>
        <w:tc>
          <w:tcPr>
            <w:tcW w:w="383" w:type="dxa"/>
            <w:vMerge w:val="continue"/>
            <w:tcBorders>
              <w:top w:val="nil"/>
              <w:bottom w:val="nil"/>
            </w:tcBorders>
            <w:textDirection w:val="tbRlV"/>
            <w:vAlign w:val="top"/>
          </w:tcPr>
          <w:p w14:paraId="0ACF3AC8">
            <w:pPr>
              <w:rPr>
                <w:rFonts w:ascii="Arial"/>
                <w:sz w:val="21"/>
              </w:rPr>
            </w:pPr>
          </w:p>
        </w:tc>
        <w:tc>
          <w:tcPr>
            <w:tcW w:w="711" w:type="dxa"/>
            <w:vMerge w:val="continue"/>
            <w:tcBorders>
              <w:top w:val="nil"/>
            </w:tcBorders>
            <w:vAlign w:val="top"/>
          </w:tcPr>
          <w:p w14:paraId="2566A48A">
            <w:pPr>
              <w:rPr>
                <w:rFonts w:ascii="Arial"/>
                <w:sz w:val="21"/>
              </w:rPr>
            </w:pPr>
          </w:p>
        </w:tc>
        <w:tc>
          <w:tcPr>
            <w:tcW w:w="542" w:type="dxa"/>
            <w:textDirection w:val="tbRlV"/>
            <w:vAlign w:val="top"/>
          </w:tcPr>
          <w:p w14:paraId="63DE37AF">
            <w:pPr>
              <w:spacing w:before="169" w:line="213" w:lineRule="auto"/>
              <w:ind w:left="86"/>
              <w:rPr>
                <w:rFonts w:ascii="宋体" w:hAnsi="宋体" w:eastAsia="宋体" w:cs="宋体"/>
                <w:sz w:val="20"/>
                <w:szCs w:val="20"/>
              </w:rPr>
            </w:pPr>
            <w:r>
              <w:rPr>
                <w:rFonts w:ascii="宋体" w:hAnsi="宋体" w:eastAsia="宋体" w:cs="宋体"/>
                <w:spacing w:val="-17"/>
                <w:sz w:val="20"/>
                <w:szCs w:val="20"/>
              </w:rPr>
              <w:t>二</w:t>
            </w:r>
            <w:r>
              <w:rPr>
                <w:rFonts w:ascii="宋体" w:hAnsi="宋体" w:eastAsia="宋体" w:cs="宋体"/>
                <w:spacing w:val="18"/>
                <w:sz w:val="20"/>
                <w:szCs w:val="20"/>
              </w:rPr>
              <w:t xml:space="preserve">  </w:t>
            </w:r>
            <w:r>
              <w:rPr>
                <w:rFonts w:ascii="宋体" w:hAnsi="宋体" w:eastAsia="宋体" w:cs="宋体"/>
                <w:spacing w:val="-17"/>
                <w:sz w:val="20"/>
                <w:szCs w:val="20"/>
              </w:rPr>
              <w:t>甲</w:t>
            </w:r>
            <w:r>
              <w:rPr>
                <w:rFonts w:ascii="宋体" w:hAnsi="宋体" w:eastAsia="宋体" w:cs="宋体"/>
                <w:spacing w:val="100"/>
                <w:sz w:val="20"/>
                <w:szCs w:val="20"/>
              </w:rPr>
              <w:t xml:space="preserve"> </w:t>
            </w:r>
            <w:r>
              <w:rPr>
                <w:rFonts w:ascii="宋体" w:hAnsi="宋体" w:eastAsia="宋体" w:cs="宋体"/>
                <w:spacing w:val="-17"/>
                <w:sz w:val="20"/>
                <w:szCs w:val="20"/>
              </w:rPr>
              <w:t>苯</w:t>
            </w:r>
          </w:p>
        </w:tc>
        <w:tc>
          <w:tcPr>
            <w:tcW w:w="871" w:type="dxa"/>
            <w:vAlign w:val="top"/>
          </w:tcPr>
          <w:p w14:paraId="1580F5A2">
            <w:pPr>
              <w:spacing w:line="438" w:lineRule="auto"/>
              <w:rPr>
                <w:rFonts w:ascii="Arial"/>
                <w:sz w:val="21"/>
              </w:rPr>
            </w:pPr>
          </w:p>
          <w:p w14:paraId="00BFB92C">
            <w:pPr>
              <w:spacing w:before="57" w:line="195" w:lineRule="auto"/>
              <w:ind w:left="1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0.0006</w:t>
            </w:r>
          </w:p>
        </w:tc>
        <w:tc>
          <w:tcPr>
            <w:tcW w:w="1017" w:type="dxa"/>
            <w:vAlign w:val="top"/>
          </w:tcPr>
          <w:p w14:paraId="35E39039">
            <w:pPr>
              <w:spacing w:line="438" w:lineRule="auto"/>
              <w:rPr>
                <w:rFonts w:ascii="Arial"/>
                <w:sz w:val="21"/>
              </w:rPr>
            </w:pPr>
          </w:p>
          <w:p w14:paraId="11848AF4">
            <w:pPr>
              <w:spacing w:before="57"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0.053</w:t>
            </w:r>
          </w:p>
        </w:tc>
        <w:tc>
          <w:tcPr>
            <w:tcW w:w="1008" w:type="dxa"/>
            <w:vMerge w:val="continue"/>
            <w:tcBorders>
              <w:top w:val="nil"/>
            </w:tcBorders>
            <w:vAlign w:val="top"/>
          </w:tcPr>
          <w:p w14:paraId="3EDF9F5E">
            <w:pPr>
              <w:rPr>
                <w:rFonts w:ascii="Arial"/>
                <w:sz w:val="21"/>
              </w:rPr>
            </w:pPr>
          </w:p>
        </w:tc>
        <w:tc>
          <w:tcPr>
            <w:tcW w:w="1596" w:type="dxa"/>
            <w:vMerge w:val="continue"/>
            <w:tcBorders>
              <w:top w:val="nil"/>
            </w:tcBorders>
            <w:vAlign w:val="top"/>
          </w:tcPr>
          <w:p w14:paraId="3F4ADCD9">
            <w:pPr>
              <w:rPr>
                <w:rFonts w:ascii="Arial"/>
                <w:sz w:val="21"/>
              </w:rPr>
            </w:pPr>
          </w:p>
        </w:tc>
        <w:tc>
          <w:tcPr>
            <w:tcW w:w="871" w:type="dxa"/>
            <w:vAlign w:val="top"/>
          </w:tcPr>
          <w:p w14:paraId="43179FCC">
            <w:pPr>
              <w:spacing w:line="438" w:lineRule="auto"/>
              <w:rPr>
                <w:rFonts w:ascii="Arial"/>
                <w:sz w:val="21"/>
              </w:rPr>
            </w:pPr>
          </w:p>
          <w:p w14:paraId="02A37263">
            <w:pPr>
              <w:spacing w:before="57" w:line="195" w:lineRule="auto"/>
              <w:ind w:left="32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c>
          <w:tcPr>
            <w:tcW w:w="1017" w:type="dxa"/>
            <w:vAlign w:val="top"/>
          </w:tcPr>
          <w:p w14:paraId="47C23BBD">
            <w:pPr>
              <w:spacing w:line="438" w:lineRule="auto"/>
              <w:rPr>
                <w:rFonts w:ascii="Arial"/>
                <w:sz w:val="21"/>
              </w:rPr>
            </w:pPr>
          </w:p>
          <w:p w14:paraId="58DF9392">
            <w:pPr>
              <w:spacing w:before="57" w:line="195" w:lineRule="auto"/>
              <w:ind w:left="41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384" w:type="dxa"/>
            <w:textDirection w:val="tbRlV"/>
            <w:vAlign w:val="top"/>
          </w:tcPr>
          <w:p w14:paraId="193FCB71">
            <w:pPr>
              <w:spacing w:before="58" w:line="217" w:lineRule="auto"/>
              <w:ind w:left="251"/>
              <w:rPr>
                <w:rFonts w:ascii="宋体" w:hAnsi="宋体" w:eastAsia="宋体" w:cs="宋体"/>
                <w:sz w:val="20"/>
                <w:szCs w:val="20"/>
              </w:rPr>
            </w:pPr>
            <w:r>
              <w:rPr>
                <w:rFonts w:ascii="宋体" w:hAnsi="宋体" w:eastAsia="宋体" w:cs="宋体"/>
                <w:spacing w:val="8"/>
                <w:sz w:val="20"/>
                <w:szCs w:val="20"/>
              </w:rPr>
              <w:t>达</w:t>
            </w:r>
            <w:r>
              <w:rPr>
                <w:rFonts w:ascii="宋体" w:hAnsi="宋体" w:eastAsia="宋体" w:cs="宋体"/>
                <w:spacing w:val="99"/>
                <w:sz w:val="20"/>
                <w:szCs w:val="20"/>
              </w:rPr>
              <w:t xml:space="preserve"> </w:t>
            </w:r>
            <w:r>
              <w:rPr>
                <w:rFonts w:ascii="宋体" w:hAnsi="宋体" w:eastAsia="宋体" w:cs="宋体"/>
                <w:spacing w:val="8"/>
                <w:sz w:val="20"/>
                <w:szCs w:val="20"/>
              </w:rPr>
              <w:t>标</w:t>
            </w:r>
          </w:p>
        </w:tc>
        <w:tc>
          <w:tcPr>
            <w:tcW w:w="123" w:type="dxa"/>
            <w:tcBorders>
              <w:top w:val="nil"/>
              <w:bottom w:val="nil"/>
              <w:right w:val="single" w:color="000000" w:sz="6" w:space="0"/>
            </w:tcBorders>
            <w:vAlign w:val="top"/>
          </w:tcPr>
          <w:p w14:paraId="6EA84D97">
            <w:pPr>
              <w:rPr>
                <w:rFonts w:ascii="Arial"/>
                <w:sz w:val="21"/>
              </w:rPr>
            </w:pPr>
          </w:p>
        </w:tc>
      </w:tr>
      <w:tr w14:paraId="1F9F7D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3" w:hRule="atLeast"/>
        </w:trPr>
        <w:tc>
          <w:tcPr>
            <w:tcW w:w="428" w:type="dxa"/>
            <w:vMerge w:val="continue"/>
            <w:tcBorders>
              <w:top w:val="nil"/>
              <w:left w:val="single" w:color="000000" w:sz="6" w:space="0"/>
              <w:bottom w:val="single" w:color="000000" w:sz="6" w:space="0"/>
            </w:tcBorders>
            <w:vAlign w:val="top"/>
          </w:tcPr>
          <w:p w14:paraId="6F6BA7D1">
            <w:pPr>
              <w:rPr>
                <w:rFonts w:ascii="Arial"/>
                <w:sz w:val="21"/>
              </w:rPr>
            </w:pPr>
          </w:p>
        </w:tc>
        <w:tc>
          <w:tcPr>
            <w:tcW w:w="113" w:type="dxa"/>
            <w:tcBorders>
              <w:top w:val="nil"/>
              <w:bottom w:val="single" w:color="000000" w:sz="6" w:space="0"/>
            </w:tcBorders>
            <w:vAlign w:val="top"/>
          </w:tcPr>
          <w:p w14:paraId="69E120E6">
            <w:pPr>
              <w:rPr>
                <w:rFonts w:ascii="Arial"/>
                <w:sz w:val="21"/>
              </w:rPr>
            </w:pPr>
          </w:p>
        </w:tc>
        <w:tc>
          <w:tcPr>
            <w:tcW w:w="383" w:type="dxa"/>
            <w:vMerge w:val="continue"/>
            <w:tcBorders>
              <w:top w:val="nil"/>
              <w:bottom w:val="single" w:color="000000" w:sz="6" w:space="0"/>
            </w:tcBorders>
            <w:textDirection w:val="tbRlV"/>
            <w:vAlign w:val="top"/>
          </w:tcPr>
          <w:p w14:paraId="5D165C5B">
            <w:pPr>
              <w:rPr>
                <w:rFonts w:ascii="Arial"/>
                <w:sz w:val="21"/>
              </w:rPr>
            </w:pPr>
          </w:p>
        </w:tc>
        <w:tc>
          <w:tcPr>
            <w:tcW w:w="711" w:type="dxa"/>
            <w:tcBorders>
              <w:bottom w:val="single" w:color="000000" w:sz="6" w:space="0"/>
            </w:tcBorders>
            <w:vAlign w:val="top"/>
          </w:tcPr>
          <w:p w14:paraId="085608E9">
            <w:pPr>
              <w:spacing w:line="258" w:lineRule="auto"/>
              <w:rPr>
                <w:rFonts w:ascii="Arial"/>
                <w:sz w:val="21"/>
              </w:rPr>
            </w:pPr>
          </w:p>
          <w:p w14:paraId="251EC20B">
            <w:pPr>
              <w:spacing w:before="57" w:line="195" w:lineRule="auto"/>
              <w:ind w:left="147"/>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14"/>
                <w:sz w:val="20"/>
                <w:szCs w:val="20"/>
              </w:rPr>
              <w:t>0</w:t>
            </w:r>
          </w:p>
          <w:p w14:paraId="1EBCF33C">
            <w:pPr>
              <w:spacing w:before="175" w:line="195" w:lineRule="auto"/>
              <w:ind w:left="24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03</w:t>
            </w:r>
          </w:p>
        </w:tc>
        <w:tc>
          <w:tcPr>
            <w:tcW w:w="542" w:type="dxa"/>
            <w:tcBorders>
              <w:bottom w:val="single" w:color="000000" w:sz="6" w:space="0"/>
            </w:tcBorders>
            <w:textDirection w:val="tbRlV"/>
            <w:vAlign w:val="top"/>
          </w:tcPr>
          <w:p w14:paraId="1370B85A">
            <w:pPr>
              <w:spacing w:before="170" w:line="217" w:lineRule="auto"/>
              <w:ind w:left="46"/>
              <w:rPr>
                <w:rFonts w:ascii="宋体" w:hAnsi="宋体" w:eastAsia="宋体" w:cs="宋体"/>
                <w:sz w:val="20"/>
                <w:szCs w:val="20"/>
              </w:rPr>
            </w:pPr>
            <w:r>
              <w:rPr>
                <w:rFonts w:ascii="宋体" w:hAnsi="宋体" w:eastAsia="宋体" w:cs="宋体"/>
                <w:spacing w:val="8"/>
                <w:sz w:val="20"/>
                <w:szCs w:val="20"/>
              </w:rPr>
              <w:t>颗</w:t>
            </w:r>
            <w:r>
              <w:rPr>
                <w:rFonts w:ascii="宋体" w:hAnsi="宋体" w:eastAsia="宋体" w:cs="宋体"/>
                <w:spacing w:val="100"/>
                <w:sz w:val="20"/>
                <w:szCs w:val="20"/>
              </w:rPr>
              <w:t xml:space="preserve"> </w:t>
            </w:r>
            <w:r>
              <w:rPr>
                <w:rFonts w:ascii="宋体" w:hAnsi="宋体" w:eastAsia="宋体" w:cs="宋体"/>
                <w:spacing w:val="8"/>
                <w:sz w:val="20"/>
                <w:szCs w:val="20"/>
              </w:rPr>
              <w:t>粒</w:t>
            </w:r>
            <w:r>
              <w:rPr>
                <w:rFonts w:ascii="宋体" w:hAnsi="宋体" w:eastAsia="宋体" w:cs="宋体"/>
                <w:spacing w:val="99"/>
                <w:sz w:val="20"/>
                <w:szCs w:val="20"/>
              </w:rPr>
              <w:t xml:space="preserve"> </w:t>
            </w:r>
            <w:r>
              <w:rPr>
                <w:rFonts w:ascii="宋体" w:hAnsi="宋体" w:eastAsia="宋体" w:cs="宋体"/>
                <w:spacing w:val="8"/>
                <w:sz w:val="20"/>
                <w:szCs w:val="20"/>
              </w:rPr>
              <w:t>物</w:t>
            </w:r>
          </w:p>
        </w:tc>
        <w:tc>
          <w:tcPr>
            <w:tcW w:w="871" w:type="dxa"/>
            <w:tcBorders>
              <w:bottom w:val="single" w:color="000000" w:sz="6" w:space="0"/>
            </w:tcBorders>
            <w:vAlign w:val="top"/>
          </w:tcPr>
          <w:p w14:paraId="3D220267">
            <w:pPr>
              <w:spacing w:line="437" w:lineRule="auto"/>
              <w:rPr>
                <w:rFonts w:ascii="Arial"/>
                <w:sz w:val="21"/>
              </w:rPr>
            </w:pPr>
          </w:p>
          <w:p w14:paraId="5C5F3B93">
            <w:pPr>
              <w:spacing w:before="57" w:line="195" w:lineRule="auto"/>
              <w:ind w:left="30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1017" w:type="dxa"/>
            <w:tcBorders>
              <w:bottom w:val="single" w:color="000000" w:sz="6" w:space="0"/>
            </w:tcBorders>
            <w:vAlign w:val="top"/>
          </w:tcPr>
          <w:p w14:paraId="026D0140">
            <w:pPr>
              <w:spacing w:line="437" w:lineRule="auto"/>
              <w:rPr>
                <w:rFonts w:ascii="Arial"/>
                <w:sz w:val="21"/>
              </w:rPr>
            </w:pPr>
          </w:p>
          <w:p w14:paraId="50A64F16">
            <w:pPr>
              <w:spacing w:before="57" w:line="195" w:lineRule="auto"/>
              <w:ind w:left="32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5.24</w:t>
            </w:r>
          </w:p>
        </w:tc>
        <w:tc>
          <w:tcPr>
            <w:tcW w:w="1008" w:type="dxa"/>
            <w:tcBorders>
              <w:bottom w:val="single" w:color="000000" w:sz="6" w:space="0"/>
            </w:tcBorders>
            <w:vAlign w:val="top"/>
          </w:tcPr>
          <w:p w14:paraId="02C3FE64">
            <w:pPr>
              <w:spacing w:line="437" w:lineRule="auto"/>
              <w:rPr>
                <w:rFonts w:ascii="Arial"/>
                <w:sz w:val="21"/>
              </w:rPr>
            </w:pPr>
          </w:p>
          <w:p w14:paraId="1714AA9F">
            <w:pPr>
              <w:spacing w:before="57" w:line="195" w:lineRule="auto"/>
              <w:ind w:left="262"/>
              <w:rPr>
                <w:rFonts w:ascii="Times New Roman" w:hAnsi="Times New Roman" w:eastAsia="Times New Roman" w:cs="Times New Roman"/>
                <w:sz w:val="20"/>
                <w:szCs w:val="20"/>
              </w:rPr>
            </w:pPr>
            <w:r>
              <w:rPr>
                <w:rFonts w:ascii="Times New Roman" w:hAnsi="Times New Roman" w:eastAsia="Times New Roman" w:cs="Times New Roman"/>
                <w:sz w:val="20"/>
                <w:szCs w:val="20"/>
              </w:rPr>
              <w:t>19014</w:t>
            </w:r>
          </w:p>
        </w:tc>
        <w:tc>
          <w:tcPr>
            <w:tcW w:w="1596" w:type="dxa"/>
            <w:tcBorders>
              <w:bottom w:val="single" w:color="000000" w:sz="6" w:space="0"/>
            </w:tcBorders>
            <w:vAlign w:val="top"/>
          </w:tcPr>
          <w:p w14:paraId="136788F7">
            <w:pPr>
              <w:spacing w:before="46" w:line="228" w:lineRule="auto"/>
              <w:ind w:left="181"/>
              <w:rPr>
                <w:rFonts w:ascii="宋体" w:hAnsi="宋体" w:eastAsia="宋体" w:cs="宋体"/>
                <w:sz w:val="20"/>
                <w:szCs w:val="20"/>
              </w:rPr>
            </w:pPr>
            <w:r>
              <w:rPr>
                <w:rFonts w:ascii="宋体" w:hAnsi="宋体" w:eastAsia="宋体" w:cs="宋体"/>
                <w:spacing w:val="7"/>
                <w:sz w:val="20"/>
                <w:szCs w:val="20"/>
              </w:rPr>
              <w:t>《工业炉窑大</w:t>
            </w:r>
          </w:p>
          <w:p w14:paraId="4B6571C9">
            <w:pPr>
              <w:spacing w:before="160" w:line="228" w:lineRule="auto"/>
              <w:ind w:left="177"/>
              <w:rPr>
                <w:rFonts w:ascii="宋体" w:hAnsi="宋体" w:eastAsia="宋体" w:cs="宋体"/>
                <w:sz w:val="20"/>
                <w:szCs w:val="20"/>
              </w:rPr>
            </w:pPr>
            <w:r>
              <w:rPr>
                <w:rFonts w:ascii="宋体" w:hAnsi="宋体" w:eastAsia="宋体" w:cs="宋体"/>
                <w:spacing w:val="8"/>
                <w:sz w:val="20"/>
                <w:szCs w:val="20"/>
              </w:rPr>
              <w:t>气污染物排放</w:t>
            </w:r>
          </w:p>
          <w:p w14:paraId="2A95C018">
            <w:pPr>
              <w:spacing w:before="161" w:line="228" w:lineRule="auto"/>
              <w:ind w:left="491"/>
              <w:rPr>
                <w:rFonts w:ascii="宋体" w:hAnsi="宋体" w:eastAsia="宋体" w:cs="宋体"/>
                <w:sz w:val="20"/>
                <w:szCs w:val="20"/>
              </w:rPr>
            </w:pPr>
            <w:r>
              <w:rPr>
                <w:rFonts w:ascii="宋体" w:hAnsi="宋体" w:eastAsia="宋体" w:cs="宋体"/>
                <w:spacing w:val="2"/>
                <w:sz w:val="20"/>
                <w:szCs w:val="20"/>
              </w:rPr>
              <w:t>标准》</w:t>
            </w:r>
          </w:p>
        </w:tc>
        <w:tc>
          <w:tcPr>
            <w:tcW w:w="871" w:type="dxa"/>
            <w:tcBorders>
              <w:bottom w:val="single" w:color="000000" w:sz="6" w:space="0"/>
            </w:tcBorders>
            <w:vAlign w:val="top"/>
          </w:tcPr>
          <w:p w14:paraId="2EBF8D7B">
            <w:pPr>
              <w:spacing w:line="437" w:lineRule="auto"/>
              <w:rPr>
                <w:rFonts w:ascii="Arial"/>
                <w:sz w:val="21"/>
              </w:rPr>
            </w:pPr>
          </w:p>
          <w:p w14:paraId="1BD53223">
            <w:pPr>
              <w:spacing w:before="57" w:line="195" w:lineRule="auto"/>
              <w:ind w:left="31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017" w:type="dxa"/>
            <w:tcBorders>
              <w:bottom w:val="single" w:color="000000" w:sz="6" w:space="0"/>
            </w:tcBorders>
            <w:vAlign w:val="top"/>
          </w:tcPr>
          <w:p w14:paraId="05A001BC">
            <w:pPr>
              <w:spacing w:line="437" w:lineRule="auto"/>
              <w:rPr>
                <w:rFonts w:ascii="Arial"/>
                <w:sz w:val="21"/>
              </w:rPr>
            </w:pPr>
          </w:p>
          <w:p w14:paraId="42642045">
            <w:pPr>
              <w:spacing w:before="57" w:line="195"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120</w:t>
            </w:r>
          </w:p>
        </w:tc>
        <w:tc>
          <w:tcPr>
            <w:tcW w:w="384" w:type="dxa"/>
            <w:tcBorders>
              <w:bottom w:val="single" w:color="000000" w:sz="6" w:space="0"/>
            </w:tcBorders>
            <w:textDirection w:val="tbRlV"/>
            <w:vAlign w:val="top"/>
          </w:tcPr>
          <w:p w14:paraId="066D92BE">
            <w:pPr>
              <w:spacing w:before="58" w:line="217" w:lineRule="auto"/>
              <w:ind w:left="250"/>
              <w:rPr>
                <w:rFonts w:ascii="宋体" w:hAnsi="宋体" w:eastAsia="宋体" w:cs="宋体"/>
                <w:sz w:val="20"/>
                <w:szCs w:val="20"/>
              </w:rPr>
            </w:pPr>
            <w:r>
              <w:rPr>
                <w:rFonts w:ascii="宋体" w:hAnsi="宋体" w:eastAsia="宋体" w:cs="宋体"/>
                <w:spacing w:val="8"/>
                <w:sz w:val="20"/>
                <w:szCs w:val="20"/>
              </w:rPr>
              <w:t>达</w:t>
            </w:r>
            <w:r>
              <w:rPr>
                <w:rFonts w:ascii="宋体" w:hAnsi="宋体" w:eastAsia="宋体" w:cs="宋体"/>
                <w:spacing w:val="99"/>
                <w:sz w:val="20"/>
                <w:szCs w:val="20"/>
              </w:rPr>
              <w:t xml:space="preserve"> </w:t>
            </w:r>
            <w:r>
              <w:rPr>
                <w:rFonts w:ascii="宋体" w:hAnsi="宋体" w:eastAsia="宋体" w:cs="宋体"/>
                <w:spacing w:val="8"/>
                <w:sz w:val="20"/>
                <w:szCs w:val="20"/>
              </w:rPr>
              <w:t>标</w:t>
            </w:r>
          </w:p>
        </w:tc>
        <w:tc>
          <w:tcPr>
            <w:tcW w:w="123" w:type="dxa"/>
            <w:tcBorders>
              <w:top w:val="nil"/>
              <w:bottom w:val="single" w:color="000000" w:sz="6" w:space="0"/>
              <w:right w:val="single" w:color="000000" w:sz="6" w:space="0"/>
            </w:tcBorders>
            <w:vAlign w:val="top"/>
          </w:tcPr>
          <w:p w14:paraId="4844E84F">
            <w:pPr>
              <w:rPr>
                <w:rFonts w:ascii="Arial"/>
                <w:sz w:val="21"/>
              </w:rPr>
            </w:pPr>
          </w:p>
        </w:tc>
      </w:tr>
    </w:tbl>
    <w:p w14:paraId="12DA206E">
      <w:pPr>
        <w:pStyle w:val="2"/>
      </w:pPr>
    </w:p>
    <w:p w14:paraId="6951B872">
      <w:pPr>
        <w:sectPr>
          <w:footerReference r:id="rId69" w:type="default"/>
          <w:pgSz w:w="11906" w:h="16839"/>
          <w:pgMar w:top="400" w:right="1413" w:bottom="1329" w:left="1413" w:header="0" w:footer="1113" w:gutter="0"/>
          <w:cols w:space="720" w:num="1"/>
        </w:sectPr>
      </w:pPr>
    </w:p>
    <w:p w14:paraId="21AEA5D8">
      <w:pPr>
        <w:spacing w:before="19"/>
      </w:pPr>
      <w:r>
        <w:pict>
          <v:shape id="_x0000_s1050" o:spid="_x0000_s1050" style="position:absolute;left:0pt;margin-left:104pt;margin-top:743.6pt;height:0.5pt;width:408.25pt;mso-position-horizontal-relative:page;mso-position-vertical-relative:page;z-index:251676672;mso-width-relative:page;mso-height-relative:page;" filled="f" stroked="t" coordsize="8165,10" o:allowincell="f" path="m0,4l8164,4e">
            <v:fill on="f" focussize="0,0"/>
            <v:stroke weight="0.48pt" color="#000000" miterlimit="2" joinstyle="bevel"/>
            <v:imagedata o:title=""/>
            <o:lock v:ext="edit"/>
          </v:shape>
        </w:pict>
      </w:r>
    </w:p>
    <w:p w14:paraId="4B342554">
      <w:pPr>
        <w:spacing w:before="19"/>
      </w:pPr>
    </w:p>
    <w:p w14:paraId="65B755A7">
      <w:pPr>
        <w:spacing w:before="19"/>
      </w:pPr>
    </w:p>
    <w:p w14:paraId="17828064">
      <w:pPr>
        <w:spacing w:before="18"/>
      </w:pPr>
    </w:p>
    <w:p w14:paraId="7621D082">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130"/>
        <w:gridCol w:w="253"/>
        <w:gridCol w:w="711"/>
        <w:gridCol w:w="542"/>
        <w:gridCol w:w="283"/>
        <w:gridCol w:w="587"/>
        <w:gridCol w:w="120"/>
        <w:gridCol w:w="897"/>
        <w:gridCol w:w="372"/>
        <w:gridCol w:w="636"/>
        <w:gridCol w:w="634"/>
        <w:gridCol w:w="971"/>
        <w:gridCol w:w="870"/>
        <w:gridCol w:w="162"/>
        <w:gridCol w:w="856"/>
        <w:gridCol w:w="196"/>
        <w:gridCol w:w="189"/>
        <w:gridCol w:w="114"/>
      </w:tblGrid>
      <w:tr w14:paraId="78D26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restart"/>
            <w:tcBorders>
              <w:top w:val="single" w:color="000000" w:sz="6" w:space="0"/>
              <w:left w:val="single" w:color="000000" w:sz="6" w:space="0"/>
              <w:bottom w:val="nil"/>
            </w:tcBorders>
            <w:vAlign w:val="top"/>
          </w:tcPr>
          <w:p w14:paraId="1636F39C">
            <w:pPr>
              <w:rPr>
                <w:rFonts w:ascii="Arial"/>
                <w:sz w:val="21"/>
              </w:rPr>
            </w:pPr>
          </w:p>
        </w:tc>
        <w:tc>
          <w:tcPr>
            <w:tcW w:w="113" w:type="dxa"/>
            <w:tcBorders>
              <w:top w:val="single" w:color="000000" w:sz="6" w:space="0"/>
              <w:bottom w:val="nil"/>
            </w:tcBorders>
            <w:vAlign w:val="top"/>
          </w:tcPr>
          <w:p w14:paraId="4680568B">
            <w:pPr>
              <w:rPr>
                <w:rFonts w:ascii="Arial"/>
                <w:sz w:val="21"/>
              </w:rPr>
            </w:pPr>
          </w:p>
        </w:tc>
        <w:tc>
          <w:tcPr>
            <w:tcW w:w="383" w:type="dxa"/>
            <w:gridSpan w:val="2"/>
            <w:vMerge w:val="restart"/>
            <w:tcBorders>
              <w:top w:val="single" w:color="000000" w:sz="6" w:space="0"/>
              <w:bottom w:val="nil"/>
            </w:tcBorders>
            <w:vAlign w:val="top"/>
          </w:tcPr>
          <w:p w14:paraId="6E93553B">
            <w:pPr>
              <w:rPr>
                <w:rFonts w:ascii="Arial"/>
                <w:sz w:val="21"/>
              </w:rPr>
            </w:pPr>
          </w:p>
        </w:tc>
        <w:tc>
          <w:tcPr>
            <w:tcW w:w="711" w:type="dxa"/>
            <w:vMerge w:val="restart"/>
            <w:tcBorders>
              <w:top w:val="single" w:color="000000" w:sz="6" w:space="0"/>
              <w:bottom w:val="nil"/>
            </w:tcBorders>
            <w:vAlign w:val="top"/>
          </w:tcPr>
          <w:p w14:paraId="4D511CE9">
            <w:pPr>
              <w:rPr>
                <w:rFonts w:ascii="Arial"/>
                <w:sz w:val="21"/>
              </w:rPr>
            </w:pPr>
          </w:p>
        </w:tc>
        <w:tc>
          <w:tcPr>
            <w:tcW w:w="542" w:type="dxa"/>
            <w:tcBorders>
              <w:top w:val="single" w:color="000000" w:sz="6" w:space="0"/>
            </w:tcBorders>
            <w:vAlign w:val="top"/>
          </w:tcPr>
          <w:p w14:paraId="4F605025">
            <w:pPr>
              <w:spacing w:before="102" w:line="195" w:lineRule="auto"/>
              <w:ind w:left="14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SO</w:t>
            </w:r>
          </w:p>
          <w:p w14:paraId="5E608CF4">
            <w:pPr>
              <w:spacing w:before="242" w:line="196" w:lineRule="auto"/>
              <w:ind w:left="232"/>
              <w:rPr>
                <w:rFonts w:ascii="Times New Roman" w:hAnsi="Times New Roman" w:eastAsia="Times New Roman" w:cs="Times New Roman"/>
                <w:sz w:val="13"/>
                <w:szCs w:val="13"/>
              </w:rPr>
            </w:pPr>
            <w:r>
              <w:rPr>
                <w:rFonts w:ascii="Times New Roman" w:hAnsi="Times New Roman" w:eastAsia="Times New Roman" w:cs="Times New Roman"/>
                <w:sz w:val="13"/>
                <w:szCs w:val="13"/>
              </w:rPr>
              <w:t>2</w:t>
            </w:r>
          </w:p>
        </w:tc>
        <w:tc>
          <w:tcPr>
            <w:tcW w:w="870" w:type="dxa"/>
            <w:gridSpan w:val="2"/>
            <w:tcBorders>
              <w:top w:val="single" w:color="000000" w:sz="6" w:space="0"/>
            </w:tcBorders>
            <w:vAlign w:val="top"/>
          </w:tcPr>
          <w:p w14:paraId="6304E4EC">
            <w:pPr>
              <w:spacing w:before="284" w:line="195"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0.057</w:t>
            </w:r>
          </w:p>
        </w:tc>
        <w:tc>
          <w:tcPr>
            <w:tcW w:w="1017" w:type="dxa"/>
            <w:gridSpan w:val="2"/>
            <w:tcBorders>
              <w:top w:val="single" w:color="000000" w:sz="6" w:space="0"/>
            </w:tcBorders>
            <w:vAlign w:val="top"/>
          </w:tcPr>
          <w:p w14:paraId="426D2CD0">
            <w:pPr>
              <w:spacing w:before="284" w:line="195" w:lineRule="auto"/>
              <w:ind w:left="46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008" w:type="dxa"/>
            <w:gridSpan w:val="2"/>
            <w:vMerge w:val="restart"/>
            <w:tcBorders>
              <w:top w:val="single" w:color="000000" w:sz="6" w:space="0"/>
              <w:bottom w:val="nil"/>
            </w:tcBorders>
            <w:vAlign w:val="top"/>
          </w:tcPr>
          <w:p w14:paraId="51DBC50F">
            <w:pPr>
              <w:rPr>
                <w:rFonts w:ascii="Arial"/>
                <w:sz w:val="21"/>
              </w:rPr>
            </w:pPr>
          </w:p>
        </w:tc>
        <w:tc>
          <w:tcPr>
            <w:tcW w:w="1605" w:type="dxa"/>
            <w:gridSpan w:val="2"/>
            <w:vMerge w:val="restart"/>
            <w:tcBorders>
              <w:top w:val="single" w:color="000000" w:sz="6" w:space="0"/>
              <w:bottom w:val="nil"/>
            </w:tcBorders>
            <w:vAlign w:val="top"/>
          </w:tcPr>
          <w:p w14:paraId="732877DA">
            <w:pPr>
              <w:spacing w:before="53" w:line="351" w:lineRule="auto"/>
              <w:ind w:left="115" w:right="110" w:firstLine="21"/>
              <w:rPr>
                <w:rFonts w:ascii="宋体" w:hAnsi="宋体" w:eastAsia="宋体" w:cs="宋体"/>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3"/>
                <w:sz w:val="20"/>
                <w:szCs w:val="20"/>
              </w:rPr>
              <w:t>9078-</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3"/>
                <w:sz w:val="20"/>
                <w:szCs w:val="20"/>
              </w:rPr>
              <w:t>1996)</w:t>
            </w:r>
            <w:r>
              <w:rPr>
                <w:rFonts w:ascii="宋体" w:hAnsi="宋体" w:eastAsia="宋体" w:cs="宋体"/>
                <w:spacing w:val="-4"/>
                <w:sz w:val="20"/>
                <w:szCs w:val="20"/>
              </w:rPr>
              <w:t>和《大气污染物</w:t>
            </w:r>
          </w:p>
          <w:p w14:paraId="46D4D859">
            <w:pPr>
              <w:spacing w:before="35" w:line="228" w:lineRule="auto"/>
              <w:ind w:left="117"/>
              <w:rPr>
                <w:rFonts w:ascii="宋体" w:hAnsi="宋体" w:eastAsia="宋体" w:cs="宋体"/>
                <w:sz w:val="20"/>
                <w:szCs w:val="20"/>
              </w:rPr>
            </w:pPr>
            <w:r>
              <w:rPr>
                <w:rFonts w:ascii="宋体" w:hAnsi="宋体" w:eastAsia="宋体" w:cs="宋体"/>
                <w:spacing w:val="6"/>
                <w:sz w:val="20"/>
                <w:szCs w:val="20"/>
              </w:rPr>
              <w:t>综合排放标准》</w:t>
            </w:r>
          </w:p>
          <w:p w14:paraId="00CEF419">
            <w:pPr>
              <w:spacing w:before="181" w:line="349" w:lineRule="auto"/>
              <w:ind w:left="137" w:right="114" w:hanging="20"/>
              <w:rPr>
                <w:rFonts w:ascii="宋体" w:hAnsi="宋体" w:eastAsia="宋体" w:cs="宋体"/>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3"/>
                <w:sz w:val="20"/>
                <w:szCs w:val="20"/>
              </w:rPr>
              <w:t>16297-</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3"/>
                <w:sz w:val="20"/>
                <w:szCs w:val="20"/>
              </w:rPr>
              <w:t>1996</w:t>
            </w:r>
            <w:r>
              <w:rPr>
                <w:rFonts w:ascii="Times New Roman" w:hAnsi="Times New Roman" w:eastAsia="Times New Roman" w:cs="Times New Roman"/>
                <w:sz w:val="20"/>
                <w:szCs w:val="20"/>
              </w:rPr>
              <w:t xml:space="preserve"> </w:t>
            </w:r>
            <w:r>
              <w:rPr>
                <w:rFonts w:ascii="Times New Roman" w:hAnsi="Times New Roman" w:eastAsia="Times New Roman" w:cs="Times New Roman"/>
                <w:spacing w:val="2"/>
                <w:sz w:val="20"/>
                <w:szCs w:val="20"/>
              </w:rPr>
              <w:t>)</w:t>
            </w:r>
            <w:r>
              <w:rPr>
                <w:rFonts w:ascii="宋体" w:hAnsi="宋体" w:eastAsia="宋体" w:cs="宋体"/>
                <w:spacing w:val="2"/>
                <w:sz w:val="20"/>
                <w:szCs w:val="20"/>
              </w:rPr>
              <w:t>表</w:t>
            </w:r>
            <w:r>
              <w:rPr>
                <w:rFonts w:ascii="宋体" w:hAnsi="宋体" w:eastAsia="宋体" w:cs="宋体"/>
                <w:spacing w:val="-41"/>
                <w:sz w:val="20"/>
                <w:szCs w:val="20"/>
              </w:rPr>
              <w:t xml:space="preserve"> </w:t>
            </w:r>
            <w:r>
              <w:rPr>
                <w:rFonts w:ascii="Times New Roman" w:hAnsi="Times New Roman" w:eastAsia="Times New Roman" w:cs="Times New Roman"/>
                <w:spacing w:val="2"/>
                <w:sz w:val="20"/>
                <w:szCs w:val="20"/>
              </w:rPr>
              <w:t>2</w:t>
            </w:r>
            <w:r>
              <w:rPr>
                <w:rFonts w:ascii="Times New Roman" w:hAnsi="Times New Roman" w:eastAsia="Times New Roman" w:cs="Times New Roman"/>
                <w:spacing w:val="32"/>
                <w:sz w:val="20"/>
                <w:szCs w:val="20"/>
              </w:rPr>
              <w:t xml:space="preserve"> </w:t>
            </w:r>
            <w:r>
              <w:rPr>
                <w:rFonts w:ascii="宋体" w:hAnsi="宋体" w:eastAsia="宋体" w:cs="宋体"/>
                <w:spacing w:val="2"/>
                <w:sz w:val="20"/>
                <w:szCs w:val="20"/>
              </w:rPr>
              <w:t>中最严标</w:t>
            </w:r>
          </w:p>
          <w:p w14:paraId="4AA01714">
            <w:pPr>
              <w:spacing w:before="39" w:line="229" w:lineRule="auto"/>
              <w:ind w:left="702"/>
              <w:rPr>
                <w:rFonts w:ascii="宋体" w:hAnsi="宋体" w:eastAsia="宋体" w:cs="宋体"/>
                <w:sz w:val="20"/>
                <w:szCs w:val="20"/>
              </w:rPr>
            </w:pPr>
            <w:r>
              <w:rPr>
                <w:rFonts w:ascii="宋体" w:hAnsi="宋体" w:eastAsia="宋体" w:cs="宋体"/>
                <w:sz w:val="20"/>
                <w:szCs w:val="20"/>
              </w:rPr>
              <w:t>准</w:t>
            </w:r>
          </w:p>
        </w:tc>
        <w:tc>
          <w:tcPr>
            <w:tcW w:w="870" w:type="dxa"/>
            <w:tcBorders>
              <w:top w:val="single" w:color="000000" w:sz="6" w:space="0"/>
            </w:tcBorders>
            <w:vAlign w:val="top"/>
          </w:tcPr>
          <w:p w14:paraId="7A6773FE">
            <w:pPr>
              <w:spacing w:before="284" w:line="195" w:lineRule="auto"/>
              <w:ind w:left="3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2.6</w:t>
            </w:r>
          </w:p>
        </w:tc>
        <w:tc>
          <w:tcPr>
            <w:tcW w:w="1018" w:type="dxa"/>
            <w:gridSpan w:val="2"/>
            <w:tcBorders>
              <w:top w:val="single" w:color="000000" w:sz="6" w:space="0"/>
            </w:tcBorders>
            <w:vAlign w:val="top"/>
          </w:tcPr>
          <w:p w14:paraId="1DE991E2">
            <w:pPr>
              <w:spacing w:before="284" w:line="195" w:lineRule="auto"/>
              <w:ind w:left="35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550</w:t>
            </w:r>
          </w:p>
        </w:tc>
        <w:tc>
          <w:tcPr>
            <w:tcW w:w="385" w:type="dxa"/>
            <w:gridSpan w:val="2"/>
            <w:tcBorders>
              <w:top w:val="single" w:color="000000" w:sz="6" w:space="0"/>
            </w:tcBorders>
            <w:textDirection w:val="tbRlV"/>
            <w:vAlign w:val="top"/>
          </w:tcPr>
          <w:p w14:paraId="37882810">
            <w:pPr>
              <w:spacing w:before="67" w:line="217" w:lineRule="auto"/>
              <w:ind w:left="37"/>
              <w:rPr>
                <w:rFonts w:ascii="宋体" w:hAnsi="宋体" w:eastAsia="宋体" w:cs="宋体"/>
                <w:sz w:val="20"/>
                <w:szCs w:val="20"/>
              </w:rPr>
            </w:pPr>
            <w:r>
              <w:rPr>
                <w:rFonts w:ascii="宋体" w:hAnsi="宋体" w:eastAsia="宋体" w:cs="宋体"/>
                <w:spacing w:val="8"/>
                <w:sz w:val="20"/>
                <w:szCs w:val="20"/>
              </w:rPr>
              <w:t>达</w:t>
            </w:r>
            <w:r>
              <w:rPr>
                <w:rFonts w:ascii="宋体" w:hAnsi="宋体" w:eastAsia="宋体" w:cs="宋体"/>
                <w:spacing w:val="99"/>
                <w:sz w:val="20"/>
                <w:szCs w:val="20"/>
              </w:rPr>
              <w:t xml:space="preserve"> </w:t>
            </w:r>
            <w:r>
              <w:rPr>
                <w:rFonts w:ascii="宋体" w:hAnsi="宋体" w:eastAsia="宋体" w:cs="宋体"/>
                <w:spacing w:val="8"/>
                <w:sz w:val="20"/>
                <w:szCs w:val="20"/>
              </w:rPr>
              <w:t>标</w:t>
            </w:r>
          </w:p>
        </w:tc>
        <w:tc>
          <w:tcPr>
            <w:tcW w:w="114" w:type="dxa"/>
            <w:tcBorders>
              <w:top w:val="single" w:color="000000" w:sz="6" w:space="0"/>
              <w:bottom w:val="nil"/>
              <w:right w:val="single" w:color="000000" w:sz="6" w:space="0"/>
            </w:tcBorders>
            <w:vAlign w:val="top"/>
          </w:tcPr>
          <w:p w14:paraId="3803509E">
            <w:pPr>
              <w:rPr>
                <w:rFonts w:ascii="Arial"/>
                <w:sz w:val="21"/>
              </w:rPr>
            </w:pPr>
          </w:p>
        </w:tc>
      </w:tr>
      <w:tr w14:paraId="1D513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428" w:type="dxa"/>
            <w:vMerge w:val="continue"/>
            <w:tcBorders>
              <w:top w:val="nil"/>
              <w:left w:val="single" w:color="000000" w:sz="6" w:space="0"/>
              <w:bottom w:val="nil"/>
            </w:tcBorders>
            <w:vAlign w:val="top"/>
          </w:tcPr>
          <w:p w14:paraId="6CB4DDCE">
            <w:pPr>
              <w:rPr>
                <w:rFonts w:ascii="Arial"/>
                <w:sz w:val="21"/>
              </w:rPr>
            </w:pPr>
          </w:p>
        </w:tc>
        <w:tc>
          <w:tcPr>
            <w:tcW w:w="113" w:type="dxa"/>
            <w:tcBorders>
              <w:top w:val="nil"/>
              <w:bottom w:val="nil"/>
            </w:tcBorders>
            <w:vAlign w:val="top"/>
          </w:tcPr>
          <w:p w14:paraId="073D5146">
            <w:pPr>
              <w:rPr>
                <w:rFonts w:ascii="Arial"/>
                <w:sz w:val="21"/>
              </w:rPr>
            </w:pPr>
          </w:p>
        </w:tc>
        <w:tc>
          <w:tcPr>
            <w:tcW w:w="383" w:type="dxa"/>
            <w:gridSpan w:val="2"/>
            <w:vMerge w:val="continue"/>
            <w:tcBorders>
              <w:top w:val="nil"/>
              <w:bottom w:val="nil"/>
            </w:tcBorders>
            <w:vAlign w:val="top"/>
          </w:tcPr>
          <w:p w14:paraId="324A8421">
            <w:pPr>
              <w:rPr>
                <w:rFonts w:ascii="Arial"/>
                <w:sz w:val="21"/>
              </w:rPr>
            </w:pPr>
          </w:p>
        </w:tc>
        <w:tc>
          <w:tcPr>
            <w:tcW w:w="711" w:type="dxa"/>
            <w:vMerge w:val="continue"/>
            <w:tcBorders>
              <w:top w:val="nil"/>
              <w:bottom w:val="nil"/>
            </w:tcBorders>
            <w:vAlign w:val="top"/>
          </w:tcPr>
          <w:p w14:paraId="0CB91EA6">
            <w:pPr>
              <w:rPr>
                <w:rFonts w:ascii="Arial"/>
                <w:sz w:val="21"/>
              </w:rPr>
            </w:pPr>
          </w:p>
        </w:tc>
        <w:tc>
          <w:tcPr>
            <w:tcW w:w="542" w:type="dxa"/>
            <w:vAlign w:val="top"/>
          </w:tcPr>
          <w:p w14:paraId="552E92BC">
            <w:pPr>
              <w:spacing w:before="104"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NO</w:t>
            </w:r>
          </w:p>
          <w:p w14:paraId="3FDEA5E0">
            <w:pPr>
              <w:spacing w:before="224" w:line="138" w:lineRule="exact"/>
              <w:ind w:left="21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x</w:t>
            </w:r>
          </w:p>
        </w:tc>
        <w:tc>
          <w:tcPr>
            <w:tcW w:w="870" w:type="dxa"/>
            <w:gridSpan w:val="2"/>
            <w:vAlign w:val="top"/>
          </w:tcPr>
          <w:p w14:paraId="5497E2E1">
            <w:pPr>
              <w:spacing w:before="284" w:line="195"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0.115</w:t>
            </w:r>
          </w:p>
        </w:tc>
        <w:tc>
          <w:tcPr>
            <w:tcW w:w="1017" w:type="dxa"/>
            <w:gridSpan w:val="2"/>
            <w:vAlign w:val="top"/>
          </w:tcPr>
          <w:p w14:paraId="6A406DBB">
            <w:pPr>
              <w:spacing w:before="284" w:line="195" w:lineRule="auto"/>
              <w:ind w:left="460"/>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008" w:type="dxa"/>
            <w:gridSpan w:val="2"/>
            <w:vMerge w:val="continue"/>
            <w:tcBorders>
              <w:top w:val="nil"/>
              <w:bottom w:val="nil"/>
            </w:tcBorders>
            <w:vAlign w:val="top"/>
          </w:tcPr>
          <w:p w14:paraId="7D5488B7">
            <w:pPr>
              <w:rPr>
                <w:rFonts w:ascii="Arial"/>
                <w:sz w:val="21"/>
              </w:rPr>
            </w:pPr>
          </w:p>
        </w:tc>
        <w:tc>
          <w:tcPr>
            <w:tcW w:w="1605" w:type="dxa"/>
            <w:gridSpan w:val="2"/>
            <w:vMerge w:val="continue"/>
            <w:tcBorders>
              <w:top w:val="nil"/>
              <w:bottom w:val="nil"/>
            </w:tcBorders>
            <w:vAlign w:val="top"/>
          </w:tcPr>
          <w:p w14:paraId="1D3F0959">
            <w:pPr>
              <w:rPr>
                <w:rFonts w:ascii="Arial"/>
                <w:sz w:val="21"/>
              </w:rPr>
            </w:pPr>
          </w:p>
        </w:tc>
        <w:tc>
          <w:tcPr>
            <w:tcW w:w="870" w:type="dxa"/>
            <w:vAlign w:val="top"/>
          </w:tcPr>
          <w:p w14:paraId="1A127EB5">
            <w:pPr>
              <w:spacing w:before="284"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0.77</w:t>
            </w:r>
          </w:p>
        </w:tc>
        <w:tc>
          <w:tcPr>
            <w:tcW w:w="1018" w:type="dxa"/>
            <w:gridSpan w:val="2"/>
            <w:vAlign w:val="top"/>
          </w:tcPr>
          <w:p w14:paraId="2332DD1B">
            <w:pPr>
              <w:spacing w:before="284" w:line="195" w:lineRule="auto"/>
              <w:ind w:left="3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240</w:t>
            </w:r>
          </w:p>
        </w:tc>
        <w:tc>
          <w:tcPr>
            <w:tcW w:w="385" w:type="dxa"/>
            <w:gridSpan w:val="2"/>
            <w:textDirection w:val="tbRlV"/>
            <w:vAlign w:val="top"/>
          </w:tcPr>
          <w:p w14:paraId="1E6D5FBE">
            <w:pPr>
              <w:spacing w:before="67" w:line="217" w:lineRule="auto"/>
              <w:ind w:left="37"/>
              <w:rPr>
                <w:rFonts w:ascii="宋体" w:hAnsi="宋体" w:eastAsia="宋体" w:cs="宋体"/>
                <w:sz w:val="20"/>
                <w:szCs w:val="20"/>
              </w:rPr>
            </w:pPr>
            <w:r>
              <w:rPr>
                <w:rFonts w:ascii="宋体" w:hAnsi="宋体" w:eastAsia="宋体" w:cs="宋体"/>
                <w:spacing w:val="8"/>
                <w:sz w:val="20"/>
                <w:szCs w:val="20"/>
              </w:rPr>
              <w:t>达</w:t>
            </w:r>
            <w:r>
              <w:rPr>
                <w:rFonts w:ascii="宋体" w:hAnsi="宋体" w:eastAsia="宋体" w:cs="宋体"/>
                <w:spacing w:val="99"/>
                <w:sz w:val="20"/>
                <w:szCs w:val="20"/>
              </w:rPr>
              <w:t xml:space="preserve"> </w:t>
            </w:r>
            <w:r>
              <w:rPr>
                <w:rFonts w:ascii="宋体" w:hAnsi="宋体" w:eastAsia="宋体" w:cs="宋体"/>
                <w:spacing w:val="8"/>
                <w:sz w:val="20"/>
                <w:szCs w:val="20"/>
              </w:rPr>
              <w:t>标</w:t>
            </w:r>
          </w:p>
        </w:tc>
        <w:tc>
          <w:tcPr>
            <w:tcW w:w="114" w:type="dxa"/>
            <w:tcBorders>
              <w:top w:val="nil"/>
              <w:bottom w:val="nil"/>
              <w:right w:val="single" w:color="000000" w:sz="6" w:space="0"/>
            </w:tcBorders>
            <w:vAlign w:val="top"/>
          </w:tcPr>
          <w:p w14:paraId="74D0B52C">
            <w:pPr>
              <w:rPr>
                <w:rFonts w:ascii="Arial"/>
                <w:sz w:val="21"/>
              </w:rPr>
            </w:pPr>
          </w:p>
        </w:tc>
      </w:tr>
      <w:tr w14:paraId="070EE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428" w:type="dxa"/>
            <w:vMerge w:val="continue"/>
            <w:tcBorders>
              <w:top w:val="nil"/>
              <w:left w:val="single" w:color="000000" w:sz="6" w:space="0"/>
              <w:bottom w:val="nil"/>
            </w:tcBorders>
            <w:vAlign w:val="top"/>
          </w:tcPr>
          <w:p w14:paraId="1129EE86">
            <w:pPr>
              <w:rPr>
                <w:rFonts w:ascii="Arial"/>
                <w:sz w:val="21"/>
              </w:rPr>
            </w:pPr>
          </w:p>
        </w:tc>
        <w:tc>
          <w:tcPr>
            <w:tcW w:w="113" w:type="dxa"/>
            <w:tcBorders>
              <w:top w:val="nil"/>
              <w:bottom w:val="nil"/>
            </w:tcBorders>
            <w:vAlign w:val="top"/>
          </w:tcPr>
          <w:p w14:paraId="17B25D11">
            <w:pPr>
              <w:rPr>
                <w:rFonts w:ascii="Arial"/>
                <w:sz w:val="21"/>
              </w:rPr>
            </w:pPr>
          </w:p>
        </w:tc>
        <w:tc>
          <w:tcPr>
            <w:tcW w:w="383" w:type="dxa"/>
            <w:gridSpan w:val="2"/>
            <w:vMerge w:val="continue"/>
            <w:tcBorders>
              <w:top w:val="nil"/>
              <w:bottom w:val="nil"/>
            </w:tcBorders>
            <w:vAlign w:val="top"/>
          </w:tcPr>
          <w:p w14:paraId="79BFD13D">
            <w:pPr>
              <w:rPr>
                <w:rFonts w:ascii="Arial"/>
                <w:sz w:val="21"/>
              </w:rPr>
            </w:pPr>
          </w:p>
        </w:tc>
        <w:tc>
          <w:tcPr>
            <w:tcW w:w="711" w:type="dxa"/>
            <w:vMerge w:val="continue"/>
            <w:tcBorders>
              <w:top w:val="nil"/>
            </w:tcBorders>
            <w:vAlign w:val="top"/>
          </w:tcPr>
          <w:p w14:paraId="7E4C1AF7">
            <w:pPr>
              <w:rPr>
                <w:rFonts w:ascii="Arial"/>
                <w:sz w:val="21"/>
              </w:rPr>
            </w:pPr>
          </w:p>
        </w:tc>
        <w:tc>
          <w:tcPr>
            <w:tcW w:w="542" w:type="dxa"/>
            <w:textDirection w:val="tbRlV"/>
            <w:vAlign w:val="top"/>
          </w:tcPr>
          <w:p w14:paraId="3C9C2756">
            <w:pPr>
              <w:spacing w:before="169" w:line="218" w:lineRule="auto"/>
              <w:ind w:left="42"/>
              <w:rPr>
                <w:rFonts w:ascii="宋体" w:hAnsi="宋体" w:eastAsia="宋体" w:cs="宋体"/>
                <w:sz w:val="20"/>
                <w:szCs w:val="20"/>
              </w:rPr>
            </w:pPr>
            <w:r>
              <w:rPr>
                <w:rFonts w:ascii="宋体" w:hAnsi="宋体" w:eastAsia="宋体" w:cs="宋体"/>
                <w:spacing w:val="8"/>
                <w:sz w:val="20"/>
                <w:szCs w:val="20"/>
              </w:rPr>
              <w:t>甲</w:t>
            </w:r>
            <w:r>
              <w:rPr>
                <w:rFonts w:ascii="宋体" w:hAnsi="宋体" w:eastAsia="宋体" w:cs="宋体"/>
                <w:spacing w:val="99"/>
                <w:sz w:val="20"/>
                <w:szCs w:val="20"/>
              </w:rPr>
              <w:t xml:space="preserve"> </w:t>
            </w:r>
            <w:r>
              <w:rPr>
                <w:rFonts w:ascii="宋体" w:hAnsi="宋体" w:eastAsia="宋体" w:cs="宋体"/>
                <w:spacing w:val="8"/>
                <w:sz w:val="20"/>
                <w:szCs w:val="20"/>
              </w:rPr>
              <w:t>醛</w:t>
            </w:r>
          </w:p>
        </w:tc>
        <w:tc>
          <w:tcPr>
            <w:tcW w:w="870" w:type="dxa"/>
            <w:gridSpan w:val="2"/>
            <w:vAlign w:val="top"/>
          </w:tcPr>
          <w:p w14:paraId="475A7834">
            <w:pPr>
              <w:spacing w:before="289" w:line="195"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w:t>
            </w:r>
          </w:p>
        </w:tc>
        <w:tc>
          <w:tcPr>
            <w:tcW w:w="1017" w:type="dxa"/>
            <w:gridSpan w:val="2"/>
            <w:vAlign w:val="top"/>
          </w:tcPr>
          <w:p w14:paraId="7305C72D">
            <w:pPr>
              <w:spacing w:before="289" w:line="195"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0.33</w:t>
            </w:r>
          </w:p>
        </w:tc>
        <w:tc>
          <w:tcPr>
            <w:tcW w:w="1008" w:type="dxa"/>
            <w:gridSpan w:val="2"/>
            <w:vMerge w:val="continue"/>
            <w:tcBorders>
              <w:top w:val="nil"/>
            </w:tcBorders>
            <w:vAlign w:val="top"/>
          </w:tcPr>
          <w:p w14:paraId="47682123">
            <w:pPr>
              <w:rPr>
                <w:rFonts w:ascii="Arial"/>
                <w:sz w:val="21"/>
              </w:rPr>
            </w:pPr>
          </w:p>
        </w:tc>
        <w:tc>
          <w:tcPr>
            <w:tcW w:w="1605" w:type="dxa"/>
            <w:gridSpan w:val="2"/>
            <w:vMerge w:val="continue"/>
            <w:tcBorders>
              <w:top w:val="nil"/>
            </w:tcBorders>
            <w:vAlign w:val="top"/>
          </w:tcPr>
          <w:p w14:paraId="51898CF4">
            <w:pPr>
              <w:rPr>
                <w:rFonts w:ascii="Arial"/>
                <w:sz w:val="21"/>
              </w:rPr>
            </w:pPr>
          </w:p>
        </w:tc>
        <w:tc>
          <w:tcPr>
            <w:tcW w:w="870" w:type="dxa"/>
            <w:vAlign w:val="top"/>
          </w:tcPr>
          <w:p w14:paraId="5411D88D">
            <w:pPr>
              <w:spacing w:before="289"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0.26</w:t>
            </w:r>
          </w:p>
        </w:tc>
        <w:tc>
          <w:tcPr>
            <w:tcW w:w="1018" w:type="dxa"/>
            <w:gridSpan w:val="2"/>
            <w:vAlign w:val="top"/>
          </w:tcPr>
          <w:p w14:paraId="71290D91">
            <w:pPr>
              <w:spacing w:before="289" w:line="195" w:lineRule="auto"/>
              <w:ind w:left="4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tc>
        <w:tc>
          <w:tcPr>
            <w:tcW w:w="385" w:type="dxa"/>
            <w:gridSpan w:val="2"/>
            <w:textDirection w:val="tbRlV"/>
            <w:vAlign w:val="top"/>
          </w:tcPr>
          <w:p w14:paraId="0EDC84D3">
            <w:pPr>
              <w:spacing w:before="67" w:line="217" w:lineRule="auto"/>
              <w:ind w:left="42"/>
              <w:rPr>
                <w:rFonts w:ascii="宋体" w:hAnsi="宋体" w:eastAsia="宋体" w:cs="宋体"/>
                <w:sz w:val="20"/>
                <w:szCs w:val="20"/>
              </w:rPr>
            </w:pPr>
            <w:r>
              <w:rPr>
                <w:rFonts w:ascii="宋体" w:hAnsi="宋体" w:eastAsia="宋体" w:cs="宋体"/>
                <w:spacing w:val="8"/>
                <w:sz w:val="20"/>
                <w:szCs w:val="20"/>
              </w:rPr>
              <w:t>达</w:t>
            </w:r>
            <w:r>
              <w:rPr>
                <w:rFonts w:ascii="宋体" w:hAnsi="宋体" w:eastAsia="宋体" w:cs="宋体"/>
                <w:spacing w:val="99"/>
                <w:sz w:val="20"/>
                <w:szCs w:val="20"/>
              </w:rPr>
              <w:t xml:space="preserve"> </w:t>
            </w:r>
            <w:r>
              <w:rPr>
                <w:rFonts w:ascii="宋体" w:hAnsi="宋体" w:eastAsia="宋体" w:cs="宋体"/>
                <w:spacing w:val="8"/>
                <w:sz w:val="20"/>
                <w:szCs w:val="20"/>
              </w:rPr>
              <w:t>标</w:t>
            </w:r>
          </w:p>
        </w:tc>
        <w:tc>
          <w:tcPr>
            <w:tcW w:w="114" w:type="dxa"/>
            <w:tcBorders>
              <w:top w:val="nil"/>
              <w:bottom w:val="nil"/>
              <w:right w:val="single" w:color="000000" w:sz="6" w:space="0"/>
            </w:tcBorders>
            <w:vAlign w:val="top"/>
          </w:tcPr>
          <w:p w14:paraId="6DE1D6AA">
            <w:pPr>
              <w:rPr>
                <w:rFonts w:ascii="Arial"/>
                <w:sz w:val="21"/>
              </w:rPr>
            </w:pPr>
          </w:p>
        </w:tc>
      </w:tr>
      <w:tr w14:paraId="069C4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428" w:type="dxa"/>
            <w:vMerge w:val="continue"/>
            <w:tcBorders>
              <w:top w:val="nil"/>
              <w:left w:val="single" w:color="000000" w:sz="6" w:space="0"/>
              <w:bottom w:val="nil"/>
            </w:tcBorders>
            <w:vAlign w:val="top"/>
          </w:tcPr>
          <w:p w14:paraId="6BB447D3">
            <w:pPr>
              <w:rPr>
                <w:rFonts w:ascii="Arial"/>
                <w:sz w:val="21"/>
              </w:rPr>
            </w:pPr>
          </w:p>
        </w:tc>
        <w:tc>
          <w:tcPr>
            <w:tcW w:w="113" w:type="dxa"/>
            <w:tcBorders>
              <w:top w:val="nil"/>
              <w:bottom w:val="nil"/>
            </w:tcBorders>
            <w:vAlign w:val="top"/>
          </w:tcPr>
          <w:p w14:paraId="4753711F">
            <w:pPr>
              <w:rPr>
                <w:rFonts w:ascii="Arial"/>
                <w:sz w:val="21"/>
              </w:rPr>
            </w:pPr>
          </w:p>
        </w:tc>
        <w:tc>
          <w:tcPr>
            <w:tcW w:w="383" w:type="dxa"/>
            <w:gridSpan w:val="2"/>
            <w:vMerge w:val="continue"/>
            <w:tcBorders>
              <w:top w:val="nil"/>
            </w:tcBorders>
            <w:vAlign w:val="top"/>
          </w:tcPr>
          <w:p w14:paraId="75E35E77">
            <w:pPr>
              <w:rPr>
                <w:rFonts w:ascii="Arial"/>
                <w:sz w:val="21"/>
              </w:rPr>
            </w:pPr>
          </w:p>
        </w:tc>
        <w:tc>
          <w:tcPr>
            <w:tcW w:w="711" w:type="dxa"/>
            <w:vAlign w:val="top"/>
          </w:tcPr>
          <w:p w14:paraId="1E7AC71A">
            <w:pPr>
              <w:spacing w:line="449" w:lineRule="auto"/>
              <w:rPr>
                <w:rFonts w:ascii="Arial"/>
                <w:sz w:val="21"/>
              </w:rPr>
            </w:pPr>
          </w:p>
          <w:p w14:paraId="39968D4F">
            <w:pPr>
              <w:spacing w:before="57" w:line="195" w:lineRule="auto"/>
              <w:ind w:left="147"/>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14"/>
                <w:sz w:val="20"/>
                <w:szCs w:val="20"/>
              </w:rPr>
              <w:t>0</w:t>
            </w:r>
          </w:p>
          <w:p w14:paraId="43F363B3">
            <w:pPr>
              <w:spacing w:before="175" w:line="195" w:lineRule="auto"/>
              <w:ind w:left="24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542" w:type="dxa"/>
            <w:textDirection w:val="tbRlV"/>
            <w:vAlign w:val="top"/>
          </w:tcPr>
          <w:p w14:paraId="34A83E71">
            <w:pPr>
              <w:spacing w:before="170" w:line="217" w:lineRule="auto"/>
              <w:ind w:left="238"/>
              <w:rPr>
                <w:rFonts w:ascii="宋体" w:hAnsi="宋体" w:eastAsia="宋体" w:cs="宋体"/>
                <w:sz w:val="20"/>
                <w:szCs w:val="20"/>
              </w:rPr>
            </w:pPr>
            <w:r>
              <w:rPr>
                <w:rFonts w:ascii="宋体" w:hAnsi="宋体" w:eastAsia="宋体" w:cs="宋体"/>
                <w:spacing w:val="8"/>
                <w:sz w:val="20"/>
                <w:szCs w:val="20"/>
              </w:rPr>
              <w:t>颗</w:t>
            </w:r>
            <w:r>
              <w:rPr>
                <w:rFonts w:ascii="宋体" w:hAnsi="宋体" w:eastAsia="宋体" w:cs="宋体"/>
                <w:spacing w:val="100"/>
                <w:sz w:val="20"/>
                <w:szCs w:val="20"/>
              </w:rPr>
              <w:t xml:space="preserve"> </w:t>
            </w:r>
            <w:r>
              <w:rPr>
                <w:rFonts w:ascii="宋体" w:hAnsi="宋体" w:eastAsia="宋体" w:cs="宋体"/>
                <w:spacing w:val="8"/>
                <w:sz w:val="20"/>
                <w:szCs w:val="20"/>
              </w:rPr>
              <w:t>粒</w:t>
            </w:r>
            <w:r>
              <w:rPr>
                <w:rFonts w:ascii="宋体" w:hAnsi="宋体" w:eastAsia="宋体" w:cs="宋体"/>
                <w:spacing w:val="1"/>
                <w:sz w:val="20"/>
                <w:szCs w:val="20"/>
              </w:rPr>
              <w:t xml:space="preserve">  </w:t>
            </w:r>
            <w:r>
              <w:rPr>
                <w:rFonts w:ascii="宋体" w:hAnsi="宋体" w:eastAsia="宋体" w:cs="宋体"/>
                <w:spacing w:val="8"/>
                <w:sz w:val="20"/>
                <w:szCs w:val="20"/>
              </w:rPr>
              <w:t>物</w:t>
            </w:r>
          </w:p>
        </w:tc>
        <w:tc>
          <w:tcPr>
            <w:tcW w:w="870" w:type="dxa"/>
            <w:gridSpan w:val="2"/>
            <w:vAlign w:val="top"/>
          </w:tcPr>
          <w:p w14:paraId="37AC5F9C">
            <w:pPr>
              <w:spacing w:line="315" w:lineRule="auto"/>
              <w:rPr>
                <w:rFonts w:ascii="Arial"/>
                <w:sz w:val="21"/>
              </w:rPr>
            </w:pPr>
          </w:p>
          <w:p w14:paraId="5A6ED374">
            <w:pPr>
              <w:spacing w:line="315" w:lineRule="auto"/>
              <w:rPr>
                <w:rFonts w:ascii="Arial"/>
                <w:sz w:val="21"/>
              </w:rPr>
            </w:pPr>
          </w:p>
          <w:p w14:paraId="7B876D15">
            <w:pPr>
              <w:spacing w:before="58"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0.09</w:t>
            </w:r>
          </w:p>
        </w:tc>
        <w:tc>
          <w:tcPr>
            <w:tcW w:w="1017" w:type="dxa"/>
            <w:gridSpan w:val="2"/>
            <w:vAlign w:val="top"/>
          </w:tcPr>
          <w:p w14:paraId="24AC26B6">
            <w:pPr>
              <w:spacing w:line="315" w:lineRule="auto"/>
              <w:rPr>
                <w:rFonts w:ascii="Arial"/>
                <w:sz w:val="21"/>
              </w:rPr>
            </w:pPr>
          </w:p>
          <w:p w14:paraId="57EC6D06">
            <w:pPr>
              <w:spacing w:line="315" w:lineRule="auto"/>
              <w:rPr>
                <w:rFonts w:ascii="Arial"/>
                <w:sz w:val="21"/>
              </w:rPr>
            </w:pPr>
          </w:p>
          <w:p w14:paraId="400EBDBA">
            <w:pPr>
              <w:spacing w:before="58" w:line="195" w:lineRule="auto"/>
              <w:ind w:left="3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5.61</w:t>
            </w:r>
          </w:p>
        </w:tc>
        <w:tc>
          <w:tcPr>
            <w:tcW w:w="1008" w:type="dxa"/>
            <w:gridSpan w:val="2"/>
            <w:vAlign w:val="top"/>
          </w:tcPr>
          <w:p w14:paraId="66FCAE96">
            <w:pPr>
              <w:spacing w:line="315" w:lineRule="auto"/>
              <w:rPr>
                <w:rFonts w:ascii="Arial"/>
                <w:sz w:val="21"/>
              </w:rPr>
            </w:pPr>
          </w:p>
          <w:p w14:paraId="283FB74E">
            <w:pPr>
              <w:spacing w:line="315" w:lineRule="auto"/>
              <w:rPr>
                <w:rFonts w:ascii="Arial"/>
                <w:sz w:val="21"/>
              </w:rPr>
            </w:pPr>
          </w:p>
          <w:p w14:paraId="782C601C">
            <w:pPr>
              <w:spacing w:before="58" w:line="195" w:lineRule="auto"/>
              <w:ind w:left="263"/>
              <w:rPr>
                <w:rFonts w:ascii="Times New Roman" w:hAnsi="Times New Roman" w:eastAsia="Times New Roman" w:cs="Times New Roman"/>
                <w:sz w:val="20"/>
                <w:szCs w:val="20"/>
              </w:rPr>
            </w:pPr>
            <w:r>
              <w:rPr>
                <w:rFonts w:ascii="Times New Roman" w:hAnsi="Times New Roman" w:eastAsia="Times New Roman" w:cs="Times New Roman"/>
                <w:sz w:val="20"/>
                <w:szCs w:val="20"/>
              </w:rPr>
              <w:t>16114</w:t>
            </w:r>
          </w:p>
        </w:tc>
        <w:tc>
          <w:tcPr>
            <w:tcW w:w="1605" w:type="dxa"/>
            <w:gridSpan w:val="2"/>
            <w:vAlign w:val="top"/>
          </w:tcPr>
          <w:p w14:paraId="111BD85E">
            <w:pPr>
              <w:spacing w:before="35" w:line="228" w:lineRule="auto"/>
              <w:ind w:left="182"/>
              <w:rPr>
                <w:rFonts w:ascii="宋体" w:hAnsi="宋体" w:eastAsia="宋体" w:cs="宋体"/>
                <w:sz w:val="20"/>
                <w:szCs w:val="20"/>
              </w:rPr>
            </w:pPr>
            <w:r>
              <w:rPr>
                <w:rFonts w:ascii="宋体" w:hAnsi="宋体" w:eastAsia="宋体" w:cs="宋体"/>
                <w:spacing w:val="7"/>
                <w:sz w:val="20"/>
                <w:szCs w:val="20"/>
              </w:rPr>
              <w:t>《大气污染物</w:t>
            </w:r>
          </w:p>
          <w:p w14:paraId="60D38FC0">
            <w:pPr>
              <w:spacing w:before="161" w:line="228" w:lineRule="auto"/>
              <w:ind w:left="117"/>
              <w:rPr>
                <w:rFonts w:ascii="宋体" w:hAnsi="宋体" w:eastAsia="宋体" w:cs="宋体"/>
                <w:sz w:val="20"/>
                <w:szCs w:val="20"/>
              </w:rPr>
            </w:pPr>
            <w:r>
              <w:rPr>
                <w:rFonts w:ascii="宋体" w:hAnsi="宋体" w:eastAsia="宋体" w:cs="宋体"/>
                <w:spacing w:val="6"/>
                <w:sz w:val="20"/>
                <w:szCs w:val="20"/>
              </w:rPr>
              <w:t>综合排放标准》</w:t>
            </w:r>
          </w:p>
          <w:p w14:paraId="3A8DD860">
            <w:pPr>
              <w:spacing w:before="162" w:line="241" w:lineRule="auto"/>
              <w:ind w:left="163"/>
              <w:rPr>
                <w:rFonts w:ascii="Times New Roman" w:hAnsi="Times New Roman" w:eastAsia="Times New Roman" w:cs="Times New Roman"/>
                <w:sz w:val="20"/>
                <w:szCs w:val="20"/>
              </w:rPr>
            </w:pPr>
            <w:r>
              <w:rPr>
                <w:rFonts w:ascii="宋体" w:hAnsi="宋体" w:eastAsia="宋体" w:cs="宋体"/>
                <w:spacing w:val="2"/>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16297-</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19</w:t>
            </w:r>
          </w:p>
          <w:p w14:paraId="6CE65E90">
            <w:pPr>
              <w:spacing w:before="147"/>
              <w:ind w:left="597"/>
              <w:rPr>
                <w:rFonts w:ascii="宋体" w:hAnsi="宋体" w:eastAsia="宋体" w:cs="宋体"/>
                <w:sz w:val="20"/>
                <w:szCs w:val="20"/>
              </w:rPr>
            </w:pPr>
            <w:r>
              <w:rPr>
                <w:rFonts w:ascii="Times New Roman" w:hAnsi="Times New Roman" w:eastAsia="Times New Roman" w:cs="Times New Roman"/>
                <w:sz w:val="20"/>
                <w:szCs w:val="20"/>
              </w:rPr>
              <w:t>96</w:t>
            </w:r>
            <w:r>
              <w:rPr>
                <w:rFonts w:ascii="宋体" w:hAnsi="宋体" w:eastAsia="宋体" w:cs="宋体"/>
                <w:sz w:val="20"/>
                <w:szCs w:val="20"/>
              </w:rPr>
              <w:t>）</w:t>
            </w:r>
          </w:p>
        </w:tc>
        <w:tc>
          <w:tcPr>
            <w:tcW w:w="870" w:type="dxa"/>
            <w:vAlign w:val="top"/>
          </w:tcPr>
          <w:p w14:paraId="2C57DE16">
            <w:pPr>
              <w:spacing w:line="315" w:lineRule="auto"/>
              <w:rPr>
                <w:rFonts w:ascii="Arial"/>
                <w:sz w:val="21"/>
              </w:rPr>
            </w:pPr>
          </w:p>
          <w:p w14:paraId="2A77ABD7">
            <w:pPr>
              <w:spacing w:line="315" w:lineRule="auto"/>
              <w:rPr>
                <w:rFonts w:ascii="Arial"/>
                <w:sz w:val="21"/>
              </w:rPr>
            </w:pPr>
          </w:p>
          <w:p w14:paraId="221C3AE1">
            <w:pPr>
              <w:spacing w:before="58" w:line="195" w:lineRule="auto"/>
              <w:ind w:left="3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018" w:type="dxa"/>
            <w:gridSpan w:val="2"/>
            <w:vAlign w:val="top"/>
          </w:tcPr>
          <w:p w14:paraId="0EAD7982">
            <w:pPr>
              <w:spacing w:line="315" w:lineRule="auto"/>
              <w:rPr>
                <w:rFonts w:ascii="Arial"/>
                <w:sz w:val="21"/>
              </w:rPr>
            </w:pPr>
          </w:p>
          <w:p w14:paraId="3D5C59EB">
            <w:pPr>
              <w:spacing w:line="315" w:lineRule="auto"/>
              <w:rPr>
                <w:rFonts w:ascii="Arial"/>
                <w:sz w:val="21"/>
              </w:rPr>
            </w:pPr>
          </w:p>
          <w:p w14:paraId="7D09E2D9">
            <w:pPr>
              <w:spacing w:before="58" w:line="195" w:lineRule="auto"/>
              <w:ind w:left="3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120</w:t>
            </w:r>
          </w:p>
        </w:tc>
        <w:tc>
          <w:tcPr>
            <w:tcW w:w="385" w:type="dxa"/>
            <w:gridSpan w:val="2"/>
            <w:textDirection w:val="tbRlV"/>
            <w:vAlign w:val="top"/>
          </w:tcPr>
          <w:p w14:paraId="47A06123">
            <w:pPr>
              <w:spacing w:before="67" w:line="217" w:lineRule="auto"/>
              <w:ind w:left="442"/>
              <w:rPr>
                <w:rFonts w:ascii="宋体" w:hAnsi="宋体" w:eastAsia="宋体" w:cs="宋体"/>
                <w:sz w:val="20"/>
                <w:szCs w:val="20"/>
              </w:rPr>
            </w:pPr>
            <w:r>
              <w:rPr>
                <w:rFonts w:ascii="宋体" w:hAnsi="宋体" w:eastAsia="宋体" w:cs="宋体"/>
                <w:spacing w:val="8"/>
                <w:sz w:val="20"/>
                <w:szCs w:val="20"/>
              </w:rPr>
              <w:t>达</w:t>
            </w:r>
            <w:r>
              <w:rPr>
                <w:rFonts w:ascii="宋体" w:hAnsi="宋体" w:eastAsia="宋体" w:cs="宋体"/>
                <w:spacing w:val="99"/>
                <w:sz w:val="20"/>
                <w:szCs w:val="20"/>
              </w:rPr>
              <w:t xml:space="preserve"> </w:t>
            </w:r>
            <w:r>
              <w:rPr>
                <w:rFonts w:ascii="宋体" w:hAnsi="宋体" w:eastAsia="宋体" w:cs="宋体"/>
                <w:spacing w:val="8"/>
                <w:sz w:val="20"/>
                <w:szCs w:val="20"/>
              </w:rPr>
              <w:t>标</w:t>
            </w:r>
          </w:p>
        </w:tc>
        <w:tc>
          <w:tcPr>
            <w:tcW w:w="114" w:type="dxa"/>
            <w:tcBorders>
              <w:top w:val="nil"/>
              <w:bottom w:val="nil"/>
              <w:right w:val="single" w:color="000000" w:sz="6" w:space="0"/>
            </w:tcBorders>
            <w:vAlign w:val="top"/>
          </w:tcPr>
          <w:p w14:paraId="59DCB50D">
            <w:pPr>
              <w:rPr>
                <w:rFonts w:ascii="Arial"/>
                <w:sz w:val="21"/>
              </w:rPr>
            </w:pPr>
          </w:p>
        </w:tc>
      </w:tr>
      <w:tr w14:paraId="715E8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4" w:hRule="atLeast"/>
        </w:trPr>
        <w:tc>
          <w:tcPr>
            <w:tcW w:w="428" w:type="dxa"/>
            <w:vMerge w:val="continue"/>
            <w:tcBorders>
              <w:top w:val="nil"/>
              <w:left w:val="single" w:color="000000" w:sz="6" w:space="0"/>
              <w:bottom w:val="nil"/>
            </w:tcBorders>
            <w:vAlign w:val="top"/>
          </w:tcPr>
          <w:p w14:paraId="27B35CFD">
            <w:pPr>
              <w:rPr>
                <w:rFonts w:ascii="Arial"/>
                <w:sz w:val="21"/>
              </w:rPr>
            </w:pPr>
          </w:p>
        </w:tc>
        <w:tc>
          <w:tcPr>
            <w:tcW w:w="113" w:type="dxa"/>
            <w:tcBorders>
              <w:top w:val="nil"/>
              <w:bottom w:val="nil"/>
            </w:tcBorders>
            <w:vAlign w:val="top"/>
          </w:tcPr>
          <w:p w14:paraId="5BBC36BC">
            <w:pPr>
              <w:rPr>
                <w:rFonts w:ascii="Arial"/>
                <w:sz w:val="21"/>
              </w:rPr>
            </w:pPr>
          </w:p>
        </w:tc>
        <w:tc>
          <w:tcPr>
            <w:tcW w:w="383" w:type="dxa"/>
            <w:gridSpan w:val="2"/>
            <w:vMerge w:val="restart"/>
            <w:tcBorders>
              <w:bottom w:val="nil"/>
            </w:tcBorders>
            <w:textDirection w:val="tbRlV"/>
            <w:vAlign w:val="top"/>
          </w:tcPr>
          <w:p w14:paraId="56879F69">
            <w:pPr>
              <w:spacing w:before="69" w:line="215" w:lineRule="auto"/>
              <w:ind w:left="1062"/>
              <w:rPr>
                <w:rFonts w:ascii="宋体" w:hAnsi="宋体" w:eastAsia="宋体" w:cs="宋体"/>
                <w:sz w:val="20"/>
                <w:szCs w:val="20"/>
              </w:rPr>
            </w:pPr>
            <w:r>
              <w:rPr>
                <w:rFonts w:ascii="宋体" w:hAnsi="宋体" w:eastAsia="宋体" w:cs="宋体"/>
                <w:spacing w:val="8"/>
                <w:sz w:val="20"/>
                <w:szCs w:val="20"/>
              </w:rPr>
              <w:t>无</w:t>
            </w:r>
            <w:r>
              <w:rPr>
                <w:rFonts w:ascii="宋体" w:hAnsi="宋体" w:eastAsia="宋体" w:cs="宋体"/>
                <w:spacing w:val="100"/>
                <w:sz w:val="20"/>
                <w:szCs w:val="20"/>
              </w:rPr>
              <w:t xml:space="preserve"> </w:t>
            </w:r>
            <w:r>
              <w:rPr>
                <w:rFonts w:ascii="宋体" w:hAnsi="宋体" w:eastAsia="宋体" w:cs="宋体"/>
                <w:spacing w:val="8"/>
                <w:sz w:val="20"/>
                <w:szCs w:val="20"/>
              </w:rPr>
              <w:t>组</w:t>
            </w:r>
            <w:r>
              <w:rPr>
                <w:rFonts w:ascii="宋体" w:hAnsi="宋体" w:eastAsia="宋体" w:cs="宋体"/>
                <w:spacing w:val="99"/>
                <w:sz w:val="20"/>
                <w:szCs w:val="20"/>
              </w:rPr>
              <w:t xml:space="preserve"> </w:t>
            </w:r>
            <w:r>
              <w:rPr>
                <w:rFonts w:ascii="宋体" w:hAnsi="宋体" w:eastAsia="宋体" w:cs="宋体"/>
                <w:spacing w:val="8"/>
                <w:sz w:val="20"/>
                <w:szCs w:val="20"/>
              </w:rPr>
              <w:t>织</w:t>
            </w:r>
          </w:p>
        </w:tc>
        <w:tc>
          <w:tcPr>
            <w:tcW w:w="711" w:type="dxa"/>
            <w:vMerge w:val="restart"/>
            <w:tcBorders>
              <w:bottom w:val="nil"/>
            </w:tcBorders>
            <w:vAlign w:val="top"/>
          </w:tcPr>
          <w:p w14:paraId="554FE9E8">
            <w:pPr>
              <w:spacing w:line="279" w:lineRule="auto"/>
              <w:rPr>
                <w:rFonts w:ascii="Arial"/>
                <w:sz w:val="21"/>
              </w:rPr>
            </w:pPr>
          </w:p>
          <w:p w14:paraId="6D036129">
            <w:pPr>
              <w:spacing w:line="279" w:lineRule="auto"/>
              <w:rPr>
                <w:rFonts w:ascii="Arial"/>
                <w:sz w:val="21"/>
              </w:rPr>
            </w:pPr>
          </w:p>
          <w:p w14:paraId="69867890">
            <w:pPr>
              <w:spacing w:line="279" w:lineRule="auto"/>
              <w:rPr>
                <w:rFonts w:ascii="Arial"/>
                <w:sz w:val="21"/>
              </w:rPr>
            </w:pPr>
          </w:p>
          <w:p w14:paraId="7027350F">
            <w:pPr>
              <w:spacing w:line="280" w:lineRule="auto"/>
              <w:rPr>
                <w:rFonts w:ascii="Arial"/>
                <w:sz w:val="21"/>
              </w:rPr>
            </w:pPr>
          </w:p>
          <w:p w14:paraId="2076E676">
            <w:pPr>
              <w:spacing w:line="280" w:lineRule="auto"/>
              <w:rPr>
                <w:rFonts w:ascii="Arial"/>
                <w:sz w:val="21"/>
              </w:rPr>
            </w:pPr>
          </w:p>
          <w:p w14:paraId="15B9D6AB">
            <w:pPr>
              <w:spacing w:before="65" w:line="228" w:lineRule="auto"/>
              <w:ind w:left="147"/>
              <w:rPr>
                <w:rFonts w:ascii="宋体" w:hAnsi="宋体" w:eastAsia="宋体" w:cs="宋体"/>
                <w:sz w:val="20"/>
                <w:szCs w:val="20"/>
              </w:rPr>
            </w:pPr>
            <w:r>
              <w:rPr>
                <w:rFonts w:ascii="宋体" w:hAnsi="宋体" w:eastAsia="宋体" w:cs="宋体"/>
                <w:spacing w:val="3"/>
                <w:sz w:val="20"/>
                <w:szCs w:val="20"/>
              </w:rPr>
              <w:t>厂界</w:t>
            </w:r>
          </w:p>
        </w:tc>
        <w:tc>
          <w:tcPr>
            <w:tcW w:w="542" w:type="dxa"/>
            <w:textDirection w:val="tbRlV"/>
            <w:vAlign w:val="top"/>
          </w:tcPr>
          <w:p w14:paraId="68CB4A7E">
            <w:pPr>
              <w:spacing w:before="170" w:line="217" w:lineRule="auto"/>
              <w:ind w:left="35"/>
              <w:rPr>
                <w:rFonts w:ascii="宋体" w:hAnsi="宋体" w:eastAsia="宋体" w:cs="宋体"/>
                <w:sz w:val="20"/>
                <w:szCs w:val="20"/>
              </w:rPr>
            </w:pPr>
            <w:r>
              <w:rPr>
                <w:rFonts w:ascii="宋体" w:hAnsi="宋体" w:eastAsia="宋体" w:cs="宋体"/>
                <w:spacing w:val="8"/>
                <w:sz w:val="20"/>
                <w:szCs w:val="20"/>
              </w:rPr>
              <w:t>颗</w:t>
            </w:r>
            <w:r>
              <w:rPr>
                <w:rFonts w:ascii="宋体" w:hAnsi="宋体" w:eastAsia="宋体" w:cs="宋体"/>
                <w:spacing w:val="100"/>
                <w:sz w:val="20"/>
                <w:szCs w:val="20"/>
              </w:rPr>
              <w:t xml:space="preserve"> </w:t>
            </w:r>
            <w:r>
              <w:rPr>
                <w:rFonts w:ascii="宋体" w:hAnsi="宋体" w:eastAsia="宋体" w:cs="宋体"/>
                <w:spacing w:val="8"/>
                <w:sz w:val="20"/>
                <w:szCs w:val="20"/>
              </w:rPr>
              <w:t>粒</w:t>
            </w:r>
            <w:r>
              <w:rPr>
                <w:rFonts w:ascii="宋体" w:hAnsi="宋体" w:eastAsia="宋体" w:cs="宋体"/>
                <w:spacing w:val="1"/>
                <w:sz w:val="20"/>
                <w:szCs w:val="20"/>
              </w:rPr>
              <w:t xml:space="preserve">  </w:t>
            </w:r>
            <w:r>
              <w:rPr>
                <w:rFonts w:ascii="宋体" w:hAnsi="宋体" w:eastAsia="宋体" w:cs="宋体"/>
                <w:spacing w:val="8"/>
                <w:sz w:val="20"/>
                <w:szCs w:val="20"/>
              </w:rPr>
              <w:t>物</w:t>
            </w:r>
          </w:p>
        </w:tc>
        <w:tc>
          <w:tcPr>
            <w:tcW w:w="870" w:type="dxa"/>
            <w:gridSpan w:val="2"/>
            <w:vAlign w:val="top"/>
          </w:tcPr>
          <w:p w14:paraId="115D8A43">
            <w:pPr>
              <w:spacing w:line="425" w:lineRule="auto"/>
              <w:rPr>
                <w:rFonts w:ascii="Arial"/>
                <w:sz w:val="21"/>
              </w:rPr>
            </w:pPr>
          </w:p>
          <w:p w14:paraId="203F8070">
            <w:pPr>
              <w:spacing w:before="57" w:line="199" w:lineRule="auto"/>
              <w:ind w:left="4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17" w:type="dxa"/>
            <w:gridSpan w:val="2"/>
            <w:vAlign w:val="top"/>
          </w:tcPr>
          <w:p w14:paraId="54C2693A">
            <w:pPr>
              <w:spacing w:line="429" w:lineRule="auto"/>
              <w:rPr>
                <w:rFonts w:ascii="Arial"/>
                <w:sz w:val="21"/>
              </w:rPr>
            </w:pPr>
          </w:p>
          <w:p w14:paraId="732832F1">
            <w:pPr>
              <w:spacing w:before="57"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0.656</w:t>
            </w:r>
          </w:p>
        </w:tc>
        <w:tc>
          <w:tcPr>
            <w:tcW w:w="1008" w:type="dxa"/>
            <w:gridSpan w:val="2"/>
            <w:vAlign w:val="top"/>
          </w:tcPr>
          <w:p w14:paraId="6C64FE4D">
            <w:pPr>
              <w:spacing w:line="425" w:lineRule="auto"/>
              <w:rPr>
                <w:rFonts w:ascii="Arial"/>
                <w:sz w:val="21"/>
              </w:rPr>
            </w:pPr>
          </w:p>
          <w:p w14:paraId="0A3F26FE">
            <w:pPr>
              <w:spacing w:before="57" w:line="199" w:lineRule="auto"/>
              <w:ind w:left="47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05" w:type="dxa"/>
            <w:gridSpan w:val="2"/>
            <w:vMerge w:val="restart"/>
            <w:tcBorders>
              <w:bottom w:val="nil"/>
            </w:tcBorders>
            <w:vAlign w:val="top"/>
          </w:tcPr>
          <w:p w14:paraId="4D23A764">
            <w:pPr>
              <w:spacing w:line="262" w:lineRule="auto"/>
              <w:rPr>
                <w:rFonts w:ascii="Arial"/>
                <w:sz w:val="21"/>
              </w:rPr>
            </w:pPr>
          </w:p>
          <w:p w14:paraId="20B1B4F4">
            <w:pPr>
              <w:spacing w:line="262" w:lineRule="auto"/>
              <w:rPr>
                <w:rFonts w:ascii="Arial"/>
                <w:sz w:val="21"/>
              </w:rPr>
            </w:pPr>
          </w:p>
          <w:p w14:paraId="47975731">
            <w:pPr>
              <w:spacing w:line="263" w:lineRule="auto"/>
              <w:rPr>
                <w:rFonts w:ascii="Arial"/>
                <w:sz w:val="21"/>
              </w:rPr>
            </w:pPr>
          </w:p>
          <w:p w14:paraId="3710C08B">
            <w:pPr>
              <w:spacing w:before="65" w:line="228" w:lineRule="auto"/>
              <w:ind w:left="182"/>
              <w:rPr>
                <w:rFonts w:ascii="宋体" w:hAnsi="宋体" w:eastAsia="宋体" w:cs="宋体"/>
                <w:sz w:val="20"/>
                <w:szCs w:val="20"/>
              </w:rPr>
            </w:pPr>
            <w:r>
              <w:rPr>
                <w:rFonts w:ascii="宋体" w:hAnsi="宋体" w:eastAsia="宋体" w:cs="宋体"/>
                <w:spacing w:val="7"/>
                <w:sz w:val="20"/>
                <w:szCs w:val="20"/>
              </w:rPr>
              <w:t>《大气污染物</w:t>
            </w:r>
          </w:p>
          <w:p w14:paraId="3CB0AC37">
            <w:pPr>
              <w:spacing w:before="161" w:line="228" w:lineRule="auto"/>
              <w:ind w:left="117"/>
              <w:rPr>
                <w:rFonts w:ascii="宋体" w:hAnsi="宋体" w:eastAsia="宋体" w:cs="宋体"/>
                <w:sz w:val="20"/>
                <w:szCs w:val="20"/>
              </w:rPr>
            </w:pPr>
            <w:r>
              <w:rPr>
                <w:rFonts w:ascii="宋体" w:hAnsi="宋体" w:eastAsia="宋体" w:cs="宋体"/>
                <w:spacing w:val="6"/>
                <w:sz w:val="20"/>
                <w:szCs w:val="20"/>
              </w:rPr>
              <w:t>综合排放标准》</w:t>
            </w:r>
          </w:p>
          <w:p w14:paraId="6943B5C7">
            <w:pPr>
              <w:spacing w:before="162" w:line="241" w:lineRule="auto"/>
              <w:ind w:left="163"/>
              <w:rPr>
                <w:rFonts w:ascii="Times New Roman" w:hAnsi="Times New Roman" w:eastAsia="Times New Roman" w:cs="Times New Roman"/>
                <w:sz w:val="20"/>
                <w:szCs w:val="20"/>
              </w:rPr>
            </w:pPr>
            <w:r>
              <w:rPr>
                <w:rFonts w:ascii="宋体" w:hAnsi="宋体" w:eastAsia="宋体" w:cs="宋体"/>
                <w:spacing w:val="2"/>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2"/>
                <w:sz w:val="20"/>
                <w:szCs w:val="20"/>
              </w:rPr>
              <w:t>16297-</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19</w:t>
            </w:r>
          </w:p>
          <w:p w14:paraId="01F6D3B8">
            <w:pPr>
              <w:spacing w:before="147"/>
              <w:ind w:left="597"/>
              <w:rPr>
                <w:rFonts w:ascii="宋体" w:hAnsi="宋体" w:eastAsia="宋体" w:cs="宋体"/>
                <w:sz w:val="20"/>
                <w:szCs w:val="20"/>
              </w:rPr>
            </w:pPr>
            <w:r>
              <w:rPr>
                <w:rFonts w:ascii="Times New Roman" w:hAnsi="Times New Roman" w:eastAsia="Times New Roman" w:cs="Times New Roman"/>
                <w:sz w:val="20"/>
                <w:szCs w:val="20"/>
              </w:rPr>
              <w:t>96</w:t>
            </w:r>
            <w:r>
              <w:rPr>
                <w:rFonts w:ascii="宋体" w:hAnsi="宋体" w:eastAsia="宋体" w:cs="宋体"/>
                <w:sz w:val="20"/>
                <w:szCs w:val="20"/>
              </w:rPr>
              <w:t>）</w:t>
            </w:r>
          </w:p>
        </w:tc>
        <w:tc>
          <w:tcPr>
            <w:tcW w:w="870" w:type="dxa"/>
            <w:vAlign w:val="top"/>
          </w:tcPr>
          <w:p w14:paraId="3A7C4A98">
            <w:pPr>
              <w:spacing w:line="425" w:lineRule="auto"/>
              <w:rPr>
                <w:rFonts w:ascii="Arial"/>
                <w:sz w:val="21"/>
              </w:rPr>
            </w:pPr>
          </w:p>
          <w:p w14:paraId="563320D3">
            <w:pPr>
              <w:spacing w:before="57" w:line="199" w:lineRule="auto"/>
              <w:ind w:left="4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18" w:type="dxa"/>
            <w:gridSpan w:val="2"/>
            <w:vAlign w:val="top"/>
          </w:tcPr>
          <w:p w14:paraId="0968A2E6">
            <w:pPr>
              <w:spacing w:line="429" w:lineRule="auto"/>
              <w:rPr>
                <w:rFonts w:ascii="Arial"/>
                <w:sz w:val="21"/>
              </w:rPr>
            </w:pPr>
          </w:p>
          <w:p w14:paraId="12A5900C">
            <w:pPr>
              <w:spacing w:before="57" w:line="195" w:lineRule="auto"/>
              <w:ind w:left="3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c>
          <w:tcPr>
            <w:tcW w:w="385" w:type="dxa"/>
            <w:gridSpan w:val="2"/>
            <w:textDirection w:val="tbRlV"/>
            <w:vAlign w:val="top"/>
          </w:tcPr>
          <w:p w14:paraId="2FB2D670">
            <w:pPr>
              <w:spacing w:before="67" w:line="217" w:lineRule="auto"/>
              <w:ind w:left="239"/>
              <w:rPr>
                <w:rFonts w:ascii="宋体" w:hAnsi="宋体" w:eastAsia="宋体" w:cs="宋体"/>
                <w:sz w:val="20"/>
                <w:szCs w:val="20"/>
              </w:rPr>
            </w:pPr>
            <w:r>
              <w:rPr>
                <w:rFonts w:ascii="宋体" w:hAnsi="宋体" w:eastAsia="宋体" w:cs="宋体"/>
                <w:spacing w:val="8"/>
                <w:sz w:val="20"/>
                <w:szCs w:val="20"/>
              </w:rPr>
              <w:t>达</w:t>
            </w:r>
            <w:r>
              <w:rPr>
                <w:rFonts w:ascii="宋体" w:hAnsi="宋体" w:eastAsia="宋体" w:cs="宋体"/>
                <w:spacing w:val="99"/>
                <w:sz w:val="20"/>
                <w:szCs w:val="20"/>
              </w:rPr>
              <w:t xml:space="preserve"> </w:t>
            </w:r>
            <w:r>
              <w:rPr>
                <w:rFonts w:ascii="宋体" w:hAnsi="宋体" w:eastAsia="宋体" w:cs="宋体"/>
                <w:spacing w:val="8"/>
                <w:sz w:val="20"/>
                <w:szCs w:val="20"/>
              </w:rPr>
              <w:t>标</w:t>
            </w:r>
          </w:p>
        </w:tc>
        <w:tc>
          <w:tcPr>
            <w:tcW w:w="114" w:type="dxa"/>
            <w:tcBorders>
              <w:top w:val="nil"/>
              <w:bottom w:val="nil"/>
              <w:right w:val="single" w:color="000000" w:sz="6" w:space="0"/>
            </w:tcBorders>
            <w:vAlign w:val="top"/>
          </w:tcPr>
          <w:p w14:paraId="125382B4">
            <w:pPr>
              <w:rPr>
                <w:rFonts w:ascii="Arial"/>
                <w:sz w:val="21"/>
              </w:rPr>
            </w:pPr>
          </w:p>
        </w:tc>
      </w:tr>
      <w:tr w14:paraId="0DAA4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0" w:hRule="atLeast"/>
        </w:trPr>
        <w:tc>
          <w:tcPr>
            <w:tcW w:w="428" w:type="dxa"/>
            <w:vMerge w:val="continue"/>
            <w:tcBorders>
              <w:top w:val="nil"/>
              <w:left w:val="single" w:color="000000" w:sz="6" w:space="0"/>
              <w:bottom w:val="nil"/>
            </w:tcBorders>
            <w:vAlign w:val="top"/>
          </w:tcPr>
          <w:p w14:paraId="317F56F9">
            <w:pPr>
              <w:rPr>
                <w:rFonts w:ascii="Arial"/>
                <w:sz w:val="21"/>
              </w:rPr>
            </w:pPr>
          </w:p>
        </w:tc>
        <w:tc>
          <w:tcPr>
            <w:tcW w:w="113" w:type="dxa"/>
            <w:tcBorders>
              <w:top w:val="nil"/>
              <w:bottom w:val="nil"/>
            </w:tcBorders>
            <w:vAlign w:val="top"/>
          </w:tcPr>
          <w:p w14:paraId="4092DDCB">
            <w:pPr>
              <w:rPr>
                <w:rFonts w:ascii="Arial"/>
                <w:sz w:val="21"/>
              </w:rPr>
            </w:pPr>
          </w:p>
        </w:tc>
        <w:tc>
          <w:tcPr>
            <w:tcW w:w="383" w:type="dxa"/>
            <w:gridSpan w:val="2"/>
            <w:vMerge w:val="continue"/>
            <w:tcBorders>
              <w:top w:val="nil"/>
            </w:tcBorders>
            <w:textDirection w:val="tbRlV"/>
            <w:vAlign w:val="top"/>
          </w:tcPr>
          <w:p w14:paraId="05A78653">
            <w:pPr>
              <w:rPr>
                <w:rFonts w:ascii="Arial"/>
                <w:sz w:val="21"/>
              </w:rPr>
            </w:pPr>
          </w:p>
        </w:tc>
        <w:tc>
          <w:tcPr>
            <w:tcW w:w="711" w:type="dxa"/>
            <w:vMerge w:val="continue"/>
            <w:tcBorders>
              <w:top w:val="nil"/>
            </w:tcBorders>
            <w:vAlign w:val="top"/>
          </w:tcPr>
          <w:p w14:paraId="6FA806FA">
            <w:pPr>
              <w:rPr>
                <w:rFonts w:ascii="Arial"/>
                <w:sz w:val="21"/>
              </w:rPr>
            </w:pPr>
          </w:p>
        </w:tc>
        <w:tc>
          <w:tcPr>
            <w:tcW w:w="542" w:type="dxa"/>
            <w:textDirection w:val="tbRlV"/>
            <w:vAlign w:val="top"/>
          </w:tcPr>
          <w:p w14:paraId="599BA699">
            <w:pPr>
              <w:spacing w:before="169" w:line="207" w:lineRule="auto"/>
              <w:ind w:left="42"/>
              <w:rPr>
                <w:rFonts w:ascii="宋体" w:hAnsi="宋体" w:eastAsia="宋体" w:cs="宋体"/>
                <w:sz w:val="20"/>
                <w:szCs w:val="20"/>
              </w:rPr>
            </w:pPr>
            <w:r>
              <w:rPr>
                <w:rFonts w:ascii="宋体" w:hAnsi="宋体" w:eastAsia="宋体" w:cs="宋体"/>
                <w:spacing w:val="8"/>
                <w:sz w:val="20"/>
                <w:szCs w:val="20"/>
              </w:rPr>
              <w:t>非</w:t>
            </w:r>
            <w:r>
              <w:rPr>
                <w:rFonts w:ascii="宋体" w:hAnsi="宋体" w:eastAsia="宋体" w:cs="宋体"/>
                <w:spacing w:val="102"/>
                <w:sz w:val="20"/>
                <w:szCs w:val="20"/>
              </w:rPr>
              <w:t xml:space="preserve"> </w:t>
            </w:r>
            <w:r>
              <w:rPr>
                <w:rFonts w:ascii="宋体" w:hAnsi="宋体" w:eastAsia="宋体" w:cs="宋体"/>
                <w:spacing w:val="8"/>
                <w:position w:val="1"/>
                <w:sz w:val="20"/>
                <w:szCs w:val="20"/>
              </w:rPr>
              <w:t>甲</w:t>
            </w:r>
            <w:r>
              <w:rPr>
                <w:rFonts w:ascii="宋体" w:hAnsi="宋体" w:eastAsia="宋体" w:cs="宋体"/>
                <w:spacing w:val="99"/>
                <w:position w:val="1"/>
                <w:sz w:val="20"/>
                <w:szCs w:val="20"/>
              </w:rPr>
              <w:t xml:space="preserve"> </w:t>
            </w:r>
            <w:r>
              <w:rPr>
                <w:rFonts w:ascii="宋体" w:hAnsi="宋体" w:eastAsia="宋体" w:cs="宋体"/>
                <w:spacing w:val="8"/>
                <w:sz w:val="20"/>
                <w:szCs w:val="20"/>
              </w:rPr>
              <w:t>烷</w:t>
            </w:r>
            <w:r>
              <w:rPr>
                <w:rFonts w:ascii="宋体" w:hAnsi="宋体" w:eastAsia="宋体" w:cs="宋体"/>
                <w:spacing w:val="99"/>
                <w:sz w:val="20"/>
                <w:szCs w:val="20"/>
              </w:rPr>
              <w:t xml:space="preserve"> </w:t>
            </w:r>
            <w:r>
              <w:rPr>
                <w:rFonts w:ascii="宋体" w:hAnsi="宋体" w:eastAsia="宋体" w:cs="宋体"/>
                <w:spacing w:val="8"/>
                <w:sz w:val="20"/>
                <w:szCs w:val="20"/>
              </w:rPr>
              <w:t>总</w:t>
            </w:r>
            <w:r>
              <w:rPr>
                <w:rFonts w:ascii="宋体" w:hAnsi="宋体" w:eastAsia="宋体" w:cs="宋体"/>
                <w:spacing w:val="1"/>
                <w:sz w:val="20"/>
                <w:szCs w:val="20"/>
              </w:rPr>
              <w:t xml:space="preserve">  </w:t>
            </w:r>
            <w:r>
              <w:rPr>
                <w:rFonts w:ascii="宋体" w:hAnsi="宋体" w:eastAsia="宋体" w:cs="宋体"/>
                <w:spacing w:val="8"/>
                <w:sz w:val="20"/>
                <w:szCs w:val="20"/>
              </w:rPr>
              <w:t>烃</w:t>
            </w:r>
          </w:p>
        </w:tc>
        <w:tc>
          <w:tcPr>
            <w:tcW w:w="870" w:type="dxa"/>
            <w:gridSpan w:val="2"/>
            <w:vAlign w:val="top"/>
          </w:tcPr>
          <w:p w14:paraId="55868F6A">
            <w:pPr>
              <w:spacing w:line="278" w:lineRule="auto"/>
              <w:rPr>
                <w:rFonts w:ascii="Arial"/>
                <w:sz w:val="21"/>
              </w:rPr>
            </w:pPr>
          </w:p>
          <w:p w14:paraId="05DC105E">
            <w:pPr>
              <w:spacing w:line="278" w:lineRule="auto"/>
              <w:rPr>
                <w:rFonts w:ascii="Arial"/>
                <w:sz w:val="21"/>
              </w:rPr>
            </w:pPr>
          </w:p>
          <w:p w14:paraId="109BA6D5">
            <w:pPr>
              <w:spacing w:line="279" w:lineRule="auto"/>
              <w:rPr>
                <w:rFonts w:ascii="Arial"/>
                <w:sz w:val="21"/>
              </w:rPr>
            </w:pPr>
          </w:p>
          <w:p w14:paraId="2D185B96">
            <w:pPr>
              <w:spacing w:before="57" w:line="199" w:lineRule="auto"/>
              <w:ind w:left="4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17" w:type="dxa"/>
            <w:gridSpan w:val="2"/>
            <w:vAlign w:val="top"/>
          </w:tcPr>
          <w:p w14:paraId="7B95FC8E">
            <w:pPr>
              <w:spacing w:line="279" w:lineRule="auto"/>
              <w:rPr>
                <w:rFonts w:ascii="Arial"/>
                <w:sz w:val="21"/>
              </w:rPr>
            </w:pPr>
          </w:p>
          <w:p w14:paraId="27A629C3">
            <w:pPr>
              <w:spacing w:line="280" w:lineRule="auto"/>
              <w:rPr>
                <w:rFonts w:ascii="Arial"/>
                <w:sz w:val="21"/>
              </w:rPr>
            </w:pPr>
          </w:p>
          <w:p w14:paraId="57C9D10B">
            <w:pPr>
              <w:spacing w:line="280" w:lineRule="auto"/>
              <w:rPr>
                <w:rFonts w:ascii="Arial"/>
                <w:sz w:val="21"/>
              </w:rPr>
            </w:pPr>
          </w:p>
          <w:p w14:paraId="540B3E35">
            <w:pPr>
              <w:spacing w:before="57" w:line="195" w:lineRule="auto"/>
              <w:ind w:left="3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1.82</w:t>
            </w:r>
          </w:p>
        </w:tc>
        <w:tc>
          <w:tcPr>
            <w:tcW w:w="1008" w:type="dxa"/>
            <w:gridSpan w:val="2"/>
            <w:vAlign w:val="top"/>
          </w:tcPr>
          <w:p w14:paraId="5478F00A">
            <w:pPr>
              <w:spacing w:line="278" w:lineRule="auto"/>
              <w:rPr>
                <w:rFonts w:ascii="Arial"/>
                <w:sz w:val="21"/>
              </w:rPr>
            </w:pPr>
          </w:p>
          <w:p w14:paraId="05DEDECF">
            <w:pPr>
              <w:spacing w:line="278" w:lineRule="auto"/>
              <w:rPr>
                <w:rFonts w:ascii="Arial"/>
                <w:sz w:val="21"/>
              </w:rPr>
            </w:pPr>
          </w:p>
          <w:p w14:paraId="04A2D6A0">
            <w:pPr>
              <w:spacing w:line="279" w:lineRule="auto"/>
              <w:rPr>
                <w:rFonts w:ascii="Arial"/>
                <w:sz w:val="21"/>
              </w:rPr>
            </w:pPr>
          </w:p>
          <w:p w14:paraId="734CF405">
            <w:pPr>
              <w:spacing w:before="57" w:line="199" w:lineRule="auto"/>
              <w:ind w:left="47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05" w:type="dxa"/>
            <w:gridSpan w:val="2"/>
            <w:vMerge w:val="continue"/>
            <w:tcBorders>
              <w:top w:val="nil"/>
            </w:tcBorders>
            <w:vAlign w:val="top"/>
          </w:tcPr>
          <w:p w14:paraId="5E539064">
            <w:pPr>
              <w:rPr>
                <w:rFonts w:ascii="Arial"/>
                <w:sz w:val="21"/>
              </w:rPr>
            </w:pPr>
          </w:p>
        </w:tc>
        <w:tc>
          <w:tcPr>
            <w:tcW w:w="870" w:type="dxa"/>
            <w:vAlign w:val="top"/>
          </w:tcPr>
          <w:p w14:paraId="3E5F63E0">
            <w:pPr>
              <w:spacing w:line="278" w:lineRule="auto"/>
              <w:rPr>
                <w:rFonts w:ascii="Arial"/>
                <w:sz w:val="21"/>
              </w:rPr>
            </w:pPr>
          </w:p>
          <w:p w14:paraId="13B37173">
            <w:pPr>
              <w:spacing w:line="278" w:lineRule="auto"/>
              <w:rPr>
                <w:rFonts w:ascii="Arial"/>
                <w:sz w:val="21"/>
              </w:rPr>
            </w:pPr>
          </w:p>
          <w:p w14:paraId="3CB1E641">
            <w:pPr>
              <w:spacing w:line="279" w:lineRule="auto"/>
              <w:rPr>
                <w:rFonts w:ascii="Arial"/>
                <w:sz w:val="21"/>
              </w:rPr>
            </w:pPr>
          </w:p>
          <w:p w14:paraId="73484DF6">
            <w:pPr>
              <w:spacing w:before="57" w:line="199" w:lineRule="auto"/>
              <w:ind w:left="4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18" w:type="dxa"/>
            <w:gridSpan w:val="2"/>
            <w:vAlign w:val="top"/>
          </w:tcPr>
          <w:p w14:paraId="7CDAF5C2">
            <w:pPr>
              <w:spacing w:line="279" w:lineRule="auto"/>
              <w:rPr>
                <w:rFonts w:ascii="Arial"/>
                <w:sz w:val="21"/>
              </w:rPr>
            </w:pPr>
          </w:p>
          <w:p w14:paraId="314845BF">
            <w:pPr>
              <w:spacing w:line="280" w:lineRule="auto"/>
              <w:rPr>
                <w:rFonts w:ascii="Arial"/>
                <w:sz w:val="21"/>
              </w:rPr>
            </w:pPr>
          </w:p>
          <w:p w14:paraId="31973065">
            <w:pPr>
              <w:spacing w:line="280" w:lineRule="auto"/>
              <w:rPr>
                <w:rFonts w:ascii="Arial"/>
                <w:sz w:val="21"/>
              </w:rPr>
            </w:pPr>
          </w:p>
          <w:p w14:paraId="184B2770">
            <w:pPr>
              <w:spacing w:before="57" w:line="195" w:lineRule="auto"/>
              <w:ind w:left="37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385" w:type="dxa"/>
            <w:gridSpan w:val="2"/>
            <w:textDirection w:val="tbRlV"/>
            <w:vAlign w:val="top"/>
          </w:tcPr>
          <w:p w14:paraId="1166D6E7">
            <w:pPr>
              <w:spacing w:before="67" w:line="217" w:lineRule="auto"/>
              <w:ind w:left="654"/>
              <w:rPr>
                <w:rFonts w:ascii="宋体" w:hAnsi="宋体" w:eastAsia="宋体" w:cs="宋体"/>
                <w:sz w:val="20"/>
                <w:szCs w:val="20"/>
              </w:rPr>
            </w:pPr>
            <w:r>
              <w:rPr>
                <w:rFonts w:ascii="宋体" w:hAnsi="宋体" w:eastAsia="宋体" w:cs="宋体"/>
                <w:spacing w:val="8"/>
                <w:sz w:val="20"/>
                <w:szCs w:val="20"/>
              </w:rPr>
              <w:t>达</w:t>
            </w:r>
            <w:r>
              <w:rPr>
                <w:rFonts w:ascii="宋体" w:hAnsi="宋体" w:eastAsia="宋体" w:cs="宋体"/>
                <w:spacing w:val="99"/>
                <w:sz w:val="20"/>
                <w:szCs w:val="20"/>
              </w:rPr>
              <w:t xml:space="preserve"> </w:t>
            </w:r>
            <w:r>
              <w:rPr>
                <w:rFonts w:ascii="宋体" w:hAnsi="宋体" w:eastAsia="宋体" w:cs="宋体"/>
                <w:spacing w:val="8"/>
                <w:sz w:val="20"/>
                <w:szCs w:val="20"/>
              </w:rPr>
              <w:t>标</w:t>
            </w:r>
          </w:p>
        </w:tc>
        <w:tc>
          <w:tcPr>
            <w:tcW w:w="114" w:type="dxa"/>
            <w:tcBorders>
              <w:top w:val="nil"/>
              <w:bottom w:val="nil"/>
              <w:right w:val="single" w:color="000000" w:sz="6" w:space="0"/>
            </w:tcBorders>
            <w:vAlign w:val="top"/>
          </w:tcPr>
          <w:p w14:paraId="1629D10B">
            <w:pPr>
              <w:rPr>
                <w:rFonts w:ascii="Arial"/>
                <w:sz w:val="21"/>
              </w:rPr>
            </w:pPr>
          </w:p>
        </w:tc>
      </w:tr>
      <w:tr w14:paraId="6A9F2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0" w:hRule="atLeast"/>
        </w:trPr>
        <w:tc>
          <w:tcPr>
            <w:tcW w:w="428" w:type="dxa"/>
            <w:vMerge w:val="continue"/>
            <w:tcBorders>
              <w:top w:val="nil"/>
              <w:left w:val="single" w:color="000000" w:sz="6" w:space="0"/>
              <w:bottom w:val="nil"/>
            </w:tcBorders>
            <w:vAlign w:val="top"/>
          </w:tcPr>
          <w:p w14:paraId="55A4BE0D">
            <w:pPr>
              <w:rPr>
                <w:rFonts w:ascii="Arial"/>
                <w:sz w:val="21"/>
              </w:rPr>
            </w:pPr>
          </w:p>
        </w:tc>
        <w:tc>
          <w:tcPr>
            <w:tcW w:w="8636" w:type="dxa"/>
            <w:gridSpan w:val="19"/>
            <w:tcBorders>
              <w:right w:val="single" w:color="000000" w:sz="6" w:space="0"/>
            </w:tcBorders>
            <w:vAlign w:val="top"/>
          </w:tcPr>
          <w:p w14:paraId="2227C0E3">
            <w:pPr>
              <w:spacing w:before="39" w:line="228" w:lineRule="auto"/>
              <w:ind w:left="223"/>
              <w:rPr>
                <w:rFonts w:ascii="宋体" w:hAnsi="宋体" w:eastAsia="宋体" w:cs="宋体"/>
                <w:sz w:val="20"/>
                <w:szCs w:val="20"/>
              </w:rPr>
            </w:pPr>
            <w:r>
              <w:pict>
                <v:shape id="_x0000_s1051" o:spid="_x0000_s1051" style="position:absolute;left:0pt;margin-left:5.1pt;margin-top:41.55pt;height:0.5pt;width:421.25pt;mso-position-horizontal-relative:page;mso-position-vertical-relative:page;z-index:-251641856;mso-width-relative:page;mso-height-relative:page;" filled="f" stroked="t" coordsize="8425,10" path="m0,4l8424,4e">
                  <v:fill on="f" focussize="0,0"/>
                  <v:stroke weight="0.48pt" color="#000000" miterlimit="2" joinstyle="bevel"/>
                  <v:imagedata o:title=""/>
                  <o:lock v:ext="edit"/>
                </v:shape>
              </w:pict>
            </w:r>
            <w:r>
              <w:pict>
                <v:shape id="_x0000_s1052" o:spid="_x0000_s1052" style="position:absolute;left:0pt;margin-left:11.6pt;margin-top:265.8pt;height:0.5pt;width:408.25pt;mso-position-horizontal-relative:page;mso-position-vertical-relative:page;z-index:251675648;mso-width-relative:page;mso-height-relative:page;" filled="f" stroked="t" coordsize="8165,10" path="m0,4l8164,4e">
                  <v:fill on="f" focussize="0,0"/>
                  <v:stroke weight="0.48pt" color="#000000" miterlimit="2" joinstyle="bevel"/>
                  <v:imagedata o:title=""/>
                  <o:lock v:ext="edit"/>
                </v:shape>
              </w:pict>
            </w:r>
            <w:r>
              <w:rPr>
                <w:rFonts w:ascii="宋体" w:hAnsi="宋体" w:eastAsia="宋体" w:cs="宋体"/>
                <w:spacing w:val="6"/>
                <w:sz w:val="20"/>
                <w:szCs w:val="20"/>
              </w:rPr>
              <w:t>备注：</w:t>
            </w:r>
            <w:r>
              <w:rPr>
                <w:rFonts w:ascii="Times New Roman" w:hAnsi="Times New Roman" w:eastAsia="Times New Roman" w:cs="Times New Roman"/>
                <w:spacing w:val="6"/>
                <w:sz w:val="20"/>
                <w:szCs w:val="20"/>
              </w:rPr>
              <w:t>1</w:t>
            </w:r>
            <w:r>
              <w:rPr>
                <w:rFonts w:ascii="Times New Roman" w:hAnsi="Times New Roman" w:eastAsia="Times New Roman" w:cs="Times New Roman"/>
                <w:spacing w:val="-17"/>
                <w:sz w:val="20"/>
                <w:szCs w:val="20"/>
              </w:rPr>
              <w:t xml:space="preserve"> </w:t>
            </w:r>
            <w:r>
              <w:rPr>
                <w:rFonts w:ascii="宋体" w:hAnsi="宋体" w:eastAsia="宋体" w:cs="宋体"/>
                <w:spacing w:val="6"/>
                <w:sz w:val="20"/>
                <w:szCs w:val="20"/>
              </w:rPr>
              <w:t>、表中</w:t>
            </w:r>
            <w:r>
              <w:rPr>
                <w:rFonts w:ascii="Times New Roman" w:hAnsi="Times New Roman" w:eastAsia="Times New Roman" w:cs="Times New Roman"/>
                <w:spacing w:val="6"/>
                <w:sz w:val="20"/>
                <w:szCs w:val="20"/>
              </w:rPr>
              <w:t>“</w:t>
            </w:r>
            <w:r>
              <w:rPr>
                <w:rFonts w:ascii="Times New Roman" w:hAnsi="Times New Roman" w:eastAsia="Times New Roman" w:cs="Times New Roman"/>
                <w:spacing w:val="-26"/>
                <w:sz w:val="20"/>
                <w:szCs w:val="20"/>
              </w:rPr>
              <w:t xml:space="preserve"> </w:t>
            </w:r>
            <w:r>
              <w:rPr>
                <w:rFonts w:ascii="宋体" w:hAnsi="宋体" w:eastAsia="宋体" w:cs="宋体"/>
                <w:spacing w:val="6"/>
                <w:sz w:val="20"/>
                <w:szCs w:val="20"/>
              </w:rPr>
              <w:t>＜</w:t>
            </w:r>
            <w:r>
              <w:rPr>
                <w:rFonts w:ascii="Times New Roman" w:hAnsi="Times New Roman" w:eastAsia="Times New Roman" w:cs="Times New Roman"/>
                <w:spacing w:val="6"/>
                <w:sz w:val="20"/>
                <w:szCs w:val="20"/>
              </w:rPr>
              <w:t>”</w:t>
            </w:r>
            <w:r>
              <w:rPr>
                <w:rFonts w:ascii="宋体" w:hAnsi="宋体" w:eastAsia="宋体" w:cs="宋体"/>
                <w:spacing w:val="6"/>
                <w:sz w:val="20"/>
                <w:szCs w:val="20"/>
              </w:rPr>
              <w:t>表示该项目分析结果低于检出限；</w:t>
            </w:r>
          </w:p>
          <w:p w14:paraId="5DF1F53F">
            <w:pPr>
              <w:spacing w:before="161" w:line="221" w:lineRule="auto"/>
              <w:ind w:left="216"/>
              <w:rPr>
                <w:rFonts w:ascii="宋体" w:hAnsi="宋体" w:eastAsia="宋体" w:cs="宋体"/>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25"/>
                <w:sz w:val="20"/>
                <w:szCs w:val="20"/>
              </w:rPr>
              <w:t xml:space="preserve"> </w:t>
            </w:r>
            <w:r>
              <w:rPr>
                <w:rFonts w:ascii="宋体" w:hAnsi="宋体" w:eastAsia="宋体" w:cs="宋体"/>
                <w:spacing w:val="5"/>
                <w:sz w:val="20"/>
                <w:szCs w:val="20"/>
              </w:rPr>
              <w:t>、</w:t>
            </w:r>
            <w:r>
              <w:rPr>
                <w:rFonts w:ascii="Times New Roman" w:hAnsi="Times New Roman" w:eastAsia="Times New Roman" w:cs="Times New Roman"/>
                <w:sz w:val="20"/>
                <w:szCs w:val="20"/>
              </w:rPr>
              <w:t>SO</w:t>
            </w:r>
            <w:r>
              <w:rPr>
                <w:rFonts w:ascii="Times New Roman" w:hAnsi="Times New Roman" w:eastAsia="Times New Roman" w:cs="Times New Roman"/>
                <w:spacing w:val="5"/>
                <w:position w:val="-1"/>
                <w:sz w:val="13"/>
                <w:szCs w:val="13"/>
              </w:rPr>
              <w:t>2</w:t>
            </w:r>
            <w:r>
              <w:rPr>
                <w:rFonts w:ascii="Times New Roman" w:hAnsi="Times New Roman" w:eastAsia="Times New Roman" w:cs="Times New Roman"/>
                <w:spacing w:val="10"/>
                <w:w w:val="102"/>
                <w:position w:val="-1"/>
                <w:sz w:val="13"/>
                <w:szCs w:val="13"/>
              </w:rPr>
              <w:t xml:space="preserve"> </w:t>
            </w:r>
            <w:r>
              <w:rPr>
                <w:rFonts w:ascii="宋体" w:hAnsi="宋体" w:eastAsia="宋体" w:cs="宋体"/>
                <w:spacing w:val="5"/>
                <w:sz w:val="20"/>
                <w:szCs w:val="20"/>
              </w:rPr>
              <w:t>检出限</w:t>
            </w:r>
            <w:r>
              <w:rPr>
                <w:rFonts w:ascii="宋体" w:hAnsi="宋体" w:eastAsia="宋体" w:cs="宋体"/>
                <w:spacing w:val="-39"/>
                <w:sz w:val="20"/>
                <w:szCs w:val="20"/>
              </w:rPr>
              <w:t xml:space="preserve"> </w:t>
            </w:r>
            <w:r>
              <w:rPr>
                <w:rFonts w:ascii="Times New Roman" w:hAnsi="Times New Roman" w:eastAsia="Times New Roman" w:cs="Times New Roman"/>
                <w:spacing w:val="5"/>
                <w:sz w:val="20"/>
                <w:szCs w:val="20"/>
              </w:rPr>
              <w:t>3</w:t>
            </w:r>
            <w:r>
              <w:rPr>
                <w:rFonts w:ascii="Times New Roman" w:hAnsi="Times New Roman" w:eastAsia="Times New Roman" w:cs="Times New Roman"/>
                <w:sz w:val="20"/>
                <w:szCs w:val="20"/>
              </w:rPr>
              <w:t>mg</w:t>
            </w:r>
            <w:r>
              <w:rPr>
                <w:rFonts w:ascii="Times New Roman" w:hAnsi="Times New Roman" w:eastAsia="Times New Roman" w:cs="Times New Roman"/>
                <w:spacing w:val="5"/>
                <w:sz w:val="20"/>
                <w:szCs w:val="20"/>
              </w:rPr>
              <w:t>/m</w:t>
            </w:r>
            <w:r>
              <w:rPr>
                <w:rFonts w:ascii="Times New Roman" w:hAnsi="Times New Roman" w:eastAsia="Times New Roman" w:cs="Times New Roman"/>
                <w:spacing w:val="5"/>
                <w:position w:val="6"/>
                <w:sz w:val="13"/>
                <w:szCs w:val="13"/>
              </w:rPr>
              <w:t>3</w:t>
            </w:r>
            <w:r>
              <w:rPr>
                <w:rFonts w:ascii="Times New Roman" w:hAnsi="Times New Roman" w:eastAsia="Times New Roman" w:cs="Times New Roman"/>
                <w:spacing w:val="-9"/>
                <w:position w:val="6"/>
                <w:sz w:val="13"/>
                <w:szCs w:val="13"/>
              </w:rPr>
              <w:t xml:space="preserve"> </w:t>
            </w:r>
            <w:r>
              <w:rPr>
                <w:rFonts w:ascii="宋体" w:hAnsi="宋体" w:eastAsia="宋体" w:cs="宋体"/>
                <w:spacing w:val="5"/>
                <w:sz w:val="20"/>
                <w:szCs w:val="20"/>
              </w:rPr>
              <w:t>，</w:t>
            </w:r>
            <w:r>
              <w:rPr>
                <w:rFonts w:ascii="Times New Roman" w:hAnsi="Times New Roman" w:eastAsia="Times New Roman" w:cs="Times New Roman"/>
                <w:sz w:val="20"/>
                <w:szCs w:val="20"/>
              </w:rPr>
              <w:t>NOx</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检出限</w:t>
            </w:r>
            <w:r>
              <w:rPr>
                <w:rFonts w:ascii="宋体" w:hAnsi="宋体" w:eastAsia="宋体" w:cs="宋体"/>
                <w:spacing w:val="-36"/>
                <w:sz w:val="20"/>
                <w:szCs w:val="20"/>
              </w:rPr>
              <w:t xml:space="preserve"> </w:t>
            </w:r>
            <w:r>
              <w:rPr>
                <w:rFonts w:ascii="Times New Roman" w:hAnsi="Times New Roman" w:eastAsia="Times New Roman" w:cs="Times New Roman"/>
                <w:spacing w:val="5"/>
                <w:sz w:val="20"/>
                <w:szCs w:val="20"/>
              </w:rPr>
              <w:t>3</w:t>
            </w:r>
            <w:r>
              <w:rPr>
                <w:rFonts w:ascii="Times New Roman" w:hAnsi="Times New Roman" w:eastAsia="Times New Roman" w:cs="Times New Roman"/>
                <w:sz w:val="20"/>
                <w:szCs w:val="20"/>
              </w:rPr>
              <w:t>mg</w:t>
            </w:r>
            <w:r>
              <w:rPr>
                <w:rFonts w:ascii="Times New Roman" w:hAnsi="Times New Roman" w:eastAsia="Times New Roman" w:cs="Times New Roman"/>
                <w:spacing w:val="5"/>
                <w:sz w:val="20"/>
                <w:szCs w:val="20"/>
              </w:rPr>
              <w:t>/m</w:t>
            </w:r>
            <w:r>
              <w:rPr>
                <w:rFonts w:ascii="Times New Roman" w:hAnsi="Times New Roman" w:eastAsia="Times New Roman" w:cs="Times New Roman"/>
                <w:spacing w:val="5"/>
                <w:position w:val="6"/>
                <w:sz w:val="13"/>
                <w:szCs w:val="13"/>
              </w:rPr>
              <w:t>3</w:t>
            </w:r>
            <w:r>
              <w:rPr>
                <w:rFonts w:ascii="宋体" w:hAnsi="宋体" w:eastAsia="宋体" w:cs="宋体"/>
                <w:spacing w:val="5"/>
                <w:sz w:val="20"/>
                <w:szCs w:val="20"/>
              </w:rPr>
              <w:t>；</w:t>
            </w:r>
          </w:p>
          <w:p w14:paraId="72442848">
            <w:pPr>
              <w:spacing w:before="182" w:line="359" w:lineRule="auto"/>
              <w:ind w:left="105" w:firstLine="480"/>
              <w:jc w:val="both"/>
              <w:rPr>
                <w:rFonts w:ascii="宋体" w:hAnsi="宋体" w:eastAsia="宋体" w:cs="宋体"/>
                <w:sz w:val="24"/>
                <w:szCs w:val="24"/>
              </w:rPr>
            </w:pPr>
            <w:r>
              <w:rPr>
                <w:rFonts w:ascii="宋体" w:hAnsi="宋体" w:eastAsia="宋体" w:cs="宋体"/>
                <w:spacing w:val="-2"/>
                <w:sz w:val="24"/>
                <w:szCs w:val="24"/>
              </w:rPr>
              <w:t>根据验收监测结果，项目</w:t>
            </w:r>
            <w:r>
              <w:rPr>
                <w:rFonts w:ascii="宋体" w:hAnsi="宋体" w:eastAsia="宋体" w:cs="宋体"/>
                <w:spacing w:val="-56"/>
                <w:sz w:val="24"/>
                <w:szCs w:val="24"/>
              </w:rPr>
              <w:t xml:space="preserve"> </w:t>
            </w:r>
            <w:r>
              <w:rPr>
                <w:rFonts w:ascii="Times New Roman" w:hAnsi="Times New Roman" w:eastAsia="Times New Roman" w:cs="Times New Roman"/>
                <w:spacing w:val="-2"/>
                <w:sz w:val="24"/>
                <w:szCs w:val="24"/>
              </w:rPr>
              <w:t>DA001</w:t>
            </w:r>
            <w:r>
              <w:rPr>
                <w:rFonts w:ascii="宋体" w:hAnsi="宋体" w:eastAsia="宋体" w:cs="宋体"/>
                <w:spacing w:val="-2"/>
                <w:sz w:val="24"/>
                <w:szCs w:val="24"/>
              </w:rPr>
              <w:t>、</w:t>
            </w:r>
            <w:r>
              <w:rPr>
                <w:rFonts w:ascii="Times New Roman" w:hAnsi="Times New Roman" w:eastAsia="Times New Roman" w:cs="Times New Roman"/>
                <w:spacing w:val="-2"/>
                <w:sz w:val="24"/>
                <w:szCs w:val="24"/>
              </w:rPr>
              <w:t>DA002</w:t>
            </w:r>
            <w:r>
              <w:rPr>
                <w:rFonts w:ascii="宋体" w:hAnsi="宋体" w:eastAsia="宋体" w:cs="宋体"/>
                <w:spacing w:val="-2"/>
                <w:sz w:val="24"/>
                <w:szCs w:val="24"/>
              </w:rPr>
              <w:t>、</w:t>
            </w:r>
            <w:r>
              <w:rPr>
                <w:rFonts w:ascii="Times New Roman" w:hAnsi="Times New Roman" w:eastAsia="Times New Roman" w:cs="Times New Roman"/>
                <w:spacing w:val="-2"/>
                <w:sz w:val="24"/>
                <w:szCs w:val="24"/>
              </w:rPr>
              <w:t>DA004</w:t>
            </w:r>
            <w:r>
              <w:rPr>
                <w:rFonts w:ascii="Times New Roman" w:hAnsi="Times New Roman" w:eastAsia="Times New Roman" w:cs="Times New Roman"/>
                <w:spacing w:val="15"/>
                <w:w w:val="101"/>
                <w:sz w:val="24"/>
                <w:szCs w:val="24"/>
              </w:rPr>
              <w:t xml:space="preserve"> </w:t>
            </w:r>
            <w:r>
              <w:rPr>
                <w:rFonts w:ascii="宋体" w:hAnsi="宋体" w:eastAsia="宋体" w:cs="宋体"/>
                <w:spacing w:val="-2"/>
                <w:sz w:val="24"/>
                <w:szCs w:val="24"/>
              </w:rPr>
              <w:t>号排</w:t>
            </w:r>
            <w:r>
              <w:rPr>
                <w:rFonts w:ascii="宋体" w:hAnsi="宋体" w:eastAsia="宋体" w:cs="宋体"/>
                <w:spacing w:val="-3"/>
                <w:sz w:val="24"/>
                <w:szCs w:val="24"/>
              </w:rPr>
              <w:t>气筒均满足《大气污</w:t>
            </w:r>
            <w:r>
              <w:rPr>
                <w:rFonts w:ascii="宋体" w:hAnsi="宋体" w:eastAsia="宋体" w:cs="宋体"/>
                <w:spacing w:val="-8"/>
                <w:sz w:val="24"/>
                <w:szCs w:val="24"/>
              </w:rPr>
              <w:t>染物综合排放标准》（</w:t>
            </w:r>
            <w:r>
              <w:rPr>
                <w:rFonts w:ascii="Times New Roman" w:hAnsi="Times New Roman" w:eastAsia="Times New Roman" w:cs="Times New Roman"/>
                <w:spacing w:val="-8"/>
                <w:sz w:val="24"/>
                <w:szCs w:val="24"/>
              </w:rPr>
              <w:t>GB16297-</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pacing w:val="-8"/>
                <w:sz w:val="24"/>
                <w:szCs w:val="24"/>
              </w:rPr>
              <w:t>1996</w:t>
            </w:r>
            <w:r>
              <w:rPr>
                <w:rFonts w:ascii="宋体" w:hAnsi="宋体" w:eastAsia="宋体" w:cs="宋体"/>
                <w:spacing w:val="-8"/>
                <w:sz w:val="24"/>
                <w:szCs w:val="24"/>
              </w:rPr>
              <w:t>）表</w:t>
            </w:r>
            <w:r>
              <w:rPr>
                <w:rFonts w:ascii="宋体" w:hAnsi="宋体" w:eastAsia="宋体" w:cs="宋体"/>
                <w:spacing w:val="-55"/>
                <w:sz w:val="24"/>
                <w:szCs w:val="24"/>
              </w:rPr>
              <w:t xml:space="preserve"> </w:t>
            </w:r>
            <w:r>
              <w:rPr>
                <w:rFonts w:ascii="Times New Roman" w:hAnsi="Times New Roman" w:eastAsia="Times New Roman" w:cs="Times New Roman"/>
                <w:spacing w:val="-8"/>
                <w:sz w:val="24"/>
                <w:szCs w:val="24"/>
              </w:rPr>
              <w:t>2</w:t>
            </w:r>
            <w:r>
              <w:rPr>
                <w:rFonts w:ascii="Times New Roman" w:hAnsi="Times New Roman" w:eastAsia="Times New Roman" w:cs="Times New Roman"/>
                <w:spacing w:val="13"/>
                <w:sz w:val="24"/>
                <w:szCs w:val="24"/>
              </w:rPr>
              <w:t xml:space="preserve"> </w:t>
            </w:r>
            <w:r>
              <w:rPr>
                <w:rFonts w:ascii="宋体" w:hAnsi="宋体" w:eastAsia="宋体" w:cs="宋体"/>
                <w:spacing w:val="-8"/>
                <w:sz w:val="24"/>
                <w:szCs w:val="24"/>
              </w:rPr>
              <w:t>二级排放标</w:t>
            </w:r>
            <w:r>
              <w:rPr>
                <w:rFonts w:ascii="宋体" w:hAnsi="宋体" w:eastAsia="宋体" w:cs="宋体"/>
                <w:spacing w:val="-9"/>
                <w:sz w:val="24"/>
                <w:szCs w:val="24"/>
              </w:rPr>
              <w:t>准，</w:t>
            </w:r>
            <w:r>
              <w:rPr>
                <w:rFonts w:ascii="Times New Roman" w:hAnsi="Times New Roman" w:eastAsia="Times New Roman" w:cs="Times New Roman"/>
                <w:spacing w:val="-9"/>
                <w:sz w:val="24"/>
                <w:szCs w:val="24"/>
              </w:rPr>
              <w:t xml:space="preserve">DA003 </w:t>
            </w:r>
            <w:r>
              <w:rPr>
                <w:rFonts w:ascii="宋体" w:hAnsi="宋体" w:eastAsia="宋体" w:cs="宋体"/>
                <w:spacing w:val="-9"/>
                <w:sz w:val="24"/>
                <w:szCs w:val="24"/>
              </w:rPr>
              <w:t>排气筒满足《工</w:t>
            </w:r>
            <w:r>
              <w:rPr>
                <w:rFonts w:ascii="宋体" w:hAnsi="宋体" w:eastAsia="宋体" w:cs="宋体"/>
                <w:spacing w:val="10"/>
                <w:sz w:val="24"/>
                <w:szCs w:val="24"/>
              </w:rPr>
              <w:t>业炉窑大气污染物排放标准》</w:t>
            </w:r>
            <w:r>
              <w:rPr>
                <w:rFonts w:ascii="Times New Roman" w:hAnsi="Times New Roman" w:eastAsia="Times New Roman" w:cs="Times New Roman"/>
                <w:spacing w:val="10"/>
                <w:sz w:val="24"/>
                <w:szCs w:val="24"/>
              </w:rPr>
              <w:t>(</w:t>
            </w:r>
            <w:r>
              <w:rPr>
                <w:rFonts w:ascii="Times New Roman" w:hAnsi="Times New Roman" w:eastAsia="Times New Roman" w:cs="Times New Roman"/>
                <w:sz w:val="24"/>
                <w:szCs w:val="24"/>
              </w:rPr>
              <w:t>GB</w:t>
            </w:r>
            <w:r>
              <w:rPr>
                <w:rFonts w:ascii="Times New Roman" w:hAnsi="Times New Roman" w:eastAsia="Times New Roman" w:cs="Times New Roman"/>
                <w:spacing w:val="10"/>
                <w:sz w:val="24"/>
                <w:szCs w:val="24"/>
              </w:rPr>
              <w:t>9078-</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0"/>
                <w:sz w:val="24"/>
                <w:szCs w:val="24"/>
              </w:rPr>
              <w:t>19</w:t>
            </w:r>
            <w:r>
              <w:rPr>
                <w:rFonts w:ascii="Times New Roman" w:hAnsi="Times New Roman" w:eastAsia="Times New Roman" w:cs="Times New Roman"/>
                <w:spacing w:val="9"/>
                <w:sz w:val="24"/>
                <w:szCs w:val="24"/>
              </w:rPr>
              <w:t>96)</w:t>
            </w:r>
            <w:r>
              <w:rPr>
                <w:rFonts w:ascii="宋体" w:hAnsi="宋体" w:eastAsia="宋体" w:cs="宋体"/>
                <w:spacing w:val="9"/>
                <w:sz w:val="24"/>
                <w:szCs w:val="24"/>
              </w:rPr>
              <w:t>和《大气污染物综合排放标准》</w:t>
            </w:r>
            <w:r>
              <w:rPr>
                <w:rFonts w:ascii="宋体" w:hAnsi="宋体" w:eastAsia="宋体" w:cs="宋体"/>
                <w:sz w:val="24"/>
                <w:szCs w:val="24"/>
              </w:rPr>
              <w:t xml:space="preserve"> </w:t>
            </w:r>
            <w:r>
              <w:rPr>
                <w:rFonts w:ascii="Times New Roman" w:hAnsi="Times New Roman" w:eastAsia="Times New Roman" w:cs="Times New Roman"/>
                <w:spacing w:val="-1"/>
                <w:sz w:val="24"/>
                <w:szCs w:val="24"/>
              </w:rPr>
              <w:t>(GB16297-</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pacing w:val="-1"/>
                <w:sz w:val="24"/>
                <w:szCs w:val="24"/>
              </w:rPr>
              <w:t>1996)</w:t>
            </w:r>
            <w:r>
              <w:rPr>
                <w:rFonts w:ascii="宋体" w:hAnsi="宋体" w:eastAsia="宋体" w:cs="宋体"/>
                <w:spacing w:val="-1"/>
                <w:sz w:val="24"/>
                <w:szCs w:val="24"/>
              </w:rPr>
              <w:t>表</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2</w:t>
            </w:r>
            <w:r>
              <w:rPr>
                <w:rFonts w:ascii="Times New Roman" w:hAnsi="Times New Roman" w:eastAsia="Times New Roman" w:cs="Times New Roman"/>
                <w:spacing w:val="34"/>
                <w:w w:val="101"/>
                <w:sz w:val="24"/>
                <w:szCs w:val="24"/>
              </w:rPr>
              <w:t xml:space="preserve"> </w:t>
            </w:r>
            <w:r>
              <w:rPr>
                <w:rFonts w:ascii="宋体" w:hAnsi="宋体" w:eastAsia="宋体" w:cs="宋体"/>
                <w:spacing w:val="-1"/>
                <w:sz w:val="24"/>
                <w:szCs w:val="24"/>
              </w:rPr>
              <w:t>中最严标准。项目验收期间有组织废气满足达标排放。项目</w:t>
            </w:r>
            <w:r>
              <w:rPr>
                <w:rFonts w:ascii="宋体" w:hAnsi="宋体" w:eastAsia="宋体" w:cs="宋体"/>
                <w:sz w:val="24"/>
                <w:szCs w:val="24"/>
              </w:rPr>
              <w:t>无组织废气颗粒物、非甲烷总烃、苯、甲苯、二甲苯、甲醛无组织排放浓度均满</w:t>
            </w:r>
            <w:r>
              <w:rPr>
                <w:rFonts w:ascii="宋体" w:hAnsi="宋体" w:eastAsia="宋体" w:cs="宋体"/>
                <w:spacing w:val="-4"/>
                <w:sz w:val="24"/>
                <w:szCs w:val="24"/>
              </w:rPr>
              <w:t>足《大气污染物综合排放标准》（</w:t>
            </w:r>
            <w:r>
              <w:rPr>
                <w:rFonts w:ascii="Times New Roman" w:hAnsi="Times New Roman" w:eastAsia="Times New Roman" w:cs="Times New Roman"/>
                <w:spacing w:val="-4"/>
                <w:sz w:val="24"/>
                <w:szCs w:val="24"/>
              </w:rPr>
              <w:t>GB</w:t>
            </w:r>
            <w:r>
              <w:rPr>
                <w:rFonts w:ascii="Times New Roman" w:hAnsi="Times New Roman" w:eastAsia="Times New Roman" w:cs="Times New Roman"/>
                <w:spacing w:val="35"/>
                <w:w w:val="101"/>
                <w:sz w:val="24"/>
                <w:szCs w:val="24"/>
              </w:rPr>
              <w:t xml:space="preserve"> </w:t>
            </w:r>
            <w:r>
              <w:rPr>
                <w:rFonts w:ascii="Times New Roman" w:hAnsi="Times New Roman" w:eastAsia="Times New Roman" w:cs="Times New Roman"/>
                <w:spacing w:val="-4"/>
                <w:sz w:val="24"/>
                <w:szCs w:val="24"/>
              </w:rPr>
              <w:t>16297-</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4"/>
                <w:sz w:val="24"/>
                <w:szCs w:val="24"/>
              </w:rPr>
              <w:t>1996</w:t>
            </w:r>
            <w:r>
              <w:rPr>
                <w:rFonts w:ascii="宋体" w:hAnsi="宋体" w:eastAsia="宋体" w:cs="宋体"/>
                <w:spacing w:val="-4"/>
                <w:sz w:val="24"/>
                <w:szCs w:val="24"/>
              </w:rPr>
              <w:t>）表</w:t>
            </w:r>
            <w:r>
              <w:rPr>
                <w:rFonts w:ascii="宋体" w:hAnsi="宋体" w:eastAsia="宋体" w:cs="宋体"/>
                <w:spacing w:val="-55"/>
                <w:sz w:val="24"/>
                <w:szCs w:val="24"/>
              </w:rPr>
              <w:t xml:space="preserve"> </w:t>
            </w:r>
            <w:r>
              <w:rPr>
                <w:rFonts w:ascii="Times New Roman" w:hAnsi="Times New Roman" w:eastAsia="Times New Roman" w:cs="Times New Roman"/>
                <w:spacing w:val="-4"/>
                <w:sz w:val="24"/>
                <w:szCs w:val="24"/>
              </w:rPr>
              <w:t xml:space="preserve">2 </w:t>
            </w:r>
            <w:r>
              <w:rPr>
                <w:rFonts w:ascii="宋体" w:hAnsi="宋体" w:eastAsia="宋体" w:cs="宋体"/>
                <w:spacing w:val="-4"/>
                <w:sz w:val="24"/>
                <w:szCs w:val="24"/>
              </w:rPr>
              <w:t>无组织排放限值。厂区内</w:t>
            </w:r>
            <w:r>
              <w:rPr>
                <w:rFonts w:ascii="宋体" w:hAnsi="宋体" w:eastAsia="宋体" w:cs="宋体"/>
                <w:spacing w:val="-3"/>
                <w:sz w:val="24"/>
                <w:szCs w:val="24"/>
              </w:rPr>
              <w:t>厂房外</w:t>
            </w:r>
            <w:r>
              <w:rPr>
                <w:rFonts w:ascii="宋体" w:hAnsi="宋体" w:eastAsia="宋体" w:cs="宋体"/>
                <w:spacing w:val="-17"/>
                <w:sz w:val="24"/>
                <w:szCs w:val="24"/>
              </w:rPr>
              <w:t xml:space="preserve"> </w:t>
            </w:r>
            <w:r>
              <w:rPr>
                <w:rFonts w:ascii="Times New Roman" w:hAnsi="Times New Roman" w:eastAsia="Times New Roman" w:cs="Times New Roman"/>
                <w:spacing w:val="-3"/>
                <w:sz w:val="24"/>
                <w:szCs w:val="24"/>
              </w:rPr>
              <w:t xml:space="preserve">1m </w:t>
            </w:r>
            <w:r>
              <w:rPr>
                <w:rFonts w:ascii="宋体" w:hAnsi="宋体" w:eastAsia="宋体" w:cs="宋体"/>
                <w:spacing w:val="-3"/>
                <w:sz w:val="24"/>
                <w:szCs w:val="24"/>
              </w:rPr>
              <w:t>无组织非甲烷总烃排放浓度满足《挥发性有机物无组织排放控制标准》</w:t>
            </w:r>
            <w:r>
              <w:rPr>
                <w:rFonts w:ascii="宋体" w:hAnsi="宋体" w:eastAsia="宋体" w:cs="宋体"/>
                <w:sz w:val="24"/>
                <w:szCs w:val="24"/>
              </w:rPr>
              <w:t xml:space="preserve"> </w:t>
            </w:r>
            <w:r>
              <w:rPr>
                <w:rFonts w:ascii="宋体" w:hAnsi="宋体" w:eastAsia="宋体" w:cs="宋体"/>
                <w:spacing w:val="2"/>
                <w:sz w:val="24"/>
                <w:szCs w:val="24"/>
              </w:rPr>
              <w:t>（</w:t>
            </w:r>
            <w:r>
              <w:rPr>
                <w:rFonts w:ascii="Times New Roman" w:hAnsi="Times New Roman" w:eastAsia="Times New Roman" w:cs="Times New Roman"/>
                <w:sz w:val="24"/>
                <w:szCs w:val="24"/>
              </w:rPr>
              <w:t>GB</w:t>
            </w:r>
            <w:r>
              <w:rPr>
                <w:rFonts w:ascii="Times New Roman" w:hAnsi="Times New Roman" w:eastAsia="Times New Roman" w:cs="Times New Roman"/>
                <w:spacing w:val="2"/>
                <w:sz w:val="24"/>
                <w:szCs w:val="24"/>
              </w:rPr>
              <w:t xml:space="preserve"> 37822-2019</w:t>
            </w:r>
            <w:r>
              <w:rPr>
                <w:rFonts w:ascii="宋体" w:hAnsi="宋体" w:eastAsia="宋体" w:cs="宋体"/>
                <w:spacing w:val="2"/>
                <w:sz w:val="24"/>
                <w:szCs w:val="24"/>
              </w:rPr>
              <w:t>）附录</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A</w:t>
            </w:r>
            <w:r>
              <w:rPr>
                <w:rFonts w:ascii="Times New Roman" w:hAnsi="Times New Roman" w:eastAsia="Times New Roman" w:cs="Times New Roman"/>
                <w:spacing w:val="34"/>
                <w:w w:val="101"/>
                <w:sz w:val="24"/>
                <w:szCs w:val="24"/>
              </w:rPr>
              <w:t xml:space="preserve"> </w:t>
            </w:r>
            <w:r>
              <w:rPr>
                <w:rFonts w:ascii="宋体" w:hAnsi="宋体" w:eastAsia="宋体" w:cs="宋体"/>
                <w:spacing w:val="2"/>
                <w:sz w:val="24"/>
                <w:szCs w:val="24"/>
              </w:rPr>
              <w:t>中表</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 xml:space="preserve">A.1 </w:t>
            </w:r>
            <w:r>
              <w:rPr>
                <w:rFonts w:ascii="宋体" w:hAnsi="宋体" w:eastAsia="宋体" w:cs="宋体"/>
                <w:spacing w:val="2"/>
                <w:sz w:val="24"/>
                <w:szCs w:val="24"/>
              </w:rPr>
              <w:t>排放限值。无组织废气</w:t>
            </w:r>
            <w:r>
              <w:rPr>
                <w:rFonts w:ascii="宋体" w:hAnsi="宋体" w:eastAsia="宋体" w:cs="宋体"/>
                <w:spacing w:val="1"/>
                <w:sz w:val="24"/>
                <w:szCs w:val="24"/>
              </w:rPr>
              <w:t>均满足达标排放。，</w:t>
            </w:r>
            <w:r>
              <w:rPr>
                <w:rFonts w:ascii="宋体" w:hAnsi="宋体" w:eastAsia="宋体" w:cs="宋体"/>
                <w:spacing w:val="-7"/>
                <w:sz w:val="24"/>
                <w:szCs w:val="24"/>
              </w:rPr>
              <w:t>现有项目年运行</w:t>
            </w:r>
            <w:r>
              <w:rPr>
                <w:rFonts w:ascii="宋体" w:hAnsi="宋体" w:eastAsia="宋体" w:cs="宋体"/>
                <w:spacing w:val="-50"/>
                <w:sz w:val="24"/>
                <w:szCs w:val="24"/>
              </w:rPr>
              <w:t xml:space="preserve"> </w:t>
            </w:r>
            <w:r>
              <w:rPr>
                <w:rFonts w:ascii="Times New Roman" w:hAnsi="Times New Roman" w:eastAsia="Times New Roman" w:cs="Times New Roman"/>
                <w:spacing w:val="-7"/>
                <w:sz w:val="24"/>
                <w:szCs w:val="24"/>
              </w:rPr>
              <w:t>300d</w:t>
            </w:r>
            <w:r>
              <w:rPr>
                <w:rFonts w:ascii="宋体" w:hAnsi="宋体" w:eastAsia="宋体" w:cs="宋体"/>
                <w:spacing w:val="-7"/>
                <w:sz w:val="24"/>
                <w:szCs w:val="24"/>
              </w:rPr>
              <w:t>，每天运行</w:t>
            </w:r>
            <w:r>
              <w:rPr>
                <w:rFonts w:ascii="宋体" w:hAnsi="宋体" w:eastAsia="宋体" w:cs="宋体"/>
                <w:spacing w:val="-46"/>
                <w:sz w:val="24"/>
                <w:szCs w:val="24"/>
              </w:rPr>
              <w:t xml:space="preserve"> </w:t>
            </w:r>
            <w:r>
              <w:rPr>
                <w:rFonts w:ascii="Times New Roman" w:hAnsi="Times New Roman" w:eastAsia="Times New Roman" w:cs="Times New Roman"/>
                <w:spacing w:val="-7"/>
                <w:sz w:val="24"/>
                <w:szCs w:val="24"/>
              </w:rPr>
              <w:t>8h</w:t>
            </w:r>
            <w:r>
              <w:rPr>
                <w:rFonts w:ascii="宋体" w:hAnsi="宋体" w:eastAsia="宋体" w:cs="宋体"/>
                <w:spacing w:val="-7"/>
                <w:sz w:val="24"/>
                <w:szCs w:val="24"/>
              </w:rPr>
              <w:t>，经计算，现有项</w:t>
            </w:r>
            <w:r>
              <w:rPr>
                <w:rFonts w:ascii="宋体" w:hAnsi="宋体" w:eastAsia="宋体" w:cs="宋体"/>
                <w:spacing w:val="-8"/>
                <w:sz w:val="24"/>
                <w:szCs w:val="24"/>
              </w:rPr>
              <w:t>目有组织废气排放量见下表。</w:t>
            </w:r>
          </w:p>
          <w:p w14:paraId="7730BF0D">
            <w:pPr>
              <w:spacing w:before="1" w:line="167" w:lineRule="auto"/>
              <w:ind w:left="2516"/>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27"/>
                <w:sz w:val="20"/>
                <w:szCs w:val="20"/>
              </w:rPr>
              <w:t xml:space="preserve"> </w:t>
            </w:r>
            <w:r>
              <w:rPr>
                <w:rFonts w:ascii="Times New Roman" w:hAnsi="Times New Roman" w:eastAsia="Times New Roman" w:cs="Times New Roman"/>
                <w:b/>
                <w:bCs/>
                <w:spacing w:val="6"/>
                <w:sz w:val="20"/>
                <w:szCs w:val="20"/>
              </w:rPr>
              <w:t xml:space="preserve">2-13    </w:t>
            </w:r>
            <w:r>
              <w:rPr>
                <w:rFonts w:ascii="宋体" w:hAnsi="宋体" w:eastAsia="宋体" w:cs="宋体"/>
                <w:b/>
                <w:bCs/>
                <w:spacing w:val="6"/>
                <w:sz w:val="20"/>
                <w:szCs w:val="20"/>
              </w:rPr>
              <w:t>现有项目有组织</w:t>
            </w:r>
            <w:r>
              <w:rPr>
                <w:rFonts w:ascii="微软雅黑" w:hAnsi="微软雅黑" w:eastAsia="微软雅黑" w:cs="微软雅黑"/>
                <w:b/>
                <w:bCs/>
                <w:spacing w:val="6"/>
                <w:sz w:val="20"/>
                <w:szCs w:val="20"/>
              </w:rPr>
              <w:t>废气</w:t>
            </w:r>
            <w:r>
              <w:rPr>
                <w:rFonts w:ascii="宋体" w:hAnsi="宋体" w:eastAsia="宋体" w:cs="宋体"/>
                <w:b/>
                <w:bCs/>
                <w:spacing w:val="6"/>
                <w:sz w:val="20"/>
                <w:szCs w:val="20"/>
              </w:rPr>
              <w:t>排放</w:t>
            </w:r>
            <w:r>
              <w:rPr>
                <w:rFonts w:ascii="微软雅黑" w:hAnsi="微软雅黑" w:eastAsia="微软雅黑" w:cs="微软雅黑"/>
                <w:b/>
                <w:bCs/>
                <w:spacing w:val="6"/>
                <w:sz w:val="20"/>
                <w:szCs w:val="20"/>
              </w:rPr>
              <w:t>量</w:t>
            </w:r>
            <w:r>
              <w:rPr>
                <w:rFonts w:ascii="宋体" w:hAnsi="宋体" w:eastAsia="宋体" w:cs="宋体"/>
                <w:b/>
                <w:bCs/>
                <w:spacing w:val="6"/>
                <w:sz w:val="20"/>
                <w:szCs w:val="20"/>
              </w:rPr>
              <w:t>一览表</w:t>
            </w:r>
          </w:p>
        </w:tc>
      </w:tr>
      <w:tr w14:paraId="38F7C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428" w:type="dxa"/>
            <w:vMerge w:val="continue"/>
            <w:tcBorders>
              <w:top w:val="nil"/>
              <w:left w:val="single" w:color="000000" w:sz="6" w:space="0"/>
              <w:bottom w:val="single" w:color="000000" w:sz="6" w:space="0"/>
            </w:tcBorders>
            <w:vAlign w:val="top"/>
          </w:tcPr>
          <w:p w14:paraId="5BA8CDD8">
            <w:pPr>
              <w:rPr>
                <w:rFonts w:ascii="Arial"/>
                <w:sz w:val="21"/>
              </w:rPr>
            </w:pPr>
          </w:p>
        </w:tc>
        <w:tc>
          <w:tcPr>
            <w:tcW w:w="243" w:type="dxa"/>
            <w:gridSpan w:val="2"/>
            <w:tcBorders>
              <w:top w:val="nil"/>
              <w:bottom w:val="single" w:color="000000" w:sz="6" w:space="0"/>
            </w:tcBorders>
            <w:vAlign w:val="top"/>
          </w:tcPr>
          <w:p w14:paraId="463D23FB">
            <w:pPr>
              <w:rPr>
                <w:rFonts w:ascii="Arial"/>
                <w:sz w:val="21"/>
              </w:rPr>
            </w:pPr>
          </w:p>
        </w:tc>
        <w:tc>
          <w:tcPr>
            <w:tcW w:w="1789" w:type="dxa"/>
            <w:gridSpan w:val="4"/>
            <w:tcBorders>
              <w:bottom w:val="single" w:color="000000" w:sz="6" w:space="0"/>
            </w:tcBorders>
            <w:vAlign w:val="top"/>
          </w:tcPr>
          <w:p w14:paraId="1E0745F5">
            <w:pPr>
              <w:spacing w:before="47" w:line="229" w:lineRule="auto"/>
              <w:ind w:left="475"/>
              <w:rPr>
                <w:rFonts w:ascii="宋体" w:hAnsi="宋体" w:eastAsia="宋体" w:cs="宋体"/>
                <w:sz w:val="20"/>
                <w:szCs w:val="20"/>
              </w:rPr>
            </w:pPr>
            <w:r>
              <w:rPr>
                <w:rFonts w:ascii="宋体" w:hAnsi="宋体" w:eastAsia="宋体" w:cs="宋体"/>
                <w:b/>
                <w:bCs/>
                <w:spacing w:val="6"/>
                <w:sz w:val="20"/>
                <w:szCs w:val="20"/>
              </w:rPr>
              <w:t>监测点位</w:t>
            </w:r>
          </w:p>
        </w:tc>
        <w:tc>
          <w:tcPr>
            <w:tcW w:w="707" w:type="dxa"/>
            <w:gridSpan w:val="2"/>
            <w:tcBorders>
              <w:bottom w:val="single" w:color="000000" w:sz="6" w:space="0"/>
            </w:tcBorders>
            <w:vAlign w:val="top"/>
          </w:tcPr>
          <w:p w14:paraId="7D9F2CBB">
            <w:pPr>
              <w:spacing w:before="47" w:line="192" w:lineRule="auto"/>
              <w:ind w:left="43"/>
              <w:rPr>
                <w:rFonts w:ascii="微软雅黑" w:hAnsi="微软雅黑" w:eastAsia="微软雅黑" w:cs="微软雅黑"/>
                <w:sz w:val="20"/>
                <w:szCs w:val="20"/>
              </w:rPr>
            </w:pPr>
            <w:r>
              <w:rPr>
                <w:rFonts w:ascii="宋体" w:hAnsi="宋体" w:eastAsia="宋体" w:cs="宋体"/>
                <w:b/>
                <w:bCs/>
                <w:spacing w:val="4"/>
                <w:sz w:val="20"/>
                <w:szCs w:val="20"/>
              </w:rPr>
              <w:t>污染</w:t>
            </w:r>
            <w:r>
              <w:rPr>
                <w:rFonts w:ascii="微软雅黑" w:hAnsi="微软雅黑" w:eastAsia="微软雅黑" w:cs="微软雅黑"/>
                <w:b/>
                <w:bCs/>
                <w:spacing w:val="4"/>
                <w:sz w:val="20"/>
                <w:szCs w:val="20"/>
              </w:rPr>
              <w:t>物</w:t>
            </w:r>
          </w:p>
        </w:tc>
        <w:tc>
          <w:tcPr>
            <w:tcW w:w="1269" w:type="dxa"/>
            <w:gridSpan w:val="2"/>
            <w:tcBorders>
              <w:bottom w:val="single" w:color="000000" w:sz="6" w:space="0"/>
            </w:tcBorders>
            <w:vAlign w:val="top"/>
          </w:tcPr>
          <w:p w14:paraId="6638DD6E">
            <w:pPr>
              <w:spacing w:before="47" w:line="196" w:lineRule="auto"/>
              <w:ind w:left="218"/>
              <w:rPr>
                <w:rFonts w:ascii="微软雅黑" w:hAnsi="微软雅黑" w:eastAsia="微软雅黑" w:cs="微软雅黑"/>
                <w:sz w:val="20"/>
                <w:szCs w:val="20"/>
              </w:rPr>
            </w:pPr>
            <w:r>
              <w:rPr>
                <w:rFonts w:ascii="宋体" w:hAnsi="宋体" w:eastAsia="宋体" w:cs="宋体"/>
                <w:b/>
                <w:bCs/>
                <w:spacing w:val="6"/>
                <w:sz w:val="20"/>
                <w:szCs w:val="20"/>
              </w:rPr>
              <w:t>标况流</w:t>
            </w:r>
            <w:r>
              <w:rPr>
                <w:rFonts w:ascii="微软雅黑" w:hAnsi="微软雅黑" w:eastAsia="微软雅黑" w:cs="微软雅黑"/>
                <w:b/>
                <w:bCs/>
                <w:spacing w:val="6"/>
                <w:sz w:val="20"/>
                <w:szCs w:val="20"/>
              </w:rPr>
              <w:t>量</w:t>
            </w:r>
          </w:p>
        </w:tc>
        <w:tc>
          <w:tcPr>
            <w:tcW w:w="1270" w:type="dxa"/>
            <w:gridSpan w:val="2"/>
            <w:tcBorders>
              <w:bottom w:val="single" w:color="000000" w:sz="6" w:space="0"/>
            </w:tcBorders>
            <w:vAlign w:val="top"/>
          </w:tcPr>
          <w:p w14:paraId="21CA90D2">
            <w:pPr>
              <w:spacing w:before="47" w:line="228" w:lineRule="auto"/>
              <w:ind w:left="220"/>
              <w:rPr>
                <w:rFonts w:ascii="宋体" w:hAnsi="宋体" w:eastAsia="宋体" w:cs="宋体"/>
                <w:sz w:val="20"/>
                <w:szCs w:val="20"/>
              </w:rPr>
            </w:pPr>
            <w:r>
              <w:rPr>
                <w:rFonts w:ascii="宋体" w:hAnsi="宋体" w:eastAsia="宋体" w:cs="宋体"/>
                <w:b/>
                <w:bCs/>
                <w:spacing w:val="6"/>
                <w:sz w:val="20"/>
                <w:szCs w:val="20"/>
              </w:rPr>
              <w:t>排放浓度</w:t>
            </w:r>
          </w:p>
        </w:tc>
        <w:tc>
          <w:tcPr>
            <w:tcW w:w="971" w:type="dxa"/>
            <w:tcBorders>
              <w:bottom w:val="single" w:color="000000" w:sz="6" w:space="0"/>
            </w:tcBorders>
            <w:vAlign w:val="top"/>
          </w:tcPr>
          <w:p w14:paraId="1E3F4A13">
            <w:pPr>
              <w:spacing w:before="47" w:line="228" w:lineRule="auto"/>
              <w:ind w:left="97"/>
              <w:rPr>
                <w:rFonts w:ascii="宋体" w:hAnsi="宋体" w:eastAsia="宋体" w:cs="宋体"/>
                <w:sz w:val="20"/>
                <w:szCs w:val="20"/>
              </w:rPr>
            </w:pPr>
            <w:r>
              <w:rPr>
                <w:rFonts w:ascii="宋体" w:hAnsi="宋体" w:eastAsia="宋体" w:cs="宋体"/>
                <w:b/>
                <w:bCs/>
                <w:spacing w:val="6"/>
                <w:sz w:val="20"/>
                <w:szCs w:val="20"/>
              </w:rPr>
              <w:t>排放速率</w:t>
            </w:r>
          </w:p>
        </w:tc>
        <w:tc>
          <w:tcPr>
            <w:tcW w:w="1032" w:type="dxa"/>
            <w:gridSpan w:val="2"/>
            <w:tcBorders>
              <w:bottom w:val="single" w:color="000000" w:sz="6" w:space="0"/>
            </w:tcBorders>
            <w:vAlign w:val="top"/>
          </w:tcPr>
          <w:p w14:paraId="25C9D95C">
            <w:pPr>
              <w:spacing w:before="47" w:line="228" w:lineRule="auto"/>
              <w:ind w:left="159"/>
              <w:rPr>
                <w:rFonts w:ascii="宋体" w:hAnsi="宋体" w:eastAsia="宋体" w:cs="宋体"/>
                <w:sz w:val="20"/>
                <w:szCs w:val="20"/>
              </w:rPr>
            </w:pPr>
            <w:r>
              <w:rPr>
                <w:rFonts w:ascii="宋体" w:hAnsi="宋体" w:eastAsia="宋体" w:cs="宋体"/>
                <w:b/>
                <w:bCs/>
                <w:spacing w:val="5"/>
                <w:sz w:val="20"/>
                <w:szCs w:val="20"/>
              </w:rPr>
              <w:t>工作时间</w:t>
            </w:r>
          </w:p>
        </w:tc>
        <w:tc>
          <w:tcPr>
            <w:tcW w:w="1052" w:type="dxa"/>
            <w:gridSpan w:val="2"/>
            <w:tcBorders>
              <w:bottom w:val="single" w:color="000000" w:sz="6" w:space="0"/>
            </w:tcBorders>
            <w:vAlign w:val="top"/>
          </w:tcPr>
          <w:p w14:paraId="40DBFB86">
            <w:pPr>
              <w:spacing w:before="47" w:line="194" w:lineRule="auto"/>
              <w:ind w:left="168"/>
              <w:rPr>
                <w:rFonts w:ascii="微软雅黑" w:hAnsi="微软雅黑" w:eastAsia="微软雅黑" w:cs="微软雅黑"/>
                <w:sz w:val="20"/>
                <w:szCs w:val="20"/>
              </w:rPr>
            </w:pPr>
            <w:r>
              <w:rPr>
                <w:rFonts w:ascii="宋体" w:hAnsi="宋体" w:eastAsia="宋体" w:cs="宋体"/>
                <w:b/>
                <w:bCs/>
                <w:spacing w:val="6"/>
                <w:sz w:val="20"/>
                <w:szCs w:val="20"/>
              </w:rPr>
              <w:t>排放</w:t>
            </w:r>
            <w:r>
              <w:rPr>
                <w:rFonts w:ascii="微软雅黑" w:hAnsi="微软雅黑" w:eastAsia="微软雅黑" w:cs="微软雅黑"/>
                <w:b/>
                <w:bCs/>
                <w:spacing w:val="6"/>
                <w:sz w:val="20"/>
                <w:szCs w:val="20"/>
              </w:rPr>
              <w:t>总量</w:t>
            </w:r>
          </w:p>
        </w:tc>
        <w:tc>
          <w:tcPr>
            <w:tcW w:w="303" w:type="dxa"/>
            <w:gridSpan w:val="2"/>
            <w:tcBorders>
              <w:top w:val="nil"/>
              <w:bottom w:val="single" w:color="000000" w:sz="6" w:space="0"/>
              <w:right w:val="single" w:color="000000" w:sz="6" w:space="0"/>
            </w:tcBorders>
            <w:vAlign w:val="top"/>
          </w:tcPr>
          <w:p w14:paraId="7D27847A">
            <w:pPr>
              <w:rPr>
                <w:rFonts w:ascii="Arial"/>
                <w:sz w:val="21"/>
              </w:rPr>
            </w:pPr>
          </w:p>
        </w:tc>
      </w:tr>
    </w:tbl>
    <w:p w14:paraId="50931841">
      <w:pPr>
        <w:pStyle w:val="2"/>
      </w:pPr>
    </w:p>
    <w:p w14:paraId="09597DF7">
      <w:pPr>
        <w:sectPr>
          <w:footerReference r:id="rId70" w:type="default"/>
          <w:pgSz w:w="11906" w:h="16839"/>
          <w:pgMar w:top="400" w:right="1413" w:bottom="1329" w:left="1413" w:header="0" w:footer="1113" w:gutter="0"/>
          <w:cols w:space="720" w:num="1"/>
        </w:sectPr>
      </w:pPr>
    </w:p>
    <w:p w14:paraId="2AD2F05F">
      <w:pPr>
        <w:spacing w:before="19"/>
      </w:pPr>
    </w:p>
    <w:p w14:paraId="664CD7C7">
      <w:pPr>
        <w:spacing w:before="19"/>
      </w:pPr>
    </w:p>
    <w:p w14:paraId="07CB6373">
      <w:pPr>
        <w:spacing w:before="19"/>
      </w:pPr>
    </w:p>
    <w:p w14:paraId="53AB922F">
      <w:pPr>
        <w:spacing w:before="18"/>
      </w:pPr>
    </w:p>
    <w:p w14:paraId="2A5162FB">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130"/>
        <w:gridCol w:w="1790"/>
        <w:gridCol w:w="161"/>
        <w:gridCol w:w="546"/>
        <w:gridCol w:w="732"/>
        <w:gridCol w:w="538"/>
        <w:gridCol w:w="1143"/>
        <w:gridCol w:w="127"/>
        <w:gridCol w:w="1021"/>
        <w:gridCol w:w="531"/>
        <w:gridCol w:w="501"/>
        <w:gridCol w:w="1051"/>
        <w:gridCol w:w="127"/>
        <w:gridCol w:w="125"/>
      </w:tblGrid>
      <w:tr w14:paraId="57E37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428" w:type="dxa"/>
            <w:vMerge w:val="restart"/>
            <w:tcBorders>
              <w:top w:val="single" w:color="000000" w:sz="6" w:space="0"/>
              <w:left w:val="single" w:color="000000" w:sz="6" w:space="0"/>
              <w:bottom w:val="nil"/>
            </w:tcBorders>
            <w:vAlign w:val="top"/>
          </w:tcPr>
          <w:p w14:paraId="12940737">
            <w:pPr>
              <w:rPr>
                <w:rFonts w:ascii="Arial"/>
                <w:sz w:val="21"/>
              </w:rPr>
            </w:pPr>
          </w:p>
        </w:tc>
        <w:tc>
          <w:tcPr>
            <w:tcW w:w="243" w:type="dxa"/>
            <w:gridSpan w:val="2"/>
            <w:vMerge w:val="restart"/>
            <w:tcBorders>
              <w:top w:val="single" w:color="000000" w:sz="6" w:space="0"/>
              <w:bottom w:val="nil"/>
            </w:tcBorders>
            <w:vAlign w:val="top"/>
          </w:tcPr>
          <w:p w14:paraId="772CDDE1">
            <w:pPr>
              <w:rPr>
                <w:rFonts w:ascii="Arial"/>
                <w:sz w:val="21"/>
              </w:rPr>
            </w:pPr>
          </w:p>
        </w:tc>
        <w:tc>
          <w:tcPr>
            <w:tcW w:w="1790" w:type="dxa"/>
            <w:tcBorders>
              <w:top w:val="single" w:color="000000" w:sz="6" w:space="0"/>
            </w:tcBorders>
            <w:vAlign w:val="top"/>
          </w:tcPr>
          <w:p w14:paraId="224BA1C5">
            <w:pPr>
              <w:rPr>
                <w:rFonts w:ascii="Arial"/>
                <w:sz w:val="21"/>
              </w:rPr>
            </w:pPr>
          </w:p>
        </w:tc>
        <w:tc>
          <w:tcPr>
            <w:tcW w:w="707" w:type="dxa"/>
            <w:gridSpan w:val="2"/>
            <w:tcBorders>
              <w:top w:val="single" w:color="000000" w:sz="6" w:space="0"/>
            </w:tcBorders>
            <w:vAlign w:val="top"/>
          </w:tcPr>
          <w:p w14:paraId="0047E359">
            <w:pPr>
              <w:spacing w:before="56" w:line="230" w:lineRule="auto"/>
              <w:ind w:left="146"/>
              <w:rPr>
                <w:rFonts w:ascii="宋体" w:hAnsi="宋体" w:eastAsia="宋体" w:cs="宋体"/>
                <w:sz w:val="20"/>
                <w:szCs w:val="20"/>
              </w:rPr>
            </w:pPr>
            <w:r>
              <w:rPr>
                <w:rFonts w:ascii="宋体" w:hAnsi="宋体" w:eastAsia="宋体" w:cs="宋体"/>
                <w:b/>
                <w:bCs/>
                <w:spacing w:val="2"/>
                <w:sz w:val="20"/>
                <w:szCs w:val="20"/>
              </w:rPr>
              <w:t>名称</w:t>
            </w:r>
          </w:p>
        </w:tc>
        <w:tc>
          <w:tcPr>
            <w:tcW w:w="1270" w:type="dxa"/>
            <w:gridSpan w:val="2"/>
            <w:tcBorders>
              <w:top w:val="single" w:color="000000" w:sz="6" w:space="0"/>
            </w:tcBorders>
            <w:vAlign w:val="top"/>
          </w:tcPr>
          <w:p w14:paraId="5EF51646">
            <w:pPr>
              <w:spacing w:before="56"/>
              <w:ind w:left="152"/>
              <w:rPr>
                <w:rFonts w:ascii="宋体" w:hAnsi="宋体" w:eastAsia="宋体" w:cs="宋体"/>
                <w:sz w:val="20"/>
                <w:szCs w:val="20"/>
              </w:rPr>
            </w:pPr>
            <w:r>
              <w:rPr>
                <w:rFonts w:ascii="宋体" w:hAnsi="宋体" w:eastAsia="宋体" w:cs="宋体"/>
                <w:b/>
                <w:bCs/>
                <w:spacing w:val="2"/>
                <w:sz w:val="20"/>
                <w:szCs w:val="20"/>
              </w:rPr>
              <w:t>（</w:t>
            </w:r>
            <w:r>
              <w:rPr>
                <w:rFonts w:ascii="Times New Roman" w:hAnsi="Times New Roman" w:eastAsia="Times New Roman" w:cs="Times New Roman"/>
                <w:b/>
                <w:bCs/>
                <w:sz w:val="20"/>
                <w:szCs w:val="20"/>
              </w:rPr>
              <w:t>Nm</w:t>
            </w:r>
            <w:r>
              <w:rPr>
                <w:rFonts w:ascii="Times New Roman" w:hAnsi="Times New Roman" w:eastAsia="Times New Roman" w:cs="Times New Roman"/>
                <w:b/>
                <w:bCs/>
                <w:spacing w:val="2"/>
                <w:position w:val="6"/>
                <w:sz w:val="13"/>
                <w:szCs w:val="13"/>
              </w:rPr>
              <w:t>3</w:t>
            </w:r>
            <w:r>
              <w:rPr>
                <w:rFonts w:ascii="Times New Roman" w:hAnsi="Times New Roman" w:eastAsia="Times New Roman" w:cs="Times New Roman"/>
                <w:b/>
                <w:bCs/>
                <w:spacing w:val="2"/>
                <w:sz w:val="20"/>
                <w:szCs w:val="20"/>
              </w:rPr>
              <w:t>/h</w:t>
            </w:r>
            <w:r>
              <w:rPr>
                <w:rFonts w:ascii="宋体" w:hAnsi="宋体" w:eastAsia="宋体" w:cs="宋体"/>
                <w:b/>
                <w:bCs/>
                <w:spacing w:val="2"/>
                <w:sz w:val="20"/>
                <w:szCs w:val="20"/>
              </w:rPr>
              <w:t>）</w:t>
            </w:r>
          </w:p>
        </w:tc>
        <w:tc>
          <w:tcPr>
            <w:tcW w:w="1270" w:type="dxa"/>
            <w:gridSpan w:val="2"/>
            <w:tcBorders>
              <w:top w:val="single" w:color="000000" w:sz="6" w:space="0"/>
            </w:tcBorders>
            <w:vAlign w:val="top"/>
          </w:tcPr>
          <w:p w14:paraId="30C878F1">
            <w:pPr>
              <w:spacing w:before="56" w:line="221" w:lineRule="auto"/>
              <w:ind w:left="149"/>
              <w:rPr>
                <w:rFonts w:ascii="宋体" w:hAnsi="宋体" w:eastAsia="宋体" w:cs="宋体"/>
                <w:sz w:val="20"/>
                <w:szCs w:val="20"/>
              </w:rPr>
            </w:pPr>
            <w:r>
              <w:rPr>
                <w:rFonts w:ascii="宋体" w:hAnsi="宋体" w:eastAsia="宋体" w:cs="宋体"/>
                <w:b/>
                <w:bCs/>
                <w:spacing w:val="2"/>
                <w:sz w:val="20"/>
                <w:szCs w:val="20"/>
              </w:rPr>
              <w:t>（</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2"/>
                <w:sz w:val="20"/>
                <w:szCs w:val="20"/>
              </w:rPr>
              <w:t>/m</w:t>
            </w:r>
            <w:r>
              <w:rPr>
                <w:rFonts w:ascii="Times New Roman" w:hAnsi="Times New Roman" w:eastAsia="Times New Roman" w:cs="Times New Roman"/>
                <w:b/>
                <w:bCs/>
                <w:spacing w:val="2"/>
                <w:sz w:val="13"/>
                <w:szCs w:val="13"/>
              </w:rPr>
              <w:t>3</w:t>
            </w:r>
            <w:r>
              <w:rPr>
                <w:rFonts w:ascii="宋体" w:hAnsi="宋体" w:eastAsia="宋体" w:cs="宋体"/>
                <w:b/>
                <w:bCs/>
                <w:spacing w:val="2"/>
                <w:sz w:val="20"/>
                <w:szCs w:val="20"/>
              </w:rPr>
              <w:t>）</w:t>
            </w:r>
          </w:p>
        </w:tc>
        <w:tc>
          <w:tcPr>
            <w:tcW w:w="1021" w:type="dxa"/>
            <w:tcBorders>
              <w:top w:val="single" w:color="000000" w:sz="6" w:space="0"/>
            </w:tcBorders>
            <w:vAlign w:val="top"/>
          </w:tcPr>
          <w:p w14:paraId="1C3EF8E7">
            <w:pPr>
              <w:spacing w:before="56" w:line="221" w:lineRule="auto"/>
              <w:ind w:left="118"/>
              <w:rPr>
                <w:rFonts w:ascii="宋体" w:hAnsi="宋体" w:eastAsia="宋体" w:cs="宋体"/>
                <w:sz w:val="20"/>
                <w:szCs w:val="20"/>
              </w:rPr>
            </w:pPr>
            <w:r>
              <w:rPr>
                <w:rFonts w:ascii="宋体" w:hAnsi="宋体" w:eastAsia="宋体" w:cs="宋体"/>
                <w:b/>
                <w:bCs/>
                <w:spacing w:val="1"/>
                <w:sz w:val="20"/>
                <w:szCs w:val="20"/>
              </w:rPr>
              <w:t>（</w:t>
            </w:r>
            <w:r>
              <w:rPr>
                <w:rFonts w:ascii="Times New Roman" w:hAnsi="Times New Roman" w:eastAsia="Times New Roman" w:cs="Times New Roman"/>
                <w:b/>
                <w:bCs/>
                <w:sz w:val="20"/>
                <w:szCs w:val="20"/>
              </w:rPr>
              <w:t>kg</w:t>
            </w:r>
            <w:r>
              <w:rPr>
                <w:rFonts w:ascii="Times New Roman" w:hAnsi="Times New Roman" w:eastAsia="Times New Roman" w:cs="Times New Roman"/>
                <w:b/>
                <w:bCs/>
                <w:spacing w:val="1"/>
                <w:sz w:val="20"/>
                <w:szCs w:val="20"/>
              </w:rPr>
              <w:t>/h</w:t>
            </w:r>
            <w:r>
              <w:rPr>
                <w:rFonts w:ascii="宋体" w:hAnsi="宋体" w:eastAsia="宋体" w:cs="宋体"/>
                <w:b/>
                <w:bCs/>
                <w:spacing w:val="1"/>
                <w:sz w:val="20"/>
                <w:szCs w:val="20"/>
              </w:rPr>
              <w:t>）</w:t>
            </w:r>
          </w:p>
        </w:tc>
        <w:tc>
          <w:tcPr>
            <w:tcW w:w="1032" w:type="dxa"/>
            <w:gridSpan w:val="2"/>
            <w:tcBorders>
              <w:top w:val="single" w:color="000000" w:sz="6" w:space="0"/>
            </w:tcBorders>
            <w:vAlign w:val="top"/>
          </w:tcPr>
          <w:p w14:paraId="230024CB">
            <w:pPr>
              <w:spacing w:before="56"/>
              <w:ind w:left="184"/>
              <w:rPr>
                <w:rFonts w:ascii="宋体" w:hAnsi="宋体" w:eastAsia="宋体" w:cs="宋体"/>
                <w:sz w:val="20"/>
                <w:szCs w:val="20"/>
              </w:rPr>
            </w:pPr>
            <w:r>
              <w:rPr>
                <w:rFonts w:ascii="宋体" w:hAnsi="宋体" w:eastAsia="宋体" w:cs="宋体"/>
                <w:b/>
                <w:bCs/>
                <w:spacing w:val="-1"/>
                <w:sz w:val="20"/>
                <w:szCs w:val="20"/>
              </w:rPr>
              <w:t>（</w:t>
            </w:r>
            <w:r>
              <w:rPr>
                <w:rFonts w:ascii="Times New Roman" w:hAnsi="Times New Roman" w:eastAsia="Times New Roman" w:cs="Times New Roman"/>
                <w:b/>
                <w:bCs/>
                <w:spacing w:val="-1"/>
                <w:sz w:val="20"/>
                <w:szCs w:val="20"/>
              </w:rPr>
              <w:t>h/a</w:t>
            </w:r>
            <w:r>
              <w:rPr>
                <w:rFonts w:ascii="宋体" w:hAnsi="宋体" w:eastAsia="宋体" w:cs="宋体"/>
                <w:b/>
                <w:bCs/>
                <w:spacing w:val="-1"/>
                <w:sz w:val="20"/>
                <w:szCs w:val="20"/>
              </w:rPr>
              <w:t>）</w:t>
            </w:r>
          </w:p>
        </w:tc>
        <w:tc>
          <w:tcPr>
            <w:tcW w:w="1051" w:type="dxa"/>
            <w:tcBorders>
              <w:top w:val="single" w:color="000000" w:sz="6" w:space="0"/>
            </w:tcBorders>
            <w:vAlign w:val="top"/>
          </w:tcPr>
          <w:p w14:paraId="6A70A9CF">
            <w:pPr>
              <w:spacing w:before="56"/>
              <w:ind w:left="220"/>
              <w:rPr>
                <w:rFonts w:ascii="宋体" w:hAnsi="宋体" w:eastAsia="宋体" w:cs="宋体"/>
                <w:sz w:val="20"/>
                <w:szCs w:val="20"/>
              </w:rPr>
            </w:pPr>
            <w:r>
              <w:rPr>
                <w:rFonts w:ascii="宋体" w:hAnsi="宋体" w:eastAsia="宋体" w:cs="宋体"/>
                <w:b/>
                <w:bCs/>
                <w:spacing w:val="-1"/>
                <w:sz w:val="20"/>
                <w:szCs w:val="20"/>
              </w:rPr>
              <w:t>（</w:t>
            </w:r>
            <w:r>
              <w:rPr>
                <w:rFonts w:ascii="Times New Roman" w:hAnsi="Times New Roman" w:eastAsia="Times New Roman" w:cs="Times New Roman"/>
                <w:b/>
                <w:bCs/>
                <w:spacing w:val="-1"/>
                <w:sz w:val="20"/>
                <w:szCs w:val="20"/>
              </w:rPr>
              <w:t>t/a</w:t>
            </w:r>
            <w:r>
              <w:rPr>
                <w:rFonts w:ascii="宋体" w:hAnsi="宋体" w:eastAsia="宋体" w:cs="宋体"/>
                <w:b/>
                <w:bCs/>
                <w:spacing w:val="-1"/>
                <w:sz w:val="20"/>
                <w:szCs w:val="20"/>
              </w:rPr>
              <w:t>）</w:t>
            </w:r>
          </w:p>
        </w:tc>
        <w:tc>
          <w:tcPr>
            <w:tcW w:w="252" w:type="dxa"/>
            <w:gridSpan w:val="2"/>
            <w:vMerge w:val="restart"/>
            <w:tcBorders>
              <w:top w:val="single" w:color="000000" w:sz="6" w:space="0"/>
              <w:bottom w:val="nil"/>
              <w:right w:val="single" w:color="000000" w:sz="6" w:space="0"/>
            </w:tcBorders>
            <w:vAlign w:val="top"/>
          </w:tcPr>
          <w:p w14:paraId="6D9A6F89">
            <w:pPr>
              <w:rPr>
                <w:rFonts w:ascii="Arial"/>
                <w:sz w:val="21"/>
              </w:rPr>
            </w:pPr>
          </w:p>
        </w:tc>
      </w:tr>
      <w:tr w14:paraId="64D6C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428" w:type="dxa"/>
            <w:vMerge w:val="continue"/>
            <w:tcBorders>
              <w:top w:val="nil"/>
              <w:left w:val="single" w:color="000000" w:sz="6" w:space="0"/>
              <w:bottom w:val="nil"/>
            </w:tcBorders>
            <w:vAlign w:val="top"/>
          </w:tcPr>
          <w:p w14:paraId="4D7DA325">
            <w:pPr>
              <w:rPr>
                <w:rFonts w:ascii="Arial"/>
                <w:sz w:val="21"/>
              </w:rPr>
            </w:pPr>
          </w:p>
        </w:tc>
        <w:tc>
          <w:tcPr>
            <w:tcW w:w="243" w:type="dxa"/>
            <w:gridSpan w:val="2"/>
            <w:vMerge w:val="continue"/>
            <w:tcBorders>
              <w:top w:val="nil"/>
              <w:bottom w:val="nil"/>
            </w:tcBorders>
            <w:vAlign w:val="top"/>
          </w:tcPr>
          <w:p w14:paraId="190E0ADF">
            <w:pPr>
              <w:rPr>
                <w:rFonts w:ascii="Arial"/>
                <w:sz w:val="21"/>
              </w:rPr>
            </w:pPr>
          </w:p>
        </w:tc>
        <w:tc>
          <w:tcPr>
            <w:tcW w:w="1790" w:type="dxa"/>
            <w:vAlign w:val="top"/>
          </w:tcPr>
          <w:p w14:paraId="73FAAF43">
            <w:pPr>
              <w:spacing w:before="50"/>
              <w:ind w:left="386"/>
              <w:rPr>
                <w:rFonts w:ascii="宋体" w:hAnsi="宋体" w:eastAsia="宋体" w:cs="宋体"/>
                <w:sz w:val="20"/>
                <w:szCs w:val="20"/>
              </w:rPr>
            </w:pPr>
            <w:r>
              <w:rPr>
                <w:rFonts w:ascii="宋体" w:hAnsi="宋体" w:eastAsia="宋体" w:cs="宋体"/>
                <w:spacing w:val="3"/>
                <w:sz w:val="20"/>
                <w:szCs w:val="20"/>
              </w:rPr>
              <w:t>（</w:t>
            </w:r>
            <w:r>
              <w:rPr>
                <w:rFonts w:ascii="Times New Roman" w:hAnsi="Times New Roman" w:eastAsia="Times New Roman" w:cs="Times New Roman"/>
                <w:sz w:val="20"/>
                <w:szCs w:val="20"/>
              </w:rPr>
              <w:t>DA</w:t>
            </w:r>
            <w:r>
              <w:rPr>
                <w:rFonts w:ascii="Times New Roman" w:hAnsi="Times New Roman" w:eastAsia="Times New Roman" w:cs="Times New Roman"/>
                <w:spacing w:val="3"/>
                <w:sz w:val="20"/>
                <w:szCs w:val="20"/>
              </w:rPr>
              <w:t>001</w:t>
            </w:r>
            <w:r>
              <w:rPr>
                <w:rFonts w:ascii="宋体" w:hAnsi="宋体" w:eastAsia="宋体" w:cs="宋体"/>
                <w:spacing w:val="3"/>
                <w:sz w:val="20"/>
                <w:szCs w:val="20"/>
              </w:rPr>
              <w:t>）</w:t>
            </w:r>
          </w:p>
        </w:tc>
        <w:tc>
          <w:tcPr>
            <w:tcW w:w="707" w:type="dxa"/>
            <w:gridSpan w:val="2"/>
            <w:vAlign w:val="top"/>
          </w:tcPr>
          <w:p w14:paraId="0C46FA01">
            <w:pPr>
              <w:spacing w:before="50" w:line="228" w:lineRule="auto"/>
              <w:ind w:left="46"/>
              <w:rPr>
                <w:rFonts w:ascii="宋体" w:hAnsi="宋体" w:eastAsia="宋体" w:cs="宋体"/>
                <w:sz w:val="20"/>
                <w:szCs w:val="20"/>
              </w:rPr>
            </w:pPr>
            <w:r>
              <w:rPr>
                <w:rFonts w:ascii="宋体" w:hAnsi="宋体" w:eastAsia="宋体" w:cs="宋体"/>
                <w:spacing w:val="2"/>
                <w:sz w:val="20"/>
                <w:szCs w:val="20"/>
              </w:rPr>
              <w:t>颗粒物</w:t>
            </w:r>
          </w:p>
        </w:tc>
        <w:tc>
          <w:tcPr>
            <w:tcW w:w="1270" w:type="dxa"/>
            <w:gridSpan w:val="2"/>
            <w:vAlign w:val="top"/>
          </w:tcPr>
          <w:p w14:paraId="08825EC6">
            <w:pPr>
              <w:spacing w:before="93" w:line="195" w:lineRule="auto"/>
              <w:ind w:left="391"/>
              <w:rPr>
                <w:rFonts w:ascii="Times New Roman" w:hAnsi="Times New Roman" w:eastAsia="Times New Roman" w:cs="Times New Roman"/>
                <w:sz w:val="20"/>
                <w:szCs w:val="20"/>
              </w:rPr>
            </w:pPr>
            <w:r>
              <w:rPr>
                <w:rFonts w:ascii="Times New Roman" w:hAnsi="Times New Roman" w:eastAsia="Times New Roman" w:cs="Times New Roman"/>
                <w:sz w:val="20"/>
                <w:szCs w:val="20"/>
              </w:rPr>
              <w:t>13745</w:t>
            </w:r>
          </w:p>
        </w:tc>
        <w:tc>
          <w:tcPr>
            <w:tcW w:w="1270" w:type="dxa"/>
            <w:gridSpan w:val="2"/>
            <w:vAlign w:val="top"/>
          </w:tcPr>
          <w:p w14:paraId="138EED2E">
            <w:pPr>
              <w:spacing w:before="93" w:line="195" w:lineRule="auto"/>
              <w:ind w:left="4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6.15</w:t>
            </w:r>
          </w:p>
        </w:tc>
        <w:tc>
          <w:tcPr>
            <w:tcW w:w="1021" w:type="dxa"/>
            <w:vAlign w:val="top"/>
          </w:tcPr>
          <w:p w14:paraId="18862A4A">
            <w:pPr>
              <w:spacing w:before="93"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0.084</w:t>
            </w:r>
          </w:p>
        </w:tc>
        <w:tc>
          <w:tcPr>
            <w:tcW w:w="1032" w:type="dxa"/>
            <w:gridSpan w:val="2"/>
            <w:vAlign w:val="top"/>
          </w:tcPr>
          <w:p w14:paraId="2F667979">
            <w:pPr>
              <w:spacing w:before="93"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2400</w:t>
            </w:r>
          </w:p>
        </w:tc>
        <w:tc>
          <w:tcPr>
            <w:tcW w:w="1051" w:type="dxa"/>
            <w:vAlign w:val="top"/>
          </w:tcPr>
          <w:p w14:paraId="0BC694FD">
            <w:pPr>
              <w:spacing w:before="50" w:line="268" w:lineRule="exact"/>
              <w:ind w:left="223"/>
              <w:rPr>
                <w:rFonts w:ascii="宋体" w:hAnsi="宋体" w:eastAsia="宋体" w:cs="宋体"/>
                <w:sz w:val="20"/>
                <w:szCs w:val="20"/>
              </w:rPr>
            </w:pPr>
            <w:r>
              <w:rPr>
                <w:rFonts w:ascii="宋体" w:hAnsi="宋体" w:eastAsia="宋体" w:cs="宋体"/>
                <w:spacing w:val="3"/>
                <w:position w:val="1"/>
                <w:sz w:val="20"/>
                <w:szCs w:val="20"/>
              </w:rPr>
              <w:t>0.2016</w:t>
            </w:r>
          </w:p>
        </w:tc>
        <w:tc>
          <w:tcPr>
            <w:tcW w:w="252" w:type="dxa"/>
            <w:gridSpan w:val="2"/>
            <w:vMerge w:val="continue"/>
            <w:tcBorders>
              <w:top w:val="nil"/>
              <w:bottom w:val="nil"/>
              <w:right w:val="single" w:color="000000" w:sz="6" w:space="0"/>
            </w:tcBorders>
            <w:vAlign w:val="top"/>
          </w:tcPr>
          <w:p w14:paraId="6449A21A">
            <w:pPr>
              <w:rPr>
                <w:rFonts w:ascii="Arial"/>
                <w:sz w:val="21"/>
              </w:rPr>
            </w:pPr>
          </w:p>
        </w:tc>
      </w:tr>
      <w:tr w14:paraId="4C1D1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59D3B9A4">
            <w:pPr>
              <w:rPr>
                <w:rFonts w:ascii="Arial"/>
                <w:sz w:val="21"/>
              </w:rPr>
            </w:pPr>
          </w:p>
        </w:tc>
        <w:tc>
          <w:tcPr>
            <w:tcW w:w="243" w:type="dxa"/>
            <w:gridSpan w:val="2"/>
            <w:vMerge w:val="continue"/>
            <w:tcBorders>
              <w:top w:val="nil"/>
              <w:bottom w:val="nil"/>
            </w:tcBorders>
            <w:vAlign w:val="top"/>
          </w:tcPr>
          <w:p w14:paraId="1B5EDF52">
            <w:pPr>
              <w:rPr>
                <w:rFonts w:ascii="Arial"/>
                <w:sz w:val="21"/>
              </w:rPr>
            </w:pPr>
          </w:p>
        </w:tc>
        <w:tc>
          <w:tcPr>
            <w:tcW w:w="1790" w:type="dxa"/>
            <w:vMerge w:val="restart"/>
            <w:tcBorders>
              <w:bottom w:val="nil"/>
            </w:tcBorders>
            <w:vAlign w:val="top"/>
          </w:tcPr>
          <w:p w14:paraId="027D0592">
            <w:pPr>
              <w:spacing w:line="242" w:lineRule="auto"/>
              <w:rPr>
                <w:rFonts w:ascii="Arial"/>
                <w:sz w:val="21"/>
              </w:rPr>
            </w:pPr>
          </w:p>
          <w:p w14:paraId="219B0850">
            <w:pPr>
              <w:spacing w:line="242" w:lineRule="auto"/>
              <w:rPr>
                <w:rFonts w:ascii="Arial"/>
                <w:sz w:val="21"/>
              </w:rPr>
            </w:pPr>
          </w:p>
          <w:p w14:paraId="33AEB67D">
            <w:pPr>
              <w:spacing w:line="242" w:lineRule="auto"/>
              <w:rPr>
                <w:rFonts w:ascii="Arial"/>
                <w:sz w:val="21"/>
              </w:rPr>
            </w:pPr>
          </w:p>
          <w:p w14:paraId="0EA82A11">
            <w:pPr>
              <w:spacing w:line="242" w:lineRule="auto"/>
              <w:rPr>
                <w:rFonts w:ascii="Arial"/>
                <w:sz w:val="21"/>
              </w:rPr>
            </w:pPr>
          </w:p>
          <w:p w14:paraId="6A548FAA">
            <w:pPr>
              <w:spacing w:line="243" w:lineRule="auto"/>
              <w:rPr>
                <w:rFonts w:ascii="Arial"/>
                <w:sz w:val="21"/>
              </w:rPr>
            </w:pPr>
          </w:p>
          <w:p w14:paraId="6468CFA1">
            <w:pPr>
              <w:spacing w:before="65"/>
              <w:ind w:left="386"/>
              <w:rPr>
                <w:rFonts w:ascii="宋体" w:hAnsi="宋体" w:eastAsia="宋体" w:cs="宋体"/>
                <w:sz w:val="20"/>
                <w:szCs w:val="20"/>
              </w:rPr>
            </w:pPr>
            <w:r>
              <w:rPr>
                <w:rFonts w:ascii="宋体" w:hAnsi="宋体" w:eastAsia="宋体" w:cs="宋体"/>
                <w:spacing w:val="3"/>
                <w:sz w:val="20"/>
                <w:szCs w:val="20"/>
              </w:rPr>
              <w:t>（</w:t>
            </w:r>
            <w:r>
              <w:rPr>
                <w:rFonts w:ascii="Times New Roman" w:hAnsi="Times New Roman" w:eastAsia="Times New Roman" w:cs="Times New Roman"/>
                <w:sz w:val="20"/>
                <w:szCs w:val="20"/>
              </w:rPr>
              <w:t>DA</w:t>
            </w:r>
            <w:r>
              <w:rPr>
                <w:rFonts w:ascii="Times New Roman" w:hAnsi="Times New Roman" w:eastAsia="Times New Roman" w:cs="Times New Roman"/>
                <w:spacing w:val="3"/>
                <w:sz w:val="20"/>
                <w:szCs w:val="20"/>
              </w:rPr>
              <w:t>002</w:t>
            </w:r>
            <w:r>
              <w:rPr>
                <w:rFonts w:ascii="宋体" w:hAnsi="宋体" w:eastAsia="宋体" w:cs="宋体"/>
                <w:spacing w:val="3"/>
                <w:sz w:val="20"/>
                <w:szCs w:val="20"/>
              </w:rPr>
              <w:t>）</w:t>
            </w:r>
          </w:p>
        </w:tc>
        <w:tc>
          <w:tcPr>
            <w:tcW w:w="707" w:type="dxa"/>
            <w:gridSpan w:val="2"/>
            <w:vAlign w:val="top"/>
          </w:tcPr>
          <w:p w14:paraId="64F88F4E">
            <w:pPr>
              <w:spacing w:before="33" w:line="228" w:lineRule="auto"/>
              <w:ind w:left="46"/>
              <w:rPr>
                <w:rFonts w:ascii="宋体" w:hAnsi="宋体" w:eastAsia="宋体" w:cs="宋体"/>
                <w:sz w:val="20"/>
                <w:szCs w:val="20"/>
              </w:rPr>
            </w:pPr>
            <w:r>
              <w:rPr>
                <w:rFonts w:ascii="宋体" w:hAnsi="宋体" w:eastAsia="宋体" w:cs="宋体"/>
                <w:spacing w:val="2"/>
                <w:sz w:val="20"/>
                <w:szCs w:val="20"/>
              </w:rPr>
              <w:t>颗粒物</w:t>
            </w:r>
          </w:p>
        </w:tc>
        <w:tc>
          <w:tcPr>
            <w:tcW w:w="1270" w:type="dxa"/>
            <w:gridSpan w:val="2"/>
            <w:vMerge w:val="restart"/>
            <w:tcBorders>
              <w:bottom w:val="nil"/>
            </w:tcBorders>
            <w:vAlign w:val="top"/>
          </w:tcPr>
          <w:p w14:paraId="074C0AE8">
            <w:pPr>
              <w:spacing w:line="252" w:lineRule="auto"/>
              <w:rPr>
                <w:rFonts w:ascii="Arial"/>
                <w:sz w:val="21"/>
              </w:rPr>
            </w:pPr>
          </w:p>
          <w:p w14:paraId="2E76F84E">
            <w:pPr>
              <w:spacing w:line="252" w:lineRule="auto"/>
              <w:rPr>
                <w:rFonts w:ascii="Arial"/>
                <w:sz w:val="21"/>
              </w:rPr>
            </w:pPr>
          </w:p>
          <w:p w14:paraId="50B63617">
            <w:pPr>
              <w:spacing w:line="252" w:lineRule="auto"/>
              <w:rPr>
                <w:rFonts w:ascii="Arial"/>
                <w:sz w:val="21"/>
              </w:rPr>
            </w:pPr>
          </w:p>
          <w:p w14:paraId="08E8D82D">
            <w:pPr>
              <w:spacing w:line="252" w:lineRule="auto"/>
              <w:rPr>
                <w:rFonts w:ascii="Arial"/>
                <w:sz w:val="21"/>
              </w:rPr>
            </w:pPr>
          </w:p>
          <w:p w14:paraId="009432DF">
            <w:pPr>
              <w:spacing w:line="253" w:lineRule="auto"/>
              <w:rPr>
                <w:rFonts w:ascii="Arial"/>
                <w:sz w:val="21"/>
              </w:rPr>
            </w:pPr>
          </w:p>
          <w:p w14:paraId="537DC419">
            <w:pPr>
              <w:spacing w:before="58" w:line="195" w:lineRule="auto"/>
              <w:ind w:left="3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11382</w:t>
            </w:r>
          </w:p>
        </w:tc>
        <w:tc>
          <w:tcPr>
            <w:tcW w:w="1270" w:type="dxa"/>
            <w:gridSpan w:val="2"/>
            <w:vAlign w:val="top"/>
          </w:tcPr>
          <w:p w14:paraId="33B2B9F1">
            <w:pPr>
              <w:spacing w:before="76" w:line="195" w:lineRule="auto"/>
              <w:ind w:left="4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5.56</w:t>
            </w:r>
          </w:p>
        </w:tc>
        <w:tc>
          <w:tcPr>
            <w:tcW w:w="1021" w:type="dxa"/>
            <w:vAlign w:val="top"/>
          </w:tcPr>
          <w:p w14:paraId="651C2BE9">
            <w:pPr>
              <w:spacing w:before="76"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0.063</w:t>
            </w:r>
          </w:p>
        </w:tc>
        <w:tc>
          <w:tcPr>
            <w:tcW w:w="1032" w:type="dxa"/>
            <w:gridSpan w:val="2"/>
            <w:vAlign w:val="top"/>
          </w:tcPr>
          <w:p w14:paraId="54E78A8A">
            <w:pPr>
              <w:spacing w:before="76"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2400</w:t>
            </w:r>
          </w:p>
        </w:tc>
        <w:tc>
          <w:tcPr>
            <w:tcW w:w="1051" w:type="dxa"/>
            <w:vAlign w:val="top"/>
          </w:tcPr>
          <w:p w14:paraId="3E9C7F4C">
            <w:pPr>
              <w:spacing w:before="33" w:line="268" w:lineRule="exact"/>
              <w:ind w:left="223"/>
              <w:rPr>
                <w:rFonts w:ascii="宋体" w:hAnsi="宋体" w:eastAsia="宋体" w:cs="宋体"/>
                <w:sz w:val="20"/>
                <w:szCs w:val="20"/>
              </w:rPr>
            </w:pPr>
            <w:r>
              <w:rPr>
                <w:rFonts w:ascii="宋体" w:hAnsi="宋体" w:eastAsia="宋体" w:cs="宋体"/>
                <w:spacing w:val="3"/>
                <w:position w:val="1"/>
                <w:sz w:val="20"/>
                <w:szCs w:val="20"/>
              </w:rPr>
              <w:t>0.1512</w:t>
            </w:r>
          </w:p>
        </w:tc>
        <w:tc>
          <w:tcPr>
            <w:tcW w:w="252" w:type="dxa"/>
            <w:gridSpan w:val="2"/>
            <w:vMerge w:val="continue"/>
            <w:tcBorders>
              <w:top w:val="nil"/>
              <w:bottom w:val="nil"/>
              <w:right w:val="single" w:color="000000" w:sz="6" w:space="0"/>
            </w:tcBorders>
            <w:vAlign w:val="top"/>
          </w:tcPr>
          <w:p w14:paraId="10450B06">
            <w:pPr>
              <w:rPr>
                <w:rFonts w:ascii="Arial"/>
                <w:sz w:val="21"/>
              </w:rPr>
            </w:pPr>
          </w:p>
        </w:tc>
      </w:tr>
      <w:tr w14:paraId="3BF68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vAlign w:val="top"/>
          </w:tcPr>
          <w:p w14:paraId="0BEADB07">
            <w:pPr>
              <w:rPr>
                <w:rFonts w:ascii="Arial"/>
                <w:sz w:val="21"/>
              </w:rPr>
            </w:pPr>
          </w:p>
        </w:tc>
        <w:tc>
          <w:tcPr>
            <w:tcW w:w="243" w:type="dxa"/>
            <w:gridSpan w:val="2"/>
            <w:vMerge w:val="continue"/>
            <w:tcBorders>
              <w:top w:val="nil"/>
              <w:bottom w:val="nil"/>
            </w:tcBorders>
            <w:vAlign w:val="top"/>
          </w:tcPr>
          <w:p w14:paraId="562D1878">
            <w:pPr>
              <w:rPr>
                <w:rFonts w:ascii="Arial"/>
                <w:sz w:val="21"/>
              </w:rPr>
            </w:pPr>
          </w:p>
        </w:tc>
        <w:tc>
          <w:tcPr>
            <w:tcW w:w="1790" w:type="dxa"/>
            <w:vMerge w:val="continue"/>
            <w:tcBorders>
              <w:top w:val="nil"/>
              <w:bottom w:val="nil"/>
            </w:tcBorders>
            <w:vAlign w:val="top"/>
          </w:tcPr>
          <w:p w14:paraId="39685C49">
            <w:pPr>
              <w:rPr>
                <w:rFonts w:ascii="Arial"/>
                <w:sz w:val="21"/>
              </w:rPr>
            </w:pPr>
          </w:p>
        </w:tc>
        <w:tc>
          <w:tcPr>
            <w:tcW w:w="707" w:type="dxa"/>
            <w:gridSpan w:val="2"/>
            <w:vAlign w:val="top"/>
          </w:tcPr>
          <w:p w14:paraId="1D8E3723">
            <w:pPr>
              <w:spacing w:before="33" w:line="359" w:lineRule="auto"/>
              <w:ind w:left="150" w:right="40" w:hanging="107"/>
              <w:rPr>
                <w:rFonts w:ascii="宋体" w:hAnsi="宋体" w:eastAsia="宋体" w:cs="宋体"/>
                <w:sz w:val="20"/>
                <w:szCs w:val="20"/>
              </w:rPr>
            </w:pPr>
            <w:r>
              <w:rPr>
                <w:rFonts w:ascii="宋体" w:hAnsi="宋体" w:eastAsia="宋体" w:cs="宋体"/>
                <w:spacing w:val="5"/>
                <w:sz w:val="20"/>
                <w:szCs w:val="20"/>
              </w:rPr>
              <w:t>非甲烷</w:t>
            </w:r>
            <w:r>
              <w:rPr>
                <w:rFonts w:ascii="宋体" w:hAnsi="宋体" w:eastAsia="宋体" w:cs="宋体"/>
                <w:spacing w:val="2"/>
                <w:sz w:val="20"/>
                <w:szCs w:val="20"/>
              </w:rPr>
              <w:t>总烃</w:t>
            </w:r>
          </w:p>
        </w:tc>
        <w:tc>
          <w:tcPr>
            <w:tcW w:w="1270" w:type="dxa"/>
            <w:gridSpan w:val="2"/>
            <w:vMerge w:val="continue"/>
            <w:tcBorders>
              <w:top w:val="nil"/>
              <w:bottom w:val="nil"/>
            </w:tcBorders>
            <w:vAlign w:val="top"/>
          </w:tcPr>
          <w:p w14:paraId="4F1C034B">
            <w:pPr>
              <w:rPr>
                <w:rFonts w:ascii="Arial"/>
                <w:sz w:val="21"/>
              </w:rPr>
            </w:pPr>
          </w:p>
        </w:tc>
        <w:tc>
          <w:tcPr>
            <w:tcW w:w="1270" w:type="dxa"/>
            <w:gridSpan w:val="2"/>
            <w:vAlign w:val="top"/>
          </w:tcPr>
          <w:p w14:paraId="5A911A2D">
            <w:pPr>
              <w:spacing w:before="280" w:line="195" w:lineRule="auto"/>
              <w:ind w:left="4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25.7</w:t>
            </w:r>
          </w:p>
        </w:tc>
        <w:tc>
          <w:tcPr>
            <w:tcW w:w="1021" w:type="dxa"/>
            <w:vAlign w:val="top"/>
          </w:tcPr>
          <w:p w14:paraId="46179AA3">
            <w:pPr>
              <w:spacing w:before="28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0.293</w:t>
            </w:r>
          </w:p>
        </w:tc>
        <w:tc>
          <w:tcPr>
            <w:tcW w:w="1032" w:type="dxa"/>
            <w:gridSpan w:val="2"/>
            <w:vAlign w:val="top"/>
          </w:tcPr>
          <w:p w14:paraId="74E41D6E">
            <w:pPr>
              <w:spacing w:before="280"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2400</w:t>
            </w:r>
          </w:p>
        </w:tc>
        <w:tc>
          <w:tcPr>
            <w:tcW w:w="1051" w:type="dxa"/>
            <w:vAlign w:val="top"/>
          </w:tcPr>
          <w:p w14:paraId="60A29EC2">
            <w:pPr>
              <w:spacing w:before="237" w:line="267" w:lineRule="exact"/>
              <w:ind w:left="223"/>
              <w:rPr>
                <w:rFonts w:ascii="宋体" w:hAnsi="宋体" w:eastAsia="宋体" w:cs="宋体"/>
                <w:sz w:val="20"/>
                <w:szCs w:val="20"/>
              </w:rPr>
            </w:pPr>
            <w:r>
              <w:rPr>
                <w:rFonts w:ascii="宋体" w:hAnsi="宋体" w:eastAsia="宋体" w:cs="宋体"/>
                <w:spacing w:val="3"/>
                <w:position w:val="1"/>
                <w:sz w:val="20"/>
                <w:szCs w:val="20"/>
              </w:rPr>
              <w:t>0.7032</w:t>
            </w:r>
          </w:p>
        </w:tc>
        <w:tc>
          <w:tcPr>
            <w:tcW w:w="252" w:type="dxa"/>
            <w:gridSpan w:val="2"/>
            <w:vMerge w:val="continue"/>
            <w:tcBorders>
              <w:top w:val="nil"/>
              <w:bottom w:val="nil"/>
              <w:right w:val="single" w:color="000000" w:sz="6" w:space="0"/>
            </w:tcBorders>
            <w:vAlign w:val="top"/>
          </w:tcPr>
          <w:p w14:paraId="1C044B99">
            <w:pPr>
              <w:rPr>
                <w:rFonts w:ascii="Arial"/>
                <w:sz w:val="21"/>
              </w:rPr>
            </w:pPr>
          </w:p>
        </w:tc>
      </w:tr>
      <w:tr w14:paraId="7B4F8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7AF82096">
            <w:pPr>
              <w:rPr>
                <w:rFonts w:ascii="Arial"/>
                <w:sz w:val="21"/>
              </w:rPr>
            </w:pPr>
          </w:p>
        </w:tc>
        <w:tc>
          <w:tcPr>
            <w:tcW w:w="243" w:type="dxa"/>
            <w:gridSpan w:val="2"/>
            <w:vMerge w:val="continue"/>
            <w:tcBorders>
              <w:top w:val="nil"/>
              <w:bottom w:val="nil"/>
            </w:tcBorders>
            <w:vAlign w:val="top"/>
          </w:tcPr>
          <w:p w14:paraId="2BBEB523">
            <w:pPr>
              <w:rPr>
                <w:rFonts w:ascii="Arial"/>
                <w:sz w:val="21"/>
              </w:rPr>
            </w:pPr>
          </w:p>
        </w:tc>
        <w:tc>
          <w:tcPr>
            <w:tcW w:w="1790" w:type="dxa"/>
            <w:vMerge w:val="continue"/>
            <w:tcBorders>
              <w:top w:val="nil"/>
              <w:bottom w:val="nil"/>
            </w:tcBorders>
            <w:vAlign w:val="top"/>
          </w:tcPr>
          <w:p w14:paraId="708D140D">
            <w:pPr>
              <w:rPr>
                <w:rFonts w:ascii="Arial"/>
                <w:sz w:val="21"/>
              </w:rPr>
            </w:pPr>
          </w:p>
        </w:tc>
        <w:tc>
          <w:tcPr>
            <w:tcW w:w="707" w:type="dxa"/>
            <w:gridSpan w:val="2"/>
            <w:vAlign w:val="top"/>
          </w:tcPr>
          <w:p w14:paraId="571776E1">
            <w:pPr>
              <w:spacing w:before="34" w:line="231" w:lineRule="auto"/>
              <w:ind w:left="173"/>
              <w:rPr>
                <w:rFonts w:ascii="宋体" w:hAnsi="宋体" w:eastAsia="宋体" w:cs="宋体"/>
                <w:sz w:val="20"/>
                <w:szCs w:val="20"/>
              </w:rPr>
            </w:pPr>
            <w:r>
              <w:rPr>
                <w:rFonts w:ascii="宋体" w:hAnsi="宋体" w:eastAsia="宋体" w:cs="宋体"/>
                <w:spacing w:val="-9"/>
                <w:sz w:val="20"/>
                <w:szCs w:val="20"/>
              </w:rPr>
              <w:t>甲醛</w:t>
            </w:r>
          </w:p>
        </w:tc>
        <w:tc>
          <w:tcPr>
            <w:tcW w:w="1270" w:type="dxa"/>
            <w:gridSpan w:val="2"/>
            <w:vMerge w:val="continue"/>
            <w:tcBorders>
              <w:top w:val="nil"/>
              <w:bottom w:val="nil"/>
            </w:tcBorders>
            <w:vAlign w:val="top"/>
          </w:tcPr>
          <w:p w14:paraId="38AB23DA">
            <w:pPr>
              <w:rPr>
                <w:rFonts w:ascii="Arial"/>
                <w:sz w:val="21"/>
              </w:rPr>
            </w:pPr>
          </w:p>
        </w:tc>
        <w:tc>
          <w:tcPr>
            <w:tcW w:w="1270" w:type="dxa"/>
            <w:gridSpan w:val="2"/>
            <w:vAlign w:val="top"/>
          </w:tcPr>
          <w:p w14:paraId="595B5AD4">
            <w:pPr>
              <w:spacing w:before="78" w:line="195" w:lineRule="auto"/>
              <w:ind w:left="45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0.23</w:t>
            </w:r>
          </w:p>
        </w:tc>
        <w:tc>
          <w:tcPr>
            <w:tcW w:w="1021" w:type="dxa"/>
            <w:vAlign w:val="top"/>
          </w:tcPr>
          <w:p w14:paraId="0AD1EECE">
            <w:pPr>
              <w:spacing w:before="78"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0.003</w:t>
            </w:r>
          </w:p>
        </w:tc>
        <w:tc>
          <w:tcPr>
            <w:tcW w:w="1032" w:type="dxa"/>
            <w:gridSpan w:val="2"/>
            <w:vAlign w:val="top"/>
          </w:tcPr>
          <w:p w14:paraId="35D29317">
            <w:pPr>
              <w:spacing w:before="78"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2400</w:t>
            </w:r>
          </w:p>
        </w:tc>
        <w:tc>
          <w:tcPr>
            <w:tcW w:w="1051" w:type="dxa"/>
            <w:vAlign w:val="top"/>
          </w:tcPr>
          <w:p w14:paraId="6A5227F4">
            <w:pPr>
              <w:spacing w:before="35" w:line="267" w:lineRule="exact"/>
              <w:ind w:left="223"/>
              <w:rPr>
                <w:rFonts w:ascii="宋体" w:hAnsi="宋体" w:eastAsia="宋体" w:cs="宋体"/>
                <w:sz w:val="20"/>
                <w:szCs w:val="20"/>
              </w:rPr>
            </w:pPr>
            <w:r>
              <w:rPr>
                <w:rFonts w:ascii="宋体" w:hAnsi="宋体" w:eastAsia="宋体" w:cs="宋体"/>
                <w:spacing w:val="3"/>
                <w:position w:val="1"/>
                <w:sz w:val="20"/>
                <w:szCs w:val="20"/>
              </w:rPr>
              <w:t>0.0072</w:t>
            </w:r>
          </w:p>
        </w:tc>
        <w:tc>
          <w:tcPr>
            <w:tcW w:w="252" w:type="dxa"/>
            <w:gridSpan w:val="2"/>
            <w:vMerge w:val="continue"/>
            <w:tcBorders>
              <w:top w:val="nil"/>
              <w:bottom w:val="nil"/>
              <w:right w:val="single" w:color="000000" w:sz="6" w:space="0"/>
            </w:tcBorders>
            <w:vAlign w:val="top"/>
          </w:tcPr>
          <w:p w14:paraId="23D9404A">
            <w:pPr>
              <w:rPr>
                <w:rFonts w:ascii="Arial"/>
                <w:sz w:val="21"/>
              </w:rPr>
            </w:pPr>
          </w:p>
        </w:tc>
      </w:tr>
      <w:tr w14:paraId="39DBF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4A550A31">
            <w:pPr>
              <w:rPr>
                <w:rFonts w:ascii="Arial"/>
                <w:sz w:val="21"/>
              </w:rPr>
            </w:pPr>
          </w:p>
        </w:tc>
        <w:tc>
          <w:tcPr>
            <w:tcW w:w="243" w:type="dxa"/>
            <w:gridSpan w:val="2"/>
            <w:vMerge w:val="continue"/>
            <w:tcBorders>
              <w:top w:val="nil"/>
              <w:bottom w:val="nil"/>
            </w:tcBorders>
            <w:vAlign w:val="top"/>
          </w:tcPr>
          <w:p w14:paraId="3EFB9730">
            <w:pPr>
              <w:rPr>
                <w:rFonts w:ascii="Arial"/>
                <w:sz w:val="21"/>
              </w:rPr>
            </w:pPr>
          </w:p>
        </w:tc>
        <w:tc>
          <w:tcPr>
            <w:tcW w:w="1790" w:type="dxa"/>
            <w:vMerge w:val="continue"/>
            <w:tcBorders>
              <w:top w:val="nil"/>
              <w:bottom w:val="nil"/>
            </w:tcBorders>
            <w:vAlign w:val="top"/>
          </w:tcPr>
          <w:p w14:paraId="032CA350">
            <w:pPr>
              <w:rPr>
                <w:rFonts w:ascii="Arial"/>
                <w:sz w:val="21"/>
              </w:rPr>
            </w:pPr>
          </w:p>
        </w:tc>
        <w:tc>
          <w:tcPr>
            <w:tcW w:w="707" w:type="dxa"/>
            <w:gridSpan w:val="2"/>
            <w:vAlign w:val="top"/>
          </w:tcPr>
          <w:p w14:paraId="20414643">
            <w:pPr>
              <w:spacing w:before="34" w:line="227" w:lineRule="auto"/>
              <w:ind w:left="254"/>
              <w:rPr>
                <w:rFonts w:ascii="宋体" w:hAnsi="宋体" w:eastAsia="宋体" w:cs="宋体"/>
                <w:sz w:val="20"/>
                <w:szCs w:val="20"/>
              </w:rPr>
            </w:pPr>
            <w:r>
              <w:rPr>
                <w:rFonts w:ascii="宋体" w:hAnsi="宋体" w:eastAsia="宋体" w:cs="宋体"/>
                <w:sz w:val="20"/>
                <w:szCs w:val="20"/>
              </w:rPr>
              <w:t>苯</w:t>
            </w:r>
          </w:p>
        </w:tc>
        <w:tc>
          <w:tcPr>
            <w:tcW w:w="1270" w:type="dxa"/>
            <w:gridSpan w:val="2"/>
            <w:vMerge w:val="continue"/>
            <w:tcBorders>
              <w:top w:val="nil"/>
              <w:bottom w:val="nil"/>
            </w:tcBorders>
            <w:vAlign w:val="top"/>
          </w:tcPr>
          <w:p w14:paraId="472A132D">
            <w:pPr>
              <w:rPr>
                <w:rFonts w:ascii="Arial"/>
                <w:sz w:val="21"/>
              </w:rPr>
            </w:pPr>
          </w:p>
        </w:tc>
        <w:tc>
          <w:tcPr>
            <w:tcW w:w="1270" w:type="dxa"/>
            <w:gridSpan w:val="2"/>
            <w:vAlign w:val="top"/>
          </w:tcPr>
          <w:p w14:paraId="32D6AB0D">
            <w:pPr>
              <w:spacing w:before="77" w:line="195" w:lineRule="auto"/>
              <w:ind w:left="4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0.131</w:t>
            </w:r>
          </w:p>
        </w:tc>
        <w:tc>
          <w:tcPr>
            <w:tcW w:w="1021" w:type="dxa"/>
            <w:vAlign w:val="top"/>
          </w:tcPr>
          <w:p w14:paraId="127699FA">
            <w:pPr>
              <w:spacing w:before="77"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0.0012</w:t>
            </w:r>
          </w:p>
        </w:tc>
        <w:tc>
          <w:tcPr>
            <w:tcW w:w="1032" w:type="dxa"/>
            <w:gridSpan w:val="2"/>
            <w:vAlign w:val="top"/>
          </w:tcPr>
          <w:p w14:paraId="62D88083">
            <w:pPr>
              <w:spacing w:before="77"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2400</w:t>
            </w:r>
          </w:p>
        </w:tc>
        <w:tc>
          <w:tcPr>
            <w:tcW w:w="1051" w:type="dxa"/>
            <w:vAlign w:val="top"/>
          </w:tcPr>
          <w:p w14:paraId="608FAF3A">
            <w:pPr>
              <w:spacing w:before="34" w:line="268" w:lineRule="exact"/>
              <w:ind w:left="171"/>
              <w:rPr>
                <w:rFonts w:ascii="宋体" w:hAnsi="宋体" w:eastAsia="宋体" w:cs="宋体"/>
                <w:sz w:val="20"/>
                <w:szCs w:val="20"/>
              </w:rPr>
            </w:pPr>
            <w:r>
              <w:rPr>
                <w:rFonts w:ascii="宋体" w:hAnsi="宋体" w:eastAsia="宋体" w:cs="宋体"/>
                <w:spacing w:val="3"/>
                <w:position w:val="1"/>
                <w:sz w:val="20"/>
                <w:szCs w:val="20"/>
              </w:rPr>
              <w:t>0.00288</w:t>
            </w:r>
          </w:p>
        </w:tc>
        <w:tc>
          <w:tcPr>
            <w:tcW w:w="252" w:type="dxa"/>
            <w:gridSpan w:val="2"/>
            <w:vMerge w:val="continue"/>
            <w:tcBorders>
              <w:top w:val="nil"/>
              <w:bottom w:val="nil"/>
              <w:right w:val="single" w:color="000000" w:sz="6" w:space="0"/>
            </w:tcBorders>
            <w:vAlign w:val="top"/>
          </w:tcPr>
          <w:p w14:paraId="1984BF6E">
            <w:pPr>
              <w:rPr>
                <w:rFonts w:ascii="Arial"/>
                <w:sz w:val="21"/>
              </w:rPr>
            </w:pPr>
          </w:p>
        </w:tc>
      </w:tr>
      <w:tr w14:paraId="4A8349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428" w:type="dxa"/>
            <w:vMerge w:val="continue"/>
            <w:tcBorders>
              <w:top w:val="nil"/>
              <w:left w:val="single" w:color="000000" w:sz="6" w:space="0"/>
              <w:bottom w:val="nil"/>
            </w:tcBorders>
            <w:vAlign w:val="top"/>
          </w:tcPr>
          <w:p w14:paraId="24345E3C">
            <w:pPr>
              <w:rPr>
                <w:rFonts w:ascii="Arial"/>
                <w:sz w:val="21"/>
              </w:rPr>
            </w:pPr>
          </w:p>
        </w:tc>
        <w:tc>
          <w:tcPr>
            <w:tcW w:w="243" w:type="dxa"/>
            <w:gridSpan w:val="2"/>
            <w:vMerge w:val="continue"/>
            <w:tcBorders>
              <w:top w:val="nil"/>
              <w:bottom w:val="nil"/>
            </w:tcBorders>
            <w:vAlign w:val="top"/>
          </w:tcPr>
          <w:p w14:paraId="309BAAF4">
            <w:pPr>
              <w:rPr>
                <w:rFonts w:ascii="Arial"/>
                <w:sz w:val="21"/>
              </w:rPr>
            </w:pPr>
          </w:p>
        </w:tc>
        <w:tc>
          <w:tcPr>
            <w:tcW w:w="1790" w:type="dxa"/>
            <w:vMerge w:val="continue"/>
            <w:tcBorders>
              <w:top w:val="nil"/>
              <w:bottom w:val="nil"/>
            </w:tcBorders>
            <w:vAlign w:val="top"/>
          </w:tcPr>
          <w:p w14:paraId="42367397">
            <w:pPr>
              <w:rPr>
                <w:rFonts w:ascii="Arial"/>
                <w:sz w:val="21"/>
              </w:rPr>
            </w:pPr>
          </w:p>
        </w:tc>
        <w:tc>
          <w:tcPr>
            <w:tcW w:w="707" w:type="dxa"/>
            <w:gridSpan w:val="2"/>
            <w:vAlign w:val="top"/>
          </w:tcPr>
          <w:p w14:paraId="017543EC">
            <w:pPr>
              <w:spacing w:before="33" w:line="227" w:lineRule="auto"/>
              <w:ind w:left="173"/>
              <w:rPr>
                <w:rFonts w:ascii="宋体" w:hAnsi="宋体" w:eastAsia="宋体" w:cs="宋体"/>
                <w:sz w:val="20"/>
                <w:szCs w:val="20"/>
              </w:rPr>
            </w:pPr>
            <w:r>
              <w:rPr>
                <w:rFonts w:ascii="宋体" w:hAnsi="宋体" w:eastAsia="宋体" w:cs="宋体"/>
                <w:spacing w:val="-9"/>
                <w:sz w:val="20"/>
                <w:szCs w:val="20"/>
              </w:rPr>
              <w:t>甲苯</w:t>
            </w:r>
          </w:p>
        </w:tc>
        <w:tc>
          <w:tcPr>
            <w:tcW w:w="1270" w:type="dxa"/>
            <w:gridSpan w:val="2"/>
            <w:vMerge w:val="continue"/>
            <w:tcBorders>
              <w:top w:val="nil"/>
              <w:bottom w:val="nil"/>
            </w:tcBorders>
            <w:vAlign w:val="top"/>
          </w:tcPr>
          <w:p w14:paraId="2BEC2EAA">
            <w:pPr>
              <w:rPr>
                <w:rFonts w:ascii="Arial"/>
                <w:sz w:val="21"/>
              </w:rPr>
            </w:pPr>
          </w:p>
        </w:tc>
        <w:tc>
          <w:tcPr>
            <w:tcW w:w="1270" w:type="dxa"/>
            <w:gridSpan w:val="2"/>
            <w:vAlign w:val="top"/>
          </w:tcPr>
          <w:p w14:paraId="59789B19">
            <w:pPr>
              <w:spacing w:before="76" w:line="195" w:lineRule="auto"/>
              <w:ind w:left="40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0.012</w:t>
            </w:r>
          </w:p>
        </w:tc>
        <w:tc>
          <w:tcPr>
            <w:tcW w:w="1021" w:type="dxa"/>
            <w:vAlign w:val="top"/>
          </w:tcPr>
          <w:p w14:paraId="61BD7CF9">
            <w:pPr>
              <w:spacing w:before="76"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0.0001</w:t>
            </w:r>
          </w:p>
        </w:tc>
        <w:tc>
          <w:tcPr>
            <w:tcW w:w="1032" w:type="dxa"/>
            <w:gridSpan w:val="2"/>
            <w:vAlign w:val="top"/>
          </w:tcPr>
          <w:p w14:paraId="0D4616BD">
            <w:pPr>
              <w:spacing w:before="76"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2400</w:t>
            </w:r>
          </w:p>
        </w:tc>
        <w:tc>
          <w:tcPr>
            <w:tcW w:w="1051" w:type="dxa"/>
            <w:vAlign w:val="top"/>
          </w:tcPr>
          <w:p w14:paraId="69E48F7A">
            <w:pPr>
              <w:spacing w:before="33" w:line="267" w:lineRule="exact"/>
              <w:ind w:left="171"/>
              <w:rPr>
                <w:rFonts w:ascii="宋体" w:hAnsi="宋体" w:eastAsia="宋体" w:cs="宋体"/>
                <w:sz w:val="20"/>
                <w:szCs w:val="20"/>
              </w:rPr>
            </w:pPr>
            <w:r>
              <w:rPr>
                <w:rFonts w:ascii="宋体" w:hAnsi="宋体" w:eastAsia="宋体" w:cs="宋体"/>
                <w:spacing w:val="3"/>
                <w:position w:val="1"/>
                <w:sz w:val="20"/>
                <w:szCs w:val="20"/>
              </w:rPr>
              <w:t>0.00024</w:t>
            </w:r>
          </w:p>
        </w:tc>
        <w:tc>
          <w:tcPr>
            <w:tcW w:w="252" w:type="dxa"/>
            <w:gridSpan w:val="2"/>
            <w:vMerge w:val="continue"/>
            <w:tcBorders>
              <w:top w:val="nil"/>
              <w:bottom w:val="nil"/>
              <w:right w:val="single" w:color="000000" w:sz="6" w:space="0"/>
            </w:tcBorders>
            <w:vAlign w:val="top"/>
          </w:tcPr>
          <w:p w14:paraId="46A6ED47">
            <w:pPr>
              <w:rPr>
                <w:rFonts w:ascii="Arial"/>
                <w:sz w:val="21"/>
              </w:rPr>
            </w:pPr>
          </w:p>
        </w:tc>
      </w:tr>
      <w:tr w14:paraId="2794C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45500125">
            <w:pPr>
              <w:rPr>
                <w:rFonts w:ascii="Arial"/>
                <w:sz w:val="21"/>
              </w:rPr>
            </w:pPr>
          </w:p>
        </w:tc>
        <w:tc>
          <w:tcPr>
            <w:tcW w:w="243" w:type="dxa"/>
            <w:gridSpan w:val="2"/>
            <w:vMerge w:val="continue"/>
            <w:tcBorders>
              <w:top w:val="nil"/>
              <w:bottom w:val="nil"/>
            </w:tcBorders>
            <w:vAlign w:val="top"/>
          </w:tcPr>
          <w:p w14:paraId="00C8E2F7">
            <w:pPr>
              <w:rPr>
                <w:rFonts w:ascii="Arial"/>
                <w:sz w:val="21"/>
              </w:rPr>
            </w:pPr>
          </w:p>
        </w:tc>
        <w:tc>
          <w:tcPr>
            <w:tcW w:w="1790" w:type="dxa"/>
            <w:vMerge w:val="continue"/>
            <w:tcBorders>
              <w:top w:val="nil"/>
            </w:tcBorders>
            <w:vAlign w:val="top"/>
          </w:tcPr>
          <w:p w14:paraId="486CA1D9">
            <w:pPr>
              <w:rPr>
                <w:rFonts w:ascii="Arial"/>
                <w:sz w:val="21"/>
              </w:rPr>
            </w:pPr>
          </w:p>
        </w:tc>
        <w:tc>
          <w:tcPr>
            <w:tcW w:w="707" w:type="dxa"/>
            <w:gridSpan w:val="2"/>
            <w:vAlign w:val="top"/>
          </w:tcPr>
          <w:p w14:paraId="48231005">
            <w:pPr>
              <w:spacing w:before="36" w:line="227" w:lineRule="auto"/>
              <w:ind w:left="43"/>
              <w:rPr>
                <w:rFonts w:ascii="宋体" w:hAnsi="宋体" w:eastAsia="宋体" w:cs="宋体"/>
                <w:sz w:val="20"/>
                <w:szCs w:val="20"/>
              </w:rPr>
            </w:pPr>
            <w:r>
              <w:rPr>
                <w:rFonts w:ascii="宋体" w:hAnsi="宋体" w:eastAsia="宋体" w:cs="宋体"/>
                <w:spacing w:val="5"/>
                <w:sz w:val="20"/>
                <w:szCs w:val="20"/>
              </w:rPr>
              <w:t>二甲苯</w:t>
            </w:r>
          </w:p>
        </w:tc>
        <w:tc>
          <w:tcPr>
            <w:tcW w:w="1270" w:type="dxa"/>
            <w:gridSpan w:val="2"/>
            <w:vMerge w:val="continue"/>
            <w:tcBorders>
              <w:top w:val="nil"/>
            </w:tcBorders>
            <w:vAlign w:val="top"/>
          </w:tcPr>
          <w:p w14:paraId="464284D1">
            <w:pPr>
              <w:rPr>
                <w:rFonts w:ascii="Arial"/>
                <w:sz w:val="21"/>
              </w:rPr>
            </w:pPr>
          </w:p>
        </w:tc>
        <w:tc>
          <w:tcPr>
            <w:tcW w:w="1270" w:type="dxa"/>
            <w:gridSpan w:val="2"/>
            <w:vAlign w:val="top"/>
          </w:tcPr>
          <w:p w14:paraId="5F33E318">
            <w:pPr>
              <w:spacing w:before="79" w:line="195" w:lineRule="auto"/>
              <w:ind w:left="40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0.053</w:t>
            </w:r>
          </w:p>
        </w:tc>
        <w:tc>
          <w:tcPr>
            <w:tcW w:w="1021" w:type="dxa"/>
            <w:vAlign w:val="top"/>
          </w:tcPr>
          <w:p w14:paraId="0B989B97">
            <w:pPr>
              <w:spacing w:before="79"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0.0006</w:t>
            </w:r>
          </w:p>
        </w:tc>
        <w:tc>
          <w:tcPr>
            <w:tcW w:w="1032" w:type="dxa"/>
            <w:gridSpan w:val="2"/>
            <w:vAlign w:val="top"/>
          </w:tcPr>
          <w:p w14:paraId="4BCB434D">
            <w:pPr>
              <w:spacing w:before="79"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2400</w:t>
            </w:r>
          </w:p>
        </w:tc>
        <w:tc>
          <w:tcPr>
            <w:tcW w:w="1051" w:type="dxa"/>
            <w:vAlign w:val="top"/>
          </w:tcPr>
          <w:p w14:paraId="0E3CB6C0">
            <w:pPr>
              <w:spacing w:before="36" w:line="267" w:lineRule="exact"/>
              <w:ind w:left="171"/>
              <w:rPr>
                <w:rFonts w:ascii="宋体" w:hAnsi="宋体" w:eastAsia="宋体" w:cs="宋体"/>
                <w:sz w:val="20"/>
                <w:szCs w:val="20"/>
              </w:rPr>
            </w:pPr>
            <w:r>
              <w:rPr>
                <w:rFonts w:ascii="宋体" w:hAnsi="宋体" w:eastAsia="宋体" w:cs="宋体"/>
                <w:spacing w:val="3"/>
                <w:position w:val="1"/>
                <w:sz w:val="20"/>
                <w:szCs w:val="20"/>
              </w:rPr>
              <w:t>0.00144</w:t>
            </w:r>
          </w:p>
        </w:tc>
        <w:tc>
          <w:tcPr>
            <w:tcW w:w="252" w:type="dxa"/>
            <w:gridSpan w:val="2"/>
            <w:vMerge w:val="continue"/>
            <w:tcBorders>
              <w:top w:val="nil"/>
              <w:bottom w:val="nil"/>
              <w:right w:val="single" w:color="000000" w:sz="6" w:space="0"/>
            </w:tcBorders>
            <w:vAlign w:val="top"/>
          </w:tcPr>
          <w:p w14:paraId="03D3FDBB">
            <w:pPr>
              <w:rPr>
                <w:rFonts w:ascii="Arial"/>
                <w:sz w:val="21"/>
              </w:rPr>
            </w:pPr>
          </w:p>
        </w:tc>
      </w:tr>
      <w:tr w14:paraId="53DEB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61A31F08">
            <w:pPr>
              <w:rPr>
                <w:rFonts w:ascii="Arial"/>
                <w:sz w:val="21"/>
              </w:rPr>
            </w:pPr>
          </w:p>
        </w:tc>
        <w:tc>
          <w:tcPr>
            <w:tcW w:w="243" w:type="dxa"/>
            <w:gridSpan w:val="2"/>
            <w:vMerge w:val="continue"/>
            <w:tcBorders>
              <w:top w:val="nil"/>
              <w:bottom w:val="nil"/>
            </w:tcBorders>
            <w:vAlign w:val="top"/>
          </w:tcPr>
          <w:p w14:paraId="01C0E50D">
            <w:pPr>
              <w:rPr>
                <w:rFonts w:ascii="Arial"/>
                <w:sz w:val="21"/>
              </w:rPr>
            </w:pPr>
          </w:p>
        </w:tc>
        <w:tc>
          <w:tcPr>
            <w:tcW w:w="1790" w:type="dxa"/>
            <w:vMerge w:val="restart"/>
            <w:tcBorders>
              <w:bottom w:val="nil"/>
            </w:tcBorders>
            <w:vAlign w:val="top"/>
          </w:tcPr>
          <w:p w14:paraId="5E525C4D">
            <w:pPr>
              <w:spacing w:line="296" w:lineRule="auto"/>
              <w:rPr>
                <w:rFonts w:ascii="Arial"/>
                <w:sz w:val="21"/>
              </w:rPr>
            </w:pPr>
          </w:p>
          <w:p w14:paraId="2833D99F">
            <w:pPr>
              <w:spacing w:line="297" w:lineRule="auto"/>
              <w:rPr>
                <w:rFonts w:ascii="Arial"/>
                <w:sz w:val="21"/>
              </w:rPr>
            </w:pPr>
          </w:p>
          <w:p w14:paraId="21BBBDCF">
            <w:pPr>
              <w:spacing w:before="65"/>
              <w:ind w:left="386"/>
              <w:rPr>
                <w:rFonts w:ascii="宋体" w:hAnsi="宋体" w:eastAsia="宋体" w:cs="宋体"/>
                <w:sz w:val="20"/>
                <w:szCs w:val="20"/>
              </w:rPr>
            </w:pPr>
            <w:r>
              <w:rPr>
                <w:rFonts w:ascii="宋体" w:hAnsi="宋体" w:eastAsia="宋体" w:cs="宋体"/>
                <w:spacing w:val="3"/>
                <w:sz w:val="20"/>
                <w:szCs w:val="20"/>
              </w:rPr>
              <w:t>（</w:t>
            </w:r>
            <w:r>
              <w:rPr>
                <w:rFonts w:ascii="Times New Roman" w:hAnsi="Times New Roman" w:eastAsia="Times New Roman" w:cs="Times New Roman"/>
                <w:sz w:val="20"/>
                <w:szCs w:val="20"/>
              </w:rPr>
              <w:t>DA</w:t>
            </w:r>
            <w:r>
              <w:rPr>
                <w:rFonts w:ascii="Times New Roman" w:hAnsi="Times New Roman" w:eastAsia="Times New Roman" w:cs="Times New Roman"/>
                <w:spacing w:val="3"/>
                <w:sz w:val="20"/>
                <w:szCs w:val="20"/>
              </w:rPr>
              <w:t>003</w:t>
            </w:r>
            <w:r>
              <w:rPr>
                <w:rFonts w:ascii="宋体" w:hAnsi="宋体" w:eastAsia="宋体" w:cs="宋体"/>
                <w:spacing w:val="3"/>
                <w:sz w:val="20"/>
                <w:szCs w:val="20"/>
              </w:rPr>
              <w:t>）</w:t>
            </w:r>
          </w:p>
        </w:tc>
        <w:tc>
          <w:tcPr>
            <w:tcW w:w="707" w:type="dxa"/>
            <w:gridSpan w:val="2"/>
            <w:vAlign w:val="top"/>
          </w:tcPr>
          <w:p w14:paraId="214B5DCB">
            <w:pPr>
              <w:spacing w:before="36" w:line="228" w:lineRule="auto"/>
              <w:ind w:left="46"/>
              <w:rPr>
                <w:rFonts w:ascii="宋体" w:hAnsi="宋体" w:eastAsia="宋体" w:cs="宋体"/>
                <w:sz w:val="20"/>
                <w:szCs w:val="20"/>
              </w:rPr>
            </w:pPr>
            <w:r>
              <w:rPr>
                <w:rFonts w:ascii="宋体" w:hAnsi="宋体" w:eastAsia="宋体" w:cs="宋体"/>
                <w:spacing w:val="2"/>
                <w:sz w:val="20"/>
                <w:szCs w:val="20"/>
              </w:rPr>
              <w:t>颗粒物</w:t>
            </w:r>
          </w:p>
        </w:tc>
        <w:tc>
          <w:tcPr>
            <w:tcW w:w="1270" w:type="dxa"/>
            <w:gridSpan w:val="2"/>
            <w:vMerge w:val="restart"/>
            <w:tcBorders>
              <w:bottom w:val="nil"/>
            </w:tcBorders>
            <w:vAlign w:val="top"/>
          </w:tcPr>
          <w:p w14:paraId="4D245956">
            <w:pPr>
              <w:spacing w:line="323" w:lineRule="auto"/>
              <w:rPr>
                <w:rFonts w:ascii="Arial"/>
                <w:sz w:val="21"/>
              </w:rPr>
            </w:pPr>
          </w:p>
          <w:p w14:paraId="6811F29E">
            <w:pPr>
              <w:spacing w:line="323" w:lineRule="auto"/>
              <w:rPr>
                <w:rFonts w:ascii="Arial"/>
                <w:sz w:val="21"/>
              </w:rPr>
            </w:pPr>
          </w:p>
          <w:p w14:paraId="4B815C5F">
            <w:pPr>
              <w:spacing w:before="57" w:line="195" w:lineRule="auto"/>
              <w:ind w:left="391"/>
              <w:rPr>
                <w:rFonts w:ascii="Times New Roman" w:hAnsi="Times New Roman" w:eastAsia="Times New Roman" w:cs="Times New Roman"/>
                <w:sz w:val="20"/>
                <w:szCs w:val="20"/>
              </w:rPr>
            </w:pPr>
            <w:r>
              <w:rPr>
                <w:rFonts w:ascii="Times New Roman" w:hAnsi="Times New Roman" w:eastAsia="Times New Roman" w:cs="Times New Roman"/>
                <w:sz w:val="20"/>
                <w:szCs w:val="20"/>
              </w:rPr>
              <w:t>19014</w:t>
            </w:r>
          </w:p>
        </w:tc>
        <w:tc>
          <w:tcPr>
            <w:tcW w:w="1270" w:type="dxa"/>
            <w:gridSpan w:val="2"/>
            <w:vAlign w:val="top"/>
          </w:tcPr>
          <w:p w14:paraId="12EF12B7">
            <w:pPr>
              <w:spacing w:before="78" w:line="195" w:lineRule="auto"/>
              <w:ind w:left="4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5.24</w:t>
            </w:r>
          </w:p>
        </w:tc>
        <w:tc>
          <w:tcPr>
            <w:tcW w:w="1021" w:type="dxa"/>
            <w:vAlign w:val="top"/>
          </w:tcPr>
          <w:p w14:paraId="2A38A6CD">
            <w:pPr>
              <w:spacing w:before="78" w:line="195" w:lineRule="auto"/>
              <w:ind w:left="3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1032" w:type="dxa"/>
            <w:gridSpan w:val="2"/>
            <w:vAlign w:val="top"/>
          </w:tcPr>
          <w:p w14:paraId="21587F68">
            <w:pPr>
              <w:spacing w:before="78"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2400</w:t>
            </w:r>
          </w:p>
        </w:tc>
        <w:tc>
          <w:tcPr>
            <w:tcW w:w="1051" w:type="dxa"/>
            <w:vAlign w:val="top"/>
          </w:tcPr>
          <w:p w14:paraId="3425AB92">
            <w:pPr>
              <w:spacing w:before="35" w:line="268" w:lineRule="exact"/>
              <w:ind w:left="329"/>
              <w:rPr>
                <w:rFonts w:ascii="宋体" w:hAnsi="宋体" w:eastAsia="宋体" w:cs="宋体"/>
                <w:sz w:val="20"/>
                <w:szCs w:val="20"/>
              </w:rPr>
            </w:pPr>
            <w:r>
              <w:rPr>
                <w:rFonts w:ascii="宋体" w:hAnsi="宋体" w:eastAsia="宋体" w:cs="宋体"/>
                <w:spacing w:val="2"/>
                <w:position w:val="1"/>
                <w:sz w:val="20"/>
                <w:szCs w:val="20"/>
              </w:rPr>
              <w:t>0.24</w:t>
            </w:r>
          </w:p>
        </w:tc>
        <w:tc>
          <w:tcPr>
            <w:tcW w:w="252" w:type="dxa"/>
            <w:gridSpan w:val="2"/>
            <w:vMerge w:val="continue"/>
            <w:tcBorders>
              <w:top w:val="nil"/>
              <w:bottom w:val="nil"/>
              <w:right w:val="single" w:color="000000" w:sz="6" w:space="0"/>
            </w:tcBorders>
            <w:vAlign w:val="top"/>
          </w:tcPr>
          <w:p w14:paraId="4F24CD9F">
            <w:pPr>
              <w:rPr>
                <w:rFonts w:ascii="Arial"/>
                <w:sz w:val="21"/>
              </w:rPr>
            </w:pPr>
          </w:p>
        </w:tc>
      </w:tr>
      <w:tr w14:paraId="0879C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2BB75C18">
            <w:pPr>
              <w:rPr>
                <w:rFonts w:ascii="Arial"/>
                <w:sz w:val="21"/>
              </w:rPr>
            </w:pPr>
          </w:p>
        </w:tc>
        <w:tc>
          <w:tcPr>
            <w:tcW w:w="243" w:type="dxa"/>
            <w:gridSpan w:val="2"/>
            <w:vMerge w:val="continue"/>
            <w:tcBorders>
              <w:top w:val="nil"/>
              <w:bottom w:val="nil"/>
            </w:tcBorders>
            <w:vAlign w:val="top"/>
          </w:tcPr>
          <w:p w14:paraId="287620E2">
            <w:pPr>
              <w:rPr>
                <w:rFonts w:ascii="Arial"/>
                <w:sz w:val="21"/>
              </w:rPr>
            </w:pPr>
          </w:p>
        </w:tc>
        <w:tc>
          <w:tcPr>
            <w:tcW w:w="1790" w:type="dxa"/>
            <w:vMerge w:val="continue"/>
            <w:tcBorders>
              <w:top w:val="nil"/>
              <w:bottom w:val="nil"/>
            </w:tcBorders>
            <w:vAlign w:val="top"/>
          </w:tcPr>
          <w:p w14:paraId="727E2172">
            <w:pPr>
              <w:rPr>
                <w:rFonts w:ascii="Arial"/>
                <w:sz w:val="21"/>
              </w:rPr>
            </w:pPr>
          </w:p>
        </w:tc>
        <w:tc>
          <w:tcPr>
            <w:tcW w:w="707" w:type="dxa"/>
            <w:gridSpan w:val="2"/>
            <w:vAlign w:val="top"/>
          </w:tcPr>
          <w:p w14:paraId="20E91108">
            <w:pPr>
              <w:spacing w:before="81" w:line="202" w:lineRule="auto"/>
              <w:ind w:left="191"/>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pacing w:val="3"/>
                <w:position w:val="-1"/>
                <w:sz w:val="13"/>
                <w:szCs w:val="13"/>
              </w:rPr>
              <w:t>2</w:t>
            </w:r>
          </w:p>
        </w:tc>
        <w:tc>
          <w:tcPr>
            <w:tcW w:w="1270" w:type="dxa"/>
            <w:gridSpan w:val="2"/>
            <w:vMerge w:val="continue"/>
            <w:tcBorders>
              <w:top w:val="nil"/>
              <w:bottom w:val="nil"/>
            </w:tcBorders>
            <w:vAlign w:val="top"/>
          </w:tcPr>
          <w:p w14:paraId="1CE2C116">
            <w:pPr>
              <w:rPr>
                <w:rFonts w:ascii="Arial"/>
                <w:sz w:val="21"/>
              </w:rPr>
            </w:pPr>
          </w:p>
        </w:tc>
        <w:tc>
          <w:tcPr>
            <w:tcW w:w="1270" w:type="dxa"/>
            <w:gridSpan w:val="2"/>
            <w:vAlign w:val="top"/>
          </w:tcPr>
          <w:p w14:paraId="7D0EED40">
            <w:pPr>
              <w:spacing w:before="80" w:line="195" w:lineRule="auto"/>
              <w:ind w:left="588"/>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021" w:type="dxa"/>
            <w:vAlign w:val="top"/>
          </w:tcPr>
          <w:p w14:paraId="64206393">
            <w:pPr>
              <w:spacing w:before="8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0.057</w:t>
            </w:r>
          </w:p>
        </w:tc>
        <w:tc>
          <w:tcPr>
            <w:tcW w:w="1032" w:type="dxa"/>
            <w:gridSpan w:val="2"/>
            <w:vAlign w:val="top"/>
          </w:tcPr>
          <w:p w14:paraId="5146A1F9">
            <w:pPr>
              <w:spacing w:before="80"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2400</w:t>
            </w:r>
          </w:p>
        </w:tc>
        <w:tc>
          <w:tcPr>
            <w:tcW w:w="1051" w:type="dxa"/>
            <w:vAlign w:val="top"/>
          </w:tcPr>
          <w:p w14:paraId="6EF0DCAE">
            <w:pPr>
              <w:spacing w:before="37" w:line="268" w:lineRule="exact"/>
              <w:ind w:left="223"/>
              <w:rPr>
                <w:rFonts w:ascii="宋体" w:hAnsi="宋体" w:eastAsia="宋体" w:cs="宋体"/>
                <w:sz w:val="20"/>
                <w:szCs w:val="20"/>
              </w:rPr>
            </w:pPr>
            <w:r>
              <w:rPr>
                <w:rFonts w:ascii="宋体" w:hAnsi="宋体" w:eastAsia="宋体" w:cs="宋体"/>
                <w:spacing w:val="3"/>
                <w:position w:val="1"/>
                <w:sz w:val="20"/>
                <w:szCs w:val="20"/>
              </w:rPr>
              <w:t>0.1368</w:t>
            </w:r>
          </w:p>
        </w:tc>
        <w:tc>
          <w:tcPr>
            <w:tcW w:w="252" w:type="dxa"/>
            <w:gridSpan w:val="2"/>
            <w:vMerge w:val="continue"/>
            <w:tcBorders>
              <w:top w:val="nil"/>
              <w:bottom w:val="nil"/>
              <w:right w:val="single" w:color="000000" w:sz="6" w:space="0"/>
            </w:tcBorders>
            <w:vAlign w:val="top"/>
          </w:tcPr>
          <w:p w14:paraId="1CA11729">
            <w:pPr>
              <w:rPr>
                <w:rFonts w:ascii="Arial"/>
                <w:sz w:val="21"/>
              </w:rPr>
            </w:pPr>
          </w:p>
        </w:tc>
      </w:tr>
      <w:tr w14:paraId="073E7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17ADBC77">
            <w:pPr>
              <w:rPr>
                <w:rFonts w:ascii="Arial"/>
                <w:sz w:val="21"/>
              </w:rPr>
            </w:pPr>
          </w:p>
        </w:tc>
        <w:tc>
          <w:tcPr>
            <w:tcW w:w="243" w:type="dxa"/>
            <w:gridSpan w:val="2"/>
            <w:vMerge w:val="continue"/>
            <w:tcBorders>
              <w:top w:val="nil"/>
              <w:bottom w:val="nil"/>
            </w:tcBorders>
            <w:vAlign w:val="top"/>
          </w:tcPr>
          <w:p w14:paraId="4E86119C">
            <w:pPr>
              <w:rPr>
                <w:rFonts w:ascii="Arial"/>
                <w:sz w:val="21"/>
              </w:rPr>
            </w:pPr>
          </w:p>
        </w:tc>
        <w:tc>
          <w:tcPr>
            <w:tcW w:w="1790" w:type="dxa"/>
            <w:vMerge w:val="continue"/>
            <w:tcBorders>
              <w:top w:val="nil"/>
              <w:bottom w:val="nil"/>
            </w:tcBorders>
            <w:vAlign w:val="top"/>
          </w:tcPr>
          <w:p w14:paraId="175EF90D">
            <w:pPr>
              <w:rPr>
                <w:rFonts w:ascii="Arial"/>
                <w:sz w:val="21"/>
              </w:rPr>
            </w:pPr>
          </w:p>
        </w:tc>
        <w:tc>
          <w:tcPr>
            <w:tcW w:w="707" w:type="dxa"/>
            <w:gridSpan w:val="2"/>
            <w:vAlign w:val="top"/>
          </w:tcPr>
          <w:p w14:paraId="320B0B82">
            <w:pPr>
              <w:spacing w:before="80" w:line="195" w:lineRule="auto"/>
              <w:ind w:left="14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NOx</w:t>
            </w:r>
          </w:p>
        </w:tc>
        <w:tc>
          <w:tcPr>
            <w:tcW w:w="1270" w:type="dxa"/>
            <w:gridSpan w:val="2"/>
            <w:vMerge w:val="continue"/>
            <w:tcBorders>
              <w:top w:val="nil"/>
              <w:bottom w:val="nil"/>
            </w:tcBorders>
            <w:vAlign w:val="top"/>
          </w:tcPr>
          <w:p w14:paraId="3A89BEB1">
            <w:pPr>
              <w:rPr>
                <w:rFonts w:ascii="Arial"/>
                <w:sz w:val="21"/>
              </w:rPr>
            </w:pPr>
          </w:p>
        </w:tc>
        <w:tc>
          <w:tcPr>
            <w:tcW w:w="1270" w:type="dxa"/>
            <w:gridSpan w:val="2"/>
            <w:vAlign w:val="top"/>
          </w:tcPr>
          <w:p w14:paraId="025AE1D4">
            <w:pPr>
              <w:spacing w:before="80" w:line="195" w:lineRule="auto"/>
              <w:ind w:left="589"/>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021" w:type="dxa"/>
            <w:vAlign w:val="top"/>
          </w:tcPr>
          <w:p w14:paraId="4C6DE1DE">
            <w:pPr>
              <w:spacing w:before="8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0.115</w:t>
            </w:r>
          </w:p>
        </w:tc>
        <w:tc>
          <w:tcPr>
            <w:tcW w:w="1032" w:type="dxa"/>
            <w:gridSpan w:val="2"/>
            <w:vAlign w:val="top"/>
          </w:tcPr>
          <w:p w14:paraId="65F2204A">
            <w:pPr>
              <w:spacing w:before="80"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2400</w:t>
            </w:r>
          </w:p>
        </w:tc>
        <w:tc>
          <w:tcPr>
            <w:tcW w:w="1051" w:type="dxa"/>
            <w:vAlign w:val="top"/>
          </w:tcPr>
          <w:p w14:paraId="4C55CB5E">
            <w:pPr>
              <w:spacing w:before="37" w:line="268" w:lineRule="exact"/>
              <w:ind w:left="276"/>
              <w:rPr>
                <w:rFonts w:ascii="宋体" w:hAnsi="宋体" w:eastAsia="宋体" w:cs="宋体"/>
                <w:sz w:val="20"/>
                <w:szCs w:val="20"/>
              </w:rPr>
            </w:pPr>
            <w:r>
              <w:rPr>
                <w:rFonts w:ascii="宋体" w:hAnsi="宋体" w:eastAsia="宋体" w:cs="宋体"/>
                <w:spacing w:val="2"/>
                <w:position w:val="1"/>
                <w:sz w:val="20"/>
                <w:szCs w:val="20"/>
              </w:rPr>
              <w:t>0.276</w:t>
            </w:r>
          </w:p>
        </w:tc>
        <w:tc>
          <w:tcPr>
            <w:tcW w:w="252" w:type="dxa"/>
            <w:gridSpan w:val="2"/>
            <w:vMerge w:val="continue"/>
            <w:tcBorders>
              <w:top w:val="nil"/>
              <w:bottom w:val="nil"/>
              <w:right w:val="single" w:color="000000" w:sz="6" w:space="0"/>
            </w:tcBorders>
            <w:vAlign w:val="top"/>
          </w:tcPr>
          <w:p w14:paraId="043263F7">
            <w:pPr>
              <w:rPr>
                <w:rFonts w:ascii="Arial"/>
                <w:sz w:val="21"/>
              </w:rPr>
            </w:pPr>
          </w:p>
        </w:tc>
      </w:tr>
      <w:tr w14:paraId="04405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04EEC759">
            <w:pPr>
              <w:rPr>
                <w:rFonts w:ascii="Arial"/>
                <w:sz w:val="21"/>
              </w:rPr>
            </w:pPr>
          </w:p>
        </w:tc>
        <w:tc>
          <w:tcPr>
            <w:tcW w:w="243" w:type="dxa"/>
            <w:gridSpan w:val="2"/>
            <w:vMerge w:val="continue"/>
            <w:tcBorders>
              <w:top w:val="nil"/>
              <w:bottom w:val="nil"/>
            </w:tcBorders>
            <w:vAlign w:val="top"/>
          </w:tcPr>
          <w:p w14:paraId="3B46224D">
            <w:pPr>
              <w:rPr>
                <w:rFonts w:ascii="Arial"/>
                <w:sz w:val="21"/>
              </w:rPr>
            </w:pPr>
          </w:p>
        </w:tc>
        <w:tc>
          <w:tcPr>
            <w:tcW w:w="1790" w:type="dxa"/>
            <w:vMerge w:val="continue"/>
            <w:tcBorders>
              <w:top w:val="nil"/>
            </w:tcBorders>
            <w:vAlign w:val="top"/>
          </w:tcPr>
          <w:p w14:paraId="14AC9B2B">
            <w:pPr>
              <w:rPr>
                <w:rFonts w:ascii="Arial"/>
                <w:sz w:val="21"/>
              </w:rPr>
            </w:pPr>
          </w:p>
        </w:tc>
        <w:tc>
          <w:tcPr>
            <w:tcW w:w="707" w:type="dxa"/>
            <w:gridSpan w:val="2"/>
            <w:vAlign w:val="top"/>
          </w:tcPr>
          <w:p w14:paraId="3E4DE70A">
            <w:pPr>
              <w:spacing w:before="38" w:line="231" w:lineRule="auto"/>
              <w:ind w:left="173"/>
              <w:rPr>
                <w:rFonts w:ascii="宋体" w:hAnsi="宋体" w:eastAsia="宋体" w:cs="宋体"/>
                <w:sz w:val="20"/>
                <w:szCs w:val="20"/>
              </w:rPr>
            </w:pPr>
            <w:r>
              <w:rPr>
                <w:rFonts w:ascii="宋体" w:hAnsi="宋体" w:eastAsia="宋体" w:cs="宋体"/>
                <w:spacing w:val="-9"/>
                <w:sz w:val="20"/>
                <w:szCs w:val="20"/>
              </w:rPr>
              <w:t>甲醛</w:t>
            </w:r>
          </w:p>
        </w:tc>
        <w:tc>
          <w:tcPr>
            <w:tcW w:w="1270" w:type="dxa"/>
            <w:gridSpan w:val="2"/>
            <w:vMerge w:val="continue"/>
            <w:tcBorders>
              <w:top w:val="nil"/>
            </w:tcBorders>
            <w:vAlign w:val="top"/>
          </w:tcPr>
          <w:p w14:paraId="7EE4E465">
            <w:pPr>
              <w:rPr>
                <w:rFonts w:ascii="Arial"/>
                <w:sz w:val="21"/>
              </w:rPr>
            </w:pPr>
          </w:p>
        </w:tc>
        <w:tc>
          <w:tcPr>
            <w:tcW w:w="1270" w:type="dxa"/>
            <w:gridSpan w:val="2"/>
            <w:vAlign w:val="top"/>
          </w:tcPr>
          <w:p w14:paraId="61ADEC57">
            <w:pPr>
              <w:spacing w:before="80" w:line="195" w:lineRule="auto"/>
              <w:ind w:left="45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0.33</w:t>
            </w:r>
          </w:p>
        </w:tc>
        <w:tc>
          <w:tcPr>
            <w:tcW w:w="1021" w:type="dxa"/>
            <w:vAlign w:val="top"/>
          </w:tcPr>
          <w:p w14:paraId="759D1286">
            <w:pPr>
              <w:spacing w:before="8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w:t>
            </w:r>
          </w:p>
        </w:tc>
        <w:tc>
          <w:tcPr>
            <w:tcW w:w="1032" w:type="dxa"/>
            <w:gridSpan w:val="2"/>
            <w:vAlign w:val="top"/>
          </w:tcPr>
          <w:p w14:paraId="72C5AC4B">
            <w:pPr>
              <w:spacing w:before="80"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2400</w:t>
            </w:r>
          </w:p>
        </w:tc>
        <w:tc>
          <w:tcPr>
            <w:tcW w:w="1051" w:type="dxa"/>
            <w:vAlign w:val="top"/>
          </w:tcPr>
          <w:p w14:paraId="68560D9E">
            <w:pPr>
              <w:spacing w:before="39" w:line="268" w:lineRule="exact"/>
              <w:ind w:left="223"/>
              <w:rPr>
                <w:rFonts w:ascii="宋体" w:hAnsi="宋体" w:eastAsia="宋体" w:cs="宋体"/>
                <w:sz w:val="20"/>
                <w:szCs w:val="20"/>
              </w:rPr>
            </w:pPr>
            <w:r>
              <w:rPr>
                <w:rFonts w:ascii="宋体" w:hAnsi="宋体" w:eastAsia="宋体" w:cs="宋体"/>
                <w:spacing w:val="3"/>
                <w:position w:val="1"/>
                <w:sz w:val="20"/>
                <w:szCs w:val="20"/>
              </w:rPr>
              <w:t>0.0144</w:t>
            </w:r>
          </w:p>
        </w:tc>
        <w:tc>
          <w:tcPr>
            <w:tcW w:w="252" w:type="dxa"/>
            <w:gridSpan w:val="2"/>
            <w:vMerge w:val="continue"/>
            <w:tcBorders>
              <w:top w:val="nil"/>
              <w:bottom w:val="nil"/>
              <w:right w:val="single" w:color="000000" w:sz="6" w:space="0"/>
            </w:tcBorders>
            <w:vAlign w:val="top"/>
          </w:tcPr>
          <w:p w14:paraId="200A7779">
            <w:pPr>
              <w:rPr>
                <w:rFonts w:ascii="Arial"/>
                <w:sz w:val="21"/>
              </w:rPr>
            </w:pPr>
          </w:p>
        </w:tc>
      </w:tr>
      <w:tr w14:paraId="1CB6F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2EC4C767">
            <w:pPr>
              <w:rPr>
                <w:rFonts w:ascii="Arial"/>
                <w:sz w:val="21"/>
              </w:rPr>
            </w:pPr>
          </w:p>
        </w:tc>
        <w:tc>
          <w:tcPr>
            <w:tcW w:w="243" w:type="dxa"/>
            <w:gridSpan w:val="2"/>
            <w:vMerge w:val="continue"/>
            <w:tcBorders>
              <w:top w:val="nil"/>
              <w:bottom w:val="nil"/>
            </w:tcBorders>
            <w:vAlign w:val="top"/>
          </w:tcPr>
          <w:p w14:paraId="31D39E97">
            <w:pPr>
              <w:rPr>
                <w:rFonts w:ascii="Arial"/>
                <w:sz w:val="21"/>
              </w:rPr>
            </w:pPr>
          </w:p>
        </w:tc>
        <w:tc>
          <w:tcPr>
            <w:tcW w:w="1790" w:type="dxa"/>
            <w:vAlign w:val="top"/>
          </w:tcPr>
          <w:p w14:paraId="48427B1D">
            <w:pPr>
              <w:spacing w:before="38"/>
              <w:ind w:left="386"/>
              <w:rPr>
                <w:rFonts w:ascii="宋体" w:hAnsi="宋体" w:eastAsia="宋体" w:cs="宋体"/>
                <w:sz w:val="20"/>
                <w:szCs w:val="20"/>
              </w:rPr>
            </w:pPr>
            <w:r>
              <w:rPr>
                <w:rFonts w:ascii="宋体" w:hAnsi="宋体" w:eastAsia="宋体" w:cs="宋体"/>
                <w:spacing w:val="3"/>
                <w:sz w:val="20"/>
                <w:szCs w:val="20"/>
              </w:rPr>
              <w:t>（</w:t>
            </w:r>
            <w:r>
              <w:rPr>
                <w:rFonts w:ascii="Times New Roman" w:hAnsi="Times New Roman" w:eastAsia="Times New Roman" w:cs="Times New Roman"/>
                <w:sz w:val="20"/>
                <w:szCs w:val="20"/>
              </w:rPr>
              <w:t>DA</w:t>
            </w:r>
            <w:r>
              <w:rPr>
                <w:rFonts w:ascii="Times New Roman" w:hAnsi="Times New Roman" w:eastAsia="Times New Roman" w:cs="Times New Roman"/>
                <w:spacing w:val="3"/>
                <w:sz w:val="20"/>
                <w:szCs w:val="20"/>
              </w:rPr>
              <w:t>004</w:t>
            </w:r>
            <w:r>
              <w:rPr>
                <w:rFonts w:ascii="宋体" w:hAnsi="宋体" w:eastAsia="宋体" w:cs="宋体"/>
                <w:spacing w:val="3"/>
                <w:sz w:val="20"/>
                <w:szCs w:val="20"/>
              </w:rPr>
              <w:t>）</w:t>
            </w:r>
          </w:p>
        </w:tc>
        <w:tc>
          <w:tcPr>
            <w:tcW w:w="707" w:type="dxa"/>
            <w:gridSpan w:val="2"/>
            <w:vAlign w:val="top"/>
          </w:tcPr>
          <w:p w14:paraId="132CA182">
            <w:pPr>
              <w:spacing w:before="39" w:line="228" w:lineRule="auto"/>
              <w:ind w:left="46"/>
              <w:rPr>
                <w:rFonts w:ascii="宋体" w:hAnsi="宋体" w:eastAsia="宋体" w:cs="宋体"/>
                <w:sz w:val="20"/>
                <w:szCs w:val="20"/>
              </w:rPr>
            </w:pPr>
            <w:r>
              <w:rPr>
                <w:rFonts w:ascii="宋体" w:hAnsi="宋体" w:eastAsia="宋体" w:cs="宋体"/>
                <w:spacing w:val="2"/>
                <w:sz w:val="20"/>
                <w:szCs w:val="20"/>
              </w:rPr>
              <w:t>颗粒物</w:t>
            </w:r>
          </w:p>
        </w:tc>
        <w:tc>
          <w:tcPr>
            <w:tcW w:w="1270" w:type="dxa"/>
            <w:gridSpan w:val="2"/>
            <w:vAlign w:val="top"/>
          </w:tcPr>
          <w:p w14:paraId="2B46739B">
            <w:pPr>
              <w:spacing w:before="82" w:line="195" w:lineRule="auto"/>
              <w:ind w:left="3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16114</w:t>
            </w:r>
          </w:p>
        </w:tc>
        <w:tc>
          <w:tcPr>
            <w:tcW w:w="1270" w:type="dxa"/>
            <w:gridSpan w:val="2"/>
            <w:vAlign w:val="top"/>
          </w:tcPr>
          <w:p w14:paraId="74077F5E">
            <w:pPr>
              <w:spacing w:before="82" w:line="195" w:lineRule="auto"/>
              <w:ind w:left="4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5.61</w:t>
            </w:r>
          </w:p>
        </w:tc>
        <w:tc>
          <w:tcPr>
            <w:tcW w:w="1021" w:type="dxa"/>
            <w:vAlign w:val="top"/>
          </w:tcPr>
          <w:p w14:paraId="7D19BF56">
            <w:pPr>
              <w:spacing w:before="82" w:line="195" w:lineRule="auto"/>
              <w:ind w:left="33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0.09</w:t>
            </w:r>
          </w:p>
        </w:tc>
        <w:tc>
          <w:tcPr>
            <w:tcW w:w="1032" w:type="dxa"/>
            <w:gridSpan w:val="2"/>
            <w:vAlign w:val="top"/>
          </w:tcPr>
          <w:p w14:paraId="72A9C080">
            <w:pPr>
              <w:spacing w:before="82"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2400</w:t>
            </w:r>
          </w:p>
        </w:tc>
        <w:tc>
          <w:tcPr>
            <w:tcW w:w="1051" w:type="dxa"/>
            <w:vAlign w:val="top"/>
          </w:tcPr>
          <w:p w14:paraId="2ABF4A03">
            <w:pPr>
              <w:spacing w:before="39" w:line="267" w:lineRule="exact"/>
              <w:ind w:left="276"/>
              <w:rPr>
                <w:rFonts w:ascii="宋体" w:hAnsi="宋体" w:eastAsia="宋体" w:cs="宋体"/>
                <w:sz w:val="20"/>
                <w:szCs w:val="20"/>
              </w:rPr>
            </w:pPr>
            <w:r>
              <w:rPr>
                <w:rFonts w:ascii="宋体" w:hAnsi="宋体" w:eastAsia="宋体" w:cs="宋体"/>
                <w:spacing w:val="2"/>
                <w:position w:val="1"/>
                <w:sz w:val="20"/>
                <w:szCs w:val="20"/>
              </w:rPr>
              <w:t>0.216</w:t>
            </w:r>
          </w:p>
        </w:tc>
        <w:tc>
          <w:tcPr>
            <w:tcW w:w="252" w:type="dxa"/>
            <w:gridSpan w:val="2"/>
            <w:vMerge w:val="continue"/>
            <w:tcBorders>
              <w:top w:val="nil"/>
              <w:bottom w:val="nil"/>
              <w:right w:val="single" w:color="000000" w:sz="6" w:space="0"/>
            </w:tcBorders>
            <w:vAlign w:val="top"/>
          </w:tcPr>
          <w:p w14:paraId="35503E6A">
            <w:pPr>
              <w:rPr>
                <w:rFonts w:ascii="Arial"/>
                <w:sz w:val="21"/>
              </w:rPr>
            </w:pPr>
          </w:p>
        </w:tc>
      </w:tr>
      <w:tr w14:paraId="6CEB9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428" w:type="dxa"/>
            <w:vMerge w:val="continue"/>
            <w:tcBorders>
              <w:top w:val="nil"/>
              <w:left w:val="single" w:color="000000" w:sz="6" w:space="0"/>
              <w:bottom w:val="nil"/>
            </w:tcBorders>
            <w:vAlign w:val="top"/>
          </w:tcPr>
          <w:p w14:paraId="26187E39">
            <w:pPr>
              <w:rPr>
                <w:rFonts w:ascii="Arial"/>
                <w:sz w:val="21"/>
              </w:rPr>
            </w:pPr>
          </w:p>
        </w:tc>
        <w:tc>
          <w:tcPr>
            <w:tcW w:w="243" w:type="dxa"/>
            <w:gridSpan w:val="2"/>
            <w:vMerge w:val="continue"/>
            <w:tcBorders>
              <w:top w:val="nil"/>
              <w:bottom w:val="nil"/>
            </w:tcBorders>
            <w:vAlign w:val="top"/>
          </w:tcPr>
          <w:p w14:paraId="483306DE">
            <w:pPr>
              <w:rPr>
                <w:rFonts w:ascii="Arial"/>
                <w:sz w:val="21"/>
              </w:rPr>
            </w:pPr>
          </w:p>
        </w:tc>
        <w:tc>
          <w:tcPr>
            <w:tcW w:w="1790" w:type="dxa"/>
            <w:vAlign w:val="top"/>
          </w:tcPr>
          <w:p w14:paraId="77FFB72D">
            <w:pPr>
              <w:spacing w:line="291" w:lineRule="auto"/>
              <w:rPr>
                <w:rFonts w:ascii="Arial"/>
                <w:sz w:val="21"/>
              </w:rPr>
            </w:pPr>
          </w:p>
          <w:p w14:paraId="45479AD0">
            <w:pPr>
              <w:spacing w:line="291" w:lineRule="auto"/>
              <w:rPr>
                <w:rFonts w:ascii="Arial"/>
                <w:sz w:val="21"/>
              </w:rPr>
            </w:pPr>
          </w:p>
          <w:p w14:paraId="46FB2704">
            <w:pPr>
              <w:spacing w:before="65" w:line="229" w:lineRule="auto"/>
              <w:ind w:left="688"/>
              <w:rPr>
                <w:rFonts w:ascii="宋体" w:hAnsi="宋体" w:eastAsia="宋体" w:cs="宋体"/>
                <w:sz w:val="20"/>
                <w:szCs w:val="20"/>
              </w:rPr>
            </w:pPr>
            <w:r>
              <w:rPr>
                <w:rFonts w:ascii="宋体" w:hAnsi="宋体" w:eastAsia="宋体" w:cs="宋体"/>
                <w:spacing w:val="3"/>
                <w:sz w:val="20"/>
                <w:szCs w:val="20"/>
              </w:rPr>
              <w:t>备注</w:t>
            </w:r>
          </w:p>
        </w:tc>
        <w:tc>
          <w:tcPr>
            <w:tcW w:w="6351" w:type="dxa"/>
            <w:gridSpan w:val="10"/>
            <w:vAlign w:val="top"/>
          </w:tcPr>
          <w:p w14:paraId="002F5AB5">
            <w:pPr>
              <w:spacing w:before="39" w:line="286" w:lineRule="auto"/>
              <w:ind w:left="29" w:right="20" w:firstLine="15"/>
              <w:rPr>
                <w:rFonts w:ascii="宋体" w:hAnsi="宋体" w:eastAsia="宋体" w:cs="宋体"/>
                <w:sz w:val="20"/>
                <w:szCs w:val="20"/>
              </w:rPr>
            </w:pPr>
            <w:r>
              <w:rPr>
                <w:rFonts w:ascii="Times New Roman" w:hAnsi="Times New Roman" w:eastAsia="Times New Roman" w:cs="Times New Roman"/>
                <w:spacing w:val="6"/>
                <w:sz w:val="20"/>
                <w:szCs w:val="20"/>
              </w:rPr>
              <w:t>1</w:t>
            </w:r>
            <w:r>
              <w:rPr>
                <w:rFonts w:ascii="宋体" w:hAnsi="宋体" w:eastAsia="宋体" w:cs="宋体"/>
                <w:spacing w:val="6"/>
                <w:sz w:val="20"/>
                <w:szCs w:val="20"/>
              </w:rPr>
              <w:t>、本次核算采用监测数据中平均排放浓度的数据进行</w:t>
            </w:r>
            <w:r>
              <w:rPr>
                <w:rFonts w:ascii="微软雅黑" w:hAnsi="微软雅黑" w:eastAsia="微软雅黑" w:cs="微软雅黑"/>
                <w:spacing w:val="5"/>
                <w:sz w:val="20"/>
                <w:szCs w:val="20"/>
              </w:rPr>
              <w:t>总量</w:t>
            </w:r>
            <w:r>
              <w:rPr>
                <w:rFonts w:ascii="宋体" w:hAnsi="宋体" w:eastAsia="宋体" w:cs="宋体"/>
                <w:spacing w:val="5"/>
                <w:sz w:val="20"/>
                <w:szCs w:val="20"/>
              </w:rPr>
              <w:t>核算，风机</w:t>
            </w:r>
            <w:r>
              <w:rPr>
                <w:rFonts w:ascii="宋体" w:hAnsi="宋体" w:eastAsia="宋体" w:cs="宋体"/>
                <w:spacing w:val="7"/>
                <w:sz w:val="20"/>
                <w:szCs w:val="20"/>
              </w:rPr>
              <w:t>风</w:t>
            </w:r>
            <w:r>
              <w:rPr>
                <w:rFonts w:ascii="微软雅黑" w:hAnsi="微软雅黑" w:eastAsia="微软雅黑" w:cs="微软雅黑"/>
                <w:spacing w:val="7"/>
                <w:sz w:val="20"/>
                <w:szCs w:val="20"/>
              </w:rPr>
              <w:t>量</w:t>
            </w:r>
            <w:r>
              <w:rPr>
                <w:rFonts w:ascii="宋体" w:hAnsi="宋体" w:eastAsia="宋体" w:cs="宋体"/>
                <w:spacing w:val="7"/>
                <w:sz w:val="20"/>
                <w:szCs w:val="20"/>
              </w:rPr>
              <w:t>选取实测风</w:t>
            </w:r>
            <w:r>
              <w:rPr>
                <w:rFonts w:ascii="微软雅黑" w:hAnsi="微软雅黑" w:eastAsia="微软雅黑" w:cs="微软雅黑"/>
                <w:spacing w:val="7"/>
                <w:sz w:val="20"/>
                <w:szCs w:val="20"/>
              </w:rPr>
              <w:t>量</w:t>
            </w:r>
            <w:r>
              <w:rPr>
                <w:rFonts w:ascii="宋体" w:hAnsi="宋体" w:eastAsia="宋体" w:cs="宋体"/>
                <w:spacing w:val="7"/>
                <w:sz w:val="20"/>
                <w:szCs w:val="20"/>
              </w:rPr>
              <w:t>。</w:t>
            </w:r>
          </w:p>
          <w:p w14:paraId="33F811DE">
            <w:pPr>
              <w:spacing w:line="192" w:lineRule="auto"/>
              <w:ind w:left="24"/>
              <w:rPr>
                <w:rFonts w:ascii="宋体" w:hAnsi="宋体" w:eastAsia="宋体" w:cs="宋体"/>
                <w:sz w:val="20"/>
                <w:szCs w:val="20"/>
              </w:rPr>
            </w:pPr>
            <w:r>
              <w:rPr>
                <w:rFonts w:ascii="Times New Roman" w:hAnsi="Times New Roman" w:eastAsia="Times New Roman" w:cs="Times New Roman"/>
                <w:spacing w:val="8"/>
                <w:sz w:val="20"/>
                <w:szCs w:val="20"/>
              </w:rPr>
              <w:t>2</w:t>
            </w:r>
            <w:r>
              <w:rPr>
                <w:rFonts w:ascii="Times New Roman" w:hAnsi="Times New Roman" w:eastAsia="Times New Roman" w:cs="Times New Roman"/>
                <w:spacing w:val="-21"/>
                <w:sz w:val="20"/>
                <w:szCs w:val="20"/>
              </w:rPr>
              <w:t xml:space="preserve"> </w:t>
            </w:r>
            <w:r>
              <w:rPr>
                <w:rFonts w:ascii="宋体" w:hAnsi="宋体" w:eastAsia="宋体" w:cs="宋体"/>
                <w:spacing w:val="8"/>
                <w:sz w:val="20"/>
                <w:szCs w:val="20"/>
              </w:rPr>
              <w:t>、未检出的排放口污染</w:t>
            </w:r>
            <w:r>
              <w:rPr>
                <w:rFonts w:ascii="微软雅黑" w:hAnsi="微软雅黑" w:eastAsia="微软雅黑" w:cs="微软雅黑"/>
                <w:spacing w:val="8"/>
                <w:sz w:val="20"/>
                <w:szCs w:val="20"/>
              </w:rPr>
              <w:t>物</w:t>
            </w:r>
            <w:r>
              <w:rPr>
                <w:rFonts w:ascii="宋体" w:hAnsi="宋体" w:eastAsia="宋体" w:cs="宋体"/>
                <w:spacing w:val="8"/>
                <w:sz w:val="20"/>
                <w:szCs w:val="20"/>
              </w:rPr>
              <w:t>排放浓度按最低检出限计算。</w:t>
            </w:r>
          </w:p>
          <w:p w14:paraId="59D5A91B">
            <w:pPr>
              <w:spacing w:before="132" w:line="228" w:lineRule="auto"/>
              <w:ind w:left="28"/>
              <w:rPr>
                <w:rFonts w:ascii="宋体" w:hAnsi="宋体" w:eastAsia="宋体" w:cs="宋体"/>
                <w:sz w:val="20"/>
                <w:szCs w:val="20"/>
              </w:rPr>
            </w:pPr>
            <w:r>
              <w:rPr>
                <w:rFonts w:ascii="Times New Roman" w:hAnsi="Times New Roman" w:eastAsia="Times New Roman" w:cs="Times New Roman"/>
                <w:spacing w:val="7"/>
                <w:sz w:val="20"/>
                <w:szCs w:val="20"/>
              </w:rPr>
              <w:t>3</w:t>
            </w:r>
            <w:r>
              <w:rPr>
                <w:rFonts w:ascii="Times New Roman" w:hAnsi="Times New Roman" w:eastAsia="Times New Roman" w:cs="Times New Roman"/>
                <w:spacing w:val="-21"/>
                <w:sz w:val="20"/>
                <w:szCs w:val="20"/>
              </w:rPr>
              <w:t xml:space="preserve"> </w:t>
            </w:r>
            <w:r>
              <w:rPr>
                <w:rFonts w:ascii="宋体" w:hAnsi="宋体" w:eastAsia="宋体" w:cs="宋体"/>
                <w:spacing w:val="7"/>
                <w:sz w:val="20"/>
                <w:szCs w:val="20"/>
              </w:rPr>
              <w:t>、</w:t>
            </w:r>
            <w:r>
              <w:rPr>
                <w:rFonts w:ascii="Times New Roman" w:hAnsi="Times New Roman" w:eastAsia="Times New Roman" w:cs="Times New Roman"/>
                <w:spacing w:val="7"/>
                <w:sz w:val="20"/>
                <w:szCs w:val="20"/>
              </w:rPr>
              <w:t>“L”</w:t>
            </w:r>
            <w:r>
              <w:rPr>
                <w:rFonts w:ascii="宋体" w:hAnsi="宋体" w:eastAsia="宋体" w:cs="宋体"/>
                <w:spacing w:val="7"/>
                <w:sz w:val="20"/>
                <w:szCs w:val="20"/>
              </w:rPr>
              <w:t>表示检测结果低于分析方法最低检出限。</w:t>
            </w:r>
          </w:p>
        </w:tc>
        <w:tc>
          <w:tcPr>
            <w:tcW w:w="252" w:type="dxa"/>
            <w:gridSpan w:val="2"/>
            <w:vMerge w:val="continue"/>
            <w:tcBorders>
              <w:top w:val="nil"/>
              <w:bottom w:val="nil"/>
              <w:right w:val="single" w:color="000000" w:sz="6" w:space="0"/>
            </w:tcBorders>
            <w:vAlign w:val="top"/>
          </w:tcPr>
          <w:p w14:paraId="69391C78">
            <w:pPr>
              <w:rPr>
                <w:rFonts w:ascii="Arial"/>
                <w:sz w:val="21"/>
              </w:rPr>
            </w:pPr>
          </w:p>
        </w:tc>
      </w:tr>
      <w:tr w14:paraId="08EBE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5" w:hRule="atLeast"/>
        </w:trPr>
        <w:tc>
          <w:tcPr>
            <w:tcW w:w="428" w:type="dxa"/>
            <w:vMerge w:val="continue"/>
            <w:tcBorders>
              <w:top w:val="nil"/>
              <w:left w:val="single" w:color="000000" w:sz="6" w:space="0"/>
              <w:bottom w:val="nil"/>
            </w:tcBorders>
            <w:vAlign w:val="top"/>
          </w:tcPr>
          <w:p w14:paraId="701A7A82">
            <w:pPr>
              <w:rPr>
                <w:rFonts w:ascii="Arial"/>
                <w:sz w:val="21"/>
              </w:rPr>
            </w:pPr>
          </w:p>
        </w:tc>
        <w:tc>
          <w:tcPr>
            <w:tcW w:w="8636" w:type="dxa"/>
            <w:gridSpan w:val="15"/>
            <w:tcBorders>
              <w:right w:val="single" w:color="000000" w:sz="6" w:space="0"/>
            </w:tcBorders>
            <w:vAlign w:val="top"/>
          </w:tcPr>
          <w:p w14:paraId="64A3CAE2">
            <w:pPr>
              <w:spacing w:before="67" w:line="219" w:lineRule="auto"/>
              <w:ind w:left="598"/>
              <w:rPr>
                <w:rFonts w:ascii="宋体" w:hAnsi="宋体" w:eastAsia="宋体" w:cs="宋体"/>
                <w:sz w:val="24"/>
                <w:szCs w:val="24"/>
              </w:rPr>
            </w:pPr>
            <w:r>
              <w:pict>
                <v:shape id="_x0000_s1053" o:spid="_x0000_s1053" style="position:absolute;left:0pt;margin-left:11.6pt;margin-top:1.2pt;height:0.5pt;width:408.25pt;mso-position-horizontal-relative:page;mso-position-vertical-relative:page;z-index:251677696;mso-width-relative:page;mso-height-relative:page;" filled="f" stroked="t" coordsize="8165,10" path="m0,4l8164,4e">
                  <v:fill on="f" focussize="0,0"/>
                  <v:stroke weight="0.48pt" color="#000000" miterlimit="2" joinstyle="bevel"/>
                  <v:imagedata o:title=""/>
                  <o:lock v:ext="edit"/>
                </v:shape>
              </w:pict>
            </w:r>
            <w:r>
              <w:rPr>
                <w:rFonts w:ascii="宋体" w:hAnsi="宋体" w:eastAsia="宋体" w:cs="宋体"/>
                <w:b/>
                <w:bCs/>
                <w:spacing w:val="-6"/>
                <w:sz w:val="24"/>
                <w:szCs w:val="24"/>
              </w:rPr>
              <w:t>（</w:t>
            </w:r>
            <w:r>
              <w:rPr>
                <w:rFonts w:ascii="Times New Roman" w:hAnsi="Times New Roman" w:eastAsia="Times New Roman" w:cs="Times New Roman"/>
                <w:b/>
                <w:bCs/>
                <w:spacing w:val="-6"/>
                <w:sz w:val="24"/>
                <w:szCs w:val="24"/>
              </w:rPr>
              <w:t>2</w:t>
            </w:r>
            <w:r>
              <w:rPr>
                <w:rFonts w:ascii="宋体" w:hAnsi="宋体" w:eastAsia="宋体" w:cs="宋体"/>
                <w:b/>
                <w:bCs/>
                <w:spacing w:val="-6"/>
                <w:sz w:val="24"/>
                <w:szCs w:val="24"/>
              </w:rPr>
              <w:t>）废水</w:t>
            </w:r>
          </w:p>
          <w:p w14:paraId="6FF435E3">
            <w:pPr>
              <w:spacing w:before="179" w:line="359" w:lineRule="auto"/>
              <w:ind w:left="105" w:right="102" w:firstLine="482"/>
              <w:jc w:val="both"/>
              <w:rPr>
                <w:rFonts w:ascii="宋体" w:hAnsi="宋体" w:eastAsia="宋体" w:cs="宋体"/>
                <w:sz w:val="24"/>
                <w:szCs w:val="24"/>
              </w:rPr>
            </w:pPr>
            <w:r>
              <w:rPr>
                <w:rFonts w:ascii="宋体" w:hAnsi="宋体" w:eastAsia="宋体" w:cs="宋体"/>
                <w:spacing w:val="-3"/>
                <w:sz w:val="24"/>
                <w:szCs w:val="24"/>
              </w:rPr>
              <w:t>现有项目废水经自建一体化污水处理设施处理后满足《城市污水再生</w:t>
            </w:r>
            <w:r>
              <w:rPr>
                <w:rFonts w:ascii="宋体" w:hAnsi="宋体" w:eastAsia="宋体" w:cs="宋体"/>
                <w:spacing w:val="-4"/>
                <w:sz w:val="24"/>
                <w:szCs w:val="24"/>
              </w:rPr>
              <w:t xml:space="preserve">利用 城市杂用水水质》（ </w:t>
            </w:r>
            <w:r>
              <w:rPr>
                <w:rFonts w:ascii="Times New Roman" w:hAnsi="Times New Roman" w:eastAsia="Times New Roman" w:cs="Times New Roman"/>
                <w:spacing w:val="-4"/>
                <w:sz w:val="24"/>
                <w:szCs w:val="24"/>
              </w:rPr>
              <w:t>GB/T</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pacing w:val="-4"/>
                <w:sz w:val="24"/>
                <w:szCs w:val="24"/>
              </w:rPr>
              <w:t>18920-2020</w:t>
            </w:r>
            <w:r>
              <w:rPr>
                <w:rFonts w:ascii="宋体" w:hAnsi="宋体" w:eastAsia="宋体" w:cs="宋体"/>
                <w:spacing w:val="-4"/>
                <w:sz w:val="24"/>
                <w:szCs w:val="24"/>
              </w:rPr>
              <w:t>）表</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w:t>
            </w:r>
            <w:r>
              <w:rPr>
                <w:rFonts w:ascii="宋体" w:hAnsi="宋体" w:eastAsia="宋体" w:cs="宋体"/>
                <w:spacing w:val="-4"/>
                <w:sz w:val="24"/>
                <w:szCs w:val="24"/>
              </w:rPr>
              <w:t>道路清扫、城市绿</w:t>
            </w:r>
            <w:r>
              <w:rPr>
                <w:rFonts w:ascii="宋体" w:hAnsi="宋体" w:eastAsia="宋体" w:cs="宋体"/>
                <w:spacing w:val="-5"/>
                <w:sz w:val="24"/>
                <w:szCs w:val="24"/>
              </w:rPr>
              <w:t>化水质标准</w:t>
            </w:r>
            <w:r>
              <w:rPr>
                <w:rFonts w:ascii="Times New Roman" w:hAnsi="Times New Roman" w:eastAsia="Times New Roman" w:cs="Times New Roman"/>
                <w:spacing w:val="-5"/>
                <w:sz w:val="24"/>
                <w:szCs w:val="24"/>
              </w:rPr>
              <w:t>”</w:t>
            </w:r>
            <w:r>
              <w:rPr>
                <w:rFonts w:ascii="Times New Roman" w:hAnsi="Times New Roman" w:eastAsia="Times New Roman" w:cs="Times New Roman"/>
                <w:spacing w:val="-32"/>
                <w:sz w:val="24"/>
                <w:szCs w:val="24"/>
              </w:rPr>
              <w:t xml:space="preserve"> </w:t>
            </w:r>
            <w:r>
              <w:rPr>
                <w:rFonts w:ascii="宋体" w:hAnsi="宋体" w:eastAsia="宋体" w:cs="宋体"/>
                <w:spacing w:val="-5"/>
                <w:sz w:val="24"/>
                <w:szCs w:val="24"/>
              </w:rPr>
              <w:t>，处理</w:t>
            </w:r>
            <w:r>
              <w:rPr>
                <w:rFonts w:ascii="宋体" w:hAnsi="宋体" w:eastAsia="宋体" w:cs="宋体"/>
                <w:spacing w:val="-1"/>
                <w:sz w:val="24"/>
                <w:szCs w:val="24"/>
              </w:rPr>
              <w:t>达标的废水回用于厂区绿化，雨天暂存蓄水池，不外排。。</w:t>
            </w:r>
          </w:p>
          <w:p w14:paraId="70AE7DB6">
            <w:pPr>
              <w:spacing w:before="2" w:line="308" w:lineRule="auto"/>
              <w:ind w:left="125" w:right="142" w:firstLine="461"/>
              <w:rPr>
                <w:rFonts w:ascii="宋体" w:hAnsi="宋体" w:eastAsia="宋体" w:cs="宋体"/>
                <w:sz w:val="24"/>
                <w:szCs w:val="24"/>
              </w:rPr>
            </w:pPr>
            <w:r>
              <w:rPr>
                <w:rFonts w:ascii="宋体" w:hAnsi="宋体" w:eastAsia="宋体" w:cs="宋体"/>
                <w:spacing w:val="7"/>
                <w:sz w:val="24"/>
                <w:szCs w:val="24"/>
              </w:rPr>
              <w:t>根据</w:t>
            </w:r>
            <w:r>
              <w:rPr>
                <w:rFonts w:ascii="宋体" w:hAnsi="宋体" w:eastAsia="宋体" w:cs="宋体"/>
                <w:spacing w:val="-46"/>
                <w:sz w:val="24"/>
                <w:szCs w:val="24"/>
              </w:rPr>
              <w:t xml:space="preserve"> </w:t>
            </w:r>
            <w:r>
              <w:rPr>
                <w:rFonts w:ascii="Times New Roman" w:hAnsi="Times New Roman" w:eastAsia="Times New Roman" w:cs="Times New Roman"/>
                <w:spacing w:val="7"/>
                <w:sz w:val="24"/>
                <w:szCs w:val="24"/>
              </w:rPr>
              <w:t>2025</w:t>
            </w:r>
            <w:r>
              <w:rPr>
                <w:rFonts w:ascii="Times New Roman" w:hAnsi="Times New Roman" w:eastAsia="Times New Roman" w:cs="Times New Roman"/>
                <w:spacing w:val="20"/>
                <w:w w:val="101"/>
                <w:sz w:val="24"/>
                <w:szCs w:val="24"/>
              </w:rPr>
              <w:t xml:space="preserve"> </w:t>
            </w:r>
            <w:r>
              <w:rPr>
                <w:rFonts w:ascii="宋体" w:hAnsi="宋体" w:eastAsia="宋体" w:cs="宋体"/>
                <w:spacing w:val="7"/>
                <w:sz w:val="24"/>
                <w:szCs w:val="24"/>
              </w:rPr>
              <w:t>年昆明欧铂瑞木制品有限公司排污</w:t>
            </w:r>
            <w:r>
              <w:rPr>
                <w:rFonts w:ascii="宋体" w:hAnsi="宋体" w:eastAsia="宋体" w:cs="宋体"/>
                <w:spacing w:val="6"/>
                <w:sz w:val="24"/>
                <w:szCs w:val="24"/>
              </w:rPr>
              <w:t>许可证自行检测报告（附件</w:t>
            </w:r>
            <w:r>
              <w:rPr>
                <w:rFonts w:ascii="Times New Roman" w:hAnsi="Times New Roman" w:eastAsia="Times New Roman" w:cs="Times New Roman"/>
                <w:spacing w:val="-5"/>
                <w:sz w:val="24"/>
                <w:szCs w:val="24"/>
              </w:rPr>
              <w:t>10</w:t>
            </w:r>
            <w:r>
              <w:rPr>
                <w:rFonts w:ascii="宋体" w:hAnsi="宋体" w:eastAsia="宋体" w:cs="宋体"/>
                <w:spacing w:val="-59"/>
                <w:w w:val="94"/>
                <w:sz w:val="24"/>
                <w:szCs w:val="24"/>
              </w:rPr>
              <w:t>），</w:t>
            </w:r>
            <w:r>
              <w:rPr>
                <w:rFonts w:ascii="宋体" w:hAnsi="宋体" w:eastAsia="宋体" w:cs="宋体"/>
                <w:spacing w:val="-5"/>
                <w:sz w:val="24"/>
                <w:szCs w:val="24"/>
              </w:rPr>
              <w:t>检测期间现有项目正常运行，外排污染</w:t>
            </w:r>
            <w:r>
              <w:rPr>
                <w:rFonts w:ascii="微软雅黑" w:hAnsi="微软雅黑" w:eastAsia="微软雅黑" w:cs="微软雅黑"/>
                <w:spacing w:val="-5"/>
                <w:sz w:val="24"/>
                <w:szCs w:val="24"/>
              </w:rPr>
              <w:t>物</w:t>
            </w:r>
            <w:r>
              <w:rPr>
                <w:rFonts w:ascii="宋体" w:hAnsi="宋体" w:eastAsia="宋体" w:cs="宋体"/>
                <w:spacing w:val="-5"/>
                <w:sz w:val="24"/>
                <w:szCs w:val="24"/>
              </w:rPr>
              <w:t>日均最大浓度检测结果见表</w:t>
            </w:r>
            <w:r>
              <w:rPr>
                <w:rFonts w:ascii="宋体" w:hAnsi="宋体" w:eastAsia="宋体" w:cs="宋体"/>
                <w:spacing w:val="-54"/>
                <w:sz w:val="24"/>
                <w:szCs w:val="24"/>
              </w:rPr>
              <w:t xml:space="preserve"> </w:t>
            </w:r>
            <w:r>
              <w:rPr>
                <w:rFonts w:ascii="Times New Roman" w:hAnsi="Times New Roman" w:eastAsia="Times New Roman" w:cs="Times New Roman"/>
                <w:spacing w:val="-5"/>
                <w:sz w:val="24"/>
                <w:szCs w:val="24"/>
              </w:rPr>
              <w:t>2</w:t>
            </w:r>
            <w:r>
              <w:rPr>
                <w:rFonts w:ascii="Times New Roman" w:hAnsi="Times New Roman" w:eastAsia="Times New Roman" w:cs="Times New Roman"/>
                <w:spacing w:val="-6"/>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6"/>
                <w:sz w:val="24"/>
                <w:szCs w:val="24"/>
              </w:rPr>
              <w:t>14</w:t>
            </w:r>
            <w:r>
              <w:rPr>
                <w:rFonts w:ascii="宋体" w:hAnsi="宋体" w:eastAsia="宋体" w:cs="宋体"/>
                <w:spacing w:val="-6"/>
                <w:sz w:val="24"/>
                <w:szCs w:val="24"/>
              </w:rPr>
              <w:t>。</w:t>
            </w:r>
          </w:p>
          <w:p w14:paraId="1C004019">
            <w:pPr>
              <w:spacing w:line="221" w:lineRule="exact"/>
              <w:ind w:left="1885"/>
              <w:rPr>
                <w:rFonts w:ascii="宋体" w:hAnsi="宋体" w:eastAsia="宋体" w:cs="宋体"/>
                <w:sz w:val="20"/>
                <w:szCs w:val="20"/>
              </w:rPr>
            </w:pPr>
            <w:r>
              <w:rPr>
                <w:rFonts w:ascii="宋体" w:hAnsi="宋体" w:eastAsia="宋体" w:cs="宋体"/>
                <w:b/>
                <w:bCs/>
                <w:spacing w:val="7"/>
                <w:sz w:val="20"/>
                <w:szCs w:val="20"/>
              </w:rPr>
              <w:t>表</w:t>
            </w:r>
            <w:r>
              <w:rPr>
                <w:rFonts w:ascii="宋体" w:hAnsi="宋体" w:eastAsia="宋体" w:cs="宋体"/>
                <w:spacing w:val="-40"/>
                <w:sz w:val="20"/>
                <w:szCs w:val="20"/>
              </w:rPr>
              <w:t xml:space="preserve"> </w:t>
            </w:r>
            <w:r>
              <w:rPr>
                <w:rFonts w:ascii="Times New Roman" w:hAnsi="Times New Roman" w:eastAsia="Times New Roman" w:cs="Times New Roman"/>
                <w:b/>
                <w:bCs/>
                <w:spacing w:val="7"/>
                <w:sz w:val="20"/>
                <w:szCs w:val="20"/>
              </w:rPr>
              <w:t xml:space="preserve">2-14    </w:t>
            </w:r>
            <w:r>
              <w:rPr>
                <w:rFonts w:ascii="宋体" w:hAnsi="宋体" w:eastAsia="宋体" w:cs="宋体"/>
                <w:b/>
                <w:bCs/>
                <w:spacing w:val="7"/>
                <w:sz w:val="20"/>
                <w:szCs w:val="20"/>
              </w:rPr>
              <w:t>现有项目回用水排口污染</w:t>
            </w:r>
            <w:r>
              <w:rPr>
                <w:rFonts w:ascii="微软雅黑" w:hAnsi="微软雅黑" w:eastAsia="微软雅黑" w:cs="微软雅黑"/>
                <w:b/>
                <w:bCs/>
                <w:spacing w:val="7"/>
                <w:sz w:val="20"/>
                <w:szCs w:val="20"/>
              </w:rPr>
              <w:t>物</w:t>
            </w:r>
            <w:r>
              <w:rPr>
                <w:rFonts w:ascii="宋体" w:hAnsi="宋体" w:eastAsia="宋体" w:cs="宋体"/>
                <w:b/>
                <w:bCs/>
                <w:spacing w:val="7"/>
                <w:sz w:val="20"/>
                <w:szCs w:val="20"/>
              </w:rPr>
              <w:t>日均最大</w:t>
            </w:r>
            <w:r>
              <w:rPr>
                <w:rFonts w:ascii="宋体" w:hAnsi="宋体" w:eastAsia="宋体" w:cs="宋体"/>
                <w:b/>
                <w:bCs/>
                <w:spacing w:val="6"/>
                <w:sz w:val="20"/>
                <w:szCs w:val="20"/>
              </w:rPr>
              <w:t>浓度排放值</w:t>
            </w:r>
          </w:p>
        </w:tc>
      </w:tr>
      <w:tr w14:paraId="6A15C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6B9AE22B">
            <w:pPr>
              <w:rPr>
                <w:rFonts w:ascii="Arial"/>
                <w:sz w:val="21"/>
              </w:rPr>
            </w:pPr>
          </w:p>
        </w:tc>
        <w:tc>
          <w:tcPr>
            <w:tcW w:w="113" w:type="dxa"/>
            <w:vMerge w:val="restart"/>
            <w:tcBorders>
              <w:top w:val="nil"/>
              <w:bottom w:val="nil"/>
            </w:tcBorders>
            <w:vAlign w:val="top"/>
          </w:tcPr>
          <w:p w14:paraId="0BC4EC71">
            <w:pPr>
              <w:rPr>
                <w:rFonts w:ascii="Arial"/>
                <w:sz w:val="21"/>
              </w:rPr>
            </w:pPr>
          </w:p>
        </w:tc>
        <w:tc>
          <w:tcPr>
            <w:tcW w:w="2081" w:type="dxa"/>
            <w:gridSpan w:val="3"/>
            <w:vAlign w:val="top"/>
          </w:tcPr>
          <w:p w14:paraId="7FC009C6">
            <w:pPr>
              <w:spacing w:before="43" w:line="192" w:lineRule="auto"/>
              <w:ind w:left="726"/>
              <w:rPr>
                <w:rFonts w:ascii="微软雅黑" w:hAnsi="微软雅黑" w:eastAsia="微软雅黑" w:cs="微软雅黑"/>
                <w:sz w:val="20"/>
                <w:szCs w:val="20"/>
              </w:rPr>
            </w:pPr>
            <w:r>
              <w:rPr>
                <w:rFonts w:ascii="宋体" w:hAnsi="宋体" w:eastAsia="宋体" w:cs="宋体"/>
                <w:b/>
                <w:bCs/>
                <w:spacing w:val="4"/>
                <w:sz w:val="20"/>
                <w:szCs w:val="20"/>
              </w:rPr>
              <w:t>污染</w:t>
            </w:r>
            <w:r>
              <w:rPr>
                <w:rFonts w:ascii="微软雅黑" w:hAnsi="微软雅黑" w:eastAsia="微软雅黑" w:cs="微软雅黑"/>
                <w:b/>
                <w:bCs/>
                <w:spacing w:val="4"/>
                <w:sz w:val="20"/>
                <w:szCs w:val="20"/>
              </w:rPr>
              <w:t>物</w:t>
            </w:r>
          </w:p>
        </w:tc>
        <w:tc>
          <w:tcPr>
            <w:tcW w:w="1278" w:type="dxa"/>
            <w:gridSpan w:val="2"/>
            <w:vAlign w:val="top"/>
          </w:tcPr>
          <w:p w14:paraId="7859997A">
            <w:pPr>
              <w:spacing w:before="43" w:line="228" w:lineRule="auto"/>
              <w:ind w:left="220"/>
              <w:rPr>
                <w:rFonts w:ascii="宋体" w:hAnsi="宋体" w:eastAsia="宋体" w:cs="宋体"/>
                <w:sz w:val="20"/>
                <w:szCs w:val="20"/>
              </w:rPr>
            </w:pPr>
            <w:r>
              <w:rPr>
                <w:rFonts w:ascii="宋体" w:hAnsi="宋体" w:eastAsia="宋体" w:cs="宋体"/>
                <w:b/>
                <w:bCs/>
                <w:spacing w:val="6"/>
                <w:sz w:val="20"/>
                <w:szCs w:val="20"/>
              </w:rPr>
              <w:t>检测时间</w:t>
            </w:r>
          </w:p>
        </w:tc>
        <w:tc>
          <w:tcPr>
            <w:tcW w:w="1681" w:type="dxa"/>
            <w:gridSpan w:val="2"/>
            <w:vAlign w:val="top"/>
          </w:tcPr>
          <w:p w14:paraId="2B4187AA">
            <w:pPr>
              <w:spacing w:before="43" w:line="228" w:lineRule="auto"/>
              <w:ind w:left="211"/>
              <w:rPr>
                <w:rFonts w:ascii="宋体" w:hAnsi="宋体" w:eastAsia="宋体" w:cs="宋体"/>
                <w:sz w:val="20"/>
                <w:szCs w:val="20"/>
              </w:rPr>
            </w:pPr>
            <w:r>
              <w:rPr>
                <w:rFonts w:ascii="宋体" w:hAnsi="宋体" w:eastAsia="宋体" w:cs="宋体"/>
                <w:b/>
                <w:bCs/>
                <w:spacing w:val="6"/>
                <w:sz w:val="20"/>
                <w:szCs w:val="20"/>
              </w:rPr>
              <w:t>检测结果范围</w:t>
            </w:r>
          </w:p>
        </w:tc>
        <w:tc>
          <w:tcPr>
            <w:tcW w:w="1679" w:type="dxa"/>
            <w:gridSpan w:val="3"/>
            <w:vAlign w:val="top"/>
          </w:tcPr>
          <w:p w14:paraId="2039BF58">
            <w:pPr>
              <w:spacing w:before="43" w:line="228" w:lineRule="auto"/>
              <w:ind w:left="533"/>
              <w:rPr>
                <w:rFonts w:ascii="宋体" w:hAnsi="宋体" w:eastAsia="宋体" w:cs="宋体"/>
                <w:sz w:val="20"/>
                <w:szCs w:val="20"/>
              </w:rPr>
            </w:pPr>
            <w:r>
              <w:rPr>
                <w:rFonts w:ascii="宋体" w:hAnsi="宋体" w:eastAsia="宋体" w:cs="宋体"/>
                <w:b/>
                <w:bCs/>
                <w:spacing w:val="5"/>
                <w:sz w:val="20"/>
                <w:szCs w:val="20"/>
              </w:rPr>
              <w:t>标准值</w:t>
            </w:r>
          </w:p>
        </w:tc>
        <w:tc>
          <w:tcPr>
            <w:tcW w:w="1679" w:type="dxa"/>
            <w:gridSpan w:val="3"/>
            <w:vAlign w:val="top"/>
          </w:tcPr>
          <w:p w14:paraId="73468017">
            <w:pPr>
              <w:spacing w:before="44" w:line="228" w:lineRule="auto"/>
              <w:ind w:left="427"/>
              <w:rPr>
                <w:rFonts w:ascii="宋体" w:hAnsi="宋体" w:eastAsia="宋体" w:cs="宋体"/>
                <w:sz w:val="20"/>
                <w:szCs w:val="20"/>
              </w:rPr>
            </w:pPr>
            <w:r>
              <w:rPr>
                <w:rFonts w:ascii="宋体" w:hAnsi="宋体" w:eastAsia="宋体" w:cs="宋体"/>
                <w:b/>
                <w:bCs/>
                <w:spacing w:val="6"/>
                <w:sz w:val="20"/>
                <w:szCs w:val="20"/>
              </w:rPr>
              <w:t>达标情况</w:t>
            </w:r>
          </w:p>
        </w:tc>
        <w:tc>
          <w:tcPr>
            <w:tcW w:w="125" w:type="dxa"/>
            <w:tcBorders>
              <w:top w:val="nil"/>
              <w:bottom w:val="nil"/>
              <w:right w:val="single" w:color="000000" w:sz="6" w:space="0"/>
            </w:tcBorders>
            <w:vAlign w:val="top"/>
          </w:tcPr>
          <w:p w14:paraId="062D7337">
            <w:pPr>
              <w:rPr>
                <w:rFonts w:ascii="Arial"/>
                <w:sz w:val="21"/>
              </w:rPr>
            </w:pPr>
          </w:p>
        </w:tc>
      </w:tr>
      <w:tr w14:paraId="6E067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4FDEB859">
            <w:pPr>
              <w:rPr>
                <w:rFonts w:ascii="Arial"/>
                <w:sz w:val="21"/>
              </w:rPr>
            </w:pPr>
          </w:p>
        </w:tc>
        <w:tc>
          <w:tcPr>
            <w:tcW w:w="113" w:type="dxa"/>
            <w:vMerge w:val="continue"/>
            <w:tcBorders>
              <w:top w:val="nil"/>
              <w:bottom w:val="nil"/>
            </w:tcBorders>
            <w:vAlign w:val="top"/>
          </w:tcPr>
          <w:p w14:paraId="11D4C6B2">
            <w:pPr>
              <w:rPr>
                <w:rFonts w:ascii="Arial"/>
                <w:sz w:val="21"/>
              </w:rPr>
            </w:pPr>
          </w:p>
        </w:tc>
        <w:tc>
          <w:tcPr>
            <w:tcW w:w="2081" w:type="dxa"/>
            <w:gridSpan w:val="3"/>
            <w:vAlign w:val="top"/>
          </w:tcPr>
          <w:p w14:paraId="5599DC6B">
            <w:pPr>
              <w:spacing w:before="46" w:line="228" w:lineRule="auto"/>
              <w:ind w:left="376"/>
              <w:rPr>
                <w:rFonts w:ascii="宋体" w:hAnsi="宋体" w:eastAsia="宋体" w:cs="宋体"/>
                <w:sz w:val="20"/>
                <w:szCs w:val="20"/>
              </w:rPr>
            </w:pPr>
            <w:r>
              <w:rPr>
                <w:rFonts w:ascii="Times New Roman" w:hAnsi="Times New Roman" w:eastAsia="Times New Roman" w:cs="Times New Roman"/>
                <w:sz w:val="20"/>
                <w:szCs w:val="20"/>
              </w:rPr>
              <w:t>PH</w:t>
            </w:r>
            <w:r>
              <w:rPr>
                <w:rFonts w:ascii="宋体" w:hAnsi="宋体" w:eastAsia="宋体" w:cs="宋体"/>
                <w:spacing w:val="9"/>
                <w:sz w:val="20"/>
                <w:szCs w:val="20"/>
              </w:rPr>
              <w:t>（无量纲）</w:t>
            </w:r>
          </w:p>
        </w:tc>
        <w:tc>
          <w:tcPr>
            <w:tcW w:w="1278" w:type="dxa"/>
            <w:gridSpan w:val="2"/>
            <w:vAlign w:val="top"/>
          </w:tcPr>
          <w:p w14:paraId="0180F7C7">
            <w:pPr>
              <w:spacing w:before="88" w:line="195" w:lineRule="auto"/>
              <w:ind w:left="269"/>
              <w:rPr>
                <w:rFonts w:ascii="Times New Roman" w:hAnsi="Times New Roman" w:eastAsia="Times New Roman" w:cs="Times New Roman"/>
                <w:sz w:val="20"/>
                <w:szCs w:val="20"/>
              </w:rPr>
            </w:pPr>
            <w:r>
              <w:rPr>
                <w:rFonts w:ascii="Times New Roman" w:hAnsi="Times New Roman" w:eastAsia="Times New Roman" w:cs="Times New Roman"/>
                <w:sz w:val="20"/>
                <w:szCs w:val="20"/>
              </w:rPr>
              <w:t>2025.</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z w:val="20"/>
                <w:szCs w:val="20"/>
              </w:rPr>
              <w:t>1.6</w:t>
            </w:r>
          </w:p>
        </w:tc>
        <w:tc>
          <w:tcPr>
            <w:tcW w:w="1681" w:type="dxa"/>
            <w:gridSpan w:val="2"/>
            <w:vAlign w:val="top"/>
          </w:tcPr>
          <w:p w14:paraId="2203B326">
            <w:pPr>
              <w:spacing w:before="88" w:line="195" w:lineRule="auto"/>
              <w:ind w:left="6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7.8-8</w:t>
            </w:r>
          </w:p>
        </w:tc>
        <w:tc>
          <w:tcPr>
            <w:tcW w:w="1679" w:type="dxa"/>
            <w:gridSpan w:val="3"/>
            <w:vAlign w:val="top"/>
          </w:tcPr>
          <w:p w14:paraId="768EE729">
            <w:pPr>
              <w:spacing w:before="88" w:line="195" w:lineRule="auto"/>
              <w:ind w:left="708"/>
              <w:rPr>
                <w:rFonts w:ascii="Times New Roman" w:hAnsi="Times New Roman" w:eastAsia="Times New Roman" w:cs="Times New Roman"/>
                <w:sz w:val="20"/>
                <w:szCs w:val="20"/>
              </w:rPr>
            </w:pPr>
            <w:r>
              <w:rPr>
                <w:rFonts w:ascii="Times New Roman" w:hAnsi="Times New Roman" w:eastAsia="Times New Roman" w:cs="Times New Roman"/>
                <w:sz w:val="20"/>
                <w:szCs w:val="20"/>
              </w:rPr>
              <w:t>6-9</w:t>
            </w:r>
          </w:p>
        </w:tc>
        <w:tc>
          <w:tcPr>
            <w:tcW w:w="1679" w:type="dxa"/>
            <w:gridSpan w:val="3"/>
            <w:vAlign w:val="top"/>
          </w:tcPr>
          <w:p w14:paraId="7FC8B3E3">
            <w:pPr>
              <w:spacing w:before="46" w:line="228" w:lineRule="auto"/>
              <w:ind w:left="640"/>
              <w:rPr>
                <w:rFonts w:ascii="宋体" w:hAnsi="宋体" w:eastAsia="宋体" w:cs="宋体"/>
                <w:sz w:val="20"/>
                <w:szCs w:val="20"/>
              </w:rPr>
            </w:pPr>
            <w:r>
              <w:rPr>
                <w:rFonts w:ascii="宋体" w:hAnsi="宋体" w:eastAsia="宋体" w:cs="宋体"/>
                <w:spacing w:val="5"/>
                <w:sz w:val="20"/>
                <w:szCs w:val="20"/>
              </w:rPr>
              <w:t>达标</w:t>
            </w:r>
          </w:p>
        </w:tc>
        <w:tc>
          <w:tcPr>
            <w:tcW w:w="125" w:type="dxa"/>
            <w:tcBorders>
              <w:top w:val="nil"/>
              <w:bottom w:val="nil"/>
              <w:right w:val="single" w:color="000000" w:sz="6" w:space="0"/>
            </w:tcBorders>
            <w:vAlign w:val="top"/>
          </w:tcPr>
          <w:p w14:paraId="728ABBED">
            <w:pPr>
              <w:rPr>
                <w:rFonts w:ascii="Arial"/>
                <w:sz w:val="21"/>
              </w:rPr>
            </w:pPr>
          </w:p>
        </w:tc>
      </w:tr>
      <w:tr w14:paraId="0E829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65E56364">
            <w:pPr>
              <w:rPr>
                <w:rFonts w:ascii="Arial"/>
                <w:sz w:val="21"/>
              </w:rPr>
            </w:pPr>
          </w:p>
        </w:tc>
        <w:tc>
          <w:tcPr>
            <w:tcW w:w="113" w:type="dxa"/>
            <w:vMerge w:val="continue"/>
            <w:tcBorders>
              <w:top w:val="nil"/>
              <w:bottom w:val="nil"/>
            </w:tcBorders>
            <w:vAlign w:val="top"/>
          </w:tcPr>
          <w:p w14:paraId="2BBE09D2">
            <w:pPr>
              <w:rPr>
                <w:rFonts w:ascii="Arial"/>
                <w:sz w:val="21"/>
              </w:rPr>
            </w:pPr>
          </w:p>
        </w:tc>
        <w:tc>
          <w:tcPr>
            <w:tcW w:w="2081" w:type="dxa"/>
            <w:gridSpan w:val="3"/>
            <w:vAlign w:val="top"/>
          </w:tcPr>
          <w:p w14:paraId="326133CA">
            <w:pPr>
              <w:spacing w:before="44" w:line="228" w:lineRule="auto"/>
              <w:ind w:left="301"/>
              <w:rPr>
                <w:rFonts w:ascii="宋体" w:hAnsi="宋体" w:eastAsia="宋体" w:cs="宋体"/>
                <w:sz w:val="20"/>
                <w:szCs w:val="20"/>
              </w:rPr>
            </w:pPr>
            <w:r>
              <w:rPr>
                <w:rFonts w:ascii="宋体" w:hAnsi="宋体" w:eastAsia="宋体" w:cs="宋体"/>
                <w:spacing w:val="9"/>
                <w:sz w:val="20"/>
                <w:szCs w:val="20"/>
              </w:rPr>
              <w:t>浑浊度（</w:t>
            </w:r>
            <w:r>
              <w:rPr>
                <w:rFonts w:ascii="Times New Roman" w:hAnsi="Times New Roman" w:eastAsia="Times New Roman" w:cs="Times New Roman"/>
                <w:sz w:val="20"/>
                <w:szCs w:val="20"/>
              </w:rPr>
              <w:t>NTU</w:t>
            </w:r>
            <w:r>
              <w:rPr>
                <w:rFonts w:ascii="宋体" w:hAnsi="宋体" w:eastAsia="宋体" w:cs="宋体"/>
                <w:spacing w:val="9"/>
                <w:sz w:val="20"/>
                <w:szCs w:val="20"/>
              </w:rPr>
              <w:t>）</w:t>
            </w:r>
          </w:p>
        </w:tc>
        <w:tc>
          <w:tcPr>
            <w:tcW w:w="1278" w:type="dxa"/>
            <w:gridSpan w:val="2"/>
            <w:vAlign w:val="top"/>
          </w:tcPr>
          <w:p w14:paraId="02E42CA5">
            <w:pPr>
              <w:spacing w:before="87" w:line="195" w:lineRule="auto"/>
              <w:ind w:left="269"/>
              <w:rPr>
                <w:rFonts w:ascii="Times New Roman" w:hAnsi="Times New Roman" w:eastAsia="Times New Roman" w:cs="Times New Roman"/>
                <w:sz w:val="20"/>
                <w:szCs w:val="20"/>
              </w:rPr>
            </w:pPr>
            <w:r>
              <w:rPr>
                <w:rFonts w:ascii="Times New Roman" w:hAnsi="Times New Roman" w:eastAsia="Times New Roman" w:cs="Times New Roman"/>
                <w:sz w:val="20"/>
                <w:szCs w:val="20"/>
              </w:rPr>
              <w:t>2025.</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z w:val="20"/>
                <w:szCs w:val="20"/>
              </w:rPr>
              <w:t>1.6</w:t>
            </w:r>
          </w:p>
        </w:tc>
        <w:tc>
          <w:tcPr>
            <w:tcW w:w="1681" w:type="dxa"/>
            <w:gridSpan w:val="2"/>
            <w:vAlign w:val="top"/>
          </w:tcPr>
          <w:p w14:paraId="418D5B22">
            <w:pPr>
              <w:spacing w:before="87" w:line="195" w:lineRule="auto"/>
              <w:ind w:left="6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7-7.3</w:t>
            </w:r>
          </w:p>
        </w:tc>
        <w:tc>
          <w:tcPr>
            <w:tcW w:w="1679" w:type="dxa"/>
            <w:gridSpan w:val="3"/>
            <w:vAlign w:val="top"/>
          </w:tcPr>
          <w:p w14:paraId="6679B659">
            <w:pPr>
              <w:spacing w:before="87" w:line="195" w:lineRule="auto"/>
              <w:ind w:left="744"/>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c>
          <w:tcPr>
            <w:tcW w:w="1679" w:type="dxa"/>
            <w:gridSpan w:val="3"/>
            <w:vAlign w:val="top"/>
          </w:tcPr>
          <w:p w14:paraId="4EFDE190">
            <w:pPr>
              <w:spacing w:before="44" w:line="228" w:lineRule="auto"/>
              <w:ind w:left="640"/>
              <w:rPr>
                <w:rFonts w:ascii="宋体" w:hAnsi="宋体" w:eastAsia="宋体" w:cs="宋体"/>
                <w:sz w:val="20"/>
                <w:szCs w:val="20"/>
              </w:rPr>
            </w:pPr>
            <w:r>
              <w:rPr>
                <w:rFonts w:ascii="宋体" w:hAnsi="宋体" w:eastAsia="宋体" w:cs="宋体"/>
                <w:spacing w:val="5"/>
                <w:sz w:val="20"/>
                <w:szCs w:val="20"/>
              </w:rPr>
              <w:t>达标</w:t>
            </w:r>
          </w:p>
        </w:tc>
        <w:tc>
          <w:tcPr>
            <w:tcW w:w="125" w:type="dxa"/>
            <w:tcBorders>
              <w:top w:val="nil"/>
              <w:bottom w:val="nil"/>
              <w:right w:val="single" w:color="000000" w:sz="6" w:space="0"/>
            </w:tcBorders>
            <w:vAlign w:val="top"/>
          </w:tcPr>
          <w:p w14:paraId="57F1C5BC">
            <w:pPr>
              <w:rPr>
                <w:rFonts w:ascii="Arial"/>
                <w:sz w:val="21"/>
              </w:rPr>
            </w:pPr>
          </w:p>
        </w:tc>
      </w:tr>
      <w:tr w14:paraId="57B05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51FFA092">
            <w:pPr>
              <w:rPr>
                <w:rFonts w:ascii="Arial"/>
                <w:sz w:val="21"/>
              </w:rPr>
            </w:pPr>
          </w:p>
        </w:tc>
        <w:tc>
          <w:tcPr>
            <w:tcW w:w="113" w:type="dxa"/>
            <w:vMerge w:val="continue"/>
            <w:tcBorders>
              <w:top w:val="nil"/>
              <w:bottom w:val="nil"/>
            </w:tcBorders>
            <w:vAlign w:val="top"/>
          </w:tcPr>
          <w:p w14:paraId="2E5D96B0">
            <w:pPr>
              <w:rPr>
                <w:rFonts w:ascii="Arial"/>
                <w:sz w:val="21"/>
              </w:rPr>
            </w:pPr>
          </w:p>
        </w:tc>
        <w:tc>
          <w:tcPr>
            <w:tcW w:w="2081" w:type="dxa"/>
            <w:gridSpan w:val="3"/>
            <w:vAlign w:val="top"/>
          </w:tcPr>
          <w:p w14:paraId="2D970191">
            <w:pPr>
              <w:spacing w:before="46" w:line="221" w:lineRule="auto"/>
              <w:ind w:left="290"/>
              <w:rPr>
                <w:rFonts w:ascii="宋体" w:hAnsi="宋体" w:eastAsia="宋体" w:cs="宋体"/>
                <w:sz w:val="20"/>
                <w:szCs w:val="20"/>
              </w:rPr>
            </w:pPr>
            <w:r>
              <w:rPr>
                <w:rFonts w:ascii="宋体" w:hAnsi="宋体" w:eastAsia="宋体" w:cs="宋体"/>
                <w:spacing w:val="7"/>
                <w:sz w:val="20"/>
                <w:szCs w:val="20"/>
              </w:rPr>
              <w:t>溶解氧（</w:t>
            </w:r>
            <w:r>
              <w:rPr>
                <w:rFonts w:ascii="Times New Roman" w:hAnsi="Times New Roman" w:eastAsia="Times New Roman" w:cs="Times New Roman"/>
                <w:sz w:val="20"/>
                <w:szCs w:val="20"/>
              </w:rPr>
              <w:t>mg</w:t>
            </w:r>
            <w:r>
              <w:rPr>
                <w:rFonts w:ascii="Times New Roman" w:hAnsi="Times New Roman" w:eastAsia="Times New Roman" w:cs="Times New Roman"/>
                <w:spacing w:val="7"/>
                <w:sz w:val="20"/>
                <w:szCs w:val="20"/>
              </w:rPr>
              <w:t>/L</w:t>
            </w:r>
            <w:r>
              <w:rPr>
                <w:rFonts w:ascii="宋体" w:hAnsi="宋体" w:eastAsia="宋体" w:cs="宋体"/>
                <w:spacing w:val="7"/>
                <w:sz w:val="20"/>
                <w:szCs w:val="20"/>
              </w:rPr>
              <w:t>）</w:t>
            </w:r>
          </w:p>
        </w:tc>
        <w:tc>
          <w:tcPr>
            <w:tcW w:w="1278" w:type="dxa"/>
            <w:gridSpan w:val="2"/>
            <w:vAlign w:val="top"/>
          </w:tcPr>
          <w:p w14:paraId="73AD3065">
            <w:pPr>
              <w:spacing w:before="87" w:line="195" w:lineRule="auto"/>
              <w:ind w:left="269"/>
              <w:rPr>
                <w:rFonts w:ascii="Times New Roman" w:hAnsi="Times New Roman" w:eastAsia="Times New Roman" w:cs="Times New Roman"/>
                <w:sz w:val="20"/>
                <w:szCs w:val="20"/>
              </w:rPr>
            </w:pPr>
            <w:r>
              <w:rPr>
                <w:rFonts w:ascii="Times New Roman" w:hAnsi="Times New Roman" w:eastAsia="Times New Roman" w:cs="Times New Roman"/>
                <w:sz w:val="20"/>
                <w:szCs w:val="20"/>
              </w:rPr>
              <w:t>2025.</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z w:val="20"/>
                <w:szCs w:val="20"/>
              </w:rPr>
              <w:t>1.6</w:t>
            </w:r>
          </w:p>
        </w:tc>
        <w:tc>
          <w:tcPr>
            <w:tcW w:w="1681" w:type="dxa"/>
            <w:gridSpan w:val="2"/>
            <w:vAlign w:val="top"/>
          </w:tcPr>
          <w:p w14:paraId="3C2C7AB3">
            <w:pPr>
              <w:spacing w:before="65" w:line="195" w:lineRule="auto"/>
              <w:ind w:left="54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3.6-3.7</w:t>
            </w:r>
          </w:p>
        </w:tc>
        <w:tc>
          <w:tcPr>
            <w:tcW w:w="1679" w:type="dxa"/>
            <w:gridSpan w:val="3"/>
            <w:vAlign w:val="top"/>
          </w:tcPr>
          <w:p w14:paraId="5DA4CBF2">
            <w:pPr>
              <w:spacing w:before="66" w:line="195" w:lineRule="auto"/>
              <w:ind w:left="6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w:t>
            </w:r>
          </w:p>
        </w:tc>
        <w:tc>
          <w:tcPr>
            <w:tcW w:w="1679" w:type="dxa"/>
            <w:gridSpan w:val="3"/>
            <w:vAlign w:val="top"/>
          </w:tcPr>
          <w:p w14:paraId="09CA678F">
            <w:pPr>
              <w:spacing w:before="46" w:line="228" w:lineRule="auto"/>
              <w:ind w:left="640"/>
              <w:rPr>
                <w:rFonts w:ascii="宋体" w:hAnsi="宋体" w:eastAsia="宋体" w:cs="宋体"/>
                <w:sz w:val="20"/>
                <w:szCs w:val="20"/>
              </w:rPr>
            </w:pPr>
            <w:r>
              <w:rPr>
                <w:rFonts w:ascii="宋体" w:hAnsi="宋体" w:eastAsia="宋体" w:cs="宋体"/>
                <w:spacing w:val="5"/>
                <w:sz w:val="20"/>
                <w:szCs w:val="20"/>
              </w:rPr>
              <w:t>达标</w:t>
            </w:r>
          </w:p>
        </w:tc>
        <w:tc>
          <w:tcPr>
            <w:tcW w:w="125" w:type="dxa"/>
            <w:tcBorders>
              <w:top w:val="nil"/>
              <w:bottom w:val="nil"/>
              <w:right w:val="single" w:color="000000" w:sz="6" w:space="0"/>
            </w:tcBorders>
            <w:vAlign w:val="top"/>
          </w:tcPr>
          <w:p w14:paraId="715D2358">
            <w:pPr>
              <w:rPr>
                <w:rFonts w:ascii="Arial"/>
                <w:sz w:val="21"/>
              </w:rPr>
            </w:pPr>
          </w:p>
        </w:tc>
      </w:tr>
      <w:tr w14:paraId="75255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46C33046">
            <w:pPr>
              <w:rPr>
                <w:rFonts w:ascii="Arial"/>
                <w:sz w:val="21"/>
              </w:rPr>
            </w:pPr>
          </w:p>
        </w:tc>
        <w:tc>
          <w:tcPr>
            <w:tcW w:w="113" w:type="dxa"/>
            <w:vMerge w:val="continue"/>
            <w:tcBorders>
              <w:top w:val="nil"/>
              <w:bottom w:val="nil"/>
            </w:tcBorders>
            <w:vAlign w:val="top"/>
          </w:tcPr>
          <w:p w14:paraId="7DF17070">
            <w:pPr>
              <w:rPr>
                <w:rFonts w:ascii="Arial"/>
                <w:sz w:val="21"/>
              </w:rPr>
            </w:pPr>
          </w:p>
        </w:tc>
        <w:tc>
          <w:tcPr>
            <w:tcW w:w="2081" w:type="dxa"/>
            <w:gridSpan w:val="3"/>
            <w:vAlign w:val="top"/>
          </w:tcPr>
          <w:p w14:paraId="017E8B69">
            <w:pPr>
              <w:spacing w:before="46" w:line="221" w:lineRule="auto"/>
              <w:ind w:left="398"/>
              <w:rPr>
                <w:rFonts w:ascii="宋体" w:hAnsi="宋体" w:eastAsia="宋体" w:cs="宋体"/>
                <w:sz w:val="20"/>
                <w:szCs w:val="20"/>
              </w:rPr>
            </w:pPr>
            <w:r>
              <w:rPr>
                <w:rFonts w:ascii="宋体" w:hAnsi="宋体" w:eastAsia="宋体" w:cs="宋体"/>
                <w:spacing w:val="5"/>
                <w:sz w:val="20"/>
                <w:szCs w:val="20"/>
              </w:rPr>
              <w:t>总氯（</w:t>
            </w:r>
            <w:r>
              <w:rPr>
                <w:rFonts w:ascii="Times New Roman" w:hAnsi="Times New Roman" w:eastAsia="Times New Roman" w:cs="Times New Roman"/>
                <w:sz w:val="20"/>
                <w:szCs w:val="20"/>
              </w:rPr>
              <w:t>mg</w:t>
            </w:r>
            <w:r>
              <w:rPr>
                <w:rFonts w:ascii="Times New Roman" w:hAnsi="Times New Roman" w:eastAsia="Times New Roman" w:cs="Times New Roman"/>
                <w:spacing w:val="5"/>
                <w:sz w:val="20"/>
                <w:szCs w:val="20"/>
              </w:rPr>
              <w:t>/L</w:t>
            </w:r>
            <w:r>
              <w:rPr>
                <w:rFonts w:ascii="宋体" w:hAnsi="宋体" w:eastAsia="宋体" w:cs="宋体"/>
                <w:spacing w:val="5"/>
                <w:sz w:val="20"/>
                <w:szCs w:val="20"/>
              </w:rPr>
              <w:t>）</w:t>
            </w:r>
          </w:p>
        </w:tc>
        <w:tc>
          <w:tcPr>
            <w:tcW w:w="1278" w:type="dxa"/>
            <w:gridSpan w:val="2"/>
            <w:vAlign w:val="top"/>
          </w:tcPr>
          <w:p w14:paraId="058707CF">
            <w:pPr>
              <w:spacing w:before="89" w:line="195" w:lineRule="auto"/>
              <w:ind w:left="269"/>
              <w:rPr>
                <w:rFonts w:ascii="Times New Roman" w:hAnsi="Times New Roman" w:eastAsia="Times New Roman" w:cs="Times New Roman"/>
                <w:sz w:val="20"/>
                <w:szCs w:val="20"/>
              </w:rPr>
            </w:pPr>
            <w:r>
              <w:rPr>
                <w:rFonts w:ascii="Times New Roman" w:hAnsi="Times New Roman" w:eastAsia="Times New Roman" w:cs="Times New Roman"/>
                <w:sz w:val="20"/>
                <w:szCs w:val="20"/>
              </w:rPr>
              <w:t>2025.</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z w:val="20"/>
                <w:szCs w:val="20"/>
              </w:rPr>
              <w:t>1.6</w:t>
            </w:r>
          </w:p>
        </w:tc>
        <w:tc>
          <w:tcPr>
            <w:tcW w:w="1681" w:type="dxa"/>
            <w:gridSpan w:val="2"/>
            <w:vAlign w:val="top"/>
          </w:tcPr>
          <w:p w14:paraId="4986C9DF">
            <w:pPr>
              <w:spacing w:before="65" w:line="195" w:lineRule="auto"/>
              <w:ind w:left="44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0.31-0.32</w:t>
            </w:r>
          </w:p>
        </w:tc>
        <w:tc>
          <w:tcPr>
            <w:tcW w:w="1679" w:type="dxa"/>
            <w:gridSpan w:val="3"/>
            <w:vAlign w:val="top"/>
          </w:tcPr>
          <w:p w14:paraId="16E4F6B5">
            <w:pPr>
              <w:spacing w:before="65" w:line="195" w:lineRule="auto"/>
              <w:ind w:left="73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c>
          <w:tcPr>
            <w:tcW w:w="1679" w:type="dxa"/>
            <w:gridSpan w:val="3"/>
            <w:vAlign w:val="top"/>
          </w:tcPr>
          <w:p w14:paraId="4D733B08">
            <w:pPr>
              <w:spacing w:before="46" w:line="228" w:lineRule="auto"/>
              <w:ind w:left="640"/>
              <w:rPr>
                <w:rFonts w:ascii="宋体" w:hAnsi="宋体" w:eastAsia="宋体" w:cs="宋体"/>
                <w:sz w:val="20"/>
                <w:szCs w:val="20"/>
              </w:rPr>
            </w:pPr>
            <w:r>
              <w:rPr>
                <w:rFonts w:ascii="宋体" w:hAnsi="宋体" w:eastAsia="宋体" w:cs="宋体"/>
                <w:spacing w:val="5"/>
                <w:sz w:val="20"/>
                <w:szCs w:val="20"/>
              </w:rPr>
              <w:t>达标</w:t>
            </w:r>
          </w:p>
        </w:tc>
        <w:tc>
          <w:tcPr>
            <w:tcW w:w="125" w:type="dxa"/>
            <w:tcBorders>
              <w:top w:val="nil"/>
              <w:bottom w:val="nil"/>
              <w:right w:val="single" w:color="000000" w:sz="6" w:space="0"/>
            </w:tcBorders>
            <w:vAlign w:val="top"/>
          </w:tcPr>
          <w:p w14:paraId="4BCFFDB8">
            <w:pPr>
              <w:rPr>
                <w:rFonts w:ascii="Arial"/>
                <w:sz w:val="21"/>
              </w:rPr>
            </w:pPr>
          </w:p>
        </w:tc>
      </w:tr>
      <w:tr w14:paraId="3966C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428" w:type="dxa"/>
            <w:vMerge w:val="continue"/>
            <w:tcBorders>
              <w:top w:val="nil"/>
              <w:left w:val="single" w:color="000000" w:sz="6" w:space="0"/>
              <w:bottom w:val="single" w:color="000000" w:sz="6" w:space="0"/>
            </w:tcBorders>
            <w:vAlign w:val="top"/>
          </w:tcPr>
          <w:p w14:paraId="1D74A188">
            <w:pPr>
              <w:rPr>
                <w:rFonts w:ascii="Arial"/>
                <w:sz w:val="21"/>
              </w:rPr>
            </w:pPr>
          </w:p>
        </w:tc>
        <w:tc>
          <w:tcPr>
            <w:tcW w:w="113" w:type="dxa"/>
            <w:vMerge w:val="continue"/>
            <w:tcBorders>
              <w:top w:val="nil"/>
              <w:bottom w:val="single" w:color="000000" w:sz="6" w:space="0"/>
            </w:tcBorders>
            <w:vAlign w:val="top"/>
          </w:tcPr>
          <w:p w14:paraId="2452372E">
            <w:pPr>
              <w:rPr>
                <w:rFonts w:ascii="Arial"/>
                <w:sz w:val="21"/>
              </w:rPr>
            </w:pPr>
          </w:p>
        </w:tc>
        <w:tc>
          <w:tcPr>
            <w:tcW w:w="2081" w:type="dxa"/>
            <w:gridSpan w:val="3"/>
            <w:tcBorders>
              <w:bottom w:val="single" w:color="000000" w:sz="6" w:space="0"/>
            </w:tcBorders>
            <w:vAlign w:val="top"/>
          </w:tcPr>
          <w:p w14:paraId="3113138C">
            <w:pPr>
              <w:spacing w:before="46" w:line="228" w:lineRule="auto"/>
              <w:ind w:left="518"/>
              <w:rPr>
                <w:rFonts w:ascii="宋体" w:hAnsi="宋体" w:eastAsia="宋体" w:cs="宋体"/>
                <w:sz w:val="20"/>
                <w:szCs w:val="20"/>
              </w:rPr>
            </w:pPr>
            <w:r>
              <w:rPr>
                <w:rFonts w:ascii="宋体" w:hAnsi="宋体" w:eastAsia="宋体" w:cs="宋体"/>
                <w:spacing w:val="5"/>
                <w:sz w:val="20"/>
                <w:szCs w:val="20"/>
              </w:rPr>
              <w:t>色度（度）</w:t>
            </w:r>
          </w:p>
        </w:tc>
        <w:tc>
          <w:tcPr>
            <w:tcW w:w="1278" w:type="dxa"/>
            <w:gridSpan w:val="2"/>
            <w:tcBorders>
              <w:bottom w:val="single" w:color="000000" w:sz="6" w:space="0"/>
            </w:tcBorders>
            <w:vAlign w:val="top"/>
          </w:tcPr>
          <w:p w14:paraId="61BB8E35">
            <w:pPr>
              <w:spacing w:before="88" w:line="195" w:lineRule="auto"/>
              <w:ind w:left="269"/>
              <w:rPr>
                <w:rFonts w:ascii="Times New Roman" w:hAnsi="Times New Roman" w:eastAsia="Times New Roman" w:cs="Times New Roman"/>
                <w:sz w:val="20"/>
                <w:szCs w:val="20"/>
              </w:rPr>
            </w:pPr>
            <w:r>
              <w:rPr>
                <w:rFonts w:ascii="Times New Roman" w:hAnsi="Times New Roman" w:eastAsia="Times New Roman" w:cs="Times New Roman"/>
                <w:sz w:val="20"/>
                <w:szCs w:val="20"/>
              </w:rPr>
              <w:t>2025.</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z w:val="20"/>
                <w:szCs w:val="20"/>
              </w:rPr>
              <w:t>1.6</w:t>
            </w:r>
          </w:p>
        </w:tc>
        <w:tc>
          <w:tcPr>
            <w:tcW w:w="1681" w:type="dxa"/>
            <w:gridSpan w:val="2"/>
            <w:tcBorders>
              <w:bottom w:val="single" w:color="000000" w:sz="6" w:space="0"/>
            </w:tcBorders>
            <w:vAlign w:val="top"/>
          </w:tcPr>
          <w:p w14:paraId="7EF9B19C">
            <w:pPr>
              <w:spacing w:before="67" w:line="195" w:lineRule="auto"/>
              <w:ind w:left="75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679" w:type="dxa"/>
            <w:gridSpan w:val="3"/>
            <w:tcBorders>
              <w:bottom w:val="single" w:color="000000" w:sz="6" w:space="0"/>
            </w:tcBorders>
            <w:vAlign w:val="top"/>
          </w:tcPr>
          <w:p w14:paraId="3EA069BB">
            <w:pPr>
              <w:spacing w:before="67" w:line="195" w:lineRule="auto"/>
              <w:ind w:left="744"/>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c>
          <w:tcPr>
            <w:tcW w:w="1679" w:type="dxa"/>
            <w:gridSpan w:val="3"/>
            <w:tcBorders>
              <w:bottom w:val="single" w:color="000000" w:sz="6" w:space="0"/>
            </w:tcBorders>
            <w:vAlign w:val="top"/>
          </w:tcPr>
          <w:p w14:paraId="6D141DDB">
            <w:pPr>
              <w:spacing w:before="46" w:line="228" w:lineRule="auto"/>
              <w:ind w:left="640"/>
              <w:rPr>
                <w:rFonts w:ascii="宋体" w:hAnsi="宋体" w:eastAsia="宋体" w:cs="宋体"/>
                <w:sz w:val="20"/>
                <w:szCs w:val="20"/>
              </w:rPr>
            </w:pPr>
            <w:r>
              <w:rPr>
                <w:rFonts w:ascii="宋体" w:hAnsi="宋体" w:eastAsia="宋体" w:cs="宋体"/>
                <w:spacing w:val="5"/>
                <w:sz w:val="20"/>
                <w:szCs w:val="20"/>
              </w:rPr>
              <w:t>达标</w:t>
            </w:r>
          </w:p>
        </w:tc>
        <w:tc>
          <w:tcPr>
            <w:tcW w:w="125" w:type="dxa"/>
            <w:tcBorders>
              <w:top w:val="nil"/>
              <w:bottom w:val="single" w:color="000000" w:sz="6" w:space="0"/>
              <w:right w:val="single" w:color="000000" w:sz="6" w:space="0"/>
            </w:tcBorders>
            <w:vAlign w:val="top"/>
          </w:tcPr>
          <w:p w14:paraId="343D2D94">
            <w:pPr>
              <w:rPr>
                <w:rFonts w:ascii="Arial"/>
                <w:sz w:val="21"/>
              </w:rPr>
            </w:pPr>
          </w:p>
        </w:tc>
      </w:tr>
    </w:tbl>
    <w:p w14:paraId="590C62D6">
      <w:pPr>
        <w:pStyle w:val="2"/>
      </w:pPr>
    </w:p>
    <w:p w14:paraId="78481551">
      <w:pPr>
        <w:sectPr>
          <w:footerReference r:id="rId71" w:type="default"/>
          <w:pgSz w:w="11906" w:h="16839"/>
          <w:pgMar w:top="400" w:right="1413" w:bottom="1329" w:left="1413" w:header="0" w:footer="1113" w:gutter="0"/>
          <w:cols w:space="720" w:num="1"/>
        </w:sectPr>
      </w:pPr>
    </w:p>
    <w:p w14:paraId="1666AED7">
      <w:pPr>
        <w:spacing w:before="19"/>
      </w:pPr>
    </w:p>
    <w:p w14:paraId="5950CBFD">
      <w:pPr>
        <w:spacing w:before="19"/>
      </w:pPr>
    </w:p>
    <w:p w14:paraId="178636B7">
      <w:pPr>
        <w:spacing w:before="19"/>
      </w:pPr>
    </w:p>
    <w:p w14:paraId="64AACC57">
      <w:pPr>
        <w:spacing w:before="18"/>
      </w:pPr>
    </w:p>
    <w:p w14:paraId="4A355A23">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896"/>
        <w:gridCol w:w="853"/>
        <w:gridCol w:w="332"/>
        <w:gridCol w:w="520"/>
        <w:gridCol w:w="758"/>
        <w:gridCol w:w="1224"/>
        <w:gridCol w:w="457"/>
        <w:gridCol w:w="446"/>
        <w:gridCol w:w="1233"/>
        <w:gridCol w:w="130"/>
        <w:gridCol w:w="1554"/>
        <w:gridCol w:w="120"/>
      </w:tblGrid>
      <w:tr w14:paraId="793EF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428" w:type="dxa"/>
            <w:vMerge w:val="restart"/>
            <w:tcBorders>
              <w:top w:val="single" w:color="000000" w:sz="6" w:space="0"/>
              <w:left w:val="single" w:color="000000" w:sz="6" w:space="0"/>
              <w:bottom w:val="nil"/>
            </w:tcBorders>
            <w:vAlign w:val="top"/>
          </w:tcPr>
          <w:p w14:paraId="1C5B1F82">
            <w:pPr>
              <w:rPr>
                <w:rFonts w:ascii="Arial"/>
                <w:sz w:val="21"/>
              </w:rPr>
            </w:pPr>
          </w:p>
        </w:tc>
        <w:tc>
          <w:tcPr>
            <w:tcW w:w="113" w:type="dxa"/>
            <w:tcBorders>
              <w:top w:val="single" w:color="000000" w:sz="6" w:space="0"/>
              <w:bottom w:val="nil"/>
            </w:tcBorders>
            <w:vAlign w:val="top"/>
          </w:tcPr>
          <w:p w14:paraId="05A54C03">
            <w:pPr>
              <w:rPr>
                <w:rFonts w:ascii="Arial"/>
                <w:sz w:val="21"/>
              </w:rPr>
            </w:pPr>
          </w:p>
        </w:tc>
        <w:tc>
          <w:tcPr>
            <w:tcW w:w="2081" w:type="dxa"/>
            <w:gridSpan w:val="3"/>
            <w:tcBorders>
              <w:top w:val="single" w:color="000000" w:sz="6" w:space="0"/>
            </w:tcBorders>
            <w:vAlign w:val="top"/>
          </w:tcPr>
          <w:p w14:paraId="242D8C22">
            <w:pPr>
              <w:spacing w:before="37" w:line="228" w:lineRule="auto"/>
              <w:ind w:left="201"/>
              <w:rPr>
                <w:rFonts w:ascii="宋体" w:hAnsi="宋体" w:eastAsia="宋体" w:cs="宋体"/>
                <w:sz w:val="20"/>
                <w:szCs w:val="20"/>
              </w:rPr>
            </w:pPr>
            <w:r>
              <w:rPr>
                <w:rFonts w:ascii="宋体" w:hAnsi="宋体" w:eastAsia="宋体" w:cs="宋体"/>
                <w:spacing w:val="7"/>
                <w:sz w:val="20"/>
                <w:szCs w:val="20"/>
              </w:rPr>
              <w:t>臭和味（无量纲）</w:t>
            </w:r>
          </w:p>
        </w:tc>
        <w:tc>
          <w:tcPr>
            <w:tcW w:w="1278" w:type="dxa"/>
            <w:gridSpan w:val="2"/>
            <w:tcBorders>
              <w:top w:val="single" w:color="000000" w:sz="6" w:space="0"/>
            </w:tcBorders>
            <w:vAlign w:val="top"/>
          </w:tcPr>
          <w:p w14:paraId="5404C987">
            <w:pPr>
              <w:spacing w:before="78" w:line="195" w:lineRule="auto"/>
              <w:ind w:left="269"/>
              <w:rPr>
                <w:rFonts w:ascii="Times New Roman" w:hAnsi="Times New Roman" w:eastAsia="Times New Roman" w:cs="Times New Roman"/>
                <w:sz w:val="20"/>
                <w:szCs w:val="20"/>
              </w:rPr>
            </w:pPr>
            <w:r>
              <w:rPr>
                <w:rFonts w:ascii="Times New Roman" w:hAnsi="Times New Roman" w:eastAsia="Times New Roman" w:cs="Times New Roman"/>
                <w:sz w:val="20"/>
                <w:szCs w:val="20"/>
              </w:rPr>
              <w:t>2025.</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z w:val="20"/>
                <w:szCs w:val="20"/>
              </w:rPr>
              <w:t>1.6</w:t>
            </w:r>
          </w:p>
        </w:tc>
        <w:tc>
          <w:tcPr>
            <w:tcW w:w="1681" w:type="dxa"/>
            <w:gridSpan w:val="2"/>
            <w:tcBorders>
              <w:top w:val="single" w:color="000000" w:sz="6" w:space="0"/>
            </w:tcBorders>
            <w:vAlign w:val="top"/>
          </w:tcPr>
          <w:p w14:paraId="71E0113F">
            <w:pPr>
              <w:spacing w:before="37" w:line="228" w:lineRule="auto"/>
              <w:ind w:left="741"/>
              <w:rPr>
                <w:rFonts w:ascii="宋体" w:hAnsi="宋体" w:eastAsia="宋体" w:cs="宋体"/>
                <w:sz w:val="20"/>
                <w:szCs w:val="20"/>
              </w:rPr>
            </w:pPr>
            <w:r>
              <w:rPr>
                <w:rFonts w:ascii="宋体" w:hAnsi="宋体" w:eastAsia="宋体" w:cs="宋体"/>
                <w:sz w:val="20"/>
                <w:szCs w:val="20"/>
              </w:rPr>
              <w:t>无</w:t>
            </w:r>
          </w:p>
        </w:tc>
        <w:tc>
          <w:tcPr>
            <w:tcW w:w="1679" w:type="dxa"/>
            <w:gridSpan w:val="2"/>
            <w:tcBorders>
              <w:top w:val="single" w:color="000000" w:sz="6" w:space="0"/>
            </w:tcBorders>
            <w:vAlign w:val="top"/>
          </w:tcPr>
          <w:p w14:paraId="51CB7154">
            <w:pPr>
              <w:spacing w:before="37" w:line="228" w:lineRule="auto"/>
              <w:ind w:left="428"/>
              <w:rPr>
                <w:rFonts w:ascii="宋体" w:hAnsi="宋体" w:eastAsia="宋体" w:cs="宋体"/>
                <w:sz w:val="20"/>
                <w:szCs w:val="20"/>
              </w:rPr>
            </w:pPr>
            <w:r>
              <w:rPr>
                <w:rFonts w:ascii="宋体" w:hAnsi="宋体" w:eastAsia="宋体" w:cs="宋体"/>
                <w:spacing w:val="6"/>
                <w:sz w:val="20"/>
                <w:szCs w:val="20"/>
              </w:rPr>
              <w:t>无不快感</w:t>
            </w:r>
          </w:p>
        </w:tc>
        <w:tc>
          <w:tcPr>
            <w:tcW w:w="1684" w:type="dxa"/>
            <w:gridSpan w:val="2"/>
            <w:tcBorders>
              <w:top w:val="single" w:color="000000" w:sz="6" w:space="0"/>
            </w:tcBorders>
            <w:vAlign w:val="top"/>
          </w:tcPr>
          <w:p w14:paraId="08A5304B">
            <w:pPr>
              <w:spacing w:before="37" w:line="228" w:lineRule="auto"/>
              <w:ind w:left="640"/>
              <w:rPr>
                <w:rFonts w:ascii="宋体" w:hAnsi="宋体" w:eastAsia="宋体" w:cs="宋体"/>
                <w:sz w:val="20"/>
                <w:szCs w:val="20"/>
              </w:rPr>
            </w:pPr>
            <w:r>
              <w:rPr>
                <w:rFonts w:ascii="宋体" w:hAnsi="宋体" w:eastAsia="宋体" w:cs="宋体"/>
                <w:spacing w:val="5"/>
                <w:sz w:val="20"/>
                <w:szCs w:val="20"/>
              </w:rPr>
              <w:t>达标</w:t>
            </w:r>
          </w:p>
        </w:tc>
        <w:tc>
          <w:tcPr>
            <w:tcW w:w="120" w:type="dxa"/>
            <w:tcBorders>
              <w:top w:val="single" w:color="000000" w:sz="6" w:space="0"/>
              <w:bottom w:val="nil"/>
              <w:right w:val="single" w:color="000000" w:sz="6" w:space="0"/>
            </w:tcBorders>
            <w:vAlign w:val="top"/>
          </w:tcPr>
          <w:p w14:paraId="27F88BBD">
            <w:pPr>
              <w:rPr>
                <w:rFonts w:ascii="Arial"/>
                <w:sz w:val="21"/>
              </w:rPr>
            </w:pPr>
          </w:p>
        </w:tc>
      </w:tr>
      <w:tr w14:paraId="0FBA8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vAlign w:val="top"/>
          </w:tcPr>
          <w:p w14:paraId="59959D27">
            <w:pPr>
              <w:rPr>
                <w:rFonts w:ascii="Arial"/>
                <w:sz w:val="21"/>
              </w:rPr>
            </w:pPr>
          </w:p>
        </w:tc>
        <w:tc>
          <w:tcPr>
            <w:tcW w:w="113" w:type="dxa"/>
            <w:tcBorders>
              <w:top w:val="nil"/>
              <w:bottom w:val="nil"/>
            </w:tcBorders>
            <w:vAlign w:val="top"/>
          </w:tcPr>
          <w:p w14:paraId="0D9A4864">
            <w:pPr>
              <w:rPr>
                <w:rFonts w:ascii="Arial"/>
                <w:sz w:val="21"/>
              </w:rPr>
            </w:pPr>
          </w:p>
        </w:tc>
        <w:tc>
          <w:tcPr>
            <w:tcW w:w="2081" w:type="dxa"/>
            <w:gridSpan w:val="3"/>
            <w:vAlign w:val="top"/>
          </w:tcPr>
          <w:p w14:paraId="62FBD759">
            <w:pPr>
              <w:spacing w:before="30" w:line="360" w:lineRule="auto"/>
              <w:ind w:left="611" w:right="416" w:hanging="199"/>
              <w:rPr>
                <w:rFonts w:ascii="宋体" w:hAnsi="宋体" w:eastAsia="宋体" w:cs="宋体"/>
                <w:sz w:val="20"/>
                <w:szCs w:val="20"/>
              </w:rPr>
            </w:pPr>
            <w:r>
              <w:rPr>
                <w:rFonts w:ascii="宋体" w:hAnsi="宋体" w:eastAsia="宋体" w:cs="宋体"/>
                <w:spacing w:val="7"/>
                <w:sz w:val="20"/>
                <w:szCs w:val="20"/>
              </w:rPr>
              <w:t>溶解性总固体</w:t>
            </w:r>
            <w:r>
              <w:rPr>
                <w:rFonts w:ascii="宋体" w:hAnsi="宋体" w:eastAsia="宋体" w:cs="宋体"/>
                <w:spacing w:val="2"/>
                <w:sz w:val="20"/>
                <w:szCs w:val="20"/>
              </w:rPr>
              <w:t>（</w:t>
            </w:r>
            <w:r>
              <w:rPr>
                <w:rFonts w:ascii="Times New Roman" w:hAnsi="Times New Roman" w:eastAsia="Times New Roman" w:cs="Times New Roman"/>
                <w:sz w:val="20"/>
                <w:szCs w:val="20"/>
              </w:rPr>
              <w:t>mg</w:t>
            </w:r>
            <w:r>
              <w:rPr>
                <w:rFonts w:ascii="Times New Roman" w:hAnsi="Times New Roman" w:eastAsia="Times New Roman" w:cs="Times New Roman"/>
                <w:spacing w:val="2"/>
                <w:sz w:val="20"/>
                <w:szCs w:val="20"/>
              </w:rPr>
              <w:t>/L</w:t>
            </w:r>
            <w:r>
              <w:rPr>
                <w:rFonts w:ascii="宋体" w:hAnsi="宋体" w:eastAsia="宋体" w:cs="宋体"/>
                <w:spacing w:val="2"/>
                <w:sz w:val="20"/>
                <w:szCs w:val="20"/>
              </w:rPr>
              <w:t>）</w:t>
            </w:r>
          </w:p>
        </w:tc>
        <w:tc>
          <w:tcPr>
            <w:tcW w:w="1278" w:type="dxa"/>
            <w:gridSpan w:val="2"/>
            <w:vAlign w:val="top"/>
          </w:tcPr>
          <w:p w14:paraId="4E83D7D6">
            <w:pPr>
              <w:spacing w:before="279" w:line="195" w:lineRule="auto"/>
              <w:ind w:left="269"/>
              <w:rPr>
                <w:rFonts w:ascii="Times New Roman" w:hAnsi="Times New Roman" w:eastAsia="Times New Roman" w:cs="Times New Roman"/>
                <w:sz w:val="20"/>
                <w:szCs w:val="20"/>
              </w:rPr>
            </w:pPr>
            <w:r>
              <w:rPr>
                <w:rFonts w:ascii="Times New Roman" w:hAnsi="Times New Roman" w:eastAsia="Times New Roman" w:cs="Times New Roman"/>
                <w:sz w:val="20"/>
                <w:szCs w:val="20"/>
              </w:rPr>
              <w:t>2025.</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z w:val="20"/>
                <w:szCs w:val="20"/>
              </w:rPr>
              <w:t>1.6</w:t>
            </w:r>
          </w:p>
        </w:tc>
        <w:tc>
          <w:tcPr>
            <w:tcW w:w="1681" w:type="dxa"/>
            <w:gridSpan w:val="2"/>
            <w:vAlign w:val="top"/>
          </w:tcPr>
          <w:p w14:paraId="686B9934">
            <w:pPr>
              <w:spacing w:before="51" w:line="195" w:lineRule="auto"/>
              <w:ind w:left="50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811-820</w:t>
            </w:r>
          </w:p>
        </w:tc>
        <w:tc>
          <w:tcPr>
            <w:tcW w:w="1679" w:type="dxa"/>
            <w:gridSpan w:val="2"/>
            <w:vAlign w:val="top"/>
          </w:tcPr>
          <w:p w14:paraId="2C21810F">
            <w:pPr>
              <w:spacing w:before="51" w:line="195" w:lineRule="auto"/>
              <w:ind w:left="65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1000</w:t>
            </w:r>
          </w:p>
        </w:tc>
        <w:tc>
          <w:tcPr>
            <w:tcW w:w="1684" w:type="dxa"/>
            <w:gridSpan w:val="2"/>
            <w:vAlign w:val="top"/>
          </w:tcPr>
          <w:p w14:paraId="6BCEACC6">
            <w:pPr>
              <w:spacing w:before="32" w:line="228" w:lineRule="auto"/>
              <w:ind w:left="640"/>
              <w:rPr>
                <w:rFonts w:ascii="宋体" w:hAnsi="宋体" w:eastAsia="宋体" w:cs="宋体"/>
                <w:sz w:val="20"/>
                <w:szCs w:val="20"/>
              </w:rPr>
            </w:pPr>
            <w:r>
              <w:rPr>
                <w:rFonts w:ascii="宋体" w:hAnsi="宋体" w:eastAsia="宋体" w:cs="宋体"/>
                <w:spacing w:val="5"/>
                <w:sz w:val="20"/>
                <w:szCs w:val="20"/>
              </w:rPr>
              <w:t>达标</w:t>
            </w:r>
          </w:p>
        </w:tc>
        <w:tc>
          <w:tcPr>
            <w:tcW w:w="120" w:type="dxa"/>
            <w:tcBorders>
              <w:top w:val="nil"/>
              <w:bottom w:val="nil"/>
              <w:right w:val="single" w:color="000000" w:sz="6" w:space="0"/>
            </w:tcBorders>
            <w:vAlign w:val="top"/>
          </w:tcPr>
          <w:p w14:paraId="38747312">
            <w:pPr>
              <w:rPr>
                <w:rFonts w:ascii="Arial"/>
                <w:sz w:val="21"/>
              </w:rPr>
            </w:pPr>
          </w:p>
        </w:tc>
      </w:tr>
      <w:tr w14:paraId="456754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vAlign w:val="top"/>
          </w:tcPr>
          <w:p w14:paraId="463EB2ED">
            <w:pPr>
              <w:rPr>
                <w:rFonts w:ascii="Arial"/>
                <w:sz w:val="21"/>
              </w:rPr>
            </w:pPr>
          </w:p>
        </w:tc>
        <w:tc>
          <w:tcPr>
            <w:tcW w:w="113" w:type="dxa"/>
            <w:tcBorders>
              <w:top w:val="nil"/>
              <w:bottom w:val="nil"/>
            </w:tcBorders>
            <w:vAlign w:val="top"/>
          </w:tcPr>
          <w:p w14:paraId="1168815E">
            <w:pPr>
              <w:rPr>
                <w:rFonts w:ascii="Arial"/>
                <w:sz w:val="21"/>
              </w:rPr>
            </w:pPr>
          </w:p>
        </w:tc>
        <w:tc>
          <w:tcPr>
            <w:tcW w:w="2081" w:type="dxa"/>
            <w:gridSpan w:val="3"/>
            <w:vAlign w:val="top"/>
          </w:tcPr>
          <w:p w14:paraId="16F238D3">
            <w:pPr>
              <w:spacing w:before="31" w:line="227" w:lineRule="auto"/>
              <w:ind w:left="307"/>
              <w:rPr>
                <w:rFonts w:ascii="宋体" w:hAnsi="宋体" w:eastAsia="宋体" w:cs="宋体"/>
                <w:sz w:val="20"/>
                <w:szCs w:val="20"/>
              </w:rPr>
            </w:pPr>
            <w:r>
              <w:rPr>
                <w:rFonts w:ascii="宋体" w:hAnsi="宋体" w:eastAsia="宋体" w:cs="宋体"/>
                <w:spacing w:val="8"/>
                <w:sz w:val="20"/>
                <w:szCs w:val="20"/>
              </w:rPr>
              <w:t>五日化学需氧量</w:t>
            </w:r>
          </w:p>
          <w:p w14:paraId="4FDADF3C">
            <w:pPr>
              <w:spacing w:before="162" w:line="221" w:lineRule="auto"/>
              <w:ind w:left="612"/>
              <w:rPr>
                <w:rFonts w:ascii="宋体" w:hAnsi="宋体" w:eastAsia="宋体" w:cs="宋体"/>
                <w:sz w:val="20"/>
                <w:szCs w:val="20"/>
              </w:rPr>
            </w:pPr>
            <w:r>
              <w:rPr>
                <w:rFonts w:ascii="宋体" w:hAnsi="宋体" w:eastAsia="宋体" w:cs="宋体"/>
                <w:spacing w:val="2"/>
                <w:sz w:val="20"/>
                <w:szCs w:val="20"/>
              </w:rPr>
              <w:t>（</w:t>
            </w:r>
            <w:r>
              <w:rPr>
                <w:rFonts w:ascii="Times New Roman" w:hAnsi="Times New Roman" w:eastAsia="Times New Roman" w:cs="Times New Roman"/>
                <w:sz w:val="20"/>
                <w:szCs w:val="20"/>
              </w:rPr>
              <w:t>mg</w:t>
            </w:r>
            <w:r>
              <w:rPr>
                <w:rFonts w:ascii="Times New Roman" w:hAnsi="Times New Roman" w:eastAsia="Times New Roman" w:cs="Times New Roman"/>
                <w:spacing w:val="2"/>
                <w:sz w:val="20"/>
                <w:szCs w:val="20"/>
              </w:rPr>
              <w:t>/L</w:t>
            </w:r>
            <w:r>
              <w:rPr>
                <w:rFonts w:ascii="宋体" w:hAnsi="宋体" w:eastAsia="宋体" w:cs="宋体"/>
                <w:spacing w:val="2"/>
                <w:sz w:val="20"/>
                <w:szCs w:val="20"/>
              </w:rPr>
              <w:t>）</w:t>
            </w:r>
          </w:p>
        </w:tc>
        <w:tc>
          <w:tcPr>
            <w:tcW w:w="1278" w:type="dxa"/>
            <w:gridSpan w:val="2"/>
            <w:vAlign w:val="top"/>
          </w:tcPr>
          <w:p w14:paraId="0D6D1D78">
            <w:pPr>
              <w:spacing w:before="281" w:line="195" w:lineRule="auto"/>
              <w:ind w:left="269"/>
              <w:rPr>
                <w:rFonts w:ascii="Times New Roman" w:hAnsi="Times New Roman" w:eastAsia="Times New Roman" w:cs="Times New Roman"/>
                <w:sz w:val="20"/>
                <w:szCs w:val="20"/>
              </w:rPr>
            </w:pPr>
            <w:r>
              <w:rPr>
                <w:rFonts w:ascii="Times New Roman" w:hAnsi="Times New Roman" w:eastAsia="Times New Roman" w:cs="Times New Roman"/>
                <w:sz w:val="20"/>
                <w:szCs w:val="20"/>
              </w:rPr>
              <w:t>2025.</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z w:val="20"/>
                <w:szCs w:val="20"/>
              </w:rPr>
              <w:t>1.6</w:t>
            </w:r>
          </w:p>
        </w:tc>
        <w:tc>
          <w:tcPr>
            <w:tcW w:w="1681" w:type="dxa"/>
            <w:gridSpan w:val="2"/>
            <w:vAlign w:val="top"/>
          </w:tcPr>
          <w:p w14:paraId="5282ED2A">
            <w:pPr>
              <w:spacing w:before="53" w:line="195" w:lineRule="auto"/>
              <w:ind w:left="5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w:t>
            </w:r>
            <w:r>
              <w:rPr>
                <w:rFonts w:ascii="Times New Roman" w:hAnsi="Times New Roman" w:eastAsia="Times New Roman" w:cs="Times New Roman"/>
                <w:spacing w:val="-27"/>
                <w:sz w:val="20"/>
                <w:szCs w:val="20"/>
              </w:rPr>
              <w:t xml:space="preserve"> </w:t>
            </w:r>
            <w:r>
              <w:rPr>
                <w:rFonts w:ascii="Times New Roman" w:hAnsi="Times New Roman" w:eastAsia="Times New Roman" w:cs="Times New Roman"/>
                <w:spacing w:val="-3"/>
                <w:sz w:val="20"/>
                <w:szCs w:val="20"/>
              </w:rPr>
              <w:t>1.5</w:t>
            </w:r>
          </w:p>
        </w:tc>
        <w:tc>
          <w:tcPr>
            <w:tcW w:w="1679" w:type="dxa"/>
            <w:gridSpan w:val="2"/>
            <w:vAlign w:val="top"/>
          </w:tcPr>
          <w:p w14:paraId="0A406AFB">
            <w:pPr>
              <w:spacing w:before="53" w:line="195" w:lineRule="auto"/>
              <w:ind w:left="76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684" w:type="dxa"/>
            <w:gridSpan w:val="2"/>
            <w:vAlign w:val="top"/>
          </w:tcPr>
          <w:p w14:paraId="54BCED70">
            <w:pPr>
              <w:spacing w:before="32" w:line="228" w:lineRule="auto"/>
              <w:ind w:left="640"/>
              <w:rPr>
                <w:rFonts w:ascii="宋体" w:hAnsi="宋体" w:eastAsia="宋体" w:cs="宋体"/>
                <w:sz w:val="20"/>
                <w:szCs w:val="20"/>
              </w:rPr>
            </w:pPr>
            <w:r>
              <w:rPr>
                <w:rFonts w:ascii="宋体" w:hAnsi="宋体" w:eastAsia="宋体" w:cs="宋体"/>
                <w:spacing w:val="5"/>
                <w:sz w:val="20"/>
                <w:szCs w:val="20"/>
              </w:rPr>
              <w:t>达标</w:t>
            </w:r>
          </w:p>
        </w:tc>
        <w:tc>
          <w:tcPr>
            <w:tcW w:w="120" w:type="dxa"/>
            <w:tcBorders>
              <w:top w:val="nil"/>
              <w:bottom w:val="nil"/>
              <w:right w:val="single" w:color="000000" w:sz="6" w:space="0"/>
            </w:tcBorders>
            <w:vAlign w:val="top"/>
          </w:tcPr>
          <w:p w14:paraId="05456B83">
            <w:pPr>
              <w:rPr>
                <w:rFonts w:ascii="Arial"/>
                <w:sz w:val="21"/>
              </w:rPr>
            </w:pPr>
          </w:p>
        </w:tc>
      </w:tr>
      <w:tr w14:paraId="43D06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vAlign w:val="top"/>
          </w:tcPr>
          <w:p w14:paraId="71610A1F">
            <w:pPr>
              <w:rPr>
                <w:rFonts w:ascii="Arial"/>
                <w:sz w:val="21"/>
              </w:rPr>
            </w:pPr>
          </w:p>
        </w:tc>
        <w:tc>
          <w:tcPr>
            <w:tcW w:w="113" w:type="dxa"/>
            <w:tcBorders>
              <w:top w:val="nil"/>
              <w:bottom w:val="nil"/>
            </w:tcBorders>
            <w:vAlign w:val="top"/>
          </w:tcPr>
          <w:p w14:paraId="68DCA178">
            <w:pPr>
              <w:rPr>
                <w:rFonts w:ascii="Arial"/>
                <w:sz w:val="21"/>
              </w:rPr>
            </w:pPr>
          </w:p>
        </w:tc>
        <w:tc>
          <w:tcPr>
            <w:tcW w:w="2081" w:type="dxa"/>
            <w:gridSpan w:val="3"/>
            <w:vAlign w:val="top"/>
          </w:tcPr>
          <w:p w14:paraId="0BB3E54D">
            <w:pPr>
              <w:spacing w:before="33" w:line="359" w:lineRule="auto"/>
              <w:ind w:left="281" w:right="292" w:firstLine="131"/>
              <w:rPr>
                <w:rFonts w:ascii="宋体" w:hAnsi="宋体" w:eastAsia="宋体" w:cs="宋体"/>
                <w:sz w:val="20"/>
                <w:szCs w:val="20"/>
              </w:rPr>
            </w:pPr>
            <w:r>
              <w:rPr>
                <w:rFonts w:ascii="宋体" w:hAnsi="宋体" w:eastAsia="宋体" w:cs="宋体"/>
                <w:spacing w:val="7"/>
                <w:sz w:val="20"/>
                <w:szCs w:val="20"/>
              </w:rPr>
              <w:t>大肠埃希氏菌</w:t>
            </w:r>
            <w:r>
              <w:rPr>
                <w:rFonts w:ascii="宋体" w:hAnsi="宋体" w:eastAsia="宋体" w:cs="宋体"/>
                <w:spacing w:val="5"/>
                <w:sz w:val="20"/>
                <w:szCs w:val="20"/>
              </w:rPr>
              <w:t>（</w:t>
            </w:r>
            <w:r>
              <w:rPr>
                <w:rFonts w:ascii="Times New Roman" w:hAnsi="Times New Roman" w:eastAsia="Times New Roman" w:cs="Times New Roman"/>
                <w:sz w:val="20"/>
                <w:szCs w:val="20"/>
              </w:rPr>
              <w:t>MPN</w:t>
            </w:r>
            <w:r>
              <w:rPr>
                <w:rFonts w:ascii="Times New Roman" w:hAnsi="Times New Roman" w:eastAsia="Times New Roman" w:cs="Times New Roman"/>
                <w:spacing w:val="5"/>
                <w:sz w:val="20"/>
                <w:szCs w:val="20"/>
              </w:rPr>
              <w:t>/100</w:t>
            </w:r>
            <w:r>
              <w:rPr>
                <w:rFonts w:ascii="Times New Roman" w:hAnsi="Times New Roman" w:eastAsia="Times New Roman" w:cs="Times New Roman"/>
                <w:sz w:val="20"/>
                <w:szCs w:val="20"/>
              </w:rPr>
              <w:t>mL</w:t>
            </w:r>
            <w:r>
              <w:rPr>
                <w:rFonts w:ascii="宋体" w:hAnsi="宋体" w:eastAsia="宋体" w:cs="宋体"/>
                <w:spacing w:val="5"/>
                <w:sz w:val="20"/>
                <w:szCs w:val="20"/>
              </w:rPr>
              <w:t>）</w:t>
            </w:r>
          </w:p>
        </w:tc>
        <w:tc>
          <w:tcPr>
            <w:tcW w:w="1278" w:type="dxa"/>
            <w:gridSpan w:val="2"/>
            <w:vAlign w:val="top"/>
          </w:tcPr>
          <w:p w14:paraId="13EE4FB7">
            <w:pPr>
              <w:spacing w:before="280" w:line="195" w:lineRule="auto"/>
              <w:ind w:left="269"/>
              <w:rPr>
                <w:rFonts w:ascii="Times New Roman" w:hAnsi="Times New Roman" w:eastAsia="Times New Roman" w:cs="Times New Roman"/>
                <w:sz w:val="20"/>
                <w:szCs w:val="20"/>
              </w:rPr>
            </w:pPr>
            <w:r>
              <w:rPr>
                <w:rFonts w:ascii="Times New Roman" w:hAnsi="Times New Roman" w:eastAsia="Times New Roman" w:cs="Times New Roman"/>
                <w:sz w:val="20"/>
                <w:szCs w:val="20"/>
              </w:rPr>
              <w:t>2025.</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z w:val="20"/>
                <w:szCs w:val="20"/>
              </w:rPr>
              <w:t>1.6</w:t>
            </w:r>
          </w:p>
        </w:tc>
        <w:tc>
          <w:tcPr>
            <w:tcW w:w="1681" w:type="dxa"/>
            <w:gridSpan w:val="2"/>
            <w:vAlign w:val="top"/>
          </w:tcPr>
          <w:p w14:paraId="52EEF718">
            <w:pPr>
              <w:spacing w:before="33" w:line="228" w:lineRule="auto"/>
              <w:ind w:left="534"/>
              <w:rPr>
                <w:rFonts w:ascii="宋体" w:hAnsi="宋体" w:eastAsia="宋体" w:cs="宋体"/>
                <w:sz w:val="20"/>
                <w:szCs w:val="20"/>
              </w:rPr>
            </w:pPr>
            <w:r>
              <w:rPr>
                <w:rFonts w:ascii="宋体" w:hAnsi="宋体" w:eastAsia="宋体" w:cs="宋体"/>
                <w:spacing w:val="5"/>
                <w:sz w:val="20"/>
                <w:szCs w:val="20"/>
              </w:rPr>
              <w:t>未检出</w:t>
            </w:r>
          </w:p>
        </w:tc>
        <w:tc>
          <w:tcPr>
            <w:tcW w:w="1679" w:type="dxa"/>
            <w:gridSpan w:val="2"/>
            <w:vAlign w:val="top"/>
          </w:tcPr>
          <w:p w14:paraId="70D75A8F">
            <w:pPr>
              <w:spacing w:before="34" w:line="228" w:lineRule="auto"/>
              <w:ind w:left="745"/>
              <w:rPr>
                <w:rFonts w:ascii="宋体" w:hAnsi="宋体" w:eastAsia="宋体" w:cs="宋体"/>
                <w:sz w:val="20"/>
                <w:szCs w:val="20"/>
              </w:rPr>
            </w:pPr>
            <w:r>
              <w:rPr>
                <w:rFonts w:ascii="宋体" w:hAnsi="宋体" w:eastAsia="宋体" w:cs="宋体"/>
                <w:sz w:val="20"/>
                <w:szCs w:val="20"/>
              </w:rPr>
              <w:t>无</w:t>
            </w:r>
          </w:p>
        </w:tc>
        <w:tc>
          <w:tcPr>
            <w:tcW w:w="1684" w:type="dxa"/>
            <w:gridSpan w:val="2"/>
            <w:vAlign w:val="top"/>
          </w:tcPr>
          <w:p w14:paraId="57A3F2AE">
            <w:pPr>
              <w:spacing w:before="34" w:line="228" w:lineRule="auto"/>
              <w:ind w:left="640"/>
              <w:rPr>
                <w:rFonts w:ascii="宋体" w:hAnsi="宋体" w:eastAsia="宋体" w:cs="宋体"/>
                <w:sz w:val="20"/>
                <w:szCs w:val="20"/>
              </w:rPr>
            </w:pPr>
            <w:r>
              <w:rPr>
                <w:rFonts w:ascii="宋体" w:hAnsi="宋体" w:eastAsia="宋体" w:cs="宋体"/>
                <w:spacing w:val="5"/>
                <w:sz w:val="20"/>
                <w:szCs w:val="20"/>
              </w:rPr>
              <w:t>达标</w:t>
            </w:r>
          </w:p>
        </w:tc>
        <w:tc>
          <w:tcPr>
            <w:tcW w:w="120" w:type="dxa"/>
            <w:tcBorders>
              <w:top w:val="nil"/>
              <w:bottom w:val="nil"/>
              <w:right w:val="single" w:color="000000" w:sz="6" w:space="0"/>
            </w:tcBorders>
            <w:vAlign w:val="top"/>
          </w:tcPr>
          <w:p w14:paraId="666AD06C">
            <w:pPr>
              <w:rPr>
                <w:rFonts w:ascii="Arial"/>
                <w:sz w:val="21"/>
              </w:rPr>
            </w:pPr>
          </w:p>
        </w:tc>
      </w:tr>
      <w:tr w14:paraId="3440E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vAlign w:val="top"/>
          </w:tcPr>
          <w:p w14:paraId="0F0D5D29">
            <w:pPr>
              <w:rPr>
                <w:rFonts w:ascii="Arial"/>
                <w:sz w:val="21"/>
              </w:rPr>
            </w:pPr>
          </w:p>
        </w:tc>
        <w:tc>
          <w:tcPr>
            <w:tcW w:w="113" w:type="dxa"/>
            <w:tcBorders>
              <w:top w:val="nil"/>
              <w:bottom w:val="nil"/>
            </w:tcBorders>
            <w:vAlign w:val="top"/>
          </w:tcPr>
          <w:p w14:paraId="088C29EB">
            <w:pPr>
              <w:rPr>
                <w:rFonts w:ascii="Arial"/>
                <w:sz w:val="21"/>
              </w:rPr>
            </w:pPr>
          </w:p>
        </w:tc>
        <w:tc>
          <w:tcPr>
            <w:tcW w:w="2081" w:type="dxa"/>
            <w:gridSpan w:val="3"/>
            <w:vAlign w:val="top"/>
          </w:tcPr>
          <w:p w14:paraId="2D8C9C64">
            <w:pPr>
              <w:spacing w:before="33" w:line="227" w:lineRule="auto"/>
              <w:ind w:left="217"/>
              <w:rPr>
                <w:rFonts w:ascii="宋体" w:hAnsi="宋体" w:eastAsia="宋体" w:cs="宋体"/>
                <w:sz w:val="20"/>
                <w:szCs w:val="20"/>
              </w:rPr>
            </w:pPr>
            <w:r>
              <w:rPr>
                <w:rFonts w:ascii="宋体" w:hAnsi="宋体" w:eastAsia="宋体" w:cs="宋体"/>
                <w:spacing w:val="6"/>
                <w:sz w:val="20"/>
                <w:szCs w:val="20"/>
              </w:rPr>
              <w:t>阴离子表面活性剂</w:t>
            </w:r>
          </w:p>
          <w:p w14:paraId="41FB126B">
            <w:pPr>
              <w:spacing w:before="162" w:line="221" w:lineRule="auto"/>
              <w:ind w:left="612"/>
              <w:rPr>
                <w:rFonts w:ascii="宋体" w:hAnsi="宋体" w:eastAsia="宋体" w:cs="宋体"/>
                <w:sz w:val="20"/>
                <w:szCs w:val="20"/>
              </w:rPr>
            </w:pPr>
            <w:r>
              <w:rPr>
                <w:rFonts w:ascii="宋体" w:hAnsi="宋体" w:eastAsia="宋体" w:cs="宋体"/>
                <w:spacing w:val="2"/>
                <w:sz w:val="20"/>
                <w:szCs w:val="20"/>
              </w:rPr>
              <w:t>（</w:t>
            </w:r>
            <w:r>
              <w:rPr>
                <w:rFonts w:ascii="Times New Roman" w:hAnsi="Times New Roman" w:eastAsia="Times New Roman" w:cs="Times New Roman"/>
                <w:sz w:val="20"/>
                <w:szCs w:val="20"/>
              </w:rPr>
              <w:t>mg</w:t>
            </w:r>
            <w:r>
              <w:rPr>
                <w:rFonts w:ascii="Times New Roman" w:hAnsi="Times New Roman" w:eastAsia="Times New Roman" w:cs="Times New Roman"/>
                <w:spacing w:val="2"/>
                <w:sz w:val="20"/>
                <w:szCs w:val="20"/>
              </w:rPr>
              <w:t>/L</w:t>
            </w:r>
            <w:r>
              <w:rPr>
                <w:rFonts w:ascii="宋体" w:hAnsi="宋体" w:eastAsia="宋体" w:cs="宋体"/>
                <w:spacing w:val="2"/>
                <w:sz w:val="20"/>
                <w:szCs w:val="20"/>
              </w:rPr>
              <w:t>）</w:t>
            </w:r>
          </w:p>
        </w:tc>
        <w:tc>
          <w:tcPr>
            <w:tcW w:w="1278" w:type="dxa"/>
            <w:gridSpan w:val="2"/>
            <w:vAlign w:val="top"/>
          </w:tcPr>
          <w:p w14:paraId="248D8849">
            <w:pPr>
              <w:spacing w:before="282" w:line="195" w:lineRule="auto"/>
              <w:ind w:left="269"/>
              <w:rPr>
                <w:rFonts w:ascii="Times New Roman" w:hAnsi="Times New Roman" w:eastAsia="Times New Roman" w:cs="Times New Roman"/>
                <w:sz w:val="20"/>
                <w:szCs w:val="20"/>
              </w:rPr>
            </w:pPr>
            <w:r>
              <w:rPr>
                <w:rFonts w:ascii="Times New Roman" w:hAnsi="Times New Roman" w:eastAsia="Times New Roman" w:cs="Times New Roman"/>
                <w:sz w:val="20"/>
                <w:szCs w:val="20"/>
              </w:rPr>
              <w:t>2025.</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z w:val="20"/>
                <w:szCs w:val="20"/>
              </w:rPr>
              <w:t>1.6</w:t>
            </w:r>
          </w:p>
        </w:tc>
        <w:tc>
          <w:tcPr>
            <w:tcW w:w="1681" w:type="dxa"/>
            <w:gridSpan w:val="2"/>
            <w:vAlign w:val="top"/>
          </w:tcPr>
          <w:p w14:paraId="5DA8D178">
            <w:pPr>
              <w:spacing w:before="54" w:line="195" w:lineRule="auto"/>
              <w:ind w:left="38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0.056-0.06</w:t>
            </w:r>
          </w:p>
        </w:tc>
        <w:tc>
          <w:tcPr>
            <w:tcW w:w="1679" w:type="dxa"/>
            <w:gridSpan w:val="2"/>
            <w:vAlign w:val="top"/>
          </w:tcPr>
          <w:p w14:paraId="1BE6F4F7">
            <w:pPr>
              <w:spacing w:before="54" w:line="195" w:lineRule="auto"/>
              <w:ind w:left="71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1684" w:type="dxa"/>
            <w:gridSpan w:val="2"/>
            <w:vAlign w:val="top"/>
          </w:tcPr>
          <w:p w14:paraId="1E94AECD">
            <w:pPr>
              <w:spacing w:before="33" w:line="228" w:lineRule="auto"/>
              <w:ind w:left="640"/>
              <w:rPr>
                <w:rFonts w:ascii="宋体" w:hAnsi="宋体" w:eastAsia="宋体" w:cs="宋体"/>
                <w:sz w:val="20"/>
                <w:szCs w:val="20"/>
              </w:rPr>
            </w:pPr>
            <w:r>
              <w:rPr>
                <w:rFonts w:ascii="宋体" w:hAnsi="宋体" w:eastAsia="宋体" w:cs="宋体"/>
                <w:spacing w:val="5"/>
                <w:sz w:val="20"/>
                <w:szCs w:val="20"/>
              </w:rPr>
              <w:t>达标</w:t>
            </w:r>
          </w:p>
        </w:tc>
        <w:tc>
          <w:tcPr>
            <w:tcW w:w="120" w:type="dxa"/>
            <w:tcBorders>
              <w:top w:val="nil"/>
              <w:bottom w:val="nil"/>
              <w:right w:val="single" w:color="000000" w:sz="6" w:space="0"/>
            </w:tcBorders>
            <w:vAlign w:val="top"/>
          </w:tcPr>
          <w:p w14:paraId="57D35A62">
            <w:pPr>
              <w:rPr>
                <w:rFonts w:ascii="Arial"/>
                <w:sz w:val="21"/>
              </w:rPr>
            </w:pPr>
          </w:p>
        </w:tc>
      </w:tr>
      <w:tr w14:paraId="09BDB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09840A98">
            <w:pPr>
              <w:rPr>
                <w:rFonts w:ascii="Arial"/>
                <w:sz w:val="21"/>
              </w:rPr>
            </w:pPr>
          </w:p>
        </w:tc>
        <w:tc>
          <w:tcPr>
            <w:tcW w:w="113" w:type="dxa"/>
            <w:tcBorders>
              <w:top w:val="nil"/>
              <w:bottom w:val="nil"/>
            </w:tcBorders>
            <w:vAlign w:val="top"/>
          </w:tcPr>
          <w:p w14:paraId="7E504AB6">
            <w:pPr>
              <w:rPr>
                <w:rFonts w:ascii="Arial"/>
                <w:sz w:val="21"/>
              </w:rPr>
            </w:pPr>
          </w:p>
        </w:tc>
        <w:tc>
          <w:tcPr>
            <w:tcW w:w="2081" w:type="dxa"/>
            <w:gridSpan w:val="3"/>
            <w:vAlign w:val="top"/>
          </w:tcPr>
          <w:p w14:paraId="59E197DB">
            <w:pPr>
              <w:spacing w:before="35" w:line="221" w:lineRule="auto"/>
              <w:ind w:left="393"/>
              <w:rPr>
                <w:rFonts w:ascii="宋体" w:hAnsi="宋体" w:eastAsia="宋体" w:cs="宋体"/>
                <w:sz w:val="20"/>
                <w:szCs w:val="20"/>
              </w:rPr>
            </w:pPr>
            <w:r>
              <w:rPr>
                <w:rFonts w:ascii="宋体" w:hAnsi="宋体" w:eastAsia="宋体" w:cs="宋体"/>
                <w:spacing w:val="6"/>
                <w:sz w:val="20"/>
                <w:szCs w:val="20"/>
              </w:rPr>
              <w:t>氨氮（</w:t>
            </w:r>
            <w:r>
              <w:rPr>
                <w:rFonts w:ascii="Times New Roman" w:hAnsi="Times New Roman" w:eastAsia="Times New Roman" w:cs="Times New Roman"/>
                <w:sz w:val="20"/>
                <w:szCs w:val="20"/>
              </w:rPr>
              <w:t>mg</w:t>
            </w:r>
            <w:r>
              <w:rPr>
                <w:rFonts w:ascii="Times New Roman" w:hAnsi="Times New Roman" w:eastAsia="Times New Roman" w:cs="Times New Roman"/>
                <w:spacing w:val="6"/>
                <w:sz w:val="20"/>
                <w:szCs w:val="20"/>
              </w:rPr>
              <w:t>/L</w:t>
            </w:r>
            <w:r>
              <w:rPr>
                <w:rFonts w:ascii="宋体" w:hAnsi="宋体" w:eastAsia="宋体" w:cs="宋体"/>
                <w:spacing w:val="6"/>
                <w:sz w:val="20"/>
                <w:szCs w:val="20"/>
              </w:rPr>
              <w:t>）</w:t>
            </w:r>
          </w:p>
        </w:tc>
        <w:tc>
          <w:tcPr>
            <w:tcW w:w="1278" w:type="dxa"/>
            <w:gridSpan w:val="2"/>
            <w:vAlign w:val="top"/>
          </w:tcPr>
          <w:p w14:paraId="5CA6E50F">
            <w:pPr>
              <w:spacing w:before="78" w:line="195" w:lineRule="auto"/>
              <w:ind w:left="269"/>
              <w:rPr>
                <w:rFonts w:ascii="Times New Roman" w:hAnsi="Times New Roman" w:eastAsia="Times New Roman" w:cs="Times New Roman"/>
                <w:sz w:val="20"/>
                <w:szCs w:val="20"/>
              </w:rPr>
            </w:pPr>
            <w:r>
              <w:rPr>
                <w:rFonts w:ascii="Times New Roman" w:hAnsi="Times New Roman" w:eastAsia="Times New Roman" w:cs="Times New Roman"/>
                <w:sz w:val="20"/>
                <w:szCs w:val="20"/>
              </w:rPr>
              <w:t>2025.</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z w:val="20"/>
                <w:szCs w:val="20"/>
              </w:rPr>
              <w:t>1.6</w:t>
            </w:r>
          </w:p>
        </w:tc>
        <w:tc>
          <w:tcPr>
            <w:tcW w:w="1681" w:type="dxa"/>
            <w:gridSpan w:val="2"/>
            <w:vAlign w:val="top"/>
          </w:tcPr>
          <w:p w14:paraId="124B03DB">
            <w:pPr>
              <w:spacing w:before="56" w:line="195" w:lineRule="auto"/>
              <w:ind w:left="45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1.58-</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1"/>
                <w:sz w:val="20"/>
                <w:szCs w:val="20"/>
              </w:rPr>
              <w:t>1.62</w:t>
            </w:r>
          </w:p>
        </w:tc>
        <w:tc>
          <w:tcPr>
            <w:tcW w:w="1679" w:type="dxa"/>
            <w:gridSpan w:val="2"/>
            <w:vAlign w:val="top"/>
          </w:tcPr>
          <w:p w14:paraId="531732BD">
            <w:pPr>
              <w:spacing w:before="56" w:line="195" w:lineRule="auto"/>
              <w:ind w:left="798"/>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684" w:type="dxa"/>
            <w:gridSpan w:val="2"/>
            <w:vAlign w:val="top"/>
          </w:tcPr>
          <w:p w14:paraId="36897350">
            <w:pPr>
              <w:spacing w:before="35" w:line="228" w:lineRule="auto"/>
              <w:ind w:left="640"/>
              <w:rPr>
                <w:rFonts w:ascii="宋体" w:hAnsi="宋体" w:eastAsia="宋体" w:cs="宋体"/>
                <w:sz w:val="20"/>
                <w:szCs w:val="20"/>
              </w:rPr>
            </w:pPr>
            <w:r>
              <w:rPr>
                <w:rFonts w:ascii="宋体" w:hAnsi="宋体" w:eastAsia="宋体" w:cs="宋体"/>
                <w:spacing w:val="5"/>
                <w:sz w:val="20"/>
                <w:szCs w:val="20"/>
              </w:rPr>
              <w:t>达标</w:t>
            </w:r>
          </w:p>
        </w:tc>
        <w:tc>
          <w:tcPr>
            <w:tcW w:w="120" w:type="dxa"/>
            <w:tcBorders>
              <w:top w:val="nil"/>
              <w:bottom w:val="nil"/>
              <w:right w:val="single" w:color="000000" w:sz="6" w:space="0"/>
            </w:tcBorders>
            <w:vAlign w:val="top"/>
          </w:tcPr>
          <w:p w14:paraId="7F69E318">
            <w:pPr>
              <w:rPr>
                <w:rFonts w:ascii="Arial"/>
                <w:sz w:val="21"/>
              </w:rPr>
            </w:pPr>
          </w:p>
        </w:tc>
      </w:tr>
      <w:tr w14:paraId="75703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8" w:hRule="atLeast"/>
        </w:trPr>
        <w:tc>
          <w:tcPr>
            <w:tcW w:w="428" w:type="dxa"/>
            <w:vMerge w:val="continue"/>
            <w:tcBorders>
              <w:top w:val="nil"/>
              <w:left w:val="single" w:color="000000" w:sz="6" w:space="0"/>
              <w:bottom w:val="nil"/>
            </w:tcBorders>
            <w:vAlign w:val="top"/>
          </w:tcPr>
          <w:p w14:paraId="408FDEBC">
            <w:pPr>
              <w:rPr>
                <w:rFonts w:ascii="Arial"/>
                <w:sz w:val="21"/>
              </w:rPr>
            </w:pPr>
          </w:p>
        </w:tc>
        <w:tc>
          <w:tcPr>
            <w:tcW w:w="8636" w:type="dxa"/>
            <w:gridSpan w:val="13"/>
            <w:tcBorders>
              <w:right w:val="single" w:color="000000" w:sz="6" w:space="0"/>
            </w:tcBorders>
            <w:vAlign w:val="top"/>
          </w:tcPr>
          <w:p w14:paraId="585EE1D1">
            <w:pPr>
              <w:spacing w:before="42" w:line="358" w:lineRule="auto"/>
              <w:ind w:left="109" w:right="104" w:firstLine="477"/>
              <w:rPr>
                <w:rFonts w:ascii="宋体" w:hAnsi="宋体" w:eastAsia="宋体" w:cs="宋体"/>
                <w:sz w:val="24"/>
                <w:szCs w:val="24"/>
              </w:rPr>
            </w:pPr>
            <w:r>
              <w:rPr>
                <w:rFonts w:ascii="宋体" w:hAnsi="宋体" w:eastAsia="宋体" w:cs="宋体"/>
                <w:sz w:val="24"/>
                <w:szCs w:val="24"/>
              </w:rPr>
              <w:t>根据监测结果，监测期间各指标浓度均达到《城市污水再生利用城市杂用水水质》（</w:t>
            </w:r>
            <w:r>
              <w:rPr>
                <w:rFonts w:ascii="Times New Roman" w:hAnsi="Times New Roman" w:eastAsia="Times New Roman" w:cs="Times New Roman"/>
                <w:sz w:val="24"/>
                <w:szCs w:val="24"/>
              </w:rPr>
              <w:t>GB-T18920-2020</w:t>
            </w:r>
            <w:r>
              <w:rPr>
                <w:rFonts w:ascii="宋体" w:hAnsi="宋体" w:eastAsia="宋体" w:cs="宋体"/>
                <w:sz w:val="24"/>
                <w:szCs w:val="24"/>
              </w:rPr>
              <w:t>）城市绿化、道路清扫</w:t>
            </w:r>
            <w:r>
              <w:rPr>
                <w:rFonts w:ascii="宋体" w:hAnsi="宋体" w:eastAsia="宋体" w:cs="宋体"/>
                <w:spacing w:val="-1"/>
                <w:sz w:val="24"/>
                <w:szCs w:val="24"/>
              </w:rPr>
              <w:t>、标准。项目废水达标回用。</w:t>
            </w:r>
          </w:p>
          <w:p w14:paraId="6B32A1ED">
            <w:pPr>
              <w:spacing w:line="220" w:lineRule="auto"/>
              <w:ind w:left="598"/>
              <w:rPr>
                <w:rFonts w:ascii="宋体" w:hAnsi="宋体" w:eastAsia="宋体" w:cs="宋体"/>
                <w:sz w:val="24"/>
                <w:szCs w:val="24"/>
              </w:rPr>
            </w:pPr>
            <w:r>
              <w:rPr>
                <w:rFonts w:ascii="宋体" w:hAnsi="宋体" w:eastAsia="宋体" w:cs="宋体"/>
                <w:b/>
                <w:bCs/>
                <w:spacing w:val="-6"/>
                <w:sz w:val="24"/>
                <w:szCs w:val="24"/>
              </w:rPr>
              <w:t>（</w:t>
            </w:r>
            <w:r>
              <w:rPr>
                <w:rFonts w:ascii="Times New Roman" w:hAnsi="Times New Roman" w:eastAsia="Times New Roman" w:cs="Times New Roman"/>
                <w:b/>
                <w:bCs/>
                <w:spacing w:val="-6"/>
                <w:sz w:val="24"/>
                <w:szCs w:val="24"/>
              </w:rPr>
              <w:t>3</w:t>
            </w:r>
            <w:r>
              <w:rPr>
                <w:rFonts w:ascii="宋体" w:hAnsi="宋体" w:eastAsia="宋体" w:cs="宋体"/>
                <w:b/>
                <w:bCs/>
                <w:spacing w:val="-6"/>
                <w:sz w:val="24"/>
                <w:szCs w:val="24"/>
              </w:rPr>
              <w:t>）噪声</w:t>
            </w:r>
          </w:p>
          <w:p w14:paraId="7CEC8608">
            <w:pPr>
              <w:spacing w:before="179" w:line="359" w:lineRule="auto"/>
              <w:ind w:left="105" w:right="102" w:firstLine="482"/>
              <w:rPr>
                <w:rFonts w:ascii="宋体" w:hAnsi="宋体" w:eastAsia="宋体" w:cs="宋体"/>
                <w:sz w:val="24"/>
                <w:szCs w:val="24"/>
              </w:rPr>
            </w:pPr>
            <w:r>
              <w:rPr>
                <w:rFonts w:ascii="宋体" w:hAnsi="宋体" w:eastAsia="宋体" w:cs="宋体"/>
                <w:spacing w:val="1"/>
                <w:sz w:val="24"/>
                <w:szCs w:val="24"/>
              </w:rPr>
              <w:t>现有项目噪声主要为砂光机、锯边机、磨光机等源强可达</w:t>
            </w:r>
            <w:r>
              <w:rPr>
                <w:rFonts w:ascii="Times New Roman" w:hAnsi="Times New Roman" w:eastAsia="Times New Roman" w:cs="Times New Roman"/>
                <w:spacing w:val="1"/>
                <w:sz w:val="24"/>
                <w:szCs w:val="24"/>
              </w:rPr>
              <w:t>70</w:t>
            </w:r>
            <w:r>
              <w:rPr>
                <w:rFonts w:ascii="宋体" w:hAnsi="宋体" w:eastAsia="宋体" w:cs="宋体"/>
                <w:spacing w:val="1"/>
                <w:sz w:val="24"/>
                <w:szCs w:val="24"/>
              </w:rPr>
              <w:t>～</w:t>
            </w:r>
            <w:r>
              <w:rPr>
                <w:rFonts w:ascii="Times New Roman" w:hAnsi="Times New Roman" w:eastAsia="Times New Roman" w:cs="Times New Roman"/>
                <w:spacing w:val="1"/>
                <w:sz w:val="24"/>
                <w:szCs w:val="24"/>
              </w:rPr>
              <w:t>85</w:t>
            </w:r>
            <w:r>
              <w:rPr>
                <w:rFonts w:ascii="Times New Roman" w:hAnsi="Times New Roman" w:eastAsia="Times New Roman" w:cs="Times New Roman"/>
                <w:sz w:val="24"/>
                <w:szCs w:val="24"/>
              </w:rPr>
              <w:t>dB</w:t>
            </w:r>
            <w:r>
              <w:rPr>
                <w:rFonts w:ascii="宋体" w:hAnsi="宋体" w:eastAsia="宋体" w:cs="宋体"/>
                <w:spacing w:val="1"/>
                <w:sz w:val="24"/>
                <w:szCs w:val="24"/>
              </w:rPr>
              <w:t>（</w:t>
            </w:r>
            <w:r>
              <w:rPr>
                <w:rFonts w:ascii="Times New Roman" w:hAnsi="Times New Roman" w:eastAsia="Times New Roman" w:cs="Times New Roman"/>
                <w:spacing w:val="1"/>
                <w:sz w:val="24"/>
                <w:szCs w:val="24"/>
              </w:rPr>
              <w:t>A</w:t>
            </w:r>
            <w:r>
              <w:rPr>
                <w:rFonts w:ascii="宋体" w:hAnsi="宋体" w:eastAsia="宋体" w:cs="宋体"/>
                <w:spacing w:val="1"/>
                <w:sz w:val="24"/>
                <w:szCs w:val="24"/>
              </w:rPr>
              <w:t>）。</w:t>
            </w:r>
            <w:r>
              <w:rPr>
                <w:rFonts w:ascii="宋体" w:hAnsi="宋体" w:eastAsia="宋体" w:cs="宋体"/>
                <w:sz w:val="24"/>
                <w:szCs w:val="24"/>
              </w:rPr>
              <w:t>项目选用低噪设备，设备均进行基础减振，噪声经围墙阻隔后能够达到《工业企</w:t>
            </w:r>
            <w:r>
              <w:rPr>
                <w:rFonts w:ascii="宋体" w:hAnsi="宋体" w:eastAsia="宋体" w:cs="宋体"/>
                <w:spacing w:val="3"/>
                <w:sz w:val="24"/>
                <w:szCs w:val="24"/>
              </w:rPr>
              <w:t>业厂界环境噪声排放标准》（</w:t>
            </w:r>
            <w:r>
              <w:rPr>
                <w:rFonts w:ascii="Times New Roman" w:hAnsi="Times New Roman" w:eastAsia="Times New Roman" w:cs="Times New Roman"/>
                <w:sz w:val="24"/>
                <w:szCs w:val="24"/>
              </w:rPr>
              <w:t>GB</w:t>
            </w:r>
            <w:r>
              <w:rPr>
                <w:rFonts w:ascii="Times New Roman" w:hAnsi="Times New Roman" w:eastAsia="Times New Roman" w:cs="Times New Roman"/>
                <w:spacing w:val="3"/>
                <w:sz w:val="24"/>
                <w:szCs w:val="24"/>
              </w:rPr>
              <w:t>12348—2008</w:t>
            </w:r>
            <w:r>
              <w:rPr>
                <w:rFonts w:ascii="宋体" w:hAnsi="宋体" w:eastAsia="宋体" w:cs="宋体"/>
                <w:spacing w:val="3"/>
                <w:sz w:val="24"/>
                <w:szCs w:val="24"/>
              </w:rPr>
              <w:t>）</w:t>
            </w:r>
            <w:r>
              <w:rPr>
                <w:rFonts w:ascii="Times New Roman" w:hAnsi="Times New Roman" w:eastAsia="Times New Roman" w:cs="Times New Roman"/>
                <w:spacing w:val="3"/>
                <w:sz w:val="24"/>
                <w:szCs w:val="24"/>
              </w:rPr>
              <w:t>3</w:t>
            </w:r>
            <w:r>
              <w:rPr>
                <w:rFonts w:ascii="Times New Roman" w:hAnsi="Times New Roman" w:eastAsia="Times New Roman" w:cs="Times New Roman"/>
                <w:spacing w:val="2"/>
                <w:sz w:val="24"/>
                <w:szCs w:val="24"/>
              </w:rPr>
              <w:t xml:space="preserve"> </w:t>
            </w:r>
            <w:r>
              <w:rPr>
                <w:rFonts w:ascii="宋体" w:hAnsi="宋体" w:eastAsia="宋体" w:cs="宋体"/>
                <w:spacing w:val="2"/>
                <w:sz w:val="24"/>
                <w:szCs w:val="24"/>
              </w:rPr>
              <w:t>类区。根据《昆明欧铂瑞木制</w:t>
            </w:r>
            <w:r>
              <w:rPr>
                <w:rFonts w:ascii="宋体" w:hAnsi="宋体" w:eastAsia="宋体" w:cs="宋体"/>
                <w:sz w:val="24"/>
                <w:szCs w:val="24"/>
              </w:rPr>
              <w:t>品有限公司年产</w:t>
            </w:r>
            <w:r>
              <w:rPr>
                <w:rFonts w:ascii="宋体" w:hAnsi="宋体" w:eastAsia="宋体" w:cs="宋体"/>
                <w:spacing w:val="-67"/>
                <w:sz w:val="24"/>
                <w:szCs w:val="24"/>
              </w:rPr>
              <w:t xml:space="preserve"> </w:t>
            </w:r>
            <w:r>
              <w:rPr>
                <w:rFonts w:ascii="Times New Roman" w:hAnsi="Times New Roman" w:eastAsia="Times New Roman" w:cs="Times New Roman"/>
                <w:sz w:val="24"/>
                <w:szCs w:val="24"/>
              </w:rPr>
              <w:t xml:space="preserve">3 </w:t>
            </w:r>
            <w:r>
              <w:rPr>
                <w:rFonts w:ascii="宋体" w:hAnsi="宋体" w:eastAsia="宋体" w:cs="宋体"/>
                <w:sz w:val="24"/>
                <w:szCs w:val="24"/>
              </w:rPr>
              <w:t>万</w:t>
            </w:r>
            <w:r>
              <w:rPr>
                <w:rFonts w:ascii="Times New Roman" w:hAnsi="Times New Roman" w:eastAsia="Times New Roman" w:cs="Times New Roman"/>
                <w:sz w:val="24"/>
                <w:szCs w:val="24"/>
              </w:rPr>
              <w:t>m³</w:t>
            </w:r>
            <w:r>
              <w:rPr>
                <w:rFonts w:ascii="Times New Roman" w:hAnsi="Times New Roman" w:eastAsia="Times New Roman" w:cs="Times New Roman"/>
                <w:spacing w:val="-44"/>
                <w:sz w:val="24"/>
                <w:szCs w:val="24"/>
              </w:rPr>
              <w:t xml:space="preserve"> </w:t>
            </w:r>
            <w:r>
              <w:rPr>
                <w:rFonts w:ascii="宋体" w:hAnsi="宋体" w:eastAsia="宋体" w:cs="宋体"/>
                <w:sz w:val="24"/>
                <w:szCs w:val="24"/>
              </w:rPr>
              <w:t>免漆生态板及深加工生产线项目</w:t>
            </w:r>
            <w:r>
              <w:rPr>
                <w:rFonts w:ascii="宋体" w:hAnsi="宋体" w:eastAsia="宋体" w:cs="宋体"/>
                <w:spacing w:val="-1"/>
                <w:sz w:val="24"/>
                <w:szCs w:val="24"/>
              </w:rPr>
              <w:t>竣工环境保护验收监测报</w:t>
            </w:r>
            <w:r>
              <w:rPr>
                <w:rFonts w:ascii="宋体" w:hAnsi="宋体" w:eastAsia="宋体" w:cs="宋体"/>
                <w:spacing w:val="-3"/>
                <w:sz w:val="24"/>
                <w:szCs w:val="24"/>
              </w:rPr>
              <w:t>告表》（附件</w:t>
            </w:r>
            <w:r>
              <w:rPr>
                <w:rFonts w:ascii="宋体" w:hAnsi="宋体" w:eastAsia="宋体" w:cs="宋体"/>
                <w:spacing w:val="-31"/>
                <w:sz w:val="24"/>
                <w:szCs w:val="24"/>
              </w:rPr>
              <w:t xml:space="preserve"> </w:t>
            </w:r>
            <w:r>
              <w:rPr>
                <w:rFonts w:ascii="Times New Roman" w:hAnsi="Times New Roman" w:eastAsia="Times New Roman" w:cs="Times New Roman"/>
                <w:spacing w:val="-3"/>
                <w:sz w:val="24"/>
                <w:szCs w:val="24"/>
              </w:rPr>
              <w:t>14</w:t>
            </w:r>
            <w:r>
              <w:rPr>
                <w:rFonts w:ascii="宋体" w:hAnsi="宋体" w:eastAsia="宋体" w:cs="宋体"/>
                <w:spacing w:val="6"/>
                <w:sz w:val="24"/>
                <w:szCs w:val="24"/>
              </w:rPr>
              <w:t>），</w:t>
            </w:r>
            <w:r>
              <w:rPr>
                <w:rFonts w:ascii="宋体" w:hAnsi="宋体" w:eastAsia="宋体" w:cs="宋体"/>
                <w:spacing w:val="-3"/>
                <w:sz w:val="24"/>
                <w:szCs w:val="24"/>
              </w:rPr>
              <w:t>监测结果详见下表。</w:t>
            </w:r>
          </w:p>
          <w:p w14:paraId="48FD535A">
            <w:pPr>
              <w:spacing w:before="1" w:line="208" w:lineRule="auto"/>
              <w:ind w:left="3044"/>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40"/>
                <w:sz w:val="20"/>
                <w:szCs w:val="20"/>
              </w:rPr>
              <w:t xml:space="preserve"> </w:t>
            </w:r>
            <w:r>
              <w:rPr>
                <w:rFonts w:ascii="Times New Roman" w:hAnsi="Times New Roman" w:eastAsia="Times New Roman" w:cs="Times New Roman"/>
                <w:b/>
                <w:bCs/>
                <w:spacing w:val="5"/>
                <w:sz w:val="20"/>
                <w:szCs w:val="20"/>
              </w:rPr>
              <w:t xml:space="preserve">2-15        </w:t>
            </w:r>
            <w:r>
              <w:rPr>
                <w:rFonts w:ascii="宋体" w:hAnsi="宋体" w:eastAsia="宋体" w:cs="宋体"/>
                <w:b/>
                <w:bCs/>
                <w:spacing w:val="5"/>
                <w:sz w:val="20"/>
                <w:szCs w:val="20"/>
              </w:rPr>
              <w:t>噪声监测结果及</w:t>
            </w:r>
            <w:r>
              <w:rPr>
                <w:rFonts w:ascii="宋体" w:hAnsi="宋体" w:eastAsia="宋体" w:cs="宋体"/>
                <w:b/>
                <w:bCs/>
                <w:spacing w:val="4"/>
                <w:sz w:val="20"/>
                <w:szCs w:val="20"/>
              </w:rPr>
              <w:t>评价</w:t>
            </w:r>
          </w:p>
        </w:tc>
      </w:tr>
      <w:tr w14:paraId="45BF6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28" w:type="dxa"/>
            <w:vMerge w:val="continue"/>
            <w:tcBorders>
              <w:top w:val="nil"/>
              <w:left w:val="single" w:color="000000" w:sz="6" w:space="0"/>
              <w:bottom w:val="nil"/>
            </w:tcBorders>
            <w:vAlign w:val="top"/>
          </w:tcPr>
          <w:p w14:paraId="2692C5C9">
            <w:pPr>
              <w:rPr>
                <w:rFonts w:ascii="Arial"/>
                <w:sz w:val="21"/>
              </w:rPr>
            </w:pPr>
          </w:p>
        </w:tc>
        <w:tc>
          <w:tcPr>
            <w:tcW w:w="113" w:type="dxa"/>
            <w:tcBorders>
              <w:top w:val="nil"/>
              <w:bottom w:val="nil"/>
            </w:tcBorders>
            <w:vAlign w:val="top"/>
          </w:tcPr>
          <w:p w14:paraId="0EF5F70B">
            <w:pPr>
              <w:rPr>
                <w:rFonts w:ascii="Arial"/>
                <w:sz w:val="21"/>
              </w:rPr>
            </w:pPr>
          </w:p>
        </w:tc>
        <w:tc>
          <w:tcPr>
            <w:tcW w:w="896" w:type="dxa"/>
            <w:vAlign w:val="top"/>
          </w:tcPr>
          <w:p w14:paraId="086C8E86">
            <w:pPr>
              <w:spacing w:before="39" w:line="356" w:lineRule="auto"/>
              <w:ind w:left="344" w:right="138" w:hanging="212"/>
              <w:rPr>
                <w:rFonts w:ascii="宋体" w:hAnsi="宋体" w:eastAsia="宋体" w:cs="宋体"/>
                <w:sz w:val="20"/>
                <w:szCs w:val="20"/>
              </w:rPr>
            </w:pPr>
            <w:r>
              <w:rPr>
                <w:rFonts w:ascii="宋体" w:hAnsi="宋体" w:eastAsia="宋体" w:cs="宋体"/>
                <w:b/>
                <w:bCs/>
                <w:spacing w:val="4"/>
                <w:sz w:val="20"/>
                <w:szCs w:val="20"/>
              </w:rPr>
              <w:t>监测编</w:t>
            </w:r>
            <w:r>
              <w:rPr>
                <w:rFonts w:ascii="宋体" w:hAnsi="宋体" w:eastAsia="宋体" w:cs="宋体"/>
                <w:b/>
                <w:bCs/>
                <w:spacing w:val="-3"/>
                <w:sz w:val="20"/>
                <w:szCs w:val="20"/>
              </w:rPr>
              <w:t>号</w:t>
            </w:r>
          </w:p>
        </w:tc>
        <w:tc>
          <w:tcPr>
            <w:tcW w:w="853" w:type="dxa"/>
            <w:vAlign w:val="top"/>
          </w:tcPr>
          <w:p w14:paraId="5C218C1D">
            <w:pPr>
              <w:spacing w:before="39" w:line="356" w:lineRule="auto"/>
              <w:ind w:left="318" w:right="115" w:hanging="206"/>
              <w:rPr>
                <w:rFonts w:ascii="宋体" w:hAnsi="宋体" w:eastAsia="宋体" w:cs="宋体"/>
                <w:sz w:val="20"/>
                <w:szCs w:val="20"/>
              </w:rPr>
            </w:pPr>
            <w:r>
              <w:rPr>
                <w:rFonts w:ascii="宋体" w:hAnsi="宋体" w:eastAsia="宋体" w:cs="宋体"/>
                <w:b/>
                <w:bCs/>
                <w:spacing w:val="4"/>
                <w:sz w:val="20"/>
                <w:szCs w:val="20"/>
              </w:rPr>
              <w:t>监测位</w:t>
            </w:r>
            <w:r>
              <w:rPr>
                <w:rFonts w:ascii="宋体" w:hAnsi="宋体" w:eastAsia="宋体" w:cs="宋体"/>
                <w:b/>
                <w:bCs/>
                <w:sz w:val="20"/>
                <w:szCs w:val="20"/>
              </w:rPr>
              <w:t>置</w:t>
            </w:r>
          </w:p>
        </w:tc>
        <w:tc>
          <w:tcPr>
            <w:tcW w:w="852" w:type="dxa"/>
            <w:gridSpan w:val="2"/>
            <w:vAlign w:val="top"/>
          </w:tcPr>
          <w:p w14:paraId="24923C73">
            <w:pPr>
              <w:spacing w:before="39" w:line="356" w:lineRule="auto"/>
              <w:ind w:left="320" w:right="113" w:hanging="208"/>
              <w:rPr>
                <w:rFonts w:ascii="宋体" w:hAnsi="宋体" w:eastAsia="宋体" w:cs="宋体"/>
                <w:sz w:val="20"/>
                <w:szCs w:val="20"/>
              </w:rPr>
            </w:pPr>
            <w:r>
              <w:rPr>
                <w:rFonts w:ascii="宋体" w:hAnsi="宋体" w:eastAsia="宋体" w:cs="宋体"/>
                <w:b/>
                <w:bCs/>
                <w:spacing w:val="5"/>
                <w:sz w:val="20"/>
                <w:szCs w:val="20"/>
              </w:rPr>
              <w:t>主要声</w:t>
            </w:r>
            <w:r>
              <w:rPr>
                <w:rFonts w:ascii="宋体" w:hAnsi="宋体" w:eastAsia="宋体" w:cs="宋体"/>
                <w:b/>
                <w:bCs/>
                <w:spacing w:val="-1"/>
                <w:sz w:val="20"/>
                <w:szCs w:val="20"/>
              </w:rPr>
              <w:t>源</w:t>
            </w:r>
          </w:p>
        </w:tc>
        <w:tc>
          <w:tcPr>
            <w:tcW w:w="1982" w:type="dxa"/>
            <w:gridSpan w:val="2"/>
            <w:vAlign w:val="top"/>
          </w:tcPr>
          <w:p w14:paraId="7C541399">
            <w:pPr>
              <w:spacing w:before="243" w:line="228" w:lineRule="auto"/>
              <w:ind w:left="573"/>
              <w:rPr>
                <w:rFonts w:ascii="宋体" w:hAnsi="宋体" w:eastAsia="宋体" w:cs="宋体"/>
                <w:sz w:val="20"/>
                <w:szCs w:val="20"/>
              </w:rPr>
            </w:pPr>
            <w:r>
              <w:rPr>
                <w:rFonts w:ascii="宋体" w:hAnsi="宋体" w:eastAsia="宋体" w:cs="宋体"/>
                <w:b/>
                <w:bCs/>
                <w:spacing w:val="6"/>
                <w:sz w:val="20"/>
                <w:szCs w:val="20"/>
              </w:rPr>
              <w:t>检测时段</w:t>
            </w:r>
          </w:p>
        </w:tc>
        <w:tc>
          <w:tcPr>
            <w:tcW w:w="903" w:type="dxa"/>
            <w:gridSpan w:val="2"/>
            <w:vAlign w:val="top"/>
          </w:tcPr>
          <w:p w14:paraId="38A61F6D">
            <w:pPr>
              <w:spacing w:before="63" w:line="228" w:lineRule="auto"/>
              <w:ind w:left="250"/>
              <w:rPr>
                <w:rFonts w:ascii="宋体" w:hAnsi="宋体" w:eastAsia="宋体" w:cs="宋体"/>
                <w:sz w:val="20"/>
                <w:szCs w:val="20"/>
              </w:rPr>
            </w:pPr>
            <w:r>
              <w:rPr>
                <w:rFonts w:ascii="宋体" w:hAnsi="宋体" w:eastAsia="宋体" w:cs="宋体"/>
                <w:b/>
                <w:bCs/>
                <w:spacing w:val="1"/>
                <w:sz w:val="20"/>
                <w:szCs w:val="20"/>
              </w:rPr>
              <w:t>结果</w:t>
            </w:r>
          </w:p>
          <w:p w14:paraId="2F976A95">
            <w:pPr>
              <w:spacing w:before="181" w:line="197" w:lineRule="auto"/>
              <w:ind w:left="127"/>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w:t>
            </w:r>
            <w:r>
              <w:rPr>
                <w:rFonts w:ascii="Times New Roman" w:hAnsi="Times New Roman" w:eastAsia="Times New Roman" w:cs="Times New Roman"/>
                <w:b/>
                <w:bCs/>
                <w:sz w:val="20"/>
                <w:szCs w:val="20"/>
              </w:rPr>
              <w:t>dB</w:t>
            </w:r>
            <w:r>
              <w:rPr>
                <w:rFonts w:ascii="Times New Roman" w:hAnsi="Times New Roman" w:eastAsia="Times New Roman" w:cs="Times New Roman"/>
                <w:b/>
                <w:bCs/>
                <w:spacing w:val="1"/>
                <w:sz w:val="20"/>
                <w:szCs w:val="20"/>
              </w:rPr>
              <w:t>(A)]</w:t>
            </w:r>
          </w:p>
        </w:tc>
        <w:tc>
          <w:tcPr>
            <w:tcW w:w="1363" w:type="dxa"/>
            <w:gridSpan w:val="2"/>
            <w:vAlign w:val="top"/>
          </w:tcPr>
          <w:p w14:paraId="23A9177D">
            <w:pPr>
              <w:spacing w:before="63" w:line="228" w:lineRule="auto"/>
              <w:ind w:left="269"/>
              <w:rPr>
                <w:rFonts w:ascii="宋体" w:hAnsi="宋体" w:eastAsia="宋体" w:cs="宋体"/>
                <w:sz w:val="20"/>
                <w:szCs w:val="20"/>
              </w:rPr>
            </w:pPr>
            <w:r>
              <w:rPr>
                <w:rFonts w:ascii="宋体" w:hAnsi="宋体" w:eastAsia="宋体" w:cs="宋体"/>
                <w:b/>
                <w:bCs/>
                <w:spacing w:val="6"/>
                <w:sz w:val="20"/>
                <w:szCs w:val="20"/>
              </w:rPr>
              <w:t>标准限值</w:t>
            </w:r>
          </w:p>
          <w:p w14:paraId="595FCA2D">
            <w:pPr>
              <w:spacing w:before="182" w:line="197" w:lineRule="auto"/>
              <w:ind w:left="359"/>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w:t>
            </w:r>
            <w:r>
              <w:rPr>
                <w:rFonts w:ascii="Times New Roman" w:hAnsi="Times New Roman" w:eastAsia="Times New Roman" w:cs="Times New Roman"/>
                <w:b/>
                <w:bCs/>
                <w:sz w:val="20"/>
                <w:szCs w:val="20"/>
              </w:rPr>
              <w:t>dB</w:t>
            </w:r>
            <w:r>
              <w:rPr>
                <w:rFonts w:ascii="Times New Roman" w:hAnsi="Times New Roman" w:eastAsia="Times New Roman" w:cs="Times New Roman"/>
                <w:b/>
                <w:bCs/>
                <w:spacing w:val="1"/>
                <w:sz w:val="20"/>
                <w:szCs w:val="20"/>
              </w:rPr>
              <w:t>(A)]</w:t>
            </w:r>
          </w:p>
        </w:tc>
        <w:tc>
          <w:tcPr>
            <w:tcW w:w="1554" w:type="dxa"/>
            <w:vAlign w:val="top"/>
          </w:tcPr>
          <w:p w14:paraId="257C1CA3">
            <w:pPr>
              <w:spacing w:before="243" w:line="228" w:lineRule="auto"/>
              <w:ind w:left="366"/>
              <w:rPr>
                <w:rFonts w:ascii="宋体" w:hAnsi="宋体" w:eastAsia="宋体" w:cs="宋体"/>
                <w:sz w:val="20"/>
                <w:szCs w:val="20"/>
              </w:rPr>
            </w:pPr>
            <w:r>
              <w:rPr>
                <w:rFonts w:ascii="宋体" w:hAnsi="宋体" w:eastAsia="宋体" w:cs="宋体"/>
                <w:b/>
                <w:bCs/>
                <w:spacing w:val="6"/>
                <w:sz w:val="20"/>
                <w:szCs w:val="20"/>
              </w:rPr>
              <w:t>达标情况</w:t>
            </w:r>
          </w:p>
        </w:tc>
        <w:tc>
          <w:tcPr>
            <w:tcW w:w="120" w:type="dxa"/>
            <w:tcBorders>
              <w:top w:val="nil"/>
              <w:bottom w:val="nil"/>
              <w:right w:val="single" w:color="000000" w:sz="6" w:space="0"/>
            </w:tcBorders>
            <w:vAlign w:val="top"/>
          </w:tcPr>
          <w:p w14:paraId="6C5F4192">
            <w:pPr>
              <w:rPr>
                <w:rFonts w:ascii="Arial"/>
                <w:sz w:val="21"/>
              </w:rPr>
            </w:pPr>
          </w:p>
        </w:tc>
      </w:tr>
      <w:tr w14:paraId="182CED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428" w:type="dxa"/>
            <w:vMerge w:val="continue"/>
            <w:tcBorders>
              <w:top w:val="nil"/>
              <w:left w:val="single" w:color="000000" w:sz="6" w:space="0"/>
              <w:bottom w:val="nil"/>
            </w:tcBorders>
            <w:vAlign w:val="top"/>
          </w:tcPr>
          <w:p w14:paraId="6CE21E1B">
            <w:pPr>
              <w:rPr>
                <w:rFonts w:ascii="Arial"/>
                <w:sz w:val="21"/>
              </w:rPr>
            </w:pPr>
          </w:p>
        </w:tc>
        <w:tc>
          <w:tcPr>
            <w:tcW w:w="113" w:type="dxa"/>
            <w:tcBorders>
              <w:top w:val="nil"/>
              <w:bottom w:val="nil"/>
            </w:tcBorders>
            <w:vAlign w:val="top"/>
          </w:tcPr>
          <w:p w14:paraId="459D077D">
            <w:pPr>
              <w:rPr>
                <w:rFonts w:ascii="Arial"/>
                <w:sz w:val="21"/>
              </w:rPr>
            </w:pPr>
          </w:p>
        </w:tc>
        <w:tc>
          <w:tcPr>
            <w:tcW w:w="896" w:type="dxa"/>
            <w:vMerge w:val="restart"/>
            <w:tcBorders>
              <w:bottom w:val="nil"/>
            </w:tcBorders>
            <w:vAlign w:val="top"/>
          </w:tcPr>
          <w:p w14:paraId="345B7F47">
            <w:pPr>
              <w:spacing w:line="242" w:lineRule="auto"/>
              <w:rPr>
                <w:rFonts w:ascii="Arial"/>
                <w:sz w:val="21"/>
              </w:rPr>
            </w:pPr>
          </w:p>
          <w:p w14:paraId="4CDD93A4">
            <w:pPr>
              <w:spacing w:line="243" w:lineRule="auto"/>
              <w:rPr>
                <w:rFonts w:ascii="Arial"/>
                <w:sz w:val="21"/>
              </w:rPr>
            </w:pPr>
          </w:p>
          <w:p w14:paraId="2203249B">
            <w:pPr>
              <w:spacing w:line="243" w:lineRule="auto"/>
              <w:rPr>
                <w:rFonts w:ascii="Arial"/>
                <w:sz w:val="21"/>
              </w:rPr>
            </w:pPr>
          </w:p>
          <w:p w14:paraId="11DECAEB">
            <w:pPr>
              <w:spacing w:before="57" w:line="195" w:lineRule="auto"/>
              <w:ind w:left="308"/>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N1</w:t>
            </w:r>
          </w:p>
        </w:tc>
        <w:tc>
          <w:tcPr>
            <w:tcW w:w="853" w:type="dxa"/>
            <w:vMerge w:val="restart"/>
            <w:tcBorders>
              <w:bottom w:val="nil"/>
            </w:tcBorders>
            <w:vAlign w:val="top"/>
          </w:tcPr>
          <w:p w14:paraId="3B01B3B8">
            <w:pPr>
              <w:spacing w:line="474" w:lineRule="auto"/>
              <w:rPr>
                <w:rFonts w:ascii="Arial"/>
                <w:sz w:val="21"/>
              </w:rPr>
            </w:pPr>
          </w:p>
          <w:p w14:paraId="04B09F7C">
            <w:pPr>
              <w:spacing w:before="65" w:line="379" w:lineRule="auto"/>
              <w:ind w:left="325" w:right="115" w:hanging="206"/>
              <w:rPr>
                <w:rFonts w:ascii="宋体" w:hAnsi="宋体" w:eastAsia="宋体" w:cs="宋体"/>
                <w:sz w:val="20"/>
                <w:szCs w:val="20"/>
              </w:rPr>
            </w:pPr>
            <w:r>
              <w:rPr>
                <w:rFonts w:ascii="宋体" w:hAnsi="宋体" w:eastAsia="宋体" w:cs="宋体"/>
                <w:spacing w:val="4"/>
                <w:sz w:val="20"/>
                <w:szCs w:val="20"/>
              </w:rPr>
              <w:t>东面厂</w:t>
            </w:r>
            <w:r>
              <w:rPr>
                <w:rFonts w:ascii="宋体" w:hAnsi="宋体" w:eastAsia="宋体" w:cs="宋体"/>
                <w:sz w:val="20"/>
                <w:szCs w:val="20"/>
              </w:rPr>
              <w:t>界</w:t>
            </w:r>
          </w:p>
        </w:tc>
        <w:tc>
          <w:tcPr>
            <w:tcW w:w="852" w:type="dxa"/>
            <w:gridSpan w:val="2"/>
            <w:vMerge w:val="restart"/>
            <w:tcBorders>
              <w:bottom w:val="nil"/>
            </w:tcBorders>
            <w:vAlign w:val="top"/>
          </w:tcPr>
          <w:p w14:paraId="54858DC4">
            <w:pPr>
              <w:spacing w:line="475" w:lineRule="auto"/>
              <w:rPr>
                <w:rFonts w:ascii="Arial"/>
                <w:sz w:val="21"/>
              </w:rPr>
            </w:pPr>
          </w:p>
          <w:p w14:paraId="2910FCB6">
            <w:pPr>
              <w:spacing w:before="65" w:line="378" w:lineRule="auto"/>
              <w:ind w:left="325" w:right="113" w:hanging="210"/>
              <w:rPr>
                <w:rFonts w:ascii="宋体" w:hAnsi="宋体" w:eastAsia="宋体" w:cs="宋体"/>
                <w:sz w:val="20"/>
                <w:szCs w:val="20"/>
              </w:rPr>
            </w:pPr>
            <w:r>
              <w:rPr>
                <w:rFonts w:ascii="宋体" w:hAnsi="宋体" w:eastAsia="宋体" w:cs="宋体"/>
                <w:spacing w:val="6"/>
                <w:sz w:val="20"/>
                <w:szCs w:val="20"/>
              </w:rPr>
              <w:t>厂界噪</w:t>
            </w:r>
            <w:r>
              <w:rPr>
                <w:rFonts w:ascii="宋体" w:hAnsi="宋体" w:eastAsia="宋体" w:cs="宋体"/>
                <w:sz w:val="20"/>
                <w:szCs w:val="20"/>
              </w:rPr>
              <w:t>声</w:t>
            </w:r>
          </w:p>
        </w:tc>
        <w:tc>
          <w:tcPr>
            <w:tcW w:w="1982" w:type="dxa"/>
            <w:gridSpan w:val="2"/>
            <w:vAlign w:val="top"/>
          </w:tcPr>
          <w:p w14:paraId="5A1BF7A8">
            <w:pPr>
              <w:spacing w:before="60" w:line="231" w:lineRule="auto"/>
              <w:ind w:left="120"/>
              <w:rPr>
                <w:rFonts w:ascii="宋体" w:hAnsi="宋体" w:eastAsia="宋体" w:cs="宋体"/>
                <w:sz w:val="20"/>
                <w:szCs w:val="20"/>
              </w:rPr>
            </w:pPr>
            <w:r>
              <w:rPr>
                <w:rFonts w:ascii="宋体" w:hAnsi="宋体" w:eastAsia="宋体" w:cs="宋体"/>
                <w:spacing w:val="-3"/>
                <w:sz w:val="20"/>
                <w:szCs w:val="20"/>
              </w:rPr>
              <w:t>（</w:t>
            </w:r>
            <w:r>
              <w:rPr>
                <w:rFonts w:ascii="Times New Roman" w:hAnsi="Times New Roman" w:eastAsia="Times New Roman" w:cs="Times New Roman"/>
                <w:spacing w:val="-3"/>
                <w:sz w:val="20"/>
                <w:szCs w:val="20"/>
              </w:rPr>
              <w:t>2023-</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pacing w:val="-3"/>
                <w:sz w:val="20"/>
                <w:szCs w:val="20"/>
              </w:rPr>
              <w:t>12-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19</w:t>
            </w:r>
            <w:r>
              <w:rPr>
                <w:rFonts w:ascii="宋体" w:hAnsi="宋体" w:eastAsia="宋体" w:cs="宋体"/>
                <w:spacing w:val="-3"/>
                <w:sz w:val="20"/>
                <w:szCs w:val="20"/>
              </w:rPr>
              <w:t>）昼间</w:t>
            </w:r>
          </w:p>
        </w:tc>
        <w:tc>
          <w:tcPr>
            <w:tcW w:w="903" w:type="dxa"/>
            <w:gridSpan w:val="2"/>
            <w:vAlign w:val="top"/>
          </w:tcPr>
          <w:p w14:paraId="432B43B9">
            <w:pPr>
              <w:spacing w:before="106" w:line="192" w:lineRule="auto"/>
              <w:ind w:left="355"/>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1363" w:type="dxa"/>
            <w:gridSpan w:val="2"/>
            <w:vAlign w:val="top"/>
          </w:tcPr>
          <w:p w14:paraId="2DE19EC6">
            <w:pPr>
              <w:spacing w:before="99" w:line="201"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554" w:type="dxa"/>
            <w:vAlign w:val="top"/>
          </w:tcPr>
          <w:p w14:paraId="6E711435">
            <w:pPr>
              <w:spacing w:before="61" w:line="228" w:lineRule="auto"/>
              <w:ind w:left="577"/>
              <w:rPr>
                <w:rFonts w:ascii="宋体" w:hAnsi="宋体" w:eastAsia="宋体" w:cs="宋体"/>
                <w:sz w:val="20"/>
                <w:szCs w:val="20"/>
              </w:rPr>
            </w:pPr>
            <w:r>
              <w:rPr>
                <w:rFonts w:ascii="宋体" w:hAnsi="宋体" w:eastAsia="宋体" w:cs="宋体"/>
                <w:spacing w:val="5"/>
                <w:sz w:val="20"/>
                <w:szCs w:val="20"/>
              </w:rPr>
              <w:t>达标</w:t>
            </w:r>
          </w:p>
        </w:tc>
        <w:tc>
          <w:tcPr>
            <w:tcW w:w="120" w:type="dxa"/>
            <w:tcBorders>
              <w:top w:val="nil"/>
              <w:bottom w:val="nil"/>
              <w:right w:val="single" w:color="000000" w:sz="6" w:space="0"/>
            </w:tcBorders>
            <w:vAlign w:val="top"/>
          </w:tcPr>
          <w:p w14:paraId="345F39EB">
            <w:pPr>
              <w:rPr>
                <w:rFonts w:ascii="Arial"/>
                <w:sz w:val="21"/>
              </w:rPr>
            </w:pPr>
          </w:p>
        </w:tc>
      </w:tr>
      <w:tr w14:paraId="68E77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428" w:type="dxa"/>
            <w:vMerge w:val="continue"/>
            <w:tcBorders>
              <w:top w:val="nil"/>
              <w:left w:val="single" w:color="000000" w:sz="6" w:space="0"/>
              <w:bottom w:val="nil"/>
            </w:tcBorders>
            <w:vAlign w:val="top"/>
          </w:tcPr>
          <w:p w14:paraId="24556358">
            <w:pPr>
              <w:rPr>
                <w:rFonts w:ascii="Arial"/>
                <w:sz w:val="21"/>
              </w:rPr>
            </w:pPr>
          </w:p>
        </w:tc>
        <w:tc>
          <w:tcPr>
            <w:tcW w:w="113" w:type="dxa"/>
            <w:tcBorders>
              <w:top w:val="nil"/>
              <w:bottom w:val="nil"/>
            </w:tcBorders>
            <w:vAlign w:val="top"/>
          </w:tcPr>
          <w:p w14:paraId="399D21CB">
            <w:pPr>
              <w:rPr>
                <w:rFonts w:ascii="Arial"/>
                <w:sz w:val="21"/>
              </w:rPr>
            </w:pPr>
          </w:p>
        </w:tc>
        <w:tc>
          <w:tcPr>
            <w:tcW w:w="896" w:type="dxa"/>
            <w:vMerge w:val="continue"/>
            <w:tcBorders>
              <w:top w:val="nil"/>
              <w:bottom w:val="nil"/>
            </w:tcBorders>
            <w:vAlign w:val="top"/>
          </w:tcPr>
          <w:p w14:paraId="70E8AB0C">
            <w:pPr>
              <w:rPr>
                <w:rFonts w:ascii="Arial"/>
                <w:sz w:val="21"/>
              </w:rPr>
            </w:pPr>
          </w:p>
        </w:tc>
        <w:tc>
          <w:tcPr>
            <w:tcW w:w="853" w:type="dxa"/>
            <w:vMerge w:val="continue"/>
            <w:tcBorders>
              <w:top w:val="nil"/>
              <w:bottom w:val="nil"/>
            </w:tcBorders>
            <w:vAlign w:val="top"/>
          </w:tcPr>
          <w:p w14:paraId="4E75AE42">
            <w:pPr>
              <w:rPr>
                <w:rFonts w:ascii="Arial"/>
                <w:sz w:val="21"/>
              </w:rPr>
            </w:pPr>
          </w:p>
        </w:tc>
        <w:tc>
          <w:tcPr>
            <w:tcW w:w="852" w:type="dxa"/>
            <w:gridSpan w:val="2"/>
            <w:vMerge w:val="continue"/>
            <w:tcBorders>
              <w:top w:val="nil"/>
              <w:bottom w:val="nil"/>
            </w:tcBorders>
            <w:vAlign w:val="top"/>
          </w:tcPr>
          <w:p w14:paraId="659E5D8E">
            <w:pPr>
              <w:rPr>
                <w:rFonts w:ascii="Arial"/>
                <w:sz w:val="21"/>
              </w:rPr>
            </w:pPr>
          </w:p>
        </w:tc>
        <w:tc>
          <w:tcPr>
            <w:tcW w:w="1982" w:type="dxa"/>
            <w:gridSpan w:val="2"/>
            <w:vAlign w:val="top"/>
          </w:tcPr>
          <w:p w14:paraId="1C402DB6">
            <w:pPr>
              <w:spacing w:before="63" w:line="228" w:lineRule="auto"/>
              <w:ind w:left="120"/>
              <w:rPr>
                <w:rFonts w:ascii="宋体" w:hAnsi="宋体" w:eastAsia="宋体" w:cs="宋体"/>
                <w:sz w:val="20"/>
                <w:szCs w:val="20"/>
              </w:rPr>
            </w:pPr>
            <w:r>
              <w:rPr>
                <w:rFonts w:ascii="宋体" w:hAnsi="宋体" w:eastAsia="宋体" w:cs="宋体"/>
                <w:spacing w:val="-3"/>
                <w:sz w:val="20"/>
                <w:szCs w:val="20"/>
              </w:rPr>
              <w:t>（</w:t>
            </w:r>
            <w:r>
              <w:rPr>
                <w:rFonts w:ascii="Times New Roman" w:hAnsi="Times New Roman" w:eastAsia="Times New Roman" w:cs="Times New Roman"/>
                <w:spacing w:val="-3"/>
                <w:sz w:val="20"/>
                <w:szCs w:val="20"/>
              </w:rPr>
              <w:t>2023-</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pacing w:val="-3"/>
                <w:sz w:val="20"/>
                <w:szCs w:val="20"/>
              </w:rPr>
              <w:t>12-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19</w:t>
            </w:r>
            <w:r>
              <w:rPr>
                <w:rFonts w:ascii="宋体" w:hAnsi="宋体" w:eastAsia="宋体" w:cs="宋体"/>
                <w:spacing w:val="-3"/>
                <w:sz w:val="20"/>
                <w:szCs w:val="20"/>
              </w:rPr>
              <w:t>）夜间</w:t>
            </w:r>
          </w:p>
        </w:tc>
        <w:tc>
          <w:tcPr>
            <w:tcW w:w="903" w:type="dxa"/>
            <w:gridSpan w:val="2"/>
            <w:vAlign w:val="top"/>
          </w:tcPr>
          <w:p w14:paraId="6E1A3B43">
            <w:pPr>
              <w:spacing w:before="107"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w:t>
            </w:r>
          </w:p>
        </w:tc>
        <w:tc>
          <w:tcPr>
            <w:tcW w:w="1363" w:type="dxa"/>
            <w:gridSpan w:val="2"/>
            <w:vAlign w:val="top"/>
          </w:tcPr>
          <w:p w14:paraId="74C3C2AB">
            <w:pPr>
              <w:spacing w:before="103" w:line="201" w:lineRule="auto"/>
              <w:ind w:left="31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554" w:type="dxa"/>
            <w:vAlign w:val="top"/>
          </w:tcPr>
          <w:p w14:paraId="4AAC90FA">
            <w:pPr>
              <w:spacing w:before="64" w:line="228" w:lineRule="auto"/>
              <w:ind w:left="577"/>
              <w:rPr>
                <w:rFonts w:ascii="宋体" w:hAnsi="宋体" w:eastAsia="宋体" w:cs="宋体"/>
                <w:sz w:val="20"/>
                <w:szCs w:val="20"/>
              </w:rPr>
            </w:pPr>
            <w:r>
              <w:rPr>
                <w:rFonts w:ascii="宋体" w:hAnsi="宋体" w:eastAsia="宋体" w:cs="宋体"/>
                <w:spacing w:val="5"/>
                <w:sz w:val="20"/>
                <w:szCs w:val="20"/>
              </w:rPr>
              <w:t>达标</w:t>
            </w:r>
          </w:p>
        </w:tc>
        <w:tc>
          <w:tcPr>
            <w:tcW w:w="120" w:type="dxa"/>
            <w:tcBorders>
              <w:top w:val="nil"/>
              <w:bottom w:val="nil"/>
              <w:right w:val="single" w:color="000000" w:sz="6" w:space="0"/>
            </w:tcBorders>
            <w:vAlign w:val="top"/>
          </w:tcPr>
          <w:p w14:paraId="7640A331">
            <w:pPr>
              <w:rPr>
                <w:rFonts w:ascii="Arial"/>
                <w:sz w:val="21"/>
              </w:rPr>
            </w:pPr>
          </w:p>
        </w:tc>
      </w:tr>
      <w:tr w14:paraId="1E3C1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428" w:type="dxa"/>
            <w:vMerge w:val="continue"/>
            <w:tcBorders>
              <w:top w:val="nil"/>
              <w:left w:val="single" w:color="000000" w:sz="6" w:space="0"/>
              <w:bottom w:val="nil"/>
            </w:tcBorders>
            <w:vAlign w:val="top"/>
          </w:tcPr>
          <w:p w14:paraId="5EFB60DC">
            <w:pPr>
              <w:rPr>
                <w:rFonts w:ascii="Arial"/>
                <w:sz w:val="21"/>
              </w:rPr>
            </w:pPr>
          </w:p>
        </w:tc>
        <w:tc>
          <w:tcPr>
            <w:tcW w:w="113" w:type="dxa"/>
            <w:tcBorders>
              <w:top w:val="nil"/>
              <w:bottom w:val="nil"/>
            </w:tcBorders>
            <w:vAlign w:val="top"/>
          </w:tcPr>
          <w:p w14:paraId="1C0F5CE6">
            <w:pPr>
              <w:rPr>
                <w:rFonts w:ascii="Arial"/>
                <w:sz w:val="21"/>
              </w:rPr>
            </w:pPr>
          </w:p>
        </w:tc>
        <w:tc>
          <w:tcPr>
            <w:tcW w:w="896" w:type="dxa"/>
            <w:vMerge w:val="continue"/>
            <w:tcBorders>
              <w:top w:val="nil"/>
              <w:bottom w:val="nil"/>
            </w:tcBorders>
            <w:vAlign w:val="top"/>
          </w:tcPr>
          <w:p w14:paraId="6720088F">
            <w:pPr>
              <w:rPr>
                <w:rFonts w:ascii="Arial"/>
                <w:sz w:val="21"/>
              </w:rPr>
            </w:pPr>
          </w:p>
        </w:tc>
        <w:tc>
          <w:tcPr>
            <w:tcW w:w="853" w:type="dxa"/>
            <w:vMerge w:val="continue"/>
            <w:tcBorders>
              <w:top w:val="nil"/>
              <w:bottom w:val="nil"/>
            </w:tcBorders>
            <w:vAlign w:val="top"/>
          </w:tcPr>
          <w:p w14:paraId="565F1865">
            <w:pPr>
              <w:rPr>
                <w:rFonts w:ascii="Arial"/>
                <w:sz w:val="21"/>
              </w:rPr>
            </w:pPr>
          </w:p>
        </w:tc>
        <w:tc>
          <w:tcPr>
            <w:tcW w:w="852" w:type="dxa"/>
            <w:gridSpan w:val="2"/>
            <w:vMerge w:val="continue"/>
            <w:tcBorders>
              <w:top w:val="nil"/>
              <w:bottom w:val="nil"/>
            </w:tcBorders>
            <w:vAlign w:val="top"/>
          </w:tcPr>
          <w:p w14:paraId="40A5D9E3">
            <w:pPr>
              <w:rPr>
                <w:rFonts w:ascii="Arial"/>
                <w:sz w:val="21"/>
              </w:rPr>
            </w:pPr>
          </w:p>
        </w:tc>
        <w:tc>
          <w:tcPr>
            <w:tcW w:w="1982" w:type="dxa"/>
            <w:gridSpan w:val="2"/>
            <w:vAlign w:val="top"/>
          </w:tcPr>
          <w:p w14:paraId="1DE016C6">
            <w:pPr>
              <w:spacing w:before="66" w:line="231" w:lineRule="auto"/>
              <w:ind w:left="120"/>
              <w:rPr>
                <w:rFonts w:ascii="宋体" w:hAnsi="宋体" w:eastAsia="宋体" w:cs="宋体"/>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12-20</w:t>
            </w:r>
            <w:r>
              <w:rPr>
                <w:rFonts w:ascii="宋体" w:hAnsi="宋体" w:eastAsia="宋体" w:cs="宋体"/>
                <w:spacing w:val="-1"/>
                <w:sz w:val="20"/>
                <w:szCs w:val="20"/>
              </w:rPr>
              <w:t>）昼间</w:t>
            </w:r>
          </w:p>
        </w:tc>
        <w:tc>
          <w:tcPr>
            <w:tcW w:w="903" w:type="dxa"/>
            <w:gridSpan w:val="2"/>
            <w:vAlign w:val="top"/>
          </w:tcPr>
          <w:p w14:paraId="06EC9AE0">
            <w:pPr>
              <w:spacing w:before="110" w:line="195" w:lineRule="auto"/>
              <w:ind w:left="355"/>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1363" w:type="dxa"/>
            <w:gridSpan w:val="2"/>
            <w:vAlign w:val="top"/>
          </w:tcPr>
          <w:p w14:paraId="711C1ED1">
            <w:pPr>
              <w:spacing w:before="106" w:line="201"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554" w:type="dxa"/>
            <w:vAlign w:val="top"/>
          </w:tcPr>
          <w:p w14:paraId="052EF23A">
            <w:pPr>
              <w:spacing w:before="67" w:line="228" w:lineRule="auto"/>
              <w:ind w:left="577"/>
              <w:rPr>
                <w:rFonts w:ascii="宋体" w:hAnsi="宋体" w:eastAsia="宋体" w:cs="宋体"/>
                <w:sz w:val="20"/>
                <w:szCs w:val="20"/>
              </w:rPr>
            </w:pPr>
            <w:r>
              <w:rPr>
                <w:rFonts w:ascii="宋体" w:hAnsi="宋体" w:eastAsia="宋体" w:cs="宋体"/>
                <w:spacing w:val="5"/>
                <w:sz w:val="20"/>
                <w:szCs w:val="20"/>
              </w:rPr>
              <w:t>达标</w:t>
            </w:r>
          </w:p>
        </w:tc>
        <w:tc>
          <w:tcPr>
            <w:tcW w:w="120" w:type="dxa"/>
            <w:tcBorders>
              <w:top w:val="nil"/>
              <w:bottom w:val="nil"/>
              <w:right w:val="single" w:color="000000" w:sz="6" w:space="0"/>
            </w:tcBorders>
            <w:vAlign w:val="top"/>
          </w:tcPr>
          <w:p w14:paraId="2F12B8E8">
            <w:pPr>
              <w:rPr>
                <w:rFonts w:ascii="Arial"/>
                <w:sz w:val="21"/>
              </w:rPr>
            </w:pPr>
          </w:p>
        </w:tc>
      </w:tr>
      <w:tr w14:paraId="4F6EB3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28" w:type="dxa"/>
            <w:vMerge w:val="continue"/>
            <w:tcBorders>
              <w:top w:val="nil"/>
              <w:left w:val="single" w:color="000000" w:sz="6" w:space="0"/>
              <w:bottom w:val="nil"/>
            </w:tcBorders>
            <w:vAlign w:val="top"/>
          </w:tcPr>
          <w:p w14:paraId="53674DAE">
            <w:pPr>
              <w:rPr>
                <w:rFonts w:ascii="Arial"/>
                <w:sz w:val="21"/>
              </w:rPr>
            </w:pPr>
          </w:p>
        </w:tc>
        <w:tc>
          <w:tcPr>
            <w:tcW w:w="113" w:type="dxa"/>
            <w:tcBorders>
              <w:top w:val="nil"/>
              <w:bottom w:val="nil"/>
            </w:tcBorders>
            <w:vAlign w:val="top"/>
          </w:tcPr>
          <w:p w14:paraId="293F5048">
            <w:pPr>
              <w:rPr>
                <w:rFonts w:ascii="Arial"/>
                <w:sz w:val="21"/>
              </w:rPr>
            </w:pPr>
          </w:p>
        </w:tc>
        <w:tc>
          <w:tcPr>
            <w:tcW w:w="896" w:type="dxa"/>
            <w:vMerge w:val="continue"/>
            <w:tcBorders>
              <w:top w:val="nil"/>
            </w:tcBorders>
            <w:vAlign w:val="top"/>
          </w:tcPr>
          <w:p w14:paraId="7ECF4D79">
            <w:pPr>
              <w:rPr>
                <w:rFonts w:ascii="Arial"/>
                <w:sz w:val="21"/>
              </w:rPr>
            </w:pPr>
          </w:p>
        </w:tc>
        <w:tc>
          <w:tcPr>
            <w:tcW w:w="853" w:type="dxa"/>
            <w:vMerge w:val="continue"/>
            <w:tcBorders>
              <w:top w:val="nil"/>
            </w:tcBorders>
            <w:vAlign w:val="top"/>
          </w:tcPr>
          <w:p w14:paraId="213E3464">
            <w:pPr>
              <w:rPr>
                <w:rFonts w:ascii="Arial"/>
                <w:sz w:val="21"/>
              </w:rPr>
            </w:pPr>
          </w:p>
        </w:tc>
        <w:tc>
          <w:tcPr>
            <w:tcW w:w="852" w:type="dxa"/>
            <w:gridSpan w:val="2"/>
            <w:vMerge w:val="continue"/>
            <w:tcBorders>
              <w:top w:val="nil"/>
            </w:tcBorders>
            <w:vAlign w:val="top"/>
          </w:tcPr>
          <w:p w14:paraId="0F45C85A">
            <w:pPr>
              <w:rPr>
                <w:rFonts w:ascii="Arial"/>
                <w:sz w:val="21"/>
              </w:rPr>
            </w:pPr>
          </w:p>
        </w:tc>
        <w:tc>
          <w:tcPr>
            <w:tcW w:w="1982" w:type="dxa"/>
            <w:gridSpan w:val="2"/>
            <w:vAlign w:val="top"/>
          </w:tcPr>
          <w:p w14:paraId="3671E39F">
            <w:pPr>
              <w:spacing w:before="68" w:line="228" w:lineRule="auto"/>
              <w:ind w:left="120"/>
              <w:rPr>
                <w:rFonts w:ascii="宋体" w:hAnsi="宋体" w:eastAsia="宋体" w:cs="宋体"/>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12-20</w:t>
            </w:r>
            <w:r>
              <w:rPr>
                <w:rFonts w:ascii="宋体" w:hAnsi="宋体" w:eastAsia="宋体" w:cs="宋体"/>
                <w:spacing w:val="-1"/>
                <w:sz w:val="20"/>
                <w:szCs w:val="20"/>
              </w:rPr>
              <w:t>）夜间</w:t>
            </w:r>
          </w:p>
        </w:tc>
        <w:tc>
          <w:tcPr>
            <w:tcW w:w="903" w:type="dxa"/>
            <w:gridSpan w:val="2"/>
            <w:vAlign w:val="top"/>
          </w:tcPr>
          <w:p w14:paraId="5F5797DB">
            <w:pPr>
              <w:spacing w:before="113"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1363" w:type="dxa"/>
            <w:gridSpan w:val="2"/>
            <w:vAlign w:val="top"/>
          </w:tcPr>
          <w:p w14:paraId="485E1F29">
            <w:pPr>
              <w:spacing w:before="109" w:line="201" w:lineRule="auto"/>
              <w:ind w:left="31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554" w:type="dxa"/>
            <w:vAlign w:val="top"/>
          </w:tcPr>
          <w:p w14:paraId="58518249">
            <w:pPr>
              <w:spacing w:before="68" w:line="228" w:lineRule="auto"/>
              <w:ind w:left="577"/>
              <w:rPr>
                <w:rFonts w:ascii="宋体" w:hAnsi="宋体" w:eastAsia="宋体" w:cs="宋体"/>
                <w:sz w:val="20"/>
                <w:szCs w:val="20"/>
              </w:rPr>
            </w:pPr>
            <w:r>
              <w:rPr>
                <w:rFonts w:ascii="宋体" w:hAnsi="宋体" w:eastAsia="宋体" w:cs="宋体"/>
                <w:spacing w:val="5"/>
                <w:sz w:val="20"/>
                <w:szCs w:val="20"/>
              </w:rPr>
              <w:t>达标</w:t>
            </w:r>
          </w:p>
        </w:tc>
        <w:tc>
          <w:tcPr>
            <w:tcW w:w="120" w:type="dxa"/>
            <w:tcBorders>
              <w:top w:val="nil"/>
              <w:bottom w:val="nil"/>
              <w:right w:val="single" w:color="000000" w:sz="6" w:space="0"/>
            </w:tcBorders>
            <w:vAlign w:val="top"/>
          </w:tcPr>
          <w:p w14:paraId="54E36A19">
            <w:pPr>
              <w:rPr>
                <w:rFonts w:ascii="Arial"/>
                <w:sz w:val="21"/>
              </w:rPr>
            </w:pPr>
          </w:p>
        </w:tc>
      </w:tr>
      <w:tr w14:paraId="26358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428" w:type="dxa"/>
            <w:vMerge w:val="continue"/>
            <w:tcBorders>
              <w:top w:val="nil"/>
              <w:left w:val="single" w:color="000000" w:sz="6" w:space="0"/>
              <w:bottom w:val="nil"/>
            </w:tcBorders>
            <w:vAlign w:val="top"/>
          </w:tcPr>
          <w:p w14:paraId="5189B650">
            <w:pPr>
              <w:rPr>
                <w:rFonts w:ascii="Arial"/>
                <w:sz w:val="21"/>
              </w:rPr>
            </w:pPr>
          </w:p>
        </w:tc>
        <w:tc>
          <w:tcPr>
            <w:tcW w:w="113" w:type="dxa"/>
            <w:tcBorders>
              <w:top w:val="nil"/>
              <w:bottom w:val="nil"/>
            </w:tcBorders>
            <w:vAlign w:val="top"/>
          </w:tcPr>
          <w:p w14:paraId="1930E72D">
            <w:pPr>
              <w:rPr>
                <w:rFonts w:ascii="Arial"/>
                <w:sz w:val="21"/>
              </w:rPr>
            </w:pPr>
          </w:p>
        </w:tc>
        <w:tc>
          <w:tcPr>
            <w:tcW w:w="896" w:type="dxa"/>
            <w:vMerge w:val="restart"/>
            <w:tcBorders>
              <w:bottom w:val="nil"/>
            </w:tcBorders>
            <w:vAlign w:val="top"/>
          </w:tcPr>
          <w:p w14:paraId="6A3AD2A2">
            <w:pPr>
              <w:spacing w:line="243" w:lineRule="auto"/>
              <w:rPr>
                <w:rFonts w:ascii="Arial"/>
                <w:sz w:val="21"/>
              </w:rPr>
            </w:pPr>
          </w:p>
          <w:p w14:paraId="47D99BEE">
            <w:pPr>
              <w:spacing w:line="244" w:lineRule="auto"/>
              <w:rPr>
                <w:rFonts w:ascii="Arial"/>
                <w:sz w:val="21"/>
              </w:rPr>
            </w:pPr>
          </w:p>
          <w:p w14:paraId="54839888">
            <w:pPr>
              <w:spacing w:line="244" w:lineRule="auto"/>
              <w:rPr>
                <w:rFonts w:ascii="Arial"/>
                <w:sz w:val="21"/>
              </w:rPr>
            </w:pPr>
          </w:p>
          <w:p w14:paraId="595684ED">
            <w:pPr>
              <w:spacing w:before="58" w:line="195" w:lineRule="auto"/>
              <w:ind w:left="308"/>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N2</w:t>
            </w:r>
          </w:p>
        </w:tc>
        <w:tc>
          <w:tcPr>
            <w:tcW w:w="853" w:type="dxa"/>
            <w:vMerge w:val="restart"/>
            <w:tcBorders>
              <w:bottom w:val="nil"/>
            </w:tcBorders>
            <w:vAlign w:val="top"/>
          </w:tcPr>
          <w:p w14:paraId="734C856A">
            <w:pPr>
              <w:spacing w:line="475" w:lineRule="auto"/>
              <w:rPr>
                <w:rFonts w:ascii="Arial"/>
                <w:sz w:val="21"/>
              </w:rPr>
            </w:pPr>
          </w:p>
          <w:p w14:paraId="44C365E7">
            <w:pPr>
              <w:spacing w:before="65" w:line="379" w:lineRule="auto"/>
              <w:ind w:left="325" w:right="115" w:hanging="211"/>
              <w:rPr>
                <w:rFonts w:ascii="宋体" w:hAnsi="宋体" w:eastAsia="宋体" w:cs="宋体"/>
                <w:sz w:val="20"/>
                <w:szCs w:val="20"/>
              </w:rPr>
            </w:pPr>
            <w:r>
              <w:rPr>
                <w:rFonts w:ascii="宋体" w:hAnsi="宋体" w:eastAsia="宋体" w:cs="宋体"/>
                <w:spacing w:val="6"/>
                <w:sz w:val="20"/>
                <w:szCs w:val="20"/>
              </w:rPr>
              <w:t>南面厂</w:t>
            </w:r>
            <w:r>
              <w:rPr>
                <w:rFonts w:ascii="宋体" w:hAnsi="宋体" w:eastAsia="宋体" w:cs="宋体"/>
                <w:sz w:val="20"/>
                <w:szCs w:val="20"/>
              </w:rPr>
              <w:t>界</w:t>
            </w:r>
          </w:p>
        </w:tc>
        <w:tc>
          <w:tcPr>
            <w:tcW w:w="852" w:type="dxa"/>
            <w:gridSpan w:val="2"/>
            <w:vMerge w:val="restart"/>
            <w:tcBorders>
              <w:bottom w:val="nil"/>
            </w:tcBorders>
            <w:vAlign w:val="top"/>
          </w:tcPr>
          <w:p w14:paraId="72E1619B">
            <w:pPr>
              <w:spacing w:line="477" w:lineRule="auto"/>
              <w:rPr>
                <w:rFonts w:ascii="Arial"/>
                <w:sz w:val="21"/>
              </w:rPr>
            </w:pPr>
          </w:p>
          <w:p w14:paraId="471C41B3">
            <w:pPr>
              <w:spacing w:before="65" w:line="378" w:lineRule="auto"/>
              <w:ind w:left="325" w:right="113" w:hanging="210"/>
              <w:rPr>
                <w:rFonts w:ascii="宋体" w:hAnsi="宋体" w:eastAsia="宋体" w:cs="宋体"/>
                <w:sz w:val="20"/>
                <w:szCs w:val="20"/>
              </w:rPr>
            </w:pPr>
            <w:r>
              <w:rPr>
                <w:rFonts w:ascii="宋体" w:hAnsi="宋体" w:eastAsia="宋体" w:cs="宋体"/>
                <w:spacing w:val="6"/>
                <w:sz w:val="20"/>
                <w:szCs w:val="20"/>
              </w:rPr>
              <w:t>厂界噪</w:t>
            </w:r>
            <w:r>
              <w:rPr>
                <w:rFonts w:ascii="宋体" w:hAnsi="宋体" w:eastAsia="宋体" w:cs="宋体"/>
                <w:sz w:val="20"/>
                <w:szCs w:val="20"/>
              </w:rPr>
              <w:t>声</w:t>
            </w:r>
          </w:p>
        </w:tc>
        <w:tc>
          <w:tcPr>
            <w:tcW w:w="1982" w:type="dxa"/>
            <w:gridSpan w:val="2"/>
            <w:vAlign w:val="top"/>
          </w:tcPr>
          <w:p w14:paraId="4A0980B0">
            <w:pPr>
              <w:spacing w:before="61" w:line="231" w:lineRule="auto"/>
              <w:ind w:left="120"/>
              <w:rPr>
                <w:rFonts w:ascii="宋体" w:hAnsi="宋体" w:eastAsia="宋体" w:cs="宋体"/>
                <w:sz w:val="20"/>
                <w:szCs w:val="20"/>
              </w:rPr>
            </w:pPr>
            <w:r>
              <w:rPr>
                <w:rFonts w:ascii="宋体" w:hAnsi="宋体" w:eastAsia="宋体" w:cs="宋体"/>
                <w:spacing w:val="-3"/>
                <w:sz w:val="20"/>
                <w:szCs w:val="20"/>
              </w:rPr>
              <w:t>（</w:t>
            </w:r>
            <w:r>
              <w:rPr>
                <w:rFonts w:ascii="Times New Roman" w:hAnsi="Times New Roman" w:eastAsia="Times New Roman" w:cs="Times New Roman"/>
                <w:spacing w:val="-3"/>
                <w:sz w:val="20"/>
                <w:szCs w:val="20"/>
              </w:rPr>
              <w:t>2023-</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pacing w:val="-3"/>
                <w:sz w:val="20"/>
                <w:szCs w:val="20"/>
              </w:rPr>
              <w:t>12-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19</w:t>
            </w:r>
            <w:r>
              <w:rPr>
                <w:rFonts w:ascii="宋体" w:hAnsi="宋体" w:eastAsia="宋体" w:cs="宋体"/>
                <w:spacing w:val="-3"/>
                <w:sz w:val="20"/>
                <w:szCs w:val="20"/>
              </w:rPr>
              <w:t>）昼间</w:t>
            </w:r>
          </w:p>
        </w:tc>
        <w:tc>
          <w:tcPr>
            <w:tcW w:w="903" w:type="dxa"/>
            <w:gridSpan w:val="2"/>
            <w:vAlign w:val="top"/>
          </w:tcPr>
          <w:p w14:paraId="1D079FEF">
            <w:pPr>
              <w:spacing w:before="110" w:line="192" w:lineRule="auto"/>
              <w:ind w:left="355"/>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p>
        </w:tc>
        <w:tc>
          <w:tcPr>
            <w:tcW w:w="1363" w:type="dxa"/>
            <w:gridSpan w:val="2"/>
            <w:vAlign w:val="top"/>
          </w:tcPr>
          <w:p w14:paraId="3D1B9AD6">
            <w:pPr>
              <w:spacing w:before="103" w:line="201"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554" w:type="dxa"/>
            <w:vAlign w:val="top"/>
          </w:tcPr>
          <w:p w14:paraId="5827B98C">
            <w:pPr>
              <w:spacing w:before="62" w:line="228" w:lineRule="auto"/>
              <w:ind w:left="577"/>
              <w:rPr>
                <w:rFonts w:ascii="宋体" w:hAnsi="宋体" w:eastAsia="宋体" w:cs="宋体"/>
                <w:sz w:val="20"/>
                <w:szCs w:val="20"/>
              </w:rPr>
            </w:pPr>
            <w:r>
              <w:rPr>
                <w:rFonts w:ascii="宋体" w:hAnsi="宋体" w:eastAsia="宋体" w:cs="宋体"/>
                <w:spacing w:val="5"/>
                <w:sz w:val="20"/>
                <w:szCs w:val="20"/>
              </w:rPr>
              <w:t>达标</w:t>
            </w:r>
          </w:p>
        </w:tc>
        <w:tc>
          <w:tcPr>
            <w:tcW w:w="120" w:type="dxa"/>
            <w:tcBorders>
              <w:top w:val="nil"/>
              <w:bottom w:val="nil"/>
              <w:right w:val="single" w:color="000000" w:sz="6" w:space="0"/>
            </w:tcBorders>
            <w:vAlign w:val="top"/>
          </w:tcPr>
          <w:p w14:paraId="0EC2DF25">
            <w:pPr>
              <w:rPr>
                <w:rFonts w:ascii="Arial"/>
                <w:sz w:val="21"/>
              </w:rPr>
            </w:pPr>
          </w:p>
        </w:tc>
      </w:tr>
      <w:tr w14:paraId="7E74C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428" w:type="dxa"/>
            <w:vMerge w:val="continue"/>
            <w:tcBorders>
              <w:top w:val="nil"/>
              <w:left w:val="single" w:color="000000" w:sz="6" w:space="0"/>
              <w:bottom w:val="nil"/>
            </w:tcBorders>
            <w:vAlign w:val="top"/>
          </w:tcPr>
          <w:p w14:paraId="7DAAE2BE">
            <w:pPr>
              <w:rPr>
                <w:rFonts w:ascii="Arial"/>
                <w:sz w:val="21"/>
              </w:rPr>
            </w:pPr>
          </w:p>
        </w:tc>
        <w:tc>
          <w:tcPr>
            <w:tcW w:w="113" w:type="dxa"/>
            <w:tcBorders>
              <w:top w:val="nil"/>
              <w:bottom w:val="nil"/>
            </w:tcBorders>
            <w:vAlign w:val="top"/>
          </w:tcPr>
          <w:p w14:paraId="37F0CEC1">
            <w:pPr>
              <w:rPr>
                <w:rFonts w:ascii="Arial"/>
                <w:sz w:val="21"/>
              </w:rPr>
            </w:pPr>
          </w:p>
        </w:tc>
        <w:tc>
          <w:tcPr>
            <w:tcW w:w="896" w:type="dxa"/>
            <w:vMerge w:val="continue"/>
            <w:tcBorders>
              <w:top w:val="nil"/>
              <w:bottom w:val="nil"/>
            </w:tcBorders>
            <w:vAlign w:val="top"/>
          </w:tcPr>
          <w:p w14:paraId="7114B6DD">
            <w:pPr>
              <w:rPr>
                <w:rFonts w:ascii="Arial"/>
                <w:sz w:val="21"/>
              </w:rPr>
            </w:pPr>
          </w:p>
        </w:tc>
        <w:tc>
          <w:tcPr>
            <w:tcW w:w="853" w:type="dxa"/>
            <w:vMerge w:val="continue"/>
            <w:tcBorders>
              <w:top w:val="nil"/>
              <w:bottom w:val="nil"/>
            </w:tcBorders>
            <w:vAlign w:val="top"/>
          </w:tcPr>
          <w:p w14:paraId="3BF35B57">
            <w:pPr>
              <w:rPr>
                <w:rFonts w:ascii="Arial"/>
                <w:sz w:val="21"/>
              </w:rPr>
            </w:pPr>
          </w:p>
        </w:tc>
        <w:tc>
          <w:tcPr>
            <w:tcW w:w="852" w:type="dxa"/>
            <w:gridSpan w:val="2"/>
            <w:vMerge w:val="continue"/>
            <w:tcBorders>
              <w:top w:val="nil"/>
              <w:bottom w:val="nil"/>
            </w:tcBorders>
            <w:vAlign w:val="top"/>
          </w:tcPr>
          <w:p w14:paraId="240E00D7">
            <w:pPr>
              <w:rPr>
                <w:rFonts w:ascii="Arial"/>
                <w:sz w:val="21"/>
              </w:rPr>
            </w:pPr>
          </w:p>
        </w:tc>
        <w:tc>
          <w:tcPr>
            <w:tcW w:w="1982" w:type="dxa"/>
            <w:gridSpan w:val="2"/>
            <w:vAlign w:val="top"/>
          </w:tcPr>
          <w:p w14:paraId="7C0901F8">
            <w:pPr>
              <w:spacing w:before="62" w:line="228" w:lineRule="auto"/>
              <w:ind w:left="120"/>
              <w:rPr>
                <w:rFonts w:ascii="宋体" w:hAnsi="宋体" w:eastAsia="宋体" w:cs="宋体"/>
                <w:sz w:val="20"/>
                <w:szCs w:val="20"/>
              </w:rPr>
            </w:pPr>
            <w:r>
              <w:rPr>
                <w:rFonts w:ascii="宋体" w:hAnsi="宋体" w:eastAsia="宋体" w:cs="宋体"/>
                <w:spacing w:val="-3"/>
                <w:sz w:val="20"/>
                <w:szCs w:val="20"/>
              </w:rPr>
              <w:t>（</w:t>
            </w:r>
            <w:r>
              <w:rPr>
                <w:rFonts w:ascii="Times New Roman" w:hAnsi="Times New Roman" w:eastAsia="Times New Roman" w:cs="Times New Roman"/>
                <w:spacing w:val="-3"/>
                <w:sz w:val="20"/>
                <w:szCs w:val="20"/>
              </w:rPr>
              <w:t>2023-</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pacing w:val="-3"/>
                <w:sz w:val="20"/>
                <w:szCs w:val="20"/>
              </w:rPr>
              <w:t>12-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19</w:t>
            </w:r>
            <w:r>
              <w:rPr>
                <w:rFonts w:ascii="宋体" w:hAnsi="宋体" w:eastAsia="宋体" w:cs="宋体"/>
                <w:spacing w:val="-3"/>
                <w:sz w:val="20"/>
                <w:szCs w:val="20"/>
              </w:rPr>
              <w:t>）夜间</w:t>
            </w:r>
          </w:p>
        </w:tc>
        <w:tc>
          <w:tcPr>
            <w:tcW w:w="903" w:type="dxa"/>
            <w:gridSpan w:val="2"/>
            <w:vAlign w:val="top"/>
          </w:tcPr>
          <w:p w14:paraId="6BF7C002">
            <w:pPr>
              <w:spacing w:before="106"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1363" w:type="dxa"/>
            <w:gridSpan w:val="2"/>
            <w:vAlign w:val="top"/>
          </w:tcPr>
          <w:p w14:paraId="6B3E1AE8">
            <w:pPr>
              <w:spacing w:before="102" w:line="201" w:lineRule="auto"/>
              <w:ind w:left="31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554" w:type="dxa"/>
            <w:vAlign w:val="top"/>
          </w:tcPr>
          <w:p w14:paraId="17057A88">
            <w:pPr>
              <w:spacing w:before="63" w:line="228" w:lineRule="auto"/>
              <w:ind w:left="577"/>
              <w:rPr>
                <w:rFonts w:ascii="宋体" w:hAnsi="宋体" w:eastAsia="宋体" w:cs="宋体"/>
                <w:sz w:val="20"/>
                <w:szCs w:val="20"/>
              </w:rPr>
            </w:pPr>
            <w:r>
              <w:rPr>
                <w:rFonts w:ascii="宋体" w:hAnsi="宋体" w:eastAsia="宋体" w:cs="宋体"/>
                <w:spacing w:val="5"/>
                <w:sz w:val="20"/>
                <w:szCs w:val="20"/>
              </w:rPr>
              <w:t>达标</w:t>
            </w:r>
          </w:p>
        </w:tc>
        <w:tc>
          <w:tcPr>
            <w:tcW w:w="120" w:type="dxa"/>
            <w:tcBorders>
              <w:top w:val="nil"/>
              <w:bottom w:val="nil"/>
              <w:right w:val="single" w:color="000000" w:sz="6" w:space="0"/>
            </w:tcBorders>
            <w:vAlign w:val="top"/>
          </w:tcPr>
          <w:p w14:paraId="54E41AE9">
            <w:pPr>
              <w:rPr>
                <w:rFonts w:ascii="Arial"/>
                <w:sz w:val="21"/>
              </w:rPr>
            </w:pPr>
          </w:p>
        </w:tc>
      </w:tr>
      <w:tr w14:paraId="4DBB6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428" w:type="dxa"/>
            <w:vMerge w:val="continue"/>
            <w:tcBorders>
              <w:top w:val="nil"/>
              <w:left w:val="single" w:color="000000" w:sz="6" w:space="0"/>
              <w:bottom w:val="nil"/>
            </w:tcBorders>
            <w:vAlign w:val="top"/>
          </w:tcPr>
          <w:p w14:paraId="1165AE05">
            <w:pPr>
              <w:rPr>
                <w:rFonts w:ascii="Arial"/>
                <w:sz w:val="21"/>
              </w:rPr>
            </w:pPr>
          </w:p>
        </w:tc>
        <w:tc>
          <w:tcPr>
            <w:tcW w:w="113" w:type="dxa"/>
            <w:tcBorders>
              <w:top w:val="nil"/>
              <w:bottom w:val="nil"/>
            </w:tcBorders>
            <w:vAlign w:val="top"/>
          </w:tcPr>
          <w:p w14:paraId="2F809FD4">
            <w:pPr>
              <w:rPr>
                <w:rFonts w:ascii="Arial"/>
                <w:sz w:val="21"/>
              </w:rPr>
            </w:pPr>
          </w:p>
        </w:tc>
        <w:tc>
          <w:tcPr>
            <w:tcW w:w="896" w:type="dxa"/>
            <w:vMerge w:val="continue"/>
            <w:tcBorders>
              <w:top w:val="nil"/>
              <w:bottom w:val="nil"/>
            </w:tcBorders>
            <w:vAlign w:val="top"/>
          </w:tcPr>
          <w:p w14:paraId="2220101E">
            <w:pPr>
              <w:rPr>
                <w:rFonts w:ascii="Arial"/>
                <w:sz w:val="21"/>
              </w:rPr>
            </w:pPr>
          </w:p>
        </w:tc>
        <w:tc>
          <w:tcPr>
            <w:tcW w:w="853" w:type="dxa"/>
            <w:vMerge w:val="continue"/>
            <w:tcBorders>
              <w:top w:val="nil"/>
              <w:bottom w:val="nil"/>
            </w:tcBorders>
            <w:vAlign w:val="top"/>
          </w:tcPr>
          <w:p w14:paraId="42D9C1F7">
            <w:pPr>
              <w:rPr>
                <w:rFonts w:ascii="Arial"/>
                <w:sz w:val="21"/>
              </w:rPr>
            </w:pPr>
          </w:p>
        </w:tc>
        <w:tc>
          <w:tcPr>
            <w:tcW w:w="852" w:type="dxa"/>
            <w:gridSpan w:val="2"/>
            <w:vMerge w:val="continue"/>
            <w:tcBorders>
              <w:top w:val="nil"/>
              <w:bottom w:val="nil"/>
            </w:tcBorders>
            <w:vAlign w:val="top"/>
          </w:tcPr>
          <w:p w14:paraId="430C293B">
            <w:pPr>
              <w:rPr>
                <w:rFonts w:ascii="Arial"/>
                <w:sz w:val="21"/>
              </w:rPr>
            </w:pPr>
          </w:p>
        </w:tc>
        <w:tc>
          <w:tcPr>
            <w:tcW w:w="1982" w:type="dxa"/>
            <w:gridSpan w:val="2"/>
            <w:vAlign w:val="top"/>
          </w:tcPr>
          <w:p w14:paraId="5AB137E4">
            <w:pPr>
              <w:spacing w:before="66" w:line="231" w:lineRule="auto"/>
              <w:ind w:left="120"/>
              <w:rPr>
                <w:rFonts w:ascii="宋体" w:hAnsi="宋体" w:eastAsia="宋体" w:cs="宋体"/>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12-20</w:t>
            </w:r>
            <w:r>
              <w:rPr>
                <w:rFonts w:ascii="宋体" w:hAnsi="宋体" w:eastAsia="宋体" w:cs="宋体"/>
                <w:spacing w:val="-1"/>
                <w:sz w:val="20"/>
                <w:szCs w:val="20"/>
              </w:rPr>
              <w:t>）昼间</w:t>
            </w:r>
          </w:p>
        </w:tc>
        <w:tc>
          <w:tcPr>
            <w:tcW w:w="903" w:type="dxa"/>
            <w:gridSpan w:val="2"/>
            <w:vAlign w:val="top"/>
          </w:tcPr>
          <w:p w14:paraId="0E61F817">
            <w:pPr>
              <w:spacing w:before="109" w:line="195" w:lineRule="auto"/>
              <w:ind w:left="355"/>
              <w:rPr>
                <w:rFonts w:ascii="Times New Roman" w:hAnsi="Times New Roman" w:eastAsia="Times New Roman" w:cs="Times New Roman"/>
                <w:sz w:val="20"/>
                <w:szCs w:val="20"/>
              </w:rPr>
            </w:pPr>
            <w:r>
              <w:rPr>
                <w:rFonts w:ascii="Times New Roman" w:hAnsi="Times New Roman" w:eastAsia="Times New Roman" w:cs="Times New Roman"/>
                <w:sz w:val="20"/>
                <w:szCs w:val="20"/>
              </w:rPr>
              <w:t>56</w:t>
            </w:r>
          </w:p>
        </w:tc>
        <w:tc>
          <w:tcPr>
            <w:tcW w:w="1363" w:type="dxa"/>
            <w:gridSpan w:val="2"/>
            <w:vAlign w:val="top"/>
          </w:tcPr>
          <w:p w14:paraId="2E9D5862">
            <w:pPr>
              <w:spacing w:before="105" w:line="201"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554" w:type="dxa"/>
            <w:vAlign w:val="top"/>
          </w:tcPr>
          <w:p w14:paraId="22E2D873">
            <w:pPr>
              <w:spacing w:before="67" w:line="228" w:lineRule="auto"/>
              <w:ind w:left="577"/>
              <w:rPr>
                <w:rFonts w:ascii="宋体" w:hAnsi="宋体" w:eastAsia="宋体" w:cs="宋体"/>
                <w:sz w:val="20"/>
                <w:szCs w:val="20"/>
              </w:rPr>
            </w:pPr>
            <w:r>
              <w:rPr>
                <w:rFonts w:ascii="宋体" w:hAnsi="宋体" w:eastAsia="宋体" w:cs="宋体"/>
                <w:spacing w:val="5"/>
                <w:sz w:val="20"/>
                <w:szCs w:val="20"/>
              </w:rPr>
              <w:t>达标</w:t>
            </w:r>
          </w:p>
        </w:tc>
        <w:tc>
          <w:tcPr>
            <w:tcW w:w="120" w:type="dxa"/>
            <w:tcBorders>
              <w:top w:val="nil"/>
              <w:bottom w:val="nil"/>
              <w:right w:val="single" w:color="000000" w:sz="6" w:space="0"/>
            </w:tcBorders>
            <w:vAlign w:val="top"/>
          </w:tcPr>
          <w:p w14:paraId="37347B78">
            <w:pPr>
              <w:rPr>
                <w:rFonts w:ascii="Arial"/>
                <w:sz w:val="21"/>
              </w:rPr>
            </w:pPr>
          </w:p>
        </w:tc>
      </w:tr>
      <w:tr w14:paraId="7686D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428" w:type="dxa"/>
            <w:vMerge w:val="continue"/>
            <w:tcBorders>
              <w:top w:val="nil"/>
              <w:left w:val="single" w:color="000000" w:sz="6" w:space="0"/>
              <w:bottom w:val="nil"/>
            </w:tcBorders>
            <w:vAlign w:val="top"/>
          </w:tcPr>
          <w:p w14:paraId="4D77DBB1">
            <w:pPr>
              <w:rPr>
                <w:rFonts w:ascii="Arial"/>
                <w:sz w:val="21"/>
              </w:rPr>
            </w:pPr>
          </w:p>
        </w:tc>
        <w:tc>
          <w:tcPr>
            <w:tcW w:w="113" w:type="dxa"/>
            <w:tcBorders>
              <w:top w:val="nil"/>
              <w:bottom w:val="nil"/>
            </w:tcBorders>
            <w:vAlign w:val="top"/>
          </w:tcPr>
          <w:p w14:paraId="090E4DA3">
            <w:pPr>
              <w:rPr>
                <w:rFonts w:ascii="Arial"/>
                <w:sz w:val="21"/>
              </w:rPr>
            </w:pPr>
          </w:p>
        </w:tc>
        <w:tc>
          <w:tcPr>
            <w:tcW w:w="896" w:type="dxa"/>
            <w:vMerge w:val="continue"/>
            <w:tcBorders>
              <w:top w:val="nil"/>
            </w:tcBorders>
            <w:vAlign w:val="top"/>
          </w:tcPr>
          <w:p w14:paraId="3F21814E">
            <w:pPr>
              <w:rPr>
                <w:rFonts w:ascii="Arial"/>
                <w:sz w:val="21"/>
              </w:rPr>
            </w:pPr>
          </w:p>
        </w:tc>
        <w:tc>
          <w:tcPr>
            <w:tcW w:w="853" w:type="dxa"/>
            <w:vMerge w:val="continue"/>
            <w:tcBorders>
              <w:top w:val="nil"/>
            </w:tcBorders>
            <w:vAlign w:val="top"/>
          </w:tcPr>
          <w:p w14:paraId="2F70A42B">
            <w:pPr>
              <w:rPr>
                <w:rFonts w:ascii="Arial"/>
                <w:sz w:val="21"/>
              </w:rPr>
            </w:pPr>
          </w:p>
        </w:tc>
        <w:tc>
          <w:tcPr>
            <w:tcW w:w="852" w:type="dxa"/>
            <w:gridSpan w:val="2"/>
            <w:vMerge w:val="continue"/>
            <w:tcBorders>
              <w:top w:val="nil"/>
            </w:tcBorders>
            <w:vAlign w:val="top"/>
          </w:tcPr>
          <w:p w14:paraId="411793B9">
            <w:pPr>
              <w:rPr>
                <w:rFonts w:ascii="Arial"/>
                <w:sz w:val="21"/>
              </w:rPr>
            </w:pPr>
          </w:p>
        </w:tc>
        <w:tc>
          <w:tcPr>
            <w:tcW w:w="1982" w:type="dxa"/>
            <w:gridSpan w:val="2"/>
            <w:vAlign w:val="top"/>
          </w:tcPr>
          <w:p w14:paraId="7CB65DB9">
            <w:pPr>
              <w:spacing w:before="69" w:line="228" w:lineRule="auto"/>
              <w:ind w:left="120"/>
              <w:rPr>
                <w:rFonts w:ascii="宋体" w:hAnsi="宋体" w:eastAsia="宋体" w:cs="宋体"/>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12-20</w:t>
            </w:r>
            <w:r>
              <w:rPr>
                <w:rFonts w:ascii="宋体" w:hAnsi="宋体" w:eastAsia="宋体" w:cs="宋体"/>
                <w:spacing w:val="-1"/>
                <w:sz w:val="20"/>
                <w:szCs w:val="20"/>
              </w:rPr>
              <w:t>）夜间</w:t>
            </w:r>
          </w:p>
        </w:tc>
        <w:tc>
          <w:tcPr>
            <w:tcW w:w="903" w:type="dxa"/>
            <w:gridSpan w:val="2"/>
            <w:vAlign w:val="top"/>
          </w:tcPr>
          <w:p w14:paraId="0897034A">
            <w:pPr>
              <w:spacing w:before="113"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w:t>
            </w:r>
          </w:p>
        </w:tc>
        <w:tc>
          <w:tcPr>
            <w:tcW w:w="1363" w:type="dxa"/>
            <w:gridSpan w:val="2"/>
            <w:vAlign w:val="top"/>
          </w:tcPr>
          <w:p w14:paraId="5440B3AF">
            <w:pPr>
              <w:spacing w:before="109" w:line="201" w:lineRule="auto"/>
              <w:ind w:left="31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554" w:type="dxa"/>
            <w:vAlign w:val="top"/>
          </w:tcPr>
          <w:p w14:paraId="65C81343">
            <w:pPr>
              <w:spacing w:before="70" w:line="228" w:lineRule="auto"/>
              <w:ind w:left="577"/>
              <w:rPr>
                <w:rFonts w:ascii="宋体" w:hAnsi="宋体" w:eastAsia="宋体" w:cs="宋体"/>
                <w:sz w:val="20"/>
                <w:szCs w:val="20"/>
              </w:rPr>
            </w:pPr>
            <w:r>
              <w:rPr>
                <w:rFonts w:ascii="宋体" w:hAnsi="宋体" w:eastAsia="宋体" w:cs="宋体"/>
                <w:spacing w:val="5"/>
                <w:sz w:val="20"/>
                <w:szCs w:val="20"/>
              </w:rPr>
              <w:t>达标</w:t>
            </w:r>
          </w:p>
        </w:tc>
        <w:tc>
          <w:tcPr>
            <w:tcW w:w="120" w:type="dxa"/>
            <w:tcBorders>
              <w:top w:val="nil"/>
              <w:bottom w:val="nil"/>
              <w:right w:val="single" w:color="000000" w:sz="6" w:space="0"/>
            </w:tcBorders>
            <w:vAlign w:val="top"/>
          </w:tcPr>
          <w:p w14:paraId="43FFA8BD">
            <w:pPr>
              <w:rPr>
                <w:rFonts w:ascii="Arial"/>
                <w:sz w:val="21"/>
              </w:rPr>
            </w:pPr>
          </w:p>
        </w:tc>
      </w:tr>
      <w:tr w14:paraId="5D095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428" w:type="dxa"/>
            <w:vMerge w:val="continue"/>
            <w:tcBorders>
              <w:top w:val="nil"/>
              <w:left w:val="single" w:color="000000" w:sz="6" w:space="0"/>
              <w:bottom w:val="single" w:color="000000" w:sz="6" w:space="0"/>
            </w:tcBorders>
            <w:vAlign w:val="top"/>
          </w:tcPr>
          <w:p w14:paraId="553193FF">
            <w:pPr>
              <w:rPr>
                <w:rFonts w:ascii="Arial"/>
                <w:sz w:val="21"/>
              </w:rPr>
            </w:pPr>
          </w:p>
        </w:tc>
        <w:tc>
          <w:tcPr>
            <w:tcW w:w="113" w:type="dxa"/>
            <w:tcBorders>
              <w:top w:val="nil"/>
              <w:bottom w:val="single" w:color="000000" w:sz="6" w:space="0"/>
            </w:tcBorders>
            <w:vAlign w:val="top"/>
          </w:tcPr>
          <w:p w14:paraId="77AE22B7">
            <w:pPr>
              <w:rPr>
                <w:rFonts w:ascii="Arial"/>
                <w:sz w:val="21"/>
              </w:rPr>
            </w:pPr>
          </w:p>
        </w:tc>
        <w:tc>
          <w:tcPr>
            <w:tcW w:w="896" w:type="dxa"/>
            <w:tcBorders>
              <w:bottom w:val="single" w:color="000000" w:sz="6" w:space="0"/>
            </w:tcBorders>
            <w:vAlign w:val="top"/>
          </w:tcPr>
          <w:p w14:paraId="5E85E599">
            <w:pPr>
              <w:spacing w:before="108" w:line="195" w:lineRule="auto"/>
              <w:ind w:left="308"/>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N3</w:t>
            </w:r>
          </w:p>
        </w:tc>
        <w:tc>
          <w:tcPr>
            <w:tcW w:w="853" w:type="dxa"/>
            <w:tcBorders>
              <w:bottom w:val="single" w:color="000000" w:sz="6" w:space="0"/>
            </w:tcBorders>
            <w:vAlign w:val="top"/>
          </w:tcPr>
          <w:p w14:paraId="37C0C737">
            <w:pPr>
              <w:spacing w:before="65" w:line="228" w:lineRule="auto"/>
              <w:ind w:left="116"/>
              <w:rPr>
                <w:rFonts w:ascii="宋体" w:hAnsi="宋体" w:eastAsia="宋体" w:cs="宋体"/>
                <w:sz w:val="20"/>
                <w:szCs w:val="20"/>
              </w:rPr>
            </w:pPr>
            <w:r>
              <w:rPr>
                <w:rFonts w:ascii="宋体" w:hAnsi="宋体" w:eastAsia="宋体" w:cs="宋体"/>
                <w:spacing w:val="5"/>
                <w:sz w:val="20"/>
                <w:szCs w:val="20"/>
              </w:rPr>
              <w:t>西面厂</w:t>
            </w:r>
          </w:p>
        </w:tc>
        <w:tc>
          <w:tcPr>
            <w:tcW w:w="852" w:type="dxa"/>
            <w:gridSpan w:val="2"/>
            <w:tcBorders>
              <w:bottom w:val="single" w:color="000000" w:sz="6" w:space="0"/>
            </w:tcBorders>
            <w:vAlign w:val="top"/>
          </w:tcPr>
          <w:p w14:paraId="18BD4498">
            <w:pPr>
              <w:spacing w:before="65" w:line="228" w:lineRule="auto"/>
              <w:ind w:left="115"/>
              <w:rPr>
                <w:rFonts w:ascii="宋体" w:hAnsi="宋体" w:eastAsia="宋体" w:cs="宋体"/>
                <w:sz w:val="20"/>
                <w:szCs w:val="20"/>
              </w:rPr>
            </w:pPr>
            <w:r>
              <w:rPr>
                <w:rFonts w:ascii="宋体" w:hAnsi="宋体" w:eastAsia="宋体" w:cs="宋体"/>
                <w:spacing w:val="6"/>
                <w:sz w:val="20"/>
                <w:szCs w:val="20"/>
              </w:rPr>
              <w:t>厂界噪</w:t>
            </w:r>
          </w:p>
        </w:tc>
        <w:tc>
          <w:tcPr>
            <w:tcW w:w="1982" w:type="dxa"/>
            <w:gridSpan w:val="2"/>
            <w:tcBorders>
              <w:bottom w:val="single" w:color="000000" w:sz="6" w:space="0"/>
            </w:tcBorders>
            <w:vAlign w:val="top"/>
          </w:tcPr>
          <w:p w14:paraId="39068C43">
            <w:pPr>
              <w:spacing w:before="64" w:line="231" w:lineRule="auto"/>
              <w:ind w:left="120"/>
              <w:rPr>
                <w:rFonts w:ascii="宋体" w:hAnsi="宋体" w:eastAsia="宋体" w:cs="宋体"/>
                <w:sz w:val="20"/>
                <w:szCs w:val="20"/>
              </w:rPr>
            </w:pPr>
            <w:r>
              <w:rPr>
                <w:rFonts w:ascii="宋体" w:hAnsi="宋体" w:eastAsia="宋体" w:cs="宋体"/>
                <w:spacing w:val="-3"/>
                <w:sz w:val="20"/>
                <w:szCs w:val="20"/>
              </w:rPr>
              <w:t>（</w:t>
            </w:r>
            <w:r>
              <w:rPr>
                <w:rFonts w:ascii="Times New Roman" w:hAnsi="Times New Roman" w:eastAsia="Times New Roman" w:cs="Times New Roman"/>
                <w:spacing w:val="-3"/>
                <w:sz w:val="20"/>
                <w:szCs w:val="20"/>
              </w:rPr>
              <w:t>2023-</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pacing w:val="-3"/>
                <w:sz w:val="20"/>
                <w:szCs w:val="20"/>
              </w:rPr>
              <w:t>12-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19</w:t>
            </w:r>
            <w:r>
              <w:rPr>
                <w:rFonts w:ascii="宋体" w:hAnsi="宋体" w:eastAsia="宋体" w:cs="宋体"/>
                <w:spacing w:val="-3"/>
                <w:sz w:val="20"/>
                <w:szCs w:val="20"/>
              </w:rPr>
              <w:t>）昼间</w:t>
            </w:r>
          </w:p>
        </w:tc>
        <w:tc>
          <w:tcPr>
            <w:tcW w:w="903" w:type="dxa"/>
            <w:gridSpan w:val="2"/>
            <w:tcBorders>
              <w:bottom w:val="single" w:color="000000" w:sz="6" w:space="0"/>
            </w:tcBorders>
            <w:vAlign w:val="top"/>
          </w:tcPr>
          <w:p w14:paraId="2E8AEB7E">
            <w:pPr>
              <w:spacing w:before="108" w:line="195" w:lineRule="auto"/>
              <w:ind w:left="355"/>
              <w:rPr>
                <w:rFonts w:ascii="Times New Roman" w:hAnsi="Times New Roman" w:eastAsia="Times New Roman" w:cs="Times New Roman"/>
                <w:sz w:val="20"/>
                <w:szCs w:val="20"/>
              </w:rPr>
            </w:pPr>
            <w:r>
              <w:rPr>
                <w:rFonts w:ascii="Times New Roman" w:hAnsi="Times New Roman" w:eastAsia="Times New Roman" w:cs="Times New Roman"/>
                <w:sz w:val="20"/>
                <w:szCs w:val="20"/>
              </w:rPr>
              <w:t>56</w:t>
            </w:r>
          </w:p>
        </w:tc>
        <w:tc>
          <w:tcPr>
            <w:tcW w:w="1363" w:type="dxa"/>
            <w:gridSpan w:val="2"/>
            <w:tcBorders>
              <w:bottom w:val="single" w:color="000000" w:sz="6" w:space="0"/>
            </w:tcBorders>
            <w:vAlign w:val="top"/>
          </w:tcPr>
          <w:p w14:paraId="3E4739D9">
            <w:pPr>
              <w:spacing w:before="104" w:line="201"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554" w:type="dxa"/>
            <w:tcBorders>
              <w:bottom w:val="single" w:color="000000" w:sz="6" w:space="0"/>
            </w:tcBorders>
            <w:vAlign w:val="top"/>
          </w:tcPr>
          <w:p w14:paraId="549BBF71">
            <w:pPr>
              <w:spacing w:before="65" w:line="228" w:lineRule="auto"/>
              <w:ind w:left="577"/>
              <w:rPr>
                <w:rFonts w:ascii="宋体" w:hAnsi="宋体" w:eastAsia="宋体" w:cs="宋体"/>
                <w:sz w:val="20"/>
                <w:szCs w:val="20"/>
              </w:rPr>
            </w:pPr>
            <w:r>
              <w:rPr>
                <w:rFonts w:ascii="宋体" w:hAnsi="宋体" w:eastAsia="宋体" w:cs="宋体"/>
                <w:spacing w:val="5"/>
                <w:sz w:val="20"/>
                <w:szCs w:val="20"/>
              </w:rPr>
              <w:t>达标</w:t>
            </w:r>
          </w:p>
        </w:tc>
        <w:tc>
          <w:tcPr>
            <w:tcW w:w="120" w:type="dxa"/>
            <w:tcBorders>
              <w:top w:val="nil"/>
              <w:bottom w:val="single" w:color="000000" w:sz="6" w:space="0"/>
              <w:right w:val="single" w:color="000000" w:sz="6" w:space="0"/>
            </w:tcBorders>
            <w:vAlign w:val="top"/>
          </w:tcPr>
          <w:p w14:paraId="51D241E4">
            <w:pPr>
              <w:rPr>
                <w:rFonts w:ascii="Arial"/>
                <w:sz w:val="21"/>
              </w:rPr>
            </w:pPr>
          </w:p>
        </w:tc>
      </w:tr>
    </w:tbl>
    <w:p w14:paraId="2604E377">
      <w:pPr>
        <w:pStyle w:val="2"/>
      </w:pPr>
    </w:p>
    <w:p w14:paraId="02146DD3">
      <w:pPr>
        <w:sectPr>
          <w:footerReference r:id="rId72" w:type="default"/>
          <w:pgSz w:w="11906" w:h="16839"/>
          <w:pgMar w:top="400" w:right="1413" w:bottom="1329" w:left="1413" w:header="0" w:footer="1113" w:gutter="0"/>
          <w:cols w:space="720" w:num="1"/>
        </w:sectPr>
      </w:pPr>
    </w:p>
    <w:p w14:paraId="0374DA50">
      <w:pPr>
        <w:spacing w:before="19"/>
      </w:pPr>
      <w:r>
        <w:drawing>
          <wp:anchor distT="0" distB="0" distL="0" distR="0" simplePos="0" relativeHeight="251678720" behindDoc="0" locked="0" layoutInCell="0" allowOverlap="1">
            <wp:simplePos x="0" y="0"/>
            <wp:positionH relativeFrom="page">
              <wp:posOffset>6569075</wp:posOffset>
            </wp:positionH>
            <wp:positionV relativeFrom="page">
              <wp:posOffset>6278245</wp:posOffset>
            </wp:positionV>
            <wp:extent cx="12065" cy="3162300"/>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31"/>
                    <a:stretch>
                      <a:fillRect/>
                    </a:stretch>
                  </pic:blipFill>
                  <pic:spPr>
                    <a:xfrm>
                      <a:off x="0" y="0"/>
                      <a:ext cx="12191" cy="3162300"/>
                    </a:xfrm>
                    <a:prstGeom prst="rect">
                      <a:avLst/>
                    </a:prstGeom>
                  </pic:spPr>
                </pic:pic>
              </a:graphicData>
            </a:graphic>
          </wp:anchor>
        </w:drawing>
      </w:r>
      <w:r>
        <w:pict>
          <v:shape id="_x0000_s1054" o:spid="_x0000_s1054" style="position:absolute;left:0pt;margin-left:518.5pt;margin-top:86pt;height:160.3pt;width:0.5pt;mso-position-horizontal-relative:page;mso-position-vertical-relative:page;z-index:251679744;mso-width-relative:page;mso-height-relative:page;" filled="f" stroked="t" coordsize="10,3206" o:allowincell="f" path="m4,0l4,3205e">
            <v:fill on="f" focussize="0,0"/>
            <v:stroke weight="0.48pt" color="#000000" miterlimit="2" joinstyle="bevel"/>
            <v:imagedata o:title=""/>
            <o:lock v:ext="edit"/>
          </v:shape>
        </w:pict>
      </w:r>
    </w:p>
    <w:p w14:paraId="5636DAEA">
      <w:pPr>
        <w:spacing w:before="19"/>
      </w:pPr>
    </w:p>
    <w:p w14:paraId="24190374">
      <w:pPr>
        <w:spacing w:before="19"/>
      </w:pPr>
    </w:p>
    <w:p w14:paraId="0C28DFF8">
      <w:pPr>
        <w:spacing w:before="18"/>
      </w:pPr>
    </w:p>
    <w:p w14:paraId="24B6421B">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5"/>
        <w:gridCol w:w="875"/>
        <w:gridCol w:w="20"/>
        <w:gridCol w:w="853"/>
        <w:gridCol w:w="864"/>
        <w:gridCol w:w="1396"/>
        <w:gridCol w:w="586"/>
        <w:gridCol w:w="903"/>
        <w:gridCol w:w="747"/>
        <w:gridCol w:w="616"/>
        <w:gridCol w:w="1661"/>
      </w:tblGrid>
      <w:tr w14:paraId="5B864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428" w:type="dxa"/>
            <w:vMerge w:val="restart"/>
            <w:tcBorders>
              <w:top w:val="single" w:color="000000" w:sz="6" w:space="0"/>
              <w:left w:val="single" w:color="000000" w:sz="6" w:space="0"/>
              <w:bottom w:val="nil"/>
            </w:tcBorders>
            <w:vAlign w:val="top"/>
          </w:tcPr>
          <w:p w14:paraId="04E5AEBC">
            <w:pPr>
              <w:rPr>
                <w:rFonts w:ascii="Arial"/>
                <w:sz w:val="21"/>
              </w:rPr>
            </w:pPr>
          </w:p>
        </w:tc>
        <w:tc>
          <w:tcPr>
            <w:tcW w:w="115" w:type="dxa"/>
            <w:tcBorders>
              <w:top w:val="single" w:color="000000" w:sz="6" w:space="0"/>
              <w:bottom w:val="nil"/>
            </w:tcBorders>
            <w:vAlign w:val="top"/>
          </w:tcPr>
          <w:p w14:paraId="0663BB16">
            <w:pPr>
              <w:rPr>
                <w:rFonts w:ascii="Arial"/>
                <w:sz w:val="21"/>
              </w:rPr>
            </w:pPr>
          </w:p>
        </w:tc>
        <w:tc>
          <w:tcPr>
            <w:tcW w:w="895" w:type="dxa"/>
            <w:gridSpan w:val="2"/>
            <w:vMerge w:val="restart"/>
            <w:tcBorders>
              <w:top w:val="single" w:color="000000" w:sz="6" w:space="0"/>
              <w:bottom w:val="nil"/>
            </w:tcBorders>
            <w:vAlign w:val="top"/>
          </w:tcPr>
          <w:p w14:paraId="3337B116">
            <w:pPr>
              <w:rPr>
                <w:rFonts w:ascii="Arial"/>
                <w:sz w:val="21"/>
              </w:rPr>
            </w:pPr>
          </w:p>
        </w:tc>
        <w:tc>
          <w:tcPr>
            <w:tcW w:w="853" w:type="dxa"/>
            <w:vMerge w:val="restart"/>
            <w:tcBorders>
              <w:top w:val="single" w:color="000000" w:sz="6" w:space="0"/>
              <w:bottom w:val="nil"/>
            </w:tcBorders>
            <w:vAlign w:val="top"/>
          </w:tcPr>
          <w:p w14:paraId="33EFF362">
            <w:pPr>
              <w:spacing w:before="37" w:line="229" w:lineRule="auto"/>
              <w:ind w:left="324"/>
              <w:rPr>
                <w:rFonts w:ascii="宋体" w:hAnsi="宋体" w:eastAsia="宋体" w:cs="宋体"/>
                <w:sz w:val="20"/>
                <w:szCs w:val="20"/>
              </w:rPr>
            </w:pPr>
            <w:r>
              <w:rPr>
                <w:rFonts w:ascii="宋体" w:hAnsi="宋体" w:eastAsia="宋体" w:cs="宋体"/>
                <w:sz w:val="20"/>
                <w:szCs w:val="20"/>
              </w:rPr>
              <w:t>界</w:t>
            </w:r>
          </w:p>
        </w:tc>
        <w:tc>
          <w:tcPr>
            <w:tcW w:w="864" w:type="dxa"/>
            <w:vMerge w:val="restart"/>
            <w:tcBorders>
              <w:top w:val="single" w:color="000000" w:sz="6" w:space="0"/>
              <w:bottom w:val="nil"/>
            </w:tcBorders>
            <w:vAlign w:val="top"/>
          </w:tcPr>
          <w:p w14:paraId="46BAAAAB">
            <w:pPr>
              <w:spacing w:before="37" w:line="228" w:lineRule="auto"/>
              <w:ind w:left="325"/>
              <w:rPr>
                <w:rFonts w:ascii="宋体" w:hAnsi="宋体" w:eastAsia="宋体" w:cs="宋体"/>
                <w:sz w:val="20"/>
                <w:szCs w:val="20"/>
              </w:rPr>
            </w:pPr>
            <w:r>
              <w:rPr>
                <w:rFonts w:ascii="宋体" w:hAnsi="宋体" w:eastAsia="宋体" w:cs="宋体"/>
                <w:sz w:val="20"/>
                <w:szCs w:val="20"/>
              </w:rPr>
              <w:t>声</w:t>
            </w:r>
          </w:p>
        </w:tc>
        <w:tc>
          <w:tcPr>
            <w:tcW w:w="1982" w:type="dxa"/>
            <w:gridSpan w:val="2"/>
            <w:tcBorders>
              <w:top w:val="single" w:color="000000" w:sz="6" w:space="0"/>
            </w:tcBorders>
            <w:vAlign w:val="top"/>
          </w:tcPr>
          <w:p w14:paraId="04E40614">
            <w:pPr>
              <w:spacing w:before="53" w:line="228" w:lineRule="auto"/>
              <w:ind w:left="107"/>
              <w:rPr>
                <w:rFonts w:ascii="宋体" w:hAnsi="宋体" w:eastAsia="宋体" w:cs="宋体"/>
                <w:sz w:val="20"/>
                <w:szCs w:val="20"/>
              </w:rPr>
            </w:pPr>
            <w:r>
              <w:rPr>
                <w:rFonts w:ascii="宋体" w:hAnsi="宋体" w:eastAsia="宋体" w:cs="宋体"/>
                <w:spacing w:val="-3"/>
                <w:sz w:val="20"/>
                <w:szCs w:val="20"/>
              </w:rPr>
              <w:t>（</w:t>
            </w:r>
            <w:r>
              <w:rPr>
                <w:rFonts w:ascii="Times New Roman" w:hAnsi="Times New Roman" w:eastAsia="Times New Roman" w:cs="Times New Roman"/>
                <w:spacing w:val="-3"/>
                <w:sz w:val="20"/>
                <w:szCs w:val="20"/>
              </w:rPr>
              <w:t>2023-</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pacing w:val="-3"/>
                <w:sz w:val="20"/>
                <w:szCs w:val="20"/>
              </w:rPr>
              <w:t>12-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19</w:t>
            </w:r>
            <w:r>
              <w:rPr>
                <w:rFonts w:ascii="宋体" w:hAnsi="宋体" w:eastAsia="宋体" w:cs="宋体"/>
                <w:spacing w:val="-3"/>
                <w:sz w:val="20"/>
                <w:szCs w:val="20"/>
              </w:rPr>
              <w:t>）夜间</w:t>
            </w:r>
          </w:p>
        </w:tc>
        <w:tc>
          <w:tcPr>
            <w:tcW w:w="903" w:type="dxa"/>
            <w:tcBorders>
              <w:top w:val="single" w:color="000000" w:sz="6" w:space="0"/>
            </w:tcBorders>
            <w:vAlign w:val="top"/>
          </w:tcPr>
          <w:p w14:paraId="0BF3A69A">
            <w:pPr>
              <w:spacing w:before="99" w:line="195" w:lineRule="auto"/>
              <w:ind w:left="33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1363" w:type="dxa"/>
            <w:gridSpan w:val="2"/>
            <w:tcBorders>
              <w:top w:val="single" w:color="000000" w:sz="6" w:space="0"/>
            </w:tcBorders>
            <w:vAlign w:val="top"/>
          </w:tcPr>
          <w:p w14:paraId="5F06B84C">
            <w:pPr>
              <w:spacing w:before="95" w:line="201" w:lineRule="auto"/>
              <w:ind w:left="3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661" w:type="dxa"/>
            <w:tcBorders>
              <w:top w:val="single" w:color="000000" w:sz="6" w:space="0"/>
              <w:right w:val="single" w:color="000000" w:sz="6" w:space="0"/>
            </w:tcBorders>
            <w:vAlign w:val="top"/>
          </w:tcPr>
          <w:p w14:paraId="6A25CD8A">
            <w:pPr>
              <w:spacing w:before="54" w:line="228" w:lineRule="auto"/>
              <w:ind w:left="564"/>
              <w:rPr>
                <w:rFonts w:ascii="宋体" w:hAnsi="宋体" w:eastAsia="宋体" w:cs="宋体"/>
                <w:sz w:val="20"/>
                <w:szCs w:val="20"/>
              </w:rPr>
            </w:pPr>
            <w:r>
              <w:rPr>
                <w:rFonts w:ascii="宋体" w:hAnsi="宋体" w:eastAsia="宋体" w:cs="宋体"/>
                <w:spacing w:val="5"/>
                <w:sz w:val="20"/>
                <w:szCs w:val="20"/>
              </w:rPr>
              <w:t>达标</w:t>
            </w:r>
          </w:p>
        </w:tc>
      </w:tr>
      <w:tr w14:paraId="66559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428" w:type="dxa"/>
            <w:vMerge w:val="continue"/>
            <w:tcBorders>
              <w:top w:val="nil"/>
              <w:left w:val="single" w:color="000000" w:sz="6" w:space="0"/>
              <w:bottom w:val="nil"/>
            </w:tcBorders>
            <w:vAlign w:val="top"/>
          </w:tcPr>
          <w:p w14:paraId="335F0418">
            <w:pPr>
              <w:rPr>
                <w:rFonts w:ascii="Arial"/>
                <w:sz w:val="21"/>
              </w:rPr>
            </w:pPr>
          </w:p>
        </w:tc>
        <w:tc>
          <w:tcPr>
            <w:tcW w:w="115" w:type="dxa"/>
            <w:tcBorders>
              <w:top w:val="nil"/>
              <w:bottom w:val="nil"/>
            </w:tcBorders>
            <w:vAlign w:val="top"/>
          </w:tcPr>
          <w:p w14:paraId="7A6E3027">
            <w:pPr>
              <w:rPr>
                <w:rFonts w:ascii="Arial"/>
                <w:sz w:val="21"/>
              </w:rPr>
            </w:pPr>
          </w:p>
        </w:tc>
        <w:tc>
          <w:tcPr>
            <w:tcW w:w="895" w:type="dxa"/>
            <w:gridSpan w:val="2"/>
            <w:vMerge w:val="continue"/>
            <w:tcBorders>
              <w:top w:val="nil"/>
              <w:bottom w:val="nil"/>
            </w:tcBorders>
            <w:vAlign w:val="top"/>
          </w:tcPr>
          <w:p w14:paraId="09E26C30">
            <w:pPr>
              <w:rPr>
                <w:rFonts w:ascii="Arial"/>
                <w:sz w:val="21"/>
              </w:rPr>
            </w:pPr>
          </w:p>
        </w:tc>
        <w:tc>
          <w:tcPr>
            <w:tcW w:w="853" w:type="dxa"/>
            <w:vMerge w:val="continue"/>
            <w:tcBorders>
              <w:top w:val="nil"/>
              <w:bottom w:val="nil"/>
            </w:tcBorders>
            <w:vAlign w:val="top"/>
          </w:tcPr>
          <w:p w14:paraId="6469235B">
            <w:pPr>
              <w:rPr>
                <w:rFonts w:ascii="Arial"/>
                <w:sz w:val="21"/>
              </w:rPr>
            </w:pPr>
          </w:p>
        </w:tc>
        <w:tc>
          <w:tcPr>
            <w:tcW w:w="864" w:type="dxa"/>
            <w:vMerge w:val="continue"/>
            <w:tcBorders>
              <w:top w:val="nil"/>
              <w:bottom w:val="nil"/>
            </w:tcBorders>
            <w:vAlign w:val="top"/>
          </w:tcPr>
          <w:p w14:paraId="21F9EA9C">
            <w:pPr>
              <w:rPr>
                <w:rFonts w:ascii="Arial"/>
                <w:sz w:val="21"/>
              </w:rPr>
            </w:pPr>
          </w:p>
        </w:tc>
        <w:tc>
          <w:tcPr>
            <w:tcW w:w="1982" w:type="dxa"/>
            <w:gridSpan w:val="2"/>
            <w:vAlign w:val="top"/>
          </w:tcPr>
          <w:p w14:paraId="540E133C">
            <w:pPr>
              <w:spacing w:before="55" w:line="231" w:lineRule="auto"/>
              <w:ind w:left="107"/>
              <w:rPr>
                <w:rFonts w:ascii="宋体" w:hAnsi="宋体" w:eastAsia="宋体" w:cs="宋体"/>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12-20</w:t>
            </w:r>
            <w:r>
              <w:rPr>
                <w:rFonts w:ascii="宋体" w:hAnsi="宋体" w:eastAsia="宋体" w:cs="宋体"/>
                <w:spacing w:val="-1"/>
                <w:sz w:val="20"/>
                <w:szCs w:val="20"/>
              </w:rPr>
              <w:t>）昼间</w:t>
            </w:r>
          </w:p>
        </w:tc>
        <w:tc>
          <w:tcPr>
            <w:tcW w:w="903" w:type="dxa"/>
            <w:vAlign w:val="top"/>
          </w:tcPr>
          <w:p w14:paraId="2BAEE05B">
            <w:pPr>
              <w:spacing w:before="101" w:line="195" w:lineRule="auto"/>
              <w:ind w:left="342"/>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1363" w:type="dxa"/>
            <w:gridSpan w:val="2"/>
            <w:vAlign w:val="top"/>
          </w:tcPr>
          <w:p w14:paraId="66040402">
            <w:pPr>
              <w:spacing w:before="97" w:line="201" w:lineRule="auto"/>
              <w:ind w:left="30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661" w:type="dxa"/>
            <w:tcBorders>
              <w:right w:val="single" w:color="000000" w:sz="6" w:space="0"/>
            </w:tcBorders>
            <w:vAlign w:val="top"/>
          </w:tcPr>
          <w:p w14:paraId="4138C0DC">
            <w:pPr>
              <w:spacing w:before="56" w:line="228" w:lineRule="auto"/>
              <w:ind w:left="564"/>
              <w:rPr>
                <w:rFonts w:ascii="宋体" w:hAnsi="宋体" w:eastAsia="宋体" w:cs="宋体"/>
                <w:sz w:val="20"/>
                <w:szCs w:val="20"/>
              </w:rPr>
            </w:pPr>
            <w:r>
              <w:rPr>
                <w:rFonts w:ascii="宋体" w:hAnsi="宋体" w:eastAsia="宋体" w:cs="宋体"/>
                <w:spacing w:val="5"/>
                <w:sz w:val="20"/>
                <w:szCs w:val="20"/>
              </w:rPr>
              <w:t>达标</w:t>
            </w:r>
          </w:p>
        </w:tc>
      </w:tr>
      <w:tr w14:paraId="77887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28" w:type="dxa"/>
            <w:vMerge w:val="continue"/>
            <w:tcBorders>
              <w:top w:val="nil"/>
              <w:left w:val="single" w:color="000000" w:sz="6" w:space="0"/>
              <w:bottom w:val="nil"/>
            </w:tcBorders>
            <w:vAlign w:val="top"/>
          </w:tcPr>
          <w:p w14:paraId="059DD0C3">
            <w:pPr>
              <w:rPr>
                <w:rFonts w:ascii="Arial"/>
                <w:sz w:val="21"/>
              </w:rPr>
            </w:pPr>
          </w:p>
        </w:tc>
        <w:tc>
          <w:tcPr>
            <w:tcW w:w="115" w:type="dxa"/>
            <w:tcBorders>
              <w:top w:val="nil"/>
              <w:bottom w:val="nil"/>
            </w:tcBorders>
            <w:vAlign w:val="top"/>
          </w:tcPr>
          <w:p w14:paraId="46D47214">
            <w:pPr>
              <w:rPr>
                <w:rFonts w:ascii="Arial"/>
                <w:sz w:val="21"/>
              </w:rPr>
            </w:pPr>
          </w:p>
        </w:tc>
        <w:tc>
          <w:tcPr>
            <w:tcW w:w="895" w:type="dxa"/>
            <w:gridSpan w:val="2"/>
            <w:vMerge w:val="continue"/>
            <w:tcBorders>
              <w:top w:val="nil"/>
            </w:tcBorders>
            <w:vAlign w:val="top"/>
          </w:tcPr>
          <w:p w14:paraId="5FFC4E42">
            <w:pPr>
              <w:rPr>
                <w:rFonts w:ascii="Arial"/>
                <w:sz w:val="21"/>
              </w:rPr>
            </w:pPr>
          </w:p>
        </w:tc>
        <w:tc>
          <w:tcPr>
            <w:tcW w:w="853" w:type="dxa"/>
            <w:vMerge w:val="continue"/>
            <w:tcBorders>
              <w:top w:val="nil"/>
            </w:tcBorders>
            <w:vAlign w:val="top"/>
          </w:tcPr>
          <w:p w14:paraId="7BB9E15E">
            <w:pPr>
              <w:rPr>
                <w:rFonts w:ascii="Arial"/>
                <w:sz w:val="21"/>
              </w:rPr>
            </w:pPr>
          </w:p>
        </w:tc>
        <w:tc>
          <w:tcPr>
            <w:tcW w:w="864" w:type="dxa"/>
            <w:vMerge w:val="continue"/>
            <w:tcBorders>
              <w:top w:val="nil"/>
            </w:tcBorders>
            <w:vAlign w:val="top"/>
          </w:tcPr>
          <w:p w14:paraId="61D4BF9D">
            <w:pPr>
              <w:rPr>
                <w:rFonts w:ascii="Arial"/>
                <w:sz w:val="21"/>
              </w:rPr>
            </w:pPr>
          </w:p>
        </w:tc>
        <w:tc>
          <w:tcPr>
            <w:tcW w:w="1982" w:type="dxa"/>
            <w:gridSpan w:val="2"/>
            <w:vAlign w:val="top"/>
          </w:tcPr>
          <w:p w14:paraId="321DF873">
            <w:pPr>
              <w:spacing w:before="58" w:line="228" w:lineRule="auto"/>
              <w:ind w:left="107"/>
              <w:rPr>
                <w:rFonts w:ascii="宋体" w:hAnsi="宋体" w:eastAsia="宋体" w:cs="宋体"/>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12-20</w:t>
            </w:r>
            <w:r>
              <w:rPr>
                <w:rFonts w:ascii="宋体" w:hAnsi="宋体" w:eastAsia="宋体" w:cs="宋体"/>
                <w:spacing w:val="-1"/>
                <w:sz w:val="20"/>
                <w:szCs w:val="20"/>
              </w:rPr>
              <w:t>）夜间</w:t>
            </w:r>
          </w:p>
        </w:tc>
        <w:tc>
          <w:tcPr>
            <w:tcW w:w="903" w:type="dxa"/>
            <w:vAlign w:val="top"/>
          </w:tcPr>
          <w:p w14:paraId="6F14A2E4">
            <w:pPr>
              <w:spacing w:before="102" w:line="195" w:lineRule="auto"/>
              <w:ind w:left="33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w:t>
            </w:r>
          </w:p>
        </w:tc>
        <w:tc>
          <w:tcPr>
            <w:tcW w:w="1363" w:type="dxa"/>
            <w:gridSpan w:val="2"/>
            <w:vAlign w:val="top"/>
          </w:tcPr>
          <w:p w14:paraId="14CA6C34">
            <w:pPr>
              <w:spacing w:before="98" w:line="201" w:lineRule="auto"/>
              <w:ind w:left="3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661" w:type="dxa"/>
            <w:tcBorders>
              <w:right w:val="single" w:color="000000" w:sz="6" w:space="0"/>
            </w:tcBorders>
            <w:vAlign w:val="top"/>
          </w:tcPr>
          <w:p w14:paraId="4A202292">
            <w:pPr>
              <w:spacing w:before="59" w:line="228" w:lineRule="auto"/>
              <w:ind w:left="564"/>
              <w:rPr>
                <w:rFonts w:ascii="宋体" w:hAnsi="宋体" w:eastAsia="宋体" w:cs="宋体"/>
                <w:sz w:val="20"/>
                <w:szCs w:val="20"/>
              </w:rPr>
            </w:pPr>
            <w:r>
              <w:rPr>
                <w:rFonts w:ascii="宋体" w:hAnsi="宋体" w:eastAsia="宋体" w:cs="宋体"/>
                <w:spacing w:val="5"/>
                <w:sz w:val="20"/>
                <w:szCs w:val="20"/>
              </w:rPr>
              <w:t>达标</w:t>
            </w:r>
          </w:p>
        </w:tc>
      </w:tr>
      <w:tr w14:paraId="34557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428" w:type="dxa"/>
            <w:vMerge w:val="continue"/>
            <w:tcBorders>
              <w:top w:val="nil"/>
              <w:left w:val="single" w:color="000000" w:sz="6" w:space="0"/>
              <w:bottom w:val="nil"/>
            </w:tcBorders>
            <w:vAlign w:val="top"/>
          </w:tcPr>
          <w:p w14:paraId="52AD0DB4">
            <w:pPr>
              <w:rPr>
                <w:rFonts w:ascii="Arial"/>
                <w:sz w:val="21"/>
              </w:rPr>
            </w:pPr>
          </w:p>
        </w:tc>
        <w:tc>
          <w:tcPr>
            <w:tcW w:w="115" w:type="dxa"/>
            <w:tcBorders>
              <w:top w:val="nil"/>
              <w:bottom w:val="nil"/>
            </w:tcBorders>
            <w:vAlign w:val="top"/>
          </w:tcPr>
          <w:p w14:paraId="29DD8808">
            <w:pPr>
              <w:rPr>
                <w:rFonts w:ascii="Arial"/>
                <w:sz w:val="21"/>
              </w:rPr>
            </w:pPr>
          </w:p>
        </w:tc>
        <w:tc>
          <w:tcPr>
            <w:tcW w:w="895" w:type="dxa"/>
            <w:gridSpan w:val="2"/>
            <w:vMerge w:val="restart"/>
            <w:tcBorders>
              <w:bottom w:val="nil"/>
            </w:tcBorders>
            <w:vAlign w:val="top"/>
          </w:tcPr>
          <w:p w14:paraId="7F89D318">
            <w:pPr>
              <w:rPr>
                <w:rFonts w:ascii="Arial"/>
                <w:sz w:val="21"/>
              </w:rPr>
            </w:pPr>
          </w:p>
          <w:p w14:paraId="230D80BE">
            <w:pPr>
              <w:spacing w:line="241" w:lineRule="auto"/>
              <w:rPr>
                <w:rFonts w:ascii="Arial"/>
                <w:sz w:val="21"/>
              </w:rPr>
            </w:pPr>
          </w:p>
          <w:p w14:paraId="0440067F">
            <w:pPr>
              <w:spacing w:line="241" w:lineRule="auto"/>
              <w:rPr>
                <w:rFonts w:ascii="Arial"/>
                <w:sz w:val="21"/>
              </w:rPr>
            </w:pPr>
          </w:p>
          <w:p w14:paraId="4E40A2B7">
            <w:pPr>
              <w:spacing w:before="57" w:line="195" w:lineRule="auto"/>
              <w:ind w:left="306"/>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N4</w:t>
            </w:r>
          </w:p>
        </w:tc>
        <w:tc>
          <w:tcPr>
            <w:tcW w:w="853" w:type="dxa"/>
            <w:vMerge w:val="restart"/>
            <w:tcBorders>
              <w:bottom w:val="nil"/>
            </w:tcBorders>
            <w:vAlign w:val="top"/>
          </w:tcPr>
          <w:p w14:paraId="5DC64D1F">
            <w:pPr>
              <w:spacing w:line="466" w:lineRule="auto"/>
              <w:rPr>
                <w:rFonts w:ascii="Arial"/>
                <w:sz w:val="21"/>
              </w:rPr>
            </w:pPr>
          </w:p>
          <w:p w14:paraId="35C9341F">
            <w:pPr>
              <w:spacing w:before="65" w:line="379" w:lineRule="auto"/>
              <w:ind w:left="324" w:right="116" w:hanging="210"/>
              <w:rPr>
                <w:rFonts w:ascii="宋体" w:hAnsi="宋体" w:eastAsia="宋体" w:cs="宋体"/>
                <w:sz w:val="20"/>
                <w:szCs w:val="20"/>
              </w:rPr>
            </w:pPr>
            <w:r>
              <w:rPr>
                <w:rFonts w:ascii="宋体" w:hAnsi="宋体" w:eastAsia="宋体" w:cs="宋体"/>
                <w:spacing w:val="5"/>
                <w:sz w:val="20"/>
                <w:szCs w:val="20"/>
              </w:rPr>
              <w:t>北面厂</w:t>
            </w:r>
            <w:r>
              <w:rPr>
                <w:rFonts w:ascii="宋体" w:hAnsi="宋体" w:eastAsia="宋体" w:cs="宋体"/>
                <w:sz w:val="20"/>
                <w:szCs w:val="20"/>
              </w:rPr>
              <w:t>界</w:t>
            </w:r>
          </w:p>
        </w:tc>
        <w:tc>
          <w:tcPr>
            <w:tcW w:w="864" w:type="dxa"/>
            <w:vMerge w:val="restart"/>
            <w:tcBorders>
              <w:bottom w:val="nil"/>
            </w:tcBorders>
            <w:vAlign w:val="top"/>
          </w:tcPr>
          <w:p w14:paraId="496CD9E9">
            <w:pPr>
              <w:spacing w:line="467" w:lineRule="auto"/>
              <w:rPr>
                <w:rFonts w:ascii="Arial"/>
                <w:sz w:val="21"/>
              </w:rPr>
            </w:pPr>
          </w:p>
          <w:p w14:paraId="20802192">
            <w:pPr>
              <w:spacing w:before="65" w:line="378" w:lineRule="auto"/>
              <w:ind w:left="324" w:right="126" w:hanging="210"/>
              <w:rPr>
                <w:rFonts w:ascii="宋体" w:hAnsi="宋体" w:eastAsia="宋体" w:cs="宋体"/>
                <w:sz w:val="20"/>
                <w:szCs w:val="20"/>
              </w:rPr>
            </w:pPr>
            <w:r>
              <w:rPr>
                <w:rFonts w:ascii="宋体" w:hAnsi="宋体" w:eastAsia="宋体" w:cs="宋体"/>
                <w:spacing w:val="6"/>
                <w:sz w:val="20"/>
                <w:szCs w:val="20"/>
              </w:rPr>
              <w:t>厂界噪</w:t>
            </w:r>
            <w:r>
              <w:rPr>
                <w:rFonts w:ascii="宋体" w:hAnsi="宋体" w:eastAsia="宋体" w:cs="宋体"/>
                <w:sz w:val="20"/>
                <w:szCs w:val="20"/>
              </w:rPr>
              <w:t>声</w:t>
            </w:r>
          </w:p>
        </w:tc>
        <w:tc>
          <w:tcPr>
            <w:tcW w:w="1982" w:type="dxa"/>
            <w:gridSpan w:val="2"/>
            <w:vAlign w:val="top"/>
          </w:tcPr>
          <w:p w14:paraId="77FBCFEF">
            <w:pPr>
              <w:spacing w:before="51" w:line="231" w:lineRule="auto"/>
              <w:ind w:left="107"/>
              <w:rPr>
                <w:rFonts w:ascii="宋体" w:hAnsi="宋体" w:eastAsia="宋体" w:cs="宋体"/>
                <w:sz w:val="20"/>
                <w:szCs w:val="20"/>
              </w:rPr>
            </w:pPr>
            <w:r>
              <w:rPr>
                <w:rFonts w:ascii="宋体" w:hAnsi="宋体" w:eastAsia="宋体" w:cs="宋体"/>
                <w:spacing w:val="-3"/>
                <w:sz w:val="20"/>
                <w:szCs w:val="20"/>
              </w:rPr>
              <w:t>（</w:t>
            </w:r>
            <w:r>
              <w:rPr>
                <w:rFonts w:ascii="Times New Roman" w:hAnsi="Times New Roman" w:eastAsia="Times New Roman" w:cs="Times New Roman"/>
                <w:spacing w:val="-3"/>
                <w:sz w:val="20"/>
                <w:szCs w:val="20"/>
              </w:rPr>
              <w:t>2023-</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pacing w:val="-3"/>
                <w:sz w:val="20"/>
                <w:szCs w:val="20"/>
              </w:rPr>
              <w:t>12-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19</w:t>
            </w:r>
            <w:r>
              <w:rPr>
                <w:rFonts w:ascii="宋体" w:hAnsi="宋体" w:eastAsia="宋体" w:cs="宋体"/>
                <w:spacing w:val="-3"/>
                <w:sz w:val="20"/>
                <w:szCs w:val="20"/>
              </w:rPr>
              <w:t>）昼间</w:t>
            </w:r>
          </w:p>
        </w:tc>
        <w:tc>
          <w:tcPr>
            <w:tcW w:w="903" w:type="dxa"/>
            <w:vAlign w:val="top"/>
          </w:tcPr>
          <w:p w14:paraId="44D074AE">
            <w:pPr>
              <w:spacing w:before="95" w:line="195" w:lineRule="auto"/>
              <w:ind w:left="342"/>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1363" w:type="dxa"/>
            <w:gridSpan w:val="2"/>
            <w:vAlign w:val="top"/>
          </w:tcPr>
          <w:p w14:paraId="435CDC75">
            <w:pPr>
              <w:spacing w:before="91" w:line="201" w:lineRule="auto"/>
              <w:ind w:left="30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661" w:type="dxa"/>
            <w:tcBorders>
              <w:right w:val="single" w:color="000000" w:sz="6" w:space="0"/>
            </w:tcBorders>
            <w:vAlign w:val="top"/>
          </w:tcPr>
          <w:p w14:paraId="7F97E657">
            <w:pPr>
              <w:spacing w:before="52" w:line="228" w:lineRule="auto"/>
              <w:ind w:left="564"/>
              <w:rPr>
                <w:rFonts w:ascii="宋体" w:hAnsi="宋体" w:eastAsia="宋体" w:cs="宋体"/>
                <w:sz w:val="20"/>
                <w:szCs w:val="20"/>
              </w:rPr>
            </w:pPr>
            <w:r>
              <w:rPr>
                <w:rFonts w:ascii="宋体" w:hAnsi="宋体" w:eastAsia="宋体" w:cs="宋体"/>
                <w:spacing w:val="5"/>
                <w:sz w:val="20"/>
                <w:szCs w:val="20"/>
              </w:rPr>
              <w:t>达标</w:t>
            </w:r>
          </w:p>
        </w:tc>
      </w:tr>
      <w:tr w14:paraId="2D59E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428" w:type="dxa"/>
            <w:vMerge w:val="continue"/>
            <w:tcBorders>
              <w:top w:val="nil"/>
              <w:left w:val="single" w:color="000000" w:sz="6" w:space="0"/>
              <w:bottom w:val="nil"/>
            </w:tcBorders>
            <w:vAlign w:val="top"/>
          </w:tcPr>
          <w:p w14:paraId="590BC2DC">
            <w:pPr>
              <w:rPr>
                <w:rFonts w:ascii="Arial"/>
                <w:sz w:val="21"/>
              </w:rPr>
            </w:pPr>
          </w:p>
        </w:tc>
        <w:tc>
          <w:tcPr>
            <w:tcW w:w="115" w:type="dxa"/>
            <w:tcBorders>
              <w:top w:val="nil"/>
              <w:bottom w:val="nil"/>
            </w:tcBorders>
            <w:vAlign w:val="top"/>
          </w:tcPr>
          <w:p w14:paraId="7C5FAC33">
            <w:pPr>
              <w:rPr>
                <w:rFonts w:ascii="Arial"/>
                <w:sz w:val="21"/>
              </w:rPr>
            </w:pPr>
          </w:p>
        </w:tc>
        <w:tc>
          <w:tcPr>
            <w:tcW w:w="895" w:type="dxa"/>
            <w:gridSpan w:val="2"/>
            <w:vMerge w:val="continue"/>
            <w:tcBorders>
              <w:top w:val="nil"/>
              <w:bottom w:val="nil"/>
            </w:tcBorders>
            <w:vAlign w:val="top"/>
          </w:tcPr>
          <w:p w14:paraId="5DC9E75A">
            <w:pPr>
              <w:rPr>
                <w:rFonts w:ascii="Arial"/>
                <w:sz w:val="21"/>
              </w:rPr>
            </w:pPr>
          </w:p>
        </w:tc>
        <w:tc>
          <w:tcPr>
            <w:tcW w:w="853" w:type="dxa"/>
            <w:vMerge w:val="continue"/>
            <w:tcBorders>
              <w:top w:val="nil"/>
              <w:bottom w:val="nil"/>
            </w:tcBorders>
            <w:vAlign w:val="top"/>
          </w:tcPr>
          <w:p w14:paraId="0FAAFABE">
            <w:pPr>
              <w:rPr>
                <w:rFonts w:ascii="Arial"/>
                <w:sz w:val="21"/>
              </w:rPr>
            </w:pPr>
          </w:p>
        </w:tc>
        <w:tc>
          <w:tcPr>
            <w:tcW w:w="864" w:type="dxa"/>
            <w:vMerge w:val="continue"/>
            <w:tcBorders>
              <w:top w:val="nil"/>
              <w:bottom w:val="nil"/>
            </w:tcBorders>
            <w:vAlign w:val="top"/>
          </w:tcPr>
          <w:p w14:paraId="3D3546D5">
            <w:pPr>
              <w:rPr>
                <w:rFonts w:ascii="Arial"/>
                <w:sz w:val="21"/>
              </w:rPr>
            </w:pPr>
          </w:p>
        </w:tc>
        <w:tc>
          <w:tcPr>
            <w:tcW w:w="1982" w:type="dxa"/>
            <w:gridSpan w:val="2"/>
            <w:vAlign w:val="top"/>
          </w:tcPr>
          <w:p w14:paraId="1916D02D">
            <w:pPr>
              <w:spacing w:before="66" w:line="228" w:lineRule="auto"/>
              <w:ind w:left="107"/>
              <w:rPr>
                <w:rFonts w:ascii="宋体" w:hAnsi="宋体" w:eastAsia="宋体" w:cs="宋体"/>
                <w:sz w:val="20"/>
                <w:szCs w:val="20"/>
              </w:rPr>
            </w:pPr>
            <w:r>
              <w:rPr>
                <w:rFonts w:ascii="宋体" w:hAnsi="宋体" w:eastAsia="宋体" w:cs="宋体"/>
                <w:spacing w:val="-3"/>
                <w:sz w:val="20"/>
                <w:szCs w:val="20"/>
              </w:rPr>
              <w:t>（</w:t>
            </w:r>
            <w:r>
              <w:rPr>
                <w:rFonts w:ascii="Times New Roman" w:hAnsi="Times New Roman" w:eastAsia="Times New Roman" w:cs="Times New Roman"/>
                <w:spacing w:val="-3"/>
                <w:sz w:val="20"/>
                <w:szCs w:val="20"/>
              </w:rPr>
              <w:t>2023-</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pacing w:val="-3"/>
                <w:sz w:val="20"/>
                <w:szCs w:val="20"/>
              </w:rPr>
              <w:t>12-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19</w:t>
            </w:r>
            <w:r>
              <w:rPr>
                <w:rFonts w:ascii="宋体" w:hAnsi="宋体" w:eastAsia="宋体" w:cs="宋体"/>
                <w:spacing w:val="-3"/>
                <w:sz w:val="20"/>
                <w:szCs w:val="20"/>
              </w:rPr>
              <w:t>）夜间</w:t>
            </w:r>
          </w:p>
        </w:tc>
        <w:tc>
          <w:tcPr>
            <w:tcW w:w="903" w:type="dxa"/>
            <w:vAlign w:val="top"/>
          </w:tcPr>
          <w:p w14:paraId="4205F98F">
            <w:pPr>
              <w:spacing w:before="109" w:line="195" w:lineRule="auto"/>
              <w:ind w:left="33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1363" w:type="dxa"/>
            <w:gridSpan w:val="2"/>
            <w:vAlign w:val="top"/>
          </w:tcPr>
          <w:p w14:paraId="6C76FB3F">
            <w:pPr>
              <w:spacing w:before="105" w:line="201" w:lineRule="auto"/>
              <w:ind w:left="3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661" w:type="dxa"/>
            <w:tcBorders>
              <w:right w:val="single" w:color="000000" w:sz="6" w:space="0"/>
            </w:tcBorders>
            <w:vAlign w:val="top"/>
          </w:tcPr>
          <w:p w14:paraId="2E36BDCD">
            <w:pPr>
              <w:spacing w:before="67" w:line="228" w:lineRule="auto"/>
              <w:ind w:left="564"/>
              <w:rPr>
                <w:rFonts w:ascii="宋体" w:hAnsi="宋体" w:eastAsia="宋体" w:cs="宋体"/>
                <w:sz w:val="20"/>
                <w:szCs w:val="20"/>
              </w:rPr>
            </w:pPr>
            <w:r>
              <w:rPr>
                <w:rFonts w:ascii="宋体" w:hAnsi="宋体" w:eastAsia="宋体" w:cs="宋体"/>
                <w:spacing w:val="5"/>
                <w:sz w:val="20"/>
                <w:szCs w:val="20"/>
              </w:rPr>
              <w:t>达标</w:t>
            </w:r>
          </w:p>
        </w:tc>
      </w:tr>
      <w:tr w14:paraId="446B9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428" w:type="dxa"/>
            <w:vMerge w:val="continue"/>
            <w:tcBorders>
              <w:top w:val="nil"/>
              <w:left w:val="single" w:color="000000" w:sz="6" w:space="0"/>
              <w:bottom w:val="nil"/>
            </w:tcBorders>
            <w:vAlign w:val="top"/>
          </w:tcPr>
          <w:p w14:paraId="460509BD">
            <w:pPr>
              <w:rPr>
                <w:rFonts w:ascii="Arial"/>
                <w:sz w:val="21"/>
              </w:rPr>
            </w:pPr>
          </w:p>
        </w:tc>
        <w:tc>
          <w:tcPr>
            <w:tcW w:w="115" w:type="dxa"/>
            <w:tcBorders>
              <w:top w:val="nil"/>
              <w:bottom w:val="nil"/>
            </w:tcBorders>
            <w:vAlign w:val="top"/>
          </w:tcPr>
          <w:p w14:paraId="359C4567">
            <w:pPr>
              <w:rPr>
                <w:rFonts w:ascii="Arial"/>
                <w:sz w:val="21"/>
              </w:rPr>
            </w:pPr>
          </w:p>
        </w:tc>
        <w:tc>
          <w:tcPr>
            <w:tcW w:w="895" w:type="dxa"/>
            <w:gridSpan w:val="2"/>
            <w:vMerge w:val="continue"/>
            <w:tcBorders>
              <w:top w:val="nil"/>
              <w:bottom w:val="nil"/>
            </w:tcBorders>
            <w:vAlign w:val="top"/>
          </w:tcPr>
          <w:p w14:paraId="69297EBD">
            <w:pPr>
              <w:rPr>
                <w:rFonts w:ascii="Arial"/>
                <w:sz w:val="21"/>
              </w:rPr>
            </w:pPr>
          </w:p>
        </w:tc>
        <w:tc>
          <w:tcPr>
            <w:tcW w:w="853" w:type="dxa"/>
            <w:vMerge w:val="continue"/>
            <w:tcBorders>
              <w:top w:val="nil"/>
              <w:bottom w:val="nil"/>
            </w:tcBorders>
            <w:vAlign w:val="top"/>
          </w:tcPr>
          <w:p w14:paraId="4BD7314E">
            <w:pPr>
              <w:rPr>
                <w:rFonts w:ascii="Arial"/>
                <w:sz w:val="21"/>
              </w:rPr>
            </w:pPr>
          </w:p>
        </w:tc>
        <w:tc>
          <w:tcPr>
            <w:tcW w:w="864" w:type="dxa"/>
            <w:vMerge w:val="continue"/>
            <w:tcBorders>
              <w:top w:val="nil"/>
              <w:bottom w:val="nil"/>
            </w:tcBorders>
            <w:vAlign w:val="top"/>
          </w:tcPr>
          <w:p w14:paraId="472DB4C8">
            <w:pPr>
              <w:rPr>
                <w:rFonts w:ascii="Arial"/>
                <w:sz w:val="21"/>
              </w:rPr>
            </w:pPr>
          </w:p>
        </w:tc>
        <w:tc>
          <w:tcPr>
            <w:tcW w:w="1982" w:type="dxa"/>
            <w:gridSpan w:val="2"/>
            <w:vAlign w:val="top"/>
          </w:tcPr>
          <w:p w14:paraId="3D17564A">
            <w:pPr>
              <w:spacing w:before="69" w:line="231" w:lineRule="auto"/>
              <w:ind w:left="107"/>
              <w:rPr>
                <w:rFonts w:ascii="宋体" w:hAnsi="宋体" w:eastAsia="宋体" w:cs="宋体"/>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12-20</w:t>
            </w:r>
            <w:r>
              <w:rPr>
                <w:rFonts w:ascii="宋体" w:hAnsi="宋体" w:eastAsia="宋体" w:cs="宋体"/>
                <w:spacing w:val="-1"/>
                <w:sz w:val="20"/>
                <w:szCs w:val="20"/>
              </w:rPr>
              <w:t>）昼间</w:t>
            </w:r>
          </w:p>
        </w:tc>
        <w:tc>
          <w:tcPr>
            <w:tcW w:w="903" w:type="dxa"/>
            <w:vAlign w:val="top"/>
          </w:tcPr>
          <w:p w14:paraId="5B5E8F36">
            <w:pPr>
              <w:spacing w:before="113" w:line="195" w:lineRule="auto"/>
              <w:ind w:left="342"/>
              <w:rPr>
                <w:rFonts w:ascii="Times New Roman" w:hAnsi="Times New Roman" w:eastAsia="Times New Roman" w:cs="Times New Roman"/>
                <w:sz w:val="20"/>
                <w:szCs w:val="20"/>
              </w:rPr>
            </w:pPr>
            <w:r>
              <w:rPr>
                <w:rFonts w:ascii="Times New Roman" w:hAnsi="Times New Roman" w:eastAsia="Times New Roman" w:cs="Times New Roman"/>
                <w:sz w:val="20"/>
                <w:szCs w:val="20"/>
              </w:rPr>
              <w:t>52</w:t>
            </w:r>
          </w:p>
        </w:tc>
        <w:tc>
          <w:tcPr>
            <w:tcW w:w="1363" w:type="dxa"/>
            <w:gridSpan w:val="2"/>
            <w:vAlign w:val="top"/>
          </w:tcPr>
          <w:p w14:paraId="3CC89BD8">
            <w:pPr>
              <w:spacing w:before="109" w:line="201" w:lineRule="auto"/>
              <w:ind w:left="30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65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661" w:type="dxa"/>
            <w:tcBorders>
              <w:right w:val="single" w:color="000000" w:sz="6" w:space="0"/>
            </w:tcBorders>
            <w:vAlign w:val="top"/>
          </w:tcPr>
          <w:p w14:paraId="50157069">
            <w:pPr>
              <w:spacing w:before="70" w:line="228" w:lineRule="auto"/>
              <w:ind w:left="564"/>
              <w:rPr>
                <w:rFonts w:ascii="宋体" w:hAnsi="宋体" w:eastAsia="宋体" w:cs="宋体"/>
                <w:sz w:val="20"/>
                <w:szCs w:val="20"/>
              </w:rPr>
            </w:pPr>
            <w:r>
              <w:rPr>
                <w:rFonts w:ascii="宋体" w:hAnsi="宋体" w:eastAsia="宋体" w:cs="宋体"/>
                <w:spacing w:val="5"/>
                <w:sz w:val="20"/>
                <w:szCs w:val="20"/>
              </w:rPr>
              <w:t>达标</w:t>
            </w:r>
          </w:p>
        </w:tc>
      </w:tr>
      <w:tr w14:paraId="48E87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428" w:type="dxa"/>
            <w:vMerge w:val="continue"/>
            <w:tcBorders>
              <w:top w:val="nil"/>
              <w:left w:val="single" w:color="000000" w:sz="6" w:space="0"/>
              <w:bottom w:val="nil"/>
            </w:tcBorders>
            <w:vAlign w:val="top"/>
          </w:tcPr>
          <w:p w14:paraId="342D8FF4">
            <w:pPr>
              <w:rPr>
                <w:rFonts w:ascii="Arial"/>
                <w:sz w:val="21"/>
              </w:rPr>
            </w:pPr>
          </w:p>
        </w:tc>
        <w:tc>
          <w:tcPr>
            <w:tcW w:w="115" w:type="dxa"/>
            <w:tcBorders>
              <w:top w:val="nil"/>
              <w:bottom w:val="nil"/>
            </w:tcBorders>
            <w:vAlign w:val="top"/>
          </w:tcPr>
          <w:p w14:paraId="7A0BAC38">
            <w:pPr>
              <w:rPr>
                <w:rFonts w:ascii="Arial"/>
                <w:sz w:val="21"/>
              </w:rPr>
            </w:pPr>
          </w:p>
        </w:tc>
        <w:tc>
          <w:tcPr>
            <w:tcW w:w="895" w:type="dxa"/>
            <w:gridSpan w:val="2"/>
            <w:vMerge w:val="continue"/>
            <w:tcBorders>
              <w:top w:val="nil"/>
            </w:tcBorders>
            <w:vAlign w:val="top"/>
          </w:tcPr>
          <w:p w14:paraId="1CE2B8FC">
            <w:pPr>
              <w:rPr>
                <w:rFonts w:ascii="Arial"/>
                <w:sz w:val="21"/>
              </w:rPr>
            </w:pPr>
          </w:p>
        </w:tc>
        <w:tc>
          <w:tcPr>
            <w:tcW w:w="853" w:type="dxa"/>
            <w:vMerge w:val="continue"/>
            <w:tcBorders>
              <w:top w:val="nil"/>
            </w:tcBorders>
            <w:vAlign w:val="top"/>
          </w:tcPr>
          <w:p w14:paraId="40F9B8FD">
            <w:pPr>
              <w:rPr>
                <w:rFonts w:ascii="Arial"/>
                <w:sz w:val="21"/>
              </w:rPr>
            </w:pPr>
          </w:p>
        </w:tc>
        <w:tc>
          <w:tcPr>
            <w:tcW w:w="864" w:type="dxa"/>
            <w:vMerge w:val="continue"/>
            <w:tcBorders>
              <w:top w:val="nil"/>
            </w:tcBorders>
            <w:vAlign w:val="top"/>
          </w:tcPr>
          <w:p w14:paraId="66ECF720">
            <w:pPr>
              <w:rPr>
                <w:rFonts w:ascii="Arial"/>
                <w:sz w:val="21"/>
              </w:rPr>
            </w:pPr>
          </w:p>
        </w:tc>
        <w:tc>
          <w:tcPr>
            <w:tcW w:w="1982" w:type="dxa"/>
            <w:gridSpan w:val="2"/>
            <w:vAlign w:val="top"/>
          </w:tcPr>
          <w:p w14:paraId="1B37CB06">
            <w:pPr>
              <w:spacing w:before="55" w:line="228" w:lineRule="auto"/>
              <w:ind w:left="107"/>
              <w:rPr>
                <w:rFonts w:ascii="宋体" w:hAnsi="宋体" w:eastAsia="宋体" w:cs="宋体"/>
                <w:sz w:val="20"/>
                <w:szCs w:val="20"/>
              </w:rPr>
            </w:pPr>
            <w:r>
              <w:rPr>
                <w:rFonts w:ascii="宋体" w:hAnsi="宋体" w:eastAsia="宋体" w:cs="宋体"/>
                <w:spacing w:val="-1"/>
                <w:sz w:val="20"/>
                <w:szCs w:val="20"/>
              </w:rPr>
              <w:t>（</w:t>
            </w: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12-20</w:t>
            </w:r>
            <w:r>
              <w:rPr>
                <w:rFonts w:ascii="宋体" w:hAnsi="宋体" w:eastAsia="宋体" w:cs="宋体"/>
                <w:spacing w:val="-1"/>
                <w:sz w:val="20"/>
                <w:szCs w:val="20"/>
              </w:rPr>
              <w:t>）夜间</w:t>
            </w:r>
          </w:p>
        </w:tc>
        <w:tc>
          <w:tcPr>
            <w:tcW w:w="903" w:type="dxa"/>
            <w:vAlign w:val="top"/>
          </w:tcPr>
          <w:p w14:paraId="6C83FFE7">
            <w:pPr>
              <w:spacing w:before="101" w:line="195" w:lineRule="auto"/>
              <w:ind w:left="33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1363" w:type="dxa"/>
            <w:gridSpan w:val="2"/>
            <w:vAlign w:val="top"/>
          </w:tcPr>
          <w:p w14:paraId="64C47827">
            <w:pPr>
              <w:spacing w:before="97" w:line="201" w:lineRule="auto"/>
              <w:ind w:left="3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55</w:t>
            </w:r>
            <w:r>
              <w:rPr>
                <w:rFonts w:ascii="Times New Roman" w:hAnsi="Times New Roman" w:eastAsia="Times New Roman" w:cs="Times New Roman"/>
                <w:sz w:val="20"/>
                <w:szCs w:val="20"/>
              </w:rPr>
              <w:t>dB</w:t>
            </w:r>
            <w:r>
              <w:rPr>
                <w:rFonts w:ascii="Times New Roman" w:hAnsi="Times New Roman" w:eastAsia="Times New Roman" w:cs="Times New Roman"/>
                <w:spacing w:val="4"/>
                <w:sz w:val="20"/>
                <w:szCs w:val="20"/>
              </w:rPr>
              <w:t>(A)</w:t>
            </w:r>
          </w:p>
        </w:tc>
        <w:tc>
          <w:tcPr>
            <w:tcW w:w="1661" w:type="dxa"/>
            <w:tcBorders>
              <w:right w:val="single" w:color="000000" w:sz="6" w:space="0"/>
            </w:tcBorders>
            <w:vAlign w:val="top"/>
          </w:tcPr>
          <w:p w14:paraId="4F59A319">
            <w:pPr>
              <w:spacing w:before="56" w:line="228" w:lineRule="auto"/>
              <w:ind w:left="564"/>
              <w:rPr>
                <w:rFonts w:ascii="宋体" w:hAnsi="宋体" w:eastAsia="宋体" w:cs="宋体"/>
                <w:sz w:val="20"/>
                <w:szCs w:val="20"/>
              </w:rPr>
            </w:pPr>
            <w:r>
              <w:rPr>
                <w:rFonts w:ascii="宋体" w:hAnsi="宋体" w:eastAsia="宋体" w:cs="宋体"/>
                <w:spacing w:val="5"/>
                <w:sz w:val="20"/>
                <w:szCs w:val="20"/>
              </w:rPr>
              <w:t>达标</w:t>
            </w:r>
          </w:p>
        </w:tc>
      </w:tr>
      <w:tr w14:paraId="48F7C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5" w:hRule="atLeast"/>
        </w:trPr>
        <w:tc>
          <w:tcPr>
            <w:tcW w:w="428" w:type="dxa"/>
            <w:vMerge w:val="continue"/>
            <w:tcBorders>
              <w:top w:val="nil"/>
              <w:left w:val="single" w:color="000000" w:sz="6" w:space="0"/>
              <w:bottom w:val="nil"/>
            </w:tcBorders>
            <w:vAlign w:val="top"/>
          </w:tcPr>
          <w:p w14:paraId="49C240F6">
            <w:pPr>
              <w:rPr>
                <w:rFonts w:ascii="Arial"/>
                <w:sz w:val="21"/>
              </w:rPr>
            </w:pPr>
          </w:p>
        </w:tc>
        <w:tc>
          <w:tcPr>
            <w:tcW w:w="8636" w:type="dxa"/>
            <w:gridSpan w:val="11"/>
            <w:tcBorders>
              <w:bottom w:val="single" w:color="000000" w:sz="6" w:space="0"/>
              <w:right w:val="single" w:color="000000" w:sz="6" w:space="0"/>
            </w:tcBorders>
            <w:vAlign w:val="top"/>
          </w:tcPr>
          <w:p w14:paraId="158BD426">
            <w:pPr>
              <w:spacing w:before="39" w:line="359" w:lineRule="auto"/>
              <w:ind w:left="110" w:right="82" w:firstLine="475"/>
              <w:jc w:val="both"/>
              <w:rPr>
                <w:rFonts w:ascii="宋体" w:hAnsi="宋体" w:eastAsia="宋体" w:cs="宋体"/>
                <w:sz w:val="24"/>
                <w:szCs w:val="24"/>
              </w:rPr>
            </w:pPr>
            <w:r>
              <w:rPr>
                <w:rFonts w:ascii="宋体" w:hAnsi="宋体" w:eastAsia="宋体" w:cs="宋体"/>
                <w:spacing w:val="-1"/>
                <w:sz w:val="24"/>
                <w:szCs w:val="24"/>
              </w:rPr>
              <w:t>在监测期间，厂界噪声监测值昼间最大为</w:t>
            </w:r>
            <w:r>
              <w:rPr>
                <w:rFonts w:ascii="宋体" w:hAnsi="宋体" w:eastAsia="宋体" w:cs="宋体"/>
                <w:spacing w:val="-36"/>
                <w:sz w:val="24"/>
                <w:szCs w:val="24"/>
              </w:rPr>
              <w:t xml:space="preserve"> </w:t>
            </w:r>
            <w:r>
              <w:rPr>
                <w:rFonts w:ascii="Times New Roman" w:hAnsi="Times New Roman" w:eastAsia="Times New Roman" w:cs="Times New Roman"/>
                <w:spacing w:val="-1"/>
                <w:sz w:val="24"/>
                <w:szCs w:val="24"/>
              </w:rPr>
              <w:t>57dB</w:t>
            </w:r>
            <w:r>
              <w:rPr>
                <w:rFonts w:ascii="Times New Roman" w:hAnsi="Times New Roman" w:eastAsia="Times New Roman" w:cs="Times New Roman"/>
                <w:spacing w:val="-28"/>
                <w:sz w:val="24"/>
                <w:szCs w:val="24"/>
              </w:rPr>
              <w:t xml:space="preserve"> </w:t>
            </w:r>
            <w:r>
              <w:rPr>
                <w:rFonts w:ascii="宋体" w:hAnsi="宋体" w:eastAsia="宋体" w:cs="宋体"/>
                <w:spacing w:val="-1"/>
                <w:sz w:val="24"/>
                <w:szCs w:val="24"/>
              </w:rPr>
              <w:t>，夜间最大值为</w:t>
            </w:r>
            <w:r>
              <w:rPr>
                <w:rFonts w:ascii="宋体" w:hAnsi="宋体" w:eastAsia="宋体" w:cs="宋体"/>
                <w:spacing w:val="-56"/>
                <w:sz w:val="24"/>
                <w:szCs w:val="24"/>
              </w:rPr>
              <w:t xml:space="preserve"> </w:t>
            </w:r>
            <w:r>
              <w:rPr>
                <w:rFonts w:ascii="Times New Roman" w:hAnsi="Times New Roman" w:eastAsia="Times New Roman" w:cs="Times New Roman"/>
                <w:spacing w:val="-1"/>
                <w:sz w:val="24"/>
                <w:szCs w:val="24"/>
              </w:rPr>
              <w:t>47dB</w:t>
            </w:r>
            <w:r>
              <w:rPr>
                <w:rFonts w:ascii="Times New Roman" w:hAnsi="Times New Roman" w:eastAsia="Times New Roman" w:cs="Times New Roman"/>
                <w:spacing w:val="-28"/>
                <w:sz w:val="24"/>
                <w:szCs w:val="24"/>
              </w:rPr>
              <w:t xml:space="preserve"> </w:t>
            </w:r>
            <w:r>
              <w:rPr>
                <w:rFonts w:ascii="宋体" w:hAnsi="宋体" w:eastAsia="宋体" w:cs="宋体"/>
                <w:spacing w:val="-1"/>
                <w:sz w:val="24"/>
                <w:szCs w:val="24"/>
              </w:rPr>
              <w:t>，能达到《工业企业厂界环境噪声排放标准》（</w:t>
            </w:r>
            <w:r>
              <w:rPr>
                <w:rFonts w:ascii="Times New Roman" w:hAnsi="Times New Roman" w:eastAsia="Times New Roman" w:cs="Times New Roman"/>
                <w:spacing w:val="-1"/>
                <w:sz w:val="24"/>
                <w:szCs w:val="24"/>
              </w:rPr>
              <w:t>GB12348—2008</w:t>
            </w:r>
            <w:r>
              <w:rPr>
                <w:rFonts w:ascii="宋体" w:hAnsi="宋体" w:eastAsia="宋体" w:cs="宋体"/>
                <w:spacing w:val="-1"/>
                <w:sz w:val="24"/>
                <w:szCs w:val="24"/>
              </w:rPr>
              <w:t>）</w:t>
            </w:r>
            <w:r>
              <w:rPr>
                <w:rFonts w:ascii="Times New Roman" w:hAnsi="Times New Roman" w:eastAsia="Times New Roman" w:cs="Times New Roman"/>
                <w:spacing w:val="-1"/>
                <w:sz w:val="24"/>
                <w:szCs w:val="24"/>
              </w:rPr>
              <w:t xml:space="preserve">3 </w:t>
            </w:r>
            <w:r>
              <w:rPr>
                <w:rFonts w:ascii="宋体" w:hAnsi="宋体" w:eastAsia="宋体" w:cs="宋体"/>
                <w:spacing w:val="-1"/>
                <w:sz w:val="24"/>
                <w:szCs w:val="24"/>
              </w:rPr>
              <w:t>类区</w:t>
            </w:r>
            <w:r>
              <w:rPr>
                <w:rFonts w:ascii="宋体" w:hAnsi="宋体" w:eastAsia="宋体" w:cs="宋体"/>
                <w:spacing w:val="-2"/>
                <w:sz w:val="24"/>
                <w:szCs w:val="24"/>
              </w:rPr>
              <w:t>，昼间</w:t>
            </w:r>
            <w:r>
              <w:rPr>
                <w:rFonts w:ascii="Times New Roman" w:hAnsi="Times New Roman" w:eastAsia="Times New Roman" w:cs="Times New Roman"/>
                <w:spacing w:val="-2"/>
                <w:sz w:val="24"/>
                <w:szCs w:val="24"/>
              </w:rPr>
              <w:t>≤65dB</w:t>
            </w:r>
            <w:r>
              <w:rPr>
                <w:rFonts w:ascii="宋体" w:hAnsi="宋体" w:eastAsia="宋体" w:cs="宋体"/>
                <w:spacing w:val="-2"/>
                <w:sz w:val="24"/>
                <w:szCs w:val="24"/>
              </w:rPr>
              <w:t>、</w:t>
            </w:r>
            <w:r>
              <w:rPr>
                <w:rFonts w:ascii="宋体" w:hAnsi="宋体" w:eastAsia="宋体" w:cs="宋体"/>
                <w:sz w:val="24"/>
                <w:szCs w:val="24"/>
              </w:rPr>
              <w:t>夜间</w:t>
            </w:r>
            <w:r>
              <w:rPr>
                <w:rFonts w:ascii="Times New Roman" w:hAnsi="Times New Roman" w:eastAsia="Times New Roman" w:cs="Times New Roman"/>
                <w:sz w:val="24"/>
                <w:szCs w:val="24"/>
              </w:rPr>
              <w:t>≤55dB</w:t>
            </w:r>
            <w:r>
              <w:rPr>
                <w:rFonts w:ascii="Times New Roman" w:hAnsi="Times New Roman" w:eastAsia="Times New Roman" w:cs="Times New Roman"/>
                <w:spacing w:val="30"/>
                <w:w w:val="101"/>
                <w:sz w:val="24"/>
                <w:szCs w:val="24"/>
              </w:rPr>
              <w:t xml:space="preserve"> </w:t>
            </w:r>
            <w:r>
              <w:rPr>
                <w:rFonts w:ascii="宋体" w:hAnsi="宋体" w:eastAsia="宋体" w:cs="宋体"/>
                <w:sz w:val="24"/>
                <w:szCs w:val="24"/>
              </w:rPr>
              <w:t>的要求。根据调查，项目运营至今未收</w:t>
            </w:r>
            <w:r>
              <w:rPr>
                <w:rFonts w:ascii="宋体" w:hAnsi="宋体" w:eastAsia="宋体" w:cs="宋体"/>
                <w:spacing w:val="-1"/>
                <w:sz w:val="24"/>
                <w:szCs w:val="24"/>
              </w:rPr>
              <w:t>到过周边居民和企业的噪声污</w:t>
            </w:r>
            <w:r>
              <w:rPr>
                <w:rFonts w:ascii="宋体" w:hAnsi="宋体" w:eastAsia="宋体" w:cs="宋体"/>
                <w:spacing w:val="-4"/>
                <w:sz w:val="24"/>
                <w:szCs w:val="24"/>
              </w:rPr>
              <w:t>染投诉。</w:t>
            </w:r>
          </w:p>
          <w:p w14:paraId="5E132E29">
            <w:pPr>
              <w:spacing w:line="220" w:lineRule="auto"/>
              <w:ind w:left="598"/>
              <w:rPr>
                <w:rFonts w:ascii="宋体" w:hAnsi="宋体" w:eastAsia="宋体" w:cs="宋体"/>
                <w:sz w:val="24"/>
                <w:szCs w:val="24"/>
              </w:rPr>
            </w:pPr>
            <w:r>
              <w:rPr>
                <w:rFonts w:ascii="宋体" w:hAnsi="宋体" w:eastAsia="宋体" w:cs="宋体"/>
                <w:b/>
                <w:bCs/>
                <w:spacing w:val="-6"/>
                <w:sz w:val="24"/>
                <w:szCs w:val="24"/>
              </w:rPr>
              <w:t>（</w:t>
            </w:r>
            <w:r>
              <w:rPr>
                <w:rFonts w:ascii="Times New Roman" w:hAnsi="Times New Roman" w:eastAsia="Times New Roman" w:cs="Times New Roman"/>
                <w:b/>
                <w:bCs/>
                <w:spacing w:val="-6"/>
                <w:sz w:val="24"/>
                <w:szCs w:val="24"/>
              </w:rPr>
              <w:t>4</w:t>
            </w:r>
            <w:r>
              <w:rPr>
                <w:rFonts w:ascii="宋体" w:hAnsi="宋体" w:eastAsia="宋体" w:cs="宋体"/>
                <w:b/>
                <w:bCs/>
                <w:spacing w:val="-6"/>
                <w:sz w:val="24"/>
                <w:szCs w:val="24"/>
              </w:rPr>
              <w:t>）固废</w:t>
            </w:r>
          </w:p>
          <w:p w14:paraId="09EF7AB2">
            <w:pPr>
              <w:spacing w:before="183" w:line="358" w:lineRule="auto"/>
              <w:ind w:left="105" w:right="43" w:firstLine="484"/>
              <w:jc w:val="both"/>
              <w:rPr>
                <w:rFonts w:ascii="宋体" w:hAnsi="宋体" w:eastAsia="宋体" w:cs="宋体"/>
                <w:sz w:val="24"/>
                <w:szCs w:val="24"/>
              </w:rPr>
            </w:pPr>
            <w:r>
              <w:rPr>
                <w:rFonts w:ascii="宋体" w:hAnsi="宋体" w:eastAsia="宋体" w:cs="宋体"/>
                <w:spacing w:val="-5"/>
                <w:sz w:val="24"/>
                <w:szCs w:val="24"/>
              </w:rPr>
              <w:t>项目生活垃圾委托环卫部门清运处置，油漆桶、废胶桶由厂家进行回收利用；</w:t>
            </w:r>
            <w:r>
              <w:rPr>
                <w:rFonts w:ascii="宋体" w:hAnsi="宋体" w:eastAsia="宋体" w:cs="宋体"/>
                <w:sz w:val="24"/>
                <w:szCs w:val="24"/>
              </w:rPr>
              <w:t>化粪池污泥、一体化污水处理设施污泥均委托环卫部门清掏处置；木屑、废边角</w:t>
            </w:r>
            <w:r>
              <w:rPr>
                <w:rFonts w:ascii="宋体" w:hAnsi="宋体" w:eastAsia="宋体" w:cs="宋体"/>
                <w:spacing w:val="-1"/>
                <w:sz w:val="24"/>
                <w:szCs w:val="24"/>
              </w:rPr>
              <w:t>料由云南滇木人造板有限公司回收利用；废</w:t>
            </w:r>
            <w:r>
              <w:rPr>
                <w:rFonts w:ascii="宋体" w:hAnsi="宋体" w:eastAsia="宋体" w:cs="宋体"/>
                <w:spacing w:val="-60"/>
                <w:sz w:val="24"/>
                <w:szCs w:val="24"/>
              </w:rPr>
              <w:t xml:space="preserve"> </w:t>
            </w:r>
            <w:r>
              <w:rPr>
                <w:rFonts w:ascii="Times New Roman" w:hAnsi="Times New Roman" w:eastAsia="Times New Roman" w:cs="Times New Roman"/>
                <w:spacing w:val="-1"/>
                <w:sz w:val="24"/>
                <w:szCs w:val="24"/>
              </w:rPr>
              <w:t xml:space="preserve">uv </w:t>
            </w:r>
            <w:r>
              <w:rPr>
                <w:rFonts w:ascii="宋体" w:hAnsi="宋体" w:eastAsia="宋体" w:cs="宋体"/>
                <w:spacing w:val="-1"/>
                <w:sz w:val="24"/>
                <w:szCs w:val="24"/>
              </w:rPr>
              <w:t>灯管由设备厂家</w:t>
            </w:r>
            <w:r>
              <w:rPr>
                <w:rFonts w:ascii="宋体" w:hAnsi="宋体" w:eastAsia="宋体" w:cs="宋体"/>
                <w:spacing w:val="-2"/>
                <w:sz w:val="24"/>
                <w:szCs w:val="24"/>
              </w:rPr>
              <w:t>更换处置；漆渣、</w:t>
            </w:r>
            <w:r>
              <w:rPr>
                <w:rFonts w:ascii="宋体" w:hAnsi="宋体" w:eastAsia="宋体" w:cs="宋体"/>
                <w:sz w:val="24"/>
                <w:szCs w:val="24"/>
              </w:rPr>
              <w:t>废活性炭、废机油委托曲靖同磊再生资源回收有限公司清运处置。项目固废处置</w:t>
            </w:r>
            <w:r>
              <w:rPr>
                <w:rFonts w:ascii="宋体" w:hAnsi="宋体" w:eastAsia="宋体" w:cs="宋体"/>
                <w:spacing w:val="-6"/>
                <w:sz w:val="24"/>
                <w:szCs w:val="24"/>
              </w:rPr>
              <w:t>率达</w:t>
            </w:r>
            <w:r>
              <w:rPr>
                <w:rFonts w:ascii="宋体" w:hAnsi="宋体" w:eastAsia="宋体" w:cs="宋体"/>
                <w:spacing w:val="-28"/>
                <w:sz w:val="24"/>
                <w:szCs w:val="24"/>
              </w:rPr>
              <w:t xml:space="preserve"> </w:t>
            </w:r>
            <w:r>
              <w:rPr>
                <w:rFonts w:ascii="Times New Roman" w:hAnsi="Times New Roman" w:eastAsia="Times New Roman" w:cs="Times New Roman"/>
                <w:spacing w:val="-6"/>
                <w:sz w:val="24"/>
                <w:szCs w:val="24"/>
              </w:rPr>
              <w:t>100%</w:t>
            </w:r>
            <w:r>
              <w:rPr>
                <w:rFonts w:ascii="宋体" w:hAnsi="宋体" w:eastAsia="宋体" w:cs="宋体"/>
                <w:spacing w:val="-6"/>
                <w:sz w:val="24"/>
                <w:szCs w:val="24"/>
              </w:rPr>
              <w:t>。</w:t>
            </w:r>
          </w:p>
          <w:p w14:paraId="1CA477DD">
            <w:pPr>
              <w:spacing w:line="162" w:lineRule="auto"/>
              <w:ind w:left="2516"/>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31"/>
                <w:sz w:val="20"/>
                <w:szCs w:val="20"/>
              </w:rPr>
              <w:t xml:space="preserve"> </w:t>
            </w:r>
            <w:r>
              <w:rPr>
                <w:rFonts w:ascii="Times New Roman" w:hAnsi="Times New Roman" w:eastAsia="Times New Roman" w:cs="Times New Roman"/>
                <w:b/>
                <w:bCs/>
                <w:spacing w:val="6"/>
                <w:sz w:val="20"/>
                <w:szCs w:val="20"/>
              </w:rPr>
              <w:t xml:space="preserve">2-16    </w:t>
            </w:r>
            <w:r>
              <w:rPr>
                <w:rFonts w:ascii="宋体" w:hAnsi="宋体" w:eastAsia="宋体" w:cs="宋体"/>
                <w:b/>
                <w:bCs/>
                <w:spacing w:val="6"/>
                <w:sz w:val="20"/>
                <w:szCs w:val="20"/>
              </w:rPr>
              <w:t>现有项目固体</w:t>
            </w:r>
            <w:r>
              <w:rPr>
                <w:rFonts w:ascii="微软雅黑" w:hAnsi="微软雅黑" w:eastAsia="微软雅黑" w:cs="微软雅黑"/>
                <w:b/>
                <w:bCs/>
                <w:spacing w:val="6"/>
                <w:sz w:val="20"/>
                <w:szCs w:val="20"/>
              </w:rPr>
              <w:t>废物</w:t>
            </w:r>
            <w:r>
              <w:rPr>
                <w:rFonts w:ascii="宋体" w:hAnsi="宋体" w:eastAsia="宋体" w:cs="宋体"/>
                <w:b/>
                <w:bCs/>
                <w:spacing w:val="6"/>
                <w:sz w:val="20"/>
                <w:szCs w:val="20"/>
              </w:rPr>
              <w:t>产排情况一览表</w:t>
            </w:r>
          </w:p>
        </w:tc>
      </w:tr>
      <w:tr w14:paraId="298A4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428" w:type="dxa"/>
            <w:vMerge w:val="continue"/>
            <w:tcBorders>
              <w:top w:val="nil"/>
              <w:left w:val="single" w:color="000000" w:sz="6" w:space="0"/>
              <w:bottom w:val="nil"/>
            </w:tcBorders>
            <w:vAlign w:val="top"/>
          </w:tcPr>
          <w:p w14:paraId="50AF848B">
            <w:pPr>
              <w:rPr>
                <w:rFonts w:ascii="Arial"/>
                <w:sz w:val="21"/>
              </w:rPr>
            </w:pPr>
          </w:p>
        </w:tc>
        <w:tc>
          <w:tcPr>
            <w:tcW w:w="115" w:type="dxa"/>
            <w:tcBorders>
              <w:top w:val="nil"/>
              <w:bottom w:val="nil"/>
              <w:right w:val="single" w:color="000000" w:sz="6" w:space="0"/>
            </w:tcBorders>
            <w:vAlign w:val="top"/>
          </w:tcPr>
          <w:p w14:paraId="272012B0">
            <w:pPr>
              <w:rPr>
                <w:rFonts w:ascii="Arial"/>
                <w:sz w:val="21"/>
              </w:rPr>
            </w:pPr>
          </w:p>
        </w:tc>
        <w:tc>
          <w:tcPr>
            <w:tcW w:w="875" w:type="dxa"/>
            <w:tcBorders>
              <w:top w:val="single" w:color="000000" w:sz="6" w:space="0"/>
              <w:left w:val="single" w:color="000000" w:sz="6" w:space="0"/>
            </w:tcBorders>
            <w:vAlign w:val="top"/>
          </w:tcPr>
          <w:p w14:paraId="642C1BAE">
            <w:pPr>
              <w:spacing w:before="34" w:line="228" w:lineRule="auto"/>
              <w:ind w:left="225"/>
              <w:rPr>
                <w:rFonts w:ascii="宋体" w:hAnsi="宋体" w:eastAsia="宋体" w:cs="宋体"/>
                <w:sz w:val="20"/>
                <w:szCs w:val="20"/>
              </w:rPr>
            </w:pPr>
            <w:r>
              <w:rPr>
                <w:rFonts w:ascii="宋体" w:hAnsi="宋体" w:eastAsia="宋体" w:cs="宋体"/>
                <w:b/>
                <w:bCs/>
                <w:spacing w:val="3"/>
                <w:sz w:val="20"/>
                <w:szCs w:val="20"/>
              </w:rPr>
              <w:t>类别</w:t>
            </w:r>
          </w:p>
        </w:tc>
        <w:tc>
          <w:tcPr>
            <w:tcW w:w="1737" w:type="dxa"/>
            <w:gridSpan w:val="3"/>
            <w:tcBorders>
              <w:top w:val="single" w:color="000000" w:sz="6" w:space="0"/>
            </w:tcBorders>
            <w:vAlign w:val="top"/>
          </w:tcPr>
          <w:p w14:paraId="3E2BAB2D">
            <w:pPr>
              <w:spacing w:before="35" w:line="230" w:lineRule="auto"/>
              <w:ind w:left="670"/>
              <w:rPr>
                <w:rFonts w:ascii="宋体" w:hAnsi="宋体" w:eastAsia="宋体" w:cs="宋体"/>
                <w:sz w:val="20"/>
                <w:szCs w:val="20"/>
              </w:rPr>
            </w:pPr>
            <w:r>
              <w:rPr>
                <w:rFonts w:ascii="宋体" w:hAnsi="宋体" w:eastAsia="宋体" w:cs="宋体"/>
                <w:spacing w:val="3"/>
                <w:sz w:val="20"/>
                <w:szCs w:val="20"/>
              </w:rPr>
              <w:t>名称</w:t>
            </w:r>
          </w:p>
        </w:tc>
        <w:tc>
          <w:tcPr>
            <w:tcW w:w="1396" w:type="dxa"/>
            <w:tcBorders>
              <w:top w:val="single" w:color="000000" w:sz="6" w:space="0"/>
            </w:tcBorders>
            <w:vAlign w:val="top"/>
          </w:tcPr>
          <w:p w14:paraId="4E530CC5">
            <w:pPr>
              <w:spacing w:before="35" w:line="191" w:lineRule="auto"/>
              <w:ind w:left="312"/>
              <w:rPr>
                <w:rFonts w:ascii="宋体" w:hAnsi="宋体" w:eastAsia="宋体" w:cs="宋体"/>
                <w:sz w:val="20"/>
                <w:szCs w:val="20"/>
              </w:rPr>
            </w:pPr>
            <w:r>
              <w:rPr>
                <w:rFonts w:ascii="宋体" w:hAnsi="宋体" w:eastAsia="宋体" w:cs="宋体"/>
                <w:b/>
                <w:bCs/>
                <w:spacing w:val="1"/>
                <w:sz w:val="20"/>
                <w:szCs w:val="20"/>
              </w:rPr>
              <w:t>固</w:t>
            </w:r>
            <w:r>
              <w:rPr>
                <w:rFonts w:ascii="微软雅黑" w:hAnsi="微软雅黑" w:eastAsia="微软雅黑" w:cs="微软雅黑"/>
                <w:b/>
                <w:bCs/>
                <w:spacing w:val="1"/>
                <w:sz w:val="20"/>
                <w:szCs w:val="20"/>
              </w:rPr>
              <w:t>废</w:t>
            </w:r>
            <w:r>
              <w:rPr>
                <w:rFonts w:ascii="宋体" w:hAnsi="宋体" w:eastAsia="宋体" w:cs="宋体"/>
                <w:b/>
                <w:bCs/>
                <w:spacing w:val="1"/>
                <w:sz w:val="20"/>
                <w:szCs w:val="20"/>
              </w:rPr>
              <w:t>代码</w:t>
            </w:r>
          </w:p>
        </w:tc>
        <w:tc>
          <w:tcPr>
            <w:tcW w:w="2236" w:type="dxa"/>
            <w:gridSpan w:val="3"/>
            <w:tcBorders>
              <w:top w:val="single" w:color="000000" w:sz="6" w:space="0"/>
            </w:tcBorders>
            <w:vAlign w:val="top"/>
          </w:tcPr>
          <w:p w14:paraId="290EB464">
            <w:pPr>
              <w:spacing w:before="35" w:line="196" w:lineRule="auto"/>
              <w:ind w:left="494"/>
              <w:rPr>
                <w:rFonts w:ascii="宋体" w:hAnsi="宋体" w:eastAsia="宋体" w:cs="宋体"/>
                <w:sz w:val="20"/>
                <w:szCs w:val="20"/>
              </w:rPr>
            </w:pPr>
            <w:r>
              <w:rPr>
                <w:rFonts w:ascii="宋体" w:hAnsi="宋体" w:eastAsia="宋体" w:cs="宋体"/>
                <w:b/>
                <w:bCs/>
                <w:spacing w:val="4"/>
                <w:sz w:val="20"/>
                <w:szCs w:val="20"/>
              </w:rPr>
              <w:t>产生</w:t>
            </w:r>
            <w:r>
              <w:rPr>
                <w:rFonts w:ascii="微软雅黑" w:hAnsi="微软雅黑" w:eastAsia="微软雅黑" w:cs="微软雅黑"/>
                <w:b/>
                <w:bCs/>
                <w:spacing w:val="4"/>
                <w:sz w:val="20"/>
                <w:szCs w:val="20"/>
              </w:rPr>
              <w:t>量</w:t>
            </w:r>
            <w:r>
              <w:rPr>
                <w:rFonts w:ascii="宋体" w:hAnsi="宋体" w:eastAsia="宋体" w:cs="宋体"/>
                <w:b/>
                <w:bCs/>
                <w:spacing w:val="4"/>
                <w:sz w:val="20"/>
                <w:szCs w:val="20"/>
              </w:rPr>
              <w:t>（</w:t>
            </w:r>
            <w:r>
              <w:rPr>
                <w:rFonts w:ascii="Times New Roman" w:hAnsi="Times New Roman" w:eastAsia="Times New Roman" w:cs="Times New Roman"/>
                <w:b/>
                <w:bCs/>
                <w:spacing w:val="4"/>
                <w:sz w:val="20"/>
                <w:szCs w:val="20"/>
              </w:rPr>
              <w:t>t/a</w:t>
            </w:r>
            <w:r>
              <w:rPr>
                <w:rFonts w:ascii="宋体" w:hAnsi="宋体" w:eastAsia="宋体" w:cs="宋体"/>
                <w:b/>
                <w:bCs/>
                <w:spacing w:val="4"/>
                <w:sz w:val="20"/>
                <w:szCs w:val="20"/>
              </w:rPr>
              <w:t>）</w:t>
            </w:r>
          </w:p>
        </w:tc>
        <w:tc>
          <w:tcPr>
            <w:tcW w:w="2277" w:type="dxa"/>
            <w:gridSpan w:val="2"/>
            <w:tcBorders>
              <w:top w:val="single" w:color="000000" w:sz="6" w:space="0"/>
              <w:right w:val="single" w:color="000000" w:sz="6" w:space="0"/>
            </w:tcBorders>
            <w:vAlign w:val="top"/>
          </w:tcPr>
          <w:p w14:paraId="49447DE4">
            <w:pPr>
              <w:spacing w:before="35" w:line="228" w:lineRule="auto"/>
              <w:ind w:left="141"/>
              <w:rPr>
                <w:rFonts w:ascii="宋体" w:hAnsi="宋体" w:eastAsia="宋体" w:cs="宋体"/>
                <w:sz w:val="20"/>
                <w:szCs w:val="20"/>
              </w:rPr>
            </w:pPr>
            <w:r>
              <w:rPr>
                <w:rFonts w:ascii="宋体" w:hAnsi="宋体" w:eastAsia="宋体" w:cs="宋体"/>
                <w:b/>
                <w:bCs/>
                <w:spacing w:val="7"/>
                <w:sz w:val="20"/>
                <w:szCs w:val="20"/>
              </w:rPr>
              <w:t>处置方式及处理情况</w:t>
            </w:r>
          </w:p>
        </w:tc>
      </w:tr>
      <w:tr w14:paraId="1407A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428" w:type="dxa"/>
            <w:vMerge w:val="continue"/>
            <w:tcBorders>
              <w:top w:val="nil"/>
              <w:left w:val="single" w:color="000000" w:sz="6" w:space="0"/>
              <w:bottom w:val="nil"/>
            </w:tcBorders>
            <w:vAlign w:val="top"/>
          </w:tcPr>
          <w:p w14:paraId="64BD24CA">
            <w:pPr>
              <w:rPr>
                <w:rFonts w:ascii="Arial"/>
                <w:sz w:val="21"/>
              </w:rPr>
            </w:pPr>
          </w:p>
        </w:tc>
        <w:tc>
          <w:tcPr>
            <w:tcW w:w="115" w:type="dxa"/>
            <w:tcBorders>
              <w:top w:val="nil"/>
              <w:bottom w:val="nil"/>
              <w:right w:val="single" w:color="000000" w:sz="6" w:space="0"/>
            </w:tcBorders>
            <w:vAlign w:val="top"/>
          </w:tcPr>
          <w:p w14:paraId="4A168D5B">
            <w:pPr>
              <w:rPr>
                <w:rFonts w:ascii="Arial"/>
                <w:sz w:val="21"/>
              </w:rPr>
            </w:pPr>
          </w:p>
        </w:tc>
        <w:tc>
          <w:tcPr>
            <w:tcW w:w="875" w:type="dxa"/>
            <w:vMerge w:val="restart"/>
            <w:tcBorders>
              <w:left w:val="single" w:color="000000" w:sz="6" w:space="0"/>
              <w:bottom w:val="nil"/>
            </w:tcBorders>
            <w:vAlign w:val="top"/>
          </w:tcPr>
          <w:p w14:paraId="5FCDD0AE">
            <w:pPr>
              <w:spacing w:line="387" w:lineRule="auto"/>
              <w:rPr>
                <w:rFonts w:ascii="Arial"/>
                <w:sz w:val="21"/>
              </w:rPr>
            </w:pPr>
          </w:p>
          <w:p w14:paraId="21795FEE">
            <w:pPr>
              <w:spacing w:before="65" w:line="337" w:lineRule="auto"/>
              <w:ind w:left="328" w:right="124" w:hanging="207"/>
              <w:rPr>
                <w:rFonts w:ascii="微软雅黑" w:hAnsi="微软雅黑" w:eastAsia="微软雅黑" w:cs="微软雅黑"/>
                <w:sz w:val="20"/>
                <w:szCs w:val="20"/>
              </w:rPr>
            </w:pPr>
            <w:r>
              <w:rPr>
                <w:rFonts w:ascii="宋体" w:hAnsi="宋体" w:eastAsia="宋体" w:cs="宋体"/>
                <w:spacing w:val="6"/>
                <w:sz w:val="20"/>
                <w:szCs w:val="20"/>
              </w:rPr>
              <w:t>生活固</w:t>
            </w:r>
            <w:r>
              <w:rPr>
                <w:rFonts w:ascii="微软雅黑" w:hAnsi="微软雅黑" w:eastAsia="微软雅黑" w:cs="微软雅黑"/>
                <w:spacing w:val="2"/>
                <w:sz w:val="20"/>
                <w:szCs w:val="20"/>
              </w:rPr>
              <w:t>废</w:t>
            </w:r>
          </w:p>
        </w:tc>
        <w:tc>
          <w:tcPr>
            <w:tcW w:w="1737" w:type="dxa"/>
            <w:gridSpan w:val="3"/>
            <w:vAlign w:val="top"/>
          </w:tcPr>
          <w:p w14:paraId="621B6C26">
            <w:pPr>
              <w:spacing w:before="245" w:line="228" w:lineRule="auto"/>
              <w:ind w:left="461"/>
              <w:rPr>
                <w:rFonts w:ascii="宋体" w:hAnsi="宋体" w:eastAsia="宋体" w:cs="宋体"/>
                <w:sz w:val="20"/>
                <w:szCs w:val="20"/>
              </w:rPr>
            </w:pPr>
            <w:r>
              <w:rPr>
                <w:rFonts w:ascii="宋体" w:hAnsi="宋体" w:eastAsia="宋体" w:cs="宋体"/>
                <w:spacing w:val="6"/>
                <w:sz w:val="20"/>
                <w:szCs w:val="20"/>
              </w:rPr>
              <w:t>生活垃圾</w:t>
            </w:r>
          </w:p>
        </w:tc>
        <w:tc>
          <w:tcPr>
            <w:tcW w:w="1396" w:type="dxa"/>
            <w:vAlign w:val="top"/>
          </w:tcPr>
          <w:p w14:paraId="2A23EEE6">
            <w:pPr>
              <w:spacing w:before="288" w:line="195"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900-099-S64</w:t>
            </w:r>
          </w:p>
        </w:tc>
        <w:tc>
          <w:tcPr>
            <w:tcW w:w="2236" w:type="dxa"/>
            <w:gridSpan w:val="3"/>
            <w:vAlign w:val="top"/>
          </w:tcPr>
          <w:p w14:paraId="558EE080">
            <w:pPr>
              <w:spacing w:before="288" w:line="195" w:lineRule="auto"/>
              <w:ind w:left="1010"/>
              <w:rPr>
                <w:rFonts w:ascii="Times New Roman" w:hAnsi="Times New Roman" w:eastAsia="Times New Roman" w:cs="Times New Roman"/>
                <w:sz w:val="20"/>
                <w:szCs w:val="20"/>
              </w:rPr>
            </w:pPr>
            <w:r>
              <w:rPr>
                <w:rFonts w:ascii="Times New Roman" w:hAnsi="Times New Roman" w:eastAsia="Times New Roman" w:cs="Times New Roman"/>
                <w:sz w:val="20"/>
                <w:szCs w:val="20"/>
              </w:rPr>
              <w:t>8.7</w:t>
            </w:r>
          </w:p>
        </w:tc>
        <w:tc>
          <w:tcPr>
            <w:tcW w:w="2277" w:type="dxa"/>
            <w:gridSpan w:val="2"/>
            <w:tcBorders>
              <w:right w:val="single" w:color="000000" w:sz="6" w:space="0"/>
            </w:tcBorders>
            <w:vAlign w:val="top"/>
          </w:tcPr>
          <w:p w14:paraId="1F46AB57">
            <w:pPr>
              <w:spacing w:before="40" w:line="228" w:lineRule="auto"/>
              <w:ind w:left="141"/>
              <w:rPr>
                <w:rFonts w:ascii="宋体" w:hAnsi="宋体" w:eastAsia="宋体" w:cs="宋体"/>
                <w:sz w:val="20"/>
                <w:szCs w:val="20"/>
              </w:rPr>
            </w:pPr>
            <w:r>
              <w:rPr>
                <w:rFonts w:ascii="宋体" w:hAnsi="宋体" w:eastAsia="宋体" w:cs="宋体"/>
                <w:spacing w:val="9"/>
                <w:sz w:val="20"/>
                <w:szCs w:val="20"/>
              </w:rPr>
              <w:t>委托环卫部门清运处</w:t>
            </w:r>
          </w:p>
          <w:p w14:paraId="4FB3AA98">
            <w:pPr>
              <w:spacing w:before="161" w:line="233" w:lineRule="auto"/>
              <w:ind w:left="980"/>
              <w:rPr>
                <w:rFonts w:ascii="宋体" w:hAnsi="宋体" w:eastAsia="宋体" w:cs="宋体"/>
                <w:sz w:val="20"/>
                <w:szCs w:val="20"/>
              </w:rPr>
            </w:pPr>
            <w:r>
              <w:rPr>
                <w:rFonts w:ascii="宋体" w:hAnsi="宋体" w:eastAsia="宋体" w:cs="宋体"/>
                <w:spacing w:val="2"/>
                <w:sz w:val="20"/>
                <w:szCs w:val="20"/>
              </w:rPr>
              <w:t>置</w:t>
            </w:r>
          </w:p>
        </w:tc>
      </w:tr>
      <w:tr w14:paraId="0E139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 w:hRule="atLeast"/>
        </w:trPr>
        <w:tc>
          <w:tcPr>
            <w:tcW w:w="428" w:type="dxa"/>
            <w:vMerge w:val="continue"/>
            <w:tcBorders>
              <w:top w:val="nil"/>
              <w:left w:val="single" w:color="000000" w:sz="6" w:space="0"/>
              <w:bottom w:val="nil"/>
            </w:tcBorders>
            <w:vAlign w:val="top"/>
          </w:tcPr>
          <w:p w14:paraId="032C01A1">
            <w:pPr>
              <w:rPr>
                <w:rFonts w:ascii="Arial"/>
                <w:sz w:val="21"/>
              </w:rPr>
            </w:pPr>
          </w:p>
        </w:tc>
        <w:tc>
          <w:tcPr>
            <w:tcW w:w="115" w:type="dxa"/>
            <w:tcBorders>
              <w:top w:val="nil"/>
              <w:bottom w:val="nil"/>
              <w:right w:val="single" w:color="000000" w:sz="6" w:space="0"/>
            </w:tcBorders>
            <w:vAlign w:val="top"/>
          </w:tcPr>
          <w:p w14:paraId="64B5C013">
            <w:pPr>
              <w:rPr>
                <w:rFonts w:ascii="Arial"/>
                <w:sz w:val="21"/>
              </w:rPr>
            </w:pPr>
          </w:p>
        </w:tc>
        <w:tc>
          <w:tcPr>
            <w:tcW w:w="875" w:type="dxa"/>
            <w:vMerge w:val="continue"/>
            <w:tcBorders>
              <w:top w:val="nil"/>
              <w:left w:val="single" w:color="000000" w:sz="6" w:space="0"/>
            </w:tcBorders>
            <w:vAlign w:val="top"/>
          </w:tcPr>
          <w:p w14:paraId="4ACF086B">
            <w:pPr>
              <w:rPr>
                <w:rFonts w:ascii="Arial"/>
                <w:sz w:val="21"/>
              </w:rPr>
            </w:pPr>
          </w:p>
        </w:tc>
        <w:tc>
          <w:tcPr>
            <w:tcW w:w="1737" w:type="dxa"/>
            <w:gridSpan w:val="3"/>
            <w:vAlign w:val="top"/>
          </w:tcPr>
          <w:p w14:paraId="45C41563">
            <w:pPr>
              <w:spacing w:before="52" w:line="355" w:lineRule="auto"/>
              <w:ind w:left="461" w:right="128" w:hanging="318"/>
              <w:rPr>
                <w:rFonts w:ascii="宋体" w:hAnsi="宋体" w:eastAsia="宋体" w:cs="宋体"/>
                <w:sz w:val="20"/>
                <w:szCs w:val="20"/>
              </w:rPr>
            </w:pPr>
            <w:r>
              <w:rPr>
                <w:rFonts w:ascii="宋体" w:hAnsi="宋体" w:eastAsia="宋体" w:cs="宋体"/>
                <w:spacing w:val="8"/>
                <w:sz w:val="20"/>
                <w:szCs w:val="20"/>
              </w:rPr>
              <w:t>化粪池、污水处</w:t>
            </w:r>
            <w:r>
              <w:rPr>
                <w:rFonts w:ascii="宋体" w:hAnsi="宋体" w:eastAsia="宋体" w:cs="宋体"/>
                <w:spacing w:val="6"/>
                <w:sz w:val="20"/>
                <w:szCs w:val="20"/>
              </w:rPr>
              <w:t>理站污泥</w:t>
            </w:r>
          </w:p>
        </w:tc>
        <w:tc>
          <w:tcPr>
            <w:tcW w:w="1396" w:type="dxa"/>
            <w:vAlign w:val="top"/>
          </w:tcPr>
          <w:p w14:paraId="5E8DD9D3">
            <w:pPr>
              <w:spacing w:line="242" w:lineRule="auto"/>
              <w:rPr>
                <w:rFonts w:ascii="Arial"/>
                <w:sz w:val="21"/>
              </w:rPr>
            </w:pPr>
          </w:p>
          <w:p w14:paraId="58CD2BF2">
            <w:pPr>
              <w:spacing w:before="57" w:line="195"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900-099-S64</w:t>
            </w:r>
          </w:p>
        </w:tc>
        <w:tc>
          <w:tcPr>
            <w:tcW w:w="2236" w:type="dxa"/>
            <w:gridSpan w:val="3"/>
            <w:vAlign w:val="top"/>
          </w:tcPr>
          <w:p w14:paraId="578D3B88">
            <w:pPr>
              <w:spacing w:line="242" w:lineRule="auto"/>
              <w:rPr>
                <w:rFonts w:ascii="Arial"/>
                <w:sz w:val="21"/>
              </w:rPr>
            </w:pPr>
          </w:p>
          <w:p w14:paraId="095EF153">
            <w:pPr>
              <w:spacing w:before="57" w:line="195" w:lineRule="auto"/>
              <w:ind w:left="91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15.45</w:t>
            </w:r>
          </w:p>
        </w:tc>
        <w:tc>
          <w:tcPr>
            <w:tcW w:w="2277" w:type="dxa"/>
            <w:gridSpan w:val="2"/>
            <w:tcBorders>
              <w:right w:val="single" w:color="000000" w:sz="6" w:space="0"/>
            </w:tcBorders>
            <w:vAlign w:val="top"/>
          </w:tcPr>
          <w:p w14:paraId="6D1D827B">
            <w:pPr>
              <w:spacing w:before="51" w:line="228" w:lineRule="auto"/>
              <w:ind w:left="141"/>
              <w:rPr>
                <w:rFonts w:ascii="宋体" w:hAnsi="宋体" w:eastAsia="宋体" w:cs="宋体"/>
                <w:sz w:val="20"/>
                <w:szCs w:val="20"/>
              </w:rPr>
            </w:pPr>
            <w:r>
              <w:rPr>
                <w:rFonts w:ascii="宋体" w:hAnsi="宋体" w:eastAsia="宋体" w:cs="宋体"/>
                <w:spacing w:val="9"/>
                <w:sz w:val="20"/>
                <w:szCs w:val="20"/>
              </w:rPr>
              <w:t>委托环卫部门清运处</w:t>
            </w:r>
          </w:p>
          <w:p w14:paraId="12CBA396">
            <w:pPr>
              <w:spacing w:before="161" w:line="233" w:lineRule="auto"/>
              <w:ind w:left="980"/>
              <w:rPr>
                <w:rFonts w:ascii="宋体" w:hAnsi="宋体" w:eastAsia="宋体" w:cs="宋体"/>
                <w:sz w:val="20"/>
                <w:szCs w:val="20"/>
              </w:rPr>
            </w:pPr>
            <w:r>
              <w:rPr>
                <w:rFonts w:ascii="宋体" w:hAnsi="宋体" w:eastAsia="宋体" w:cs="宋体"/>
                <w:spacing w:val="2"/>
                <w:sz w:val="20"/>
                <w:szCs w:val="20"/>
              </w:rPr>
              <w:t>置</w:t>
            </w:r>
          </w:p>
        </w:tc>
      </w:tr>
      <w:tr w14:paraId="453BD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428" w:type="dxa"/>
            <w:vMerge w:val="continue"/>
            <w:tcBorders>
              <w:top w:val="nil"/>
              <w:left w:val="single" w:color="000000" w:sz="6" w:space="0"/>
              <w:bottom w:val="nil"/>
            </w:tcBorders>
            <w:vAlign w:val="top"/>
          </w:tcPr>
          <w:p w14:paraId="4BA36422">
            <w:pPr>
              <w:rPr>
                <w:rFonts w:ascii="Arial"/>
                <w:sz w:val="21"/>
              </w:rPr>
            </w:pPr>
          </w:p>
        </w:tc>
        <w:tc>
          <w:tcPr>
            <w:tcW w:w="115" w:type="dxa"/>
            <w:tcBorders>
              <w:top w:val="nil"/>
              <w:bottom w:val="nil"/>
              <w:right w:val="single" w:color="000000" w:sz="6" w:space="0"/>
            </w:tcBorders>
            <w:vAlign w:val="top"/>
          </w:tcPr>
          <w:p w14:paraId="652FBA7B">
            <w:pPr>
              <w:rPr>
                <w:rFonts w:ascii="Arial"/>
                <w:sz w:val="21"/>
              </w:rPr>
            </w:pPr>
          </w:p>
        </w:tc>
        <w:tc>
          <w:tcPr>
            <w:tcW w:w="875" w:type="dxa"/>
            <w:vMerge w:val="restart"/>
            <w:tcBorders>
              <w:left w:val="single" w:color="000000" w:sz="6" w:space="0"/>
              <w:bottom w:val="nil"/>
            </w:tcBorders>
            <w:vAlign w:val="top"/>
          </w:tcPr>
          <w:p w14:paraId="662DA91D">
            <w:pPr>
              <w:spacing w:before="249" w:line="337" w:lineRule="auto"/>
              <w:ind w:left="329" w:right="124" w:hanging="206"/>
              <w:rPr>
                <w:rFonts w:ascii="微软雅黑" w:hAnsi="微软雅黑" w:eastAsia="微软雅黑" w:cs="微软雅黑"/>
                <w:sz w:val="20"/>
                <w:szCs w:val="20"/>
              </w:rPr>
            </w:pPr>
            <w:r>
              <w:rPr>
                <w:rFonts w:ascii="宋体" w:hAnsi="宋体" w:eastAsia="宋体" w:cs="宋体"/>
                <w:spacing w:val="5"/>
                <w:sz w:val="20"/>
                <w:szCs w:val="20"/>
              </w:rPr>
              <w:t>一般固</w:t>
            </w:r>
            <w:r>
              <w:rPr>
                <w:rFonts w:ascii="微软雅黑" w:hAnsi="微软雅黑" w:eastAsia="微软雅黑" w:cs="微软雅黑"/>
                <w:spacing w:val="2"/>
                <w:sz w:val="20"/>
                <w:szCs w:val="20"/>
              </w:rPr>
              <w:t>废</w:t>
            </w:r>
          </w:p>
        </w:tc>
        <w:tc>
          <w:tcPr>
            <w:tcW w:w="1737" w:type="dxa"/>
            <w:gridSpan w:val="3"/>
            <w:vAlign w:val="top"/>
          </w:tcPr>
          <w:p w14:paraId="41E9FACE">
            <w:pPr>
              <w:spacing w:before="42" w:line="354" w:lineRule="auto"/>
              <w:ind w:left="561" w:right="128" w:hanging="420"/>
              <w:rPr>
                <w:rFonts w:ascii="宋体" w:hAnsi="宋体" w:eastAsia="宋体" w:cs="宋体"/>
                <w:sz w:val="20"/>
                <w:szCs w:val="20"/>
              </w:rPr>
            </w:pPr>
            <w:r>
              <w:rPr>
                <w:rFonts w:ascii="宋体" w:hAnsi="宋体" w:eastAsia="宋体" w:cs="宋体"/>
                <w:spacing w:val="8"/>
                <w:sz w:val="20"/>
                <w:szCs w:val="20"/>
              </w:rPr>
              <w:t>废料、木屑、废</w:t>
            </w:r>
            <w:r>
              <w:rPr>
                <w:rFonts w:ascii="宋体" w:hAnsi="宋体" w:eastAsia="宋体" w:cs="宋体"/>
                <w:spacing w:val="7"/>
                <w:sz w:val="20"/>
                <w:szCs w:val="20"/>
              </w:rPr>
              <w:t>边角料</w:t>
            </w:r>
          </w:p>
        </w:tc>
        <w:tc>
          <w:tcPr>
            <w:tcW w:w="1396" w:type="dxa"/>
            <w:vAlign w:val="top"/>
          </w:tcPr>
          <w:p w14:paraId="6B38655F">
            <w:pPr>
              <w:spacing w:before="289" w:line="195"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900-005-S17</w:t>
            </w:r>
          </w:p>
        </w:tc>
        <w:tc>
          <w:tcPr>
            <w:tcW w:w="2236" w:type="dxa"/>
            <w:gridSpan w:val="3"/>
            <w:vAlign w:val="top"/>
          </w:tcPr>
          <w:p w14:paraId="1305B24A">
            <w:pPr>
              <w:spacing w:before="289" w:line="195" w:lineRule="auto"/>
              <w:ind w:left="95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20.5</w:t>
            </w:r>
          </w:p>
        </w:tc>
        <w:tc>
          <w:tcPr>
            <w:tcW w:w="2277" w:type="dxa"/>
            <w:gridSpan w:val="2"/>
            <w:tcBorders>
              <w:right w:val="single" w:color="000000" w:sz="6" w:space="0"/>
            </w:tcBorders>
            <w:vAlign w:val="top"/>
          </w:tcPr>
          <w:p w14:paraId="31DC39BC">
            <w:pPr>
              <w:spacing w:before="42" w:line="354" w:lineRule="auto"/>
              <w:ind w:left="248" w:right="243" w:hanging="107"/>
              <w:rPr>
                <w:rFonts w:ascii="宋体" w:hAnsi="宋体" w:eastAsia="宋体" w:cs="宋体"/>
                <w:sz w:val="20"/>
                <w:szCs w:val="20"/>
              </w:rPr>
            </w:pPr>
            <w:r>
              <w:rPr>
                <w:rFonts w:ascii="宋体" w:hAnsi="宋体" w:eastAsia="宋体" w:cs="宋体"/>
                <w:spacing w:val="9"/>
                <w:sz w:val="20"/>
                <w:szCs w:val="20"/>
              </w:rPr>
              <w:t>委托云南滇木人造板</w:t>
            </w:r>
            <w:r>
              <w:rPr>
                <w:rFonts w:ascii="宋体" w:hAnsi="宋体" w:eastAsia="宋体" w:cs="宋体"/>
                <w:spacing w:val="8"/>
                <w:sz w:val="20"/>
                <w:szCs w:val="20"/>
              </w:rPr>
              <w:t>有限公司回收利用</w:t>
            </w:r>
          </w:p>
        </w:tc>
      </w:tr>
      <w:tr w14:paraId="2ED9A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761D1755">
            <w:pPr>
              <w:rPr>
                <w:rFonts w:ascii="Arial"/>
                <w:sz w:val="21"/>
              </w:rPr>
            </w:pPr>
          </w:p>
        </w:tc>
        <w:tc>
          <w:tcPr>
            <w:tcW w:w="115" w:type="dxa"/>
            <w:tcBorders>
              <w:top w:val="nil"/>
              <w:bottom w:val="nil"/>
              <w:right w:val="single" w:color="000000" w:sz="6" w:space="0"/>
            </w:tcBorders>
            <w:vAlign w:val="top"/>
          </w:tcPr>
          <w:p w14:paraId="63558A84">
            <w:pPr>
              <w:rPr>
                <w:rFonts w:ascii="Arial"/>
                <w:sz w:val="21"/>
              </w:rPr>
            </w:pPr>
          </w:p>
        </w:tc>
        <w:tc>
          <w:tcPr>
            <w:tcW w:w="875" w:type="dxa"/>
            <w:vMerge w:val="continue"/>
            <w:tcBorders>
              <w:top w:val="nil"/>
              <w:left w:val="single" w:color="000000" w:sz="6" w:space="0"/>
            </w:tcBorders>
            <w:vAlign w:val="top"/>
          </w:tcPr>
          <w:p w14:paraId="499981B4">
            <w:pPr>
              <w:rPr>
                <w:rFonts w:ascii="Arial"/>
                <w:sz w:val="21"/>
              </w:rPr>
            </w:pPr>
          </w:p>
        </w:tc>
        <w:tc>
          <w:tcPr>
            <w:tcW w:w="1737" w:type="dxa"/>
            <w:gridSpan w:val="3"/>
            <w:vAlign w:val="top"/>
          </w:tcPr>
          <w:p w14:paraId="36ED1B68">
            <w:pPr>
              <w:spacing w:before="43" w:line="192" w:lineRule="auto"/>
              <w:ind w:left="352"/>
              <w:rPr>
                <w:rFonts w:ascii="宋体" w:hAnsi="宋体" w:eastAsia="宋体" w:cs="宋体"/>
                <w:sz w:val="20"/>
                <w:szCs w:val="20"/>
              </w:rPr>
            </w:pPr>
            <w:r>
              <w:rPr>
                <w:rFonts w:ascii="微软雅黑" w:hAnsi="微软雅黑" w:eastAsia="微软雅黑" w:cs="微软雅黑"/>
                <w:spacing w:val="8"/>
                <w:sz w:val="20"/>
                <w:szCs w:val="20"/>
              </w:rPr>
              <w:t>废</w:t>
            </w:r>
            <w:r>
              <w:rPr>
                <w:rFonts w:ascii="宋体" w:hAnsi="宋体" w:eastAsia="宋体" w:cs="宋体"/>
                <w:spacing w:val="8"/>
                <w:sz w:val="20"/>
                <w:szCs w:val="20"/>
              </w:rPr>
              <w:t>包装材料</w:t>
            </w:r>
          </w:p>
        </w:tc>
        <w:tc>
          <w:tcPr>
            <w:tcW w:w="1396" w:type="dxa"/>
            <w:vAlign w:val="top"/>
          </w:tcPr>
          <w:p w14:paraId="7FDDB291">
            <w:pPr>
              <w:spacing w:before="86" w:line="195"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900-005-S17</w:t>
            </w:r>
          </w:p>
        </w:tc>
        <w:tc>
          <w:tcPr>
            <w:tcW w:w="2236" w:type="dxa"/>
            <w:gridSpan w:val="3"/>
            <w:vAlign w:val="top"/>
          </w:tcPr>
          <w:p w14:paraId="494319A6">
            <w:pPr>
              <w:spacing w:before="86" w:line="195" w:lineRule="auto"/>
              <w:ind w:left="1007"/>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2277" w:type="dxa"/>
            <w:gridSpan w:val="2"/>
            <w:tcBorders>
              <w:right w:val="single" w:color="000000" w:sz="6" w:space="0"/>
            </w:tcBorders>
            <w:vAlign w:val="top"/>
          </w:tcPr>
          <w:p w14:paraId="0263521C">
            <w:pPr>
              <w:spacing w:before="43" w:line="192" w:lineRule="auto"/>
              <w:ind w:left="147"/>
              <w:rPr>
                <w:rFonts w:ascii="宋体" w:hAnsi="宋体" w:eastAsia="宋体" w:cs="宋体"/>
                <w:sz w:val="20"/>
                <w:szCs w:val="20"/>
              </w:rPr>
            </w:pPr>
            <w:r>
              <w:rPr>
                <w:rFonts w:ascii="宋体" w:hAnsi="宋体" w:eastAsia="宋体" w:cs="宋体"/>
                <w:spacing w:val="8"/>
                <w:sz w:val="20"/>
                <w:szCs w:val="20"/>
              </w:rPr>
              <w:t>定期外售</w:t>
            </w:r>
            <w:r>
              <w:rPr>
                <w:rFonts w:ascii="微软雅黑" w:hAnsi="微软雅黑" w:eastAsia="微软雅黑" w:cs="微软雅黑"/>
                <w:spacing w:val="8"/>
                <w:sz w:val="20"/>
                <w:szCs w:val="20"/>
              </w:rPr>
              <w:t>废</w:t>
            </w:r>
            <w:r>
              <w:rPr>
                <w:rFonts w:ascii="宋体" w:hAnsi="宋体" w:eastAsia="宋体" w:cs="宋体"/>
                <w:spacing w:val="8"/>
                <w:sz w:val="20"/>
                <w:szCs w:val="20"/>
              </w:rPr>
              <w:t>品收购站</w:t>
            </w:r>
          </w:p>
        </w:tc>
      </w:tr>
      <w:tr w14:paraId="15B9E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7" w:hRule="atLeast"/>
        </w:trPr>
        <w:tc>
          <w:tcPr>
            <w:tcW w:w="428" w:type="dxa"/>
            <w:vMerge w:val="continue"/>
            <w:tcBorders>
              <w:top w:val="nil"/>
              <w:left w:val="single" w:color="000000" w:sz="6" w:space="0"/>
              <w:bottom w:val="nil"/>
            </w:tcBorders>
            <w:vAlign w:val="top"/>
          </w:tcPr>
          <w:p w14:paraId="12D7DCC3">
            <w:pPr>
              <w:rPr>
                <w:rFonts w:ascii="Arial"/>
                <w:sz w:val="21"/>
              </w:rPr>
            </w:pPr>
          </w:p>
        </w:tc>
        <w:tc>
          <w:tcPr>
            <w:tcW w:w="115" w:type="dxa"/>
            <w:tcBorders>
              <w:top w:val="nil"/>
              <w:bottom w:val="nil"/>
              <w:right w:val="single" w:color="000000" w:sz="6" w:space="0"/>
            </w:tcBorders>
            <w:vAlign w:val="top"/>
          </w:tcPr>
          <w:p w14:paraId="1CDA0B9B">
            <w:pPr>
              <w:rPr>
                <w:rFonts w:ascii="Arial"/>
                <w:sz w:val="21"/>
              </w:rPr>
            </w:pPr>
          </w:p>
        </w:tc>
        <w:tc>
          <w:tcPr>
            <w:tcW w:w="875" w:type="dxa"/>
            <w:vMerge w:val="restart"/>
            <w:tcBorders>
              <w:left w:val="single" w:color="000000" w:sz="6" w:space="0"/>
              <w:bottom w:val="nil"/>
            </w:tcBorders>
            <w:vAlign w:val="top"/>
          </w:tcPr>
          <w:p w14:paraId="5A057FD9">
            <w:pPr>
              <w:spacing w:line="370" w:lineRule="auto"/>
              <w:rPr>
                <w:rFonts w:ascii="Arial"/>
                <w:sz w:val="21"/>
              </w:rPr>
            </w:pPr>
          </w:p>
          <w:p w14:paraId="26768DC3">
            <w:pPr>
              <w:spacing w:before="86" w:line="296" w:lineRule="auto"/>
              <w:ind w:left="337" w:right="124" w:hanging="215"/>
              <w:rPr>
                <w:rFonts w:ascii="微软雅黑" w:hAnsi="微软雅黑" w:eastAsia="微软雅黑" w:cs="微软雅黑"/>
                <w:sz w:val="20"/>
                <w:szCs w:val="20"/>
              </w:rPr>
            </w:pPr>
            <w:r>
              <w:rPr>
                <w:rFonts w:ascii="宋体" w:hAnsi="宋体" w:eastAsia="宋体" w:cs="宋体"/>
                <w:spacing w:val="6"/>
                <w:sz w:val="20"/>
                <w:szCs w:val="20"/>
              </w:rPr>
              <w:t>危险</w:t>
            </w:r>
            <w:r>
              <w:rPr>
                <w:rFonts w:ascii="微软雅黑" w:hAnsi="微软雅黑" w:eastAsia="微软雅黑" w:cs="微软雅黑"/>
                <w:spacing w:val="6"/>
                <w:sz w:val="20"/>
                <w:szCs w:val="20"/>
              </w:rPr>
              <w:t>废</w:t>
            </w:r>
            <w:r>
              <w:rPr>
                <w:rFonts w:ascii="微软雅黑" w:hAnsi="微软雅黑" w:eastAsia="微软雅黑" w:cs="微软雅黑"/>
                <w:sz w:val="20"/>
                <w:szCs w:val="20"/>
              </w:rPr>
              <w:t>物</w:t>
            </w:r>
          </w:p>
        </w:tc>
        <w:tc>
          <w:tcPr>
            <w:tcW w:w="1737" w:type="dxa"/>
            <w:gridSpan w:val="3"/>
            <w:vAlign w:val="top"/>
          </w:tcPr>
          <w:p w14:paraId="349A63B5">
            <w:pPr>
              <w:spacing w:line="364" w:lineRule="auto"/>
              <w:rPr>
                <w:rFonts w:ascii="Arial"/>
                <w:sz w:val="21"/>
              </w:rPr>
            </w:pPr>
          </w:p>
          <w:p w14:paraId="78386BEE">
            <w:pPr>
              <w:spacing w:before="86" w:line="192" w:lineRule="auto"/>
              <w:ind w:left="457"/>
              <w:rPr>
                <w:rFonts w:ascii="宋体" w:hAnsi="宋体" w:eastAsia="宋体" w:cs="宋体"/>
                <w:sz w:val="20"/>
                <w:szCs w:val="20"/>
              </w:rPr>
            </w:pPr>
            <w:r>
              <w:rPr>
                <w:rFonts w:ascii="微软雅黑" w:hAnsi="微软雅黑" w:eastAsia="微软雅黑" w:cs="微软雅黑"/>
                <w:spacing w:val="7"/>
                <w:sz w:val="20"/>
                <w:szCs w:val="20"/>
              </w:rPr>
              <w:t>废</w:t>
            </w:r>
            <w:r>
              <w:rPr>
                <w:rFonts w:ascii="宋体" w:hAnsi="宋体" w:eastAsia="宋体" w:cs="宋体"/>
                <w:spacing w:val="7"/>
                <w:sz w:val="20"/>
                <w:szCs w:val="20"/>
              </w:rPr>
              <w:t>润滑油</w:t>
            </w:r>
          </w:p>
        </w:tc>
        <w:tc>
          <w:tcPr>
            <w:tcW w:w="1396" w:type="dxa"/>
            <w:vAlign w:val="top"/>
          </w:tcPr>
          <w:p w14:paraId="38DA17C7">
            <w:pPr>
              <w:spacing w:line="435" w:lineRule="auto"/>
              <w:rPr>
                <w:rFonts w:ascii="Arial"/>
                <w:sz w:val="21"/>
              </w:rPr>
            </w:pPr>
          </w:p>
          <w:p w14:paraId="2490ED70">
            <w:pPr>
              <w:spacing w:before="57" w:line="195"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900-214-08</w:t>
            </w:r>
          </w:p>
        </w:tc>
        <w:tc>
          <w:tcPr>
            <w:tcW w:w="2236" w:type="dxa"/>
            <w:gridSpan w:val="3"/>
            <w:vAlign w:val="top"/>
          </w:tcPr>
          <w:p w14:paraId="09F94638">
            <w:pPr>
              <w:spacing w:line="435" w:lineRule="auto"/>
              <w:rPr>
                <w:rFonts w:ascii="Arial"/>
                <w:sz w:val="21"/>
              </w:rPr>
            </w:pPr>
          </w:p>
          <w:p w14:paraId="06712625">
            <w:pPr>
              <w:spacing w:before="57" w:line="195" w:lineRule="auto"/>
              <w:ind w:left="10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2277" w:type="dxa"/>
            <w:gridSpan w:val="2"/>
            <w:tcBorders>
              <w:right w:val="single" w:color="000000" w:sz="6" w:space="0"/>
            </w:tcBorders>
            <w:vAlign w:val="top"/>
          </w:tcPr>
          <w:p w14:paraId="646E2E8F">
            <w:pPr>
              <w:spacing w:before="44" w:line="227" w:lineRule="auto"/>
              <w:ind w:left="141"/>
              <w:rPr>
                <w:rFonts w:ascii="宋体" w:hAnsi="宋体" w:eastAsia="宋体" w:cs="宋体"/>
                <w:sz w:val="20"/>
                <w:szCs w:val="20"/>
              </w:rPr>
            </w:pPr>
            <w:r>
              <w:rPr>
                <w:rFonts w:ascii="宋体" w:hAnsi="宋体" w:eastAsia="宋体" w:cs="宋体"/>
                <w:spacing w:val="9"/>
                <w:sz w:val="20"/>
                <w:szCs w:val="20"/>
              </w:rPr>
              <w:t>委托曲靖同磊再生资</w:t>
            </w:r>
          </w:p>
          <w:p w14:paraId="71C836F1">
            <w:pPr>
              <w:spacing w:before="161" w:line="228" w:lineRule="auto"/>
              <w:ind w:left="141"/>
              <w:rPr>
                <w:rFonts w:ascii="宋体" w:hAnsi="宋体" w:eastAsia="宋体" w:cs="宋体"/>
                <w:sz w:val="20"/>
                <w:szCs w:val="20"/>
              </w:rPr>
            </w:pPr>
            <w:r>
              <w:rPr>
                <w:rFonts w:ascii="宋体" w:hAnsi="宋体" w:eastAsia="宋体" w:cs="宋体"/>
                <w:spacing w:val="9"/>
                <w:sz w:val="20"/>
                <w:szCs w:val="20"/>
              </w:rPr>
              <w:t>源回收有限公司清运</w:t>
            </w:r>
          </w:p>
          <w:p w14:paraId="5BA8C9EB">
            <w:pPr>
              <w:spacing w:before="161" w:line="232" w:lineRule="auto"/>
              <w:ind w:left="881"/>
              <w:rPr>
                <w:rFonts w:ascii="宋体" w:hAnsi="宋体" w:eastAsia="宋体" w:cs="宋体"/>
                <w:sz w:val="20"/>
                <w:szCs w:val="20"/>
              </w:rPr>
            </w:pPr>
            <w:r>
              <w:rPr>
                <w:rFonts w:ascii="宋体" w:hAnsi="宋体" w:eastAsia="宋体" w:cs="宋体"/>
                <w:spacing w:val="2"/>
                <w:sz w:val="20"/>
                <w:szCs w:val="20"/>
              </w:rPr>
              <w:t>处置</w:t>
            </w:r>
          </w:p>
        </w:tc>
      </w:tr>
      <w:tr w14:paraId="00C60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428" w:type="dxa"/>
            <w:vMerge w:val="continue"/>
            <w:tcBorders>
              <w:top w:val="nil"/>
              <w:left w:val="single" w:color="000000" w:sz="6" w:space="0"/>
              <w:bottom w:val="single" w:color="000000" w:sz="6" w:space="0"/>
            </w:tcBorders>
            <w:vAlign w:val="top"/>
          </w:tcPr>
          <w:p w14:paraId="7795A584">
            <w:pPr>
              <w:rPr>
                <w:rFonts w:ascii="Arial"/>
                <w:sz w:val="21"/>
              </w:rPr>
            </w:pPr>
          </w:p>
        </w:tc>
        <w:tc>
          <w:tcPr>
            <w:tcW w:w="115" w:type="dxa"/>
            <w:tcBorders>
              <w:top w:val="nil"/>
              <w:bottom w:val="single" w:color="000000" w:sz="6" w:space="0"/>
              <w:right w:val="single" w:color="000000" w:sz="6" w:space="0"/>
            </w:tcBorders>
            <w:vAlign w:val="top"/>
          </w:tcPr>
          <w:p w14:paraId="7D655CF5">
            <w:pPr>
              <w:rPr>
                <w:rFonts w:ascii="Arial"/>
                <w:sz w:val="21"/>
              </w:rPr>
            </w:pPr>
          </w:p>
        </w:tc>
        <w:tc>
          <w:tcPr>
            <w:tcW w:w="875" w:type="dxa"/>
            <w:vMerge w:val="continue"/>
            <w:tcBorders>
              <w:top w:val="nil"/>
              <w:left w:val="single" w:color="000000" w:sz="6" w:space="0"/>
              <w:bottom w:val="single" w:color="000000" w:sz="6" w:space="0"/>
            </w:tcBorders>
            <w:vAlign w:val="top"/>
          </w:tcPr>
          <w:p w14:paraId="4C7607B0">
            <w:pPr>
              <w:rPr>
                <w:rFonts w:ascii="Arial"/>
                <w:sz w:val="21"/>
              </w:rPr>
            </w:pPr>
          </w:p>
        </w:tc>
        <w:tc>
          <w:tcPr>
            <w:tcW w:w="1737" w:type="dxa"/>
            <w:gridSpan w:val="3"/>
            <w:tcBorders>
              <w:bottom w:val="single" w:color="000000" w:sz="6" w:space="0"/>
            </w:tcBorders>
            <w:vAlign w:val="top"/>
          </w:tcPr>
          <w:p w14:paraId="244608C6">
            <w:pPr>
              <w:spacing w:before="48" w:line="192" w:lineRule="auto"/>
              <w:ind w:left="457"/>
              <w:rPr>
                <w:rFonts w:ascii="宋体" w:hAnsi="宋体" w:eastAsia="宋体" w:cs="宋体"/>
                <w:sz w:val="20"/>
                <w:szCs w:val="20"/>
              </w:rPr>
            </w:pPr>
            <w:r>
              <w:rPr>
                <w:rFonts w:ascii="微软雅黑" w:hAnsi="微软雅黑" w:eastAsia="微软雅黑" w:cs="微软雅黑"/>
                <w:spacing w:val="7"/>
                <w:sz w:val="20"/>
                <w:szCs w:val="20"/>
              </w:rPr>
              <w:t>废</w:t>
            </w:r>
            <w:r>
              <w:rPr>
                <w:rFonts w:ascii="宋体" w:hAnsi="宋体" w:eastAsia="宋体" w:cs="宋体"/>
                <w:spacing w:val="7"/>
                <w:sz w:val="20"/>
                <w:szCs w:val="20"/>
              </w:rPr>
              <w:t>活性炭</w:t>
            </w:r>
          </w:p>
        </w:tc>
        <w:tc>
          <w:tcPr>
            <w:tcW w:w="1396" w:type="dxa"/>
            <w:tcBorders>
              <w:bottom w:val="single" w:color="000000" w:sz="6" w:space="0"/>
            </w:tcBorders>
            <w:vAlign w:val="top"/>
          </w:tcPr>
          <w:p w14:paraId="0C9A9E73">
            <w:pPr>
              <w:spacing w:before="48" w:line="268" w:lineRule="exact"/>
              <w:ind w:left="192"/>
              <w:rPr>
                <w:rFonts w:ascii="宋体" w:hAnsi="宋体" w:eastAsia="宋体" w:cs="宋体"/>
                <w:sz w:val="20"/>
                <w:szCs w:val="20"/>
              </w:rPr>
            </w:pPr>
            <w:r>
              <w:rPr>
                <w:rFonts w:ascii="宋体" w:hAnsi="宋体" w:eastAsia="宋体" w:cs="宋体"/>
                <w:spacing w:val="4"/>
                <w:position w:val="1"/>
                <w:sz w:val="20"/>
                <w:szCs w:val="20"/>
              </w:rPr>
              <w:t>900-039-49</w:t>
            </w:r>
          </w:p>
        </w:tc>
        <w:tc>
          <w:tcPr>
            <w:tcW w:w="2236" w:type="dxa"/>
            <w:gridSpan w:val="3"/>
            <w:tcBorders>
              <w:bottom w:val="single" w:color="000000" w:sz="6" w:space="0"/>
            </w:tcBorders>
            <w:vAlign w:val="top"/>
          </w:tcPr>
          <w:p w14:paraId="711E5376">
            <w:pPr>
              <w:spacing w:before="89" w:line="195" w:lineRule="auto"/>
              <w:ind w:left="9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12.5</w:t>
            </w:r>
          </w:p>
        </w:tc>
        <w:tc>
          <w:tcPr>
            <w:tcW w:w="2277" w:type="dxa"/>
            <w:gridSpan w:val="2"/>
            <w:tcBorders>
              <w:bottom w:val="single" w:color="000000" w:sz="6" w:space="0"/>
              <w:right w:val="single" w:color="000000" w:sz="6" w:space="0"/>
            </w:tcBorders>
            <w:vAlign w:val="top"/>
          </w:tcPr>
          <w:p w14:paraId="7AD4D695">
            <w:pPr>
              <w:spacing w:before="48" w:line="227" w:lineRule="auto"/>
              <w:ind w:left="141"/>
              <w:rPr>
                <w:rFonts w:ascii="宋体" w:hAnsi="宋体" w:eastAsia="宋体" w:cs="宋体"/>
                <w:sz w:val="20"/>
                <w:szCs w:val="20"/>
              </w:rPr>
            </w:pPr>
            <w:r>
              <w:rPr>
                <w:rFonts w:ascii="宋体" w:hAnsi="宋体" w:eastAsia="宋体" w:cs="宋体"/>
                <w:spacing w:val="9"/>
                <w:sz w:val="20"/>
                <w:szCs w:val="20"/>
              </w:rPr>
              <w:t>委托曲靖同磊再生资</w:t>
            </w:r>
          </w:p>
        </w:tc>
      </w:tr>
    </w:tbl>
    <w:p w14:paraId="14A39FF7">
      <w:pPr>
        <w:pStyle w:val="2"/>
      </w:pPr>
    </w:p>
    <w:p w14:paraId="41899954">
      <w:pPr>
        <w:sectPr>
          <w:footerReference r:id="rId73" w:type="default"/>
          <w:pgSz w:w="11906" w:h="16839"/>
          <w:pgMar w:top="400" w:right="1413" w:bottom="1329" w:left="1413" w:header="0" w:footer="1113" w:gutter="0"/>
          <w:cols w:space="720" w:num="1"/>
        </w:sectPr>
      </w:pPr>
    </w:p>
    <w:p w14:paraId="14B8E90E">
      <w:pPr>
        <w:spacing w:before="19"/>
      </w:pPr>
    </w:p>
    <w:p w14:paraId="39338BF8">
      <w:pPr>
        <w:spacing w:before="19"/>
      </w:pPr>
    </w:p>
    <w:p w14:paraId="389A15B4">
      <w:pPr>
        <w:spacing w:before="19"/>
      </w:pPr>
    </w:p>
    <w:p w14:paraId="2EFC981D">
      <w:pPr>
        <w:spacing w:before="18"/>
      </w:pPr>
    </w:p>
    <w:p w14:paraId="146C8D52">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1"/>
        <w:gridCol w:w="758"/>
        <w:gridCol w:w="119"/>
        <w:gridCol w:w="1374"/>
        <w:gridCol w:w="372"/>
        <w:gridCol w:w="1194"/>
        <w:gridCol w:w="202"/>
        <w:gridCol w:w="758"/>
        <w:gridCol w:w="1478"/>
        <w:gridCol w:w="1159"/>
        <w:gridCol w:w="982"/>
        <w:gridCol w:w="129"/>
      </w:tblGrid>
      <w:tr w14:paraId="0C5D1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428" w:type="dxa"/>
            <w:vMerge w:val="restart"/>
            <w:tcBorders>
              <w:top w:val="single" w:color="000000" w:sz="6" w:space="0"/>
              <w:left w:val="single" w:color="000000" w:sz="6" w:space="0"/>
              <w:bottom w:val="nil"/>
            </w:tcBorders>
            <w:vAlign w:val="top"/>
          </w:tcPr>
          <w:p w14:paraId="07A5AB0D">
            <w:pPr>
              <w:rPr>
                <w:rFonts w:ascii="Arial"/>
                <w:sz w:val="21"/>
              </w:rPr>
            </w:pPr>
          </w:p>
        </w:tc>
        <w:tc>
          <w:tcPr>
            <w:tcW w:w="111" w:type="dxa"/>
            <w:vMerge w:val="restart"/>
            <w:tcBorders>
              <w:top w:val="single" w:color="000000" w:sz="6" w:space="0"/>
              <w:bottom w:val="nil"/>
              <w:right w:val="single" w:color="000000" w:sz="6" w:space="0"/>
            </w:tcBorders>
            <w:vAlign w:val="top"/>
          </w:tcPr>
          <w:p w14:paraId="4FA5C1C2">
            <w:pPr>
              <w:rPr>
                <w:rFonts w:ascii="Arial"/>
                <w:sz w:val="21"/>
              </w:rPr>
            </w:pPr>
          </w:p>
        </w:tc>
        <w:tc>
          <w:tcPr>
            <w:tcW w:w="877" w:type="dxa"/>
            <w:gridSpan w:val="2"/>
            <w:vMerge w:val="restart"/>
            <w:tcBorders>
              <w:top w:val="single" w:color="000000" w:sz="6" w:space="0"/>
              <w:left w:val="single" w:color="000000" w:sz="6" w:space="0"/>
              <w:bottom w:val="nil"/>
            </w:tcBorders>
            <w:vAlign w:val="top"/>
          </w:tcPr>
          <w:p w14:paraId="3358C248">
            <w:pPr>
              <w:rPr>
                <w:rFonts w:ascii="Arial"/>
                <w:sz w:val="21"/>
              </w:rPr>
            </w:pPr>
          </w:p>
        </w:tc>
        <w:tc>
          <w:tcPr>
            <w:tcW w:w="1746" w:type="dxa"/>
            <w:gridSpan w:val="2"/>
            <w:tcBorders>
              <w:top w:val="single" w:color="000000" w:sz="6" w:space="0"/>
            </w:tcBorders>
            <w:vAlign w:val="top"/>
          </w:tcPr>
          <w:p w14:paraId="1A36C474">
            <w:pPr>
              <w:rPr>
                <w:rFonts w:ascii="Arial"/>
                <w:sz w:val="21"/>
              </w:rPr>
            </w:pPr>
          </w:p>
        </w:tc>
        <w:tc>
          <w:tcPr>
            <w:tcW w:w="1396" w:type="dxa"/>
            <w:gridSpan w:val="2"/>
            <w:tcBorders>
              <w:top w:val="single" w:color="000000" w:sz="6" w:space="0"/>
            </w:tcBorders>
            <w:vAlign w:val="top"/>
          </w:tcPr>
          <w:p w14:paraId="5A64AF08">
            <w:pPr>
              <w:rPr>
                <w:rFonts w:ascii="Arial"/>
                <w:sz w:val="21"/>
              </w:rPr>
            </w:pPr>
          </w:p>
        </w:tc>
        <w:tc>
          <w:tcPr>
            <w:tcW w:w="2236" w:type="dxa"/>
            <w:gridSpan w:val="2"/>
            <w:tcBorders>
              <w:top w:val="single" w:color="000000" w:sz="6" w:space="0"/>
            </w:tcBorders>
            <w:vAlign w:val="top"/>
          </w:tcPr>
          <w:p w14:paraId="7E4341AC">
            <w:pPr>
              <w:rPr>
                <w:rFonts w:ascii="Arial"/>
                <w:sz w:val="21"/>
              </w:rPr>
            </w:pPr>
          </w:p>
        </w:tc>
        <w:tc>
          <w:tcPr>
            <w:tcW w:w="2141" w:type="dxa"/>
            <w:gridSpan w:val="2"/>
            <w:tcBorders>
              <w:top w:val="single" w:color="000000" w:sz="6" w:space="0"/>
              <w:right w:val="single" w:color="000000" w:sz="6" w:space="0"/>
            </w:tcBorders>
            <w:vAlign w:val="top"/>
          </w:tcPr>
          <w:p w14:paraId="1A382A15">
            <w:pPr>
              <w:spacing w:before="37" w:line="228" w:lineRule="auto"/>
              <w:ind w:left="134"/>
              <w:rPr>
                <w:rFonts w:ascii="宋体" w:hAnsi="宋体" w:eastAsia="宋体" w:cs="宋体"/>
                <w:sz w:val="20"/>
                <w:szCs w:val="20"/>
              </w:rPr>
            </w:pPr>
            <w:r>
              <w:rPr>
                <w:rFonts w:ascii="宋体" w:hAnsi="宋体" w:eastAsia="宋体" w:cs="宋体"/>
                <w:spacing w:val="9"/>
                <w:sz w:val="20"/>
                <w:szCs w:val="20"/>
              </w:rPr>
              <w:t>源回收有限公司清运</w:t>
            </w:r>
          </w:p>
          <w:p w14:paraId="472ED0B8">
            <w:pPr>
              <w:spacing w:before="161" w:line="232" w:lineRule="auto"/>
              <w:ind w:left="874"/>
              <w:rPr>
                <w:rFonts w:ascii="宋体" w:hAnsi="宋体" w:eastAsia="宋体" w:cs="宋体"/>
                <w:sz w:val="20"/>
                <w:szCs w:val="20"/>
              </w:rPr>
            </w:pPr>
            <w:r>
              <w:rPr>
                <w:rFonts w:ascii="宋体" w:hAnsi="宋体" w:eastAsia="宋体" w:cs="宋体"/>
                <w:spacing w:val="2"/>
                <w:sz w:val="20"/>
                <w:szCs w:val="20"/>
              </w:rPr>
              <w:t>处置</w:t>
            </w:r>
          </w:p>
        </w:tc>
        <w:tc>
          <w:tcPr>
            <w:tcW w:w="129" w:type="dxa"/>
            <w:tcBorders>
              <w:top w:val="single" w:color="000000" w:sz="6" w:space="0"/>
              <w:left w:val="single" w:color="000000" w:sz="6" w:space="0"/>
              <w:bottom w:val="nil"/>
              <w:right w:val="single" w:color="000000" w:sz="6" w:space="0"/>
            </w:tcBorders>
            <w:vAlign w:val="top"/>
          </w:tcPr>
          <w:p w14:paraId="1966C760">
            <w:pPr>
              <w:rPr>
                <w:rFonts w:ascii="Arial"/>
                <w:sz w:val="21"/>
              </w:rPr>
            </w:pPr>
          </w:p>
        </w:tc>
      </w:tr>
      <w:tr w14:paraId="17ACC2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428" w:type="dxa"/>
            <w:vMerge w:val="continue"/>
            <w:tcBorders>
              <w:top w:val="nil"/>
              <w:left w:val="single" w:color="000000" w:sz="6" w:space="0"/>
              <w:bottom w:val="nil"/>
            </w:tcBorders>
            <w:vAlign w:val="top"/>
          </w:tcPr>
          <w:p w14:paraId="0255C6B1">
            <w:pPr>
              <w:rPr>
                <w:rFonts w:ascii="Arial"/>
                <w:sz w:val="21"/>
              </w:rPr>
            </w:pPr>
          </w:p>
        </w:tc>
        <w:tc>
          <w:tcPr>
            <w:tcW w:w="111" w:type="dxa"/>
            <w:vMerge w:val="continue"/>
            <w:tcBorders>
              <w:top w:val="nil"/>
              <w:bottom w:val="nil"/>
              <w:right w:val="single" w:color="000000" w:sz="6" w:space="0"/>
            </w:tcBorders>
            <w:vAlign w:val="top"/>
          </w:tcPr>
          <w:p w14:paraId="5F7E4F1C">
            <w:pPr>
              <w:rPr>
                <w:rFonts w:ascii="Arial"/>
                <w:sz w:val="21"/>
              </w:rPr>
            </w:pPr>
          </w:p>
        </w:tc>
        <w:tc>
          <w:tcPr>
            <w:tcW w:w="877" w:type="dxa"/>
            <w:gridSpan w:val="2"/>
            <w:vMerge w:val="continue"/>
            <w:tcBorders>
              <w:top w:val="nil"/>
              <w:left w:val="single" w:color="000000" w:sz="6" w:space="0"/>
              <w:bottom w:val="nil"/>
            </w:tcBorders>
            <w:vAlign w:val="top"/>
          </w:tcPr>
          <w:p w14:paraId="784144C8">
            <w:pPr>
              <w:rPr>
                <w:rFonts w:ascii="Arial"/>
                <w:sz w:val="21"/>
              </w:rPr>
            </w:pPr>
          </w:p>
        </w:tc>
        <w:tc>
          <w:tcPr>
            <w:tcW w:w="1746" w:type="dxa"/>
            <w:gridSpan w:val="2"/>
            <w:vAlign w:val="top"/>
          </w:tcPr>
          <w:p w14:paraId="23D62954">
            <w:pPr>
              <w:spacing w:before="236" w:line="378" w:lineRule="auto"/>
              <w:ind w:left="776" w:right="135" w:hanging="633"/>
              <w:rPr>
                <w:rFonts w:ascii="宋体" w:hAnsi="宋体" w:eastAsia="宋体" w:cs="宋体"/>
                <w:sz w:val="20"/>
                <w:szCs w:val="20"/>
              </w:rPr>
            </w:pPr>
            <w:r>
              <w:rPr>
                <w:rFonts w:ascii="宋体" w:hAnsi="宋体" w:eastAsia="宋体" w:cs="宋体"/>
                <w:spacing w:val="8"/>
                <w:sz w:val="20"/>
                <w:szCs w:val="20"/>
              </w:rPr>
              <w:t>废油漆桶、废胶</w:t>
            </w:r>
            <w:r>
              <w:rPr>
                <w:rFonts w:ascii="宋体" w:hAnsi="宋体" w:eastAsia="宋体" w:cs="宋体"/>
                <w:sz w:val="20"/>
                <w:szCs w:val="20"/>
              </w:rPr>
              <w:t>桶</w:t>
            </w:r>
          </w:p>
        </w:tc>
        <w:tc>
          <w:tcPr>
            <w:tcW w:w="1396" w:type="dxa"/>
            <w:gridSpan w:val="2"/>
            <w:vAlign w:val="top"/>
          </w:tcPr>
          <w:p w14:paraId="6F947DB2">
            <w:pPr>
              <w:spacing w:line="372" w:lineRule="auto"/>
              <w:rPr>
                <w:rFonts w:ascii="Arial"/>
                <w:sz w:val="21"/>
              </w:rPr>
            </w:pPr>
          </w:p>
          <w:p w14:paraId="05D0FD92">
            <w:pPr>
              <w:spacing w:before="65" w:line="269" w:lineRule="exact"/>
              <w:ind w:left="185"/>
              <w:rPr>
                <w:rFonts w:ascii="宋体" w:hAnsi="宋体" w:eastAsia="宋体" w:cs="宋体"/>
                <w:sz w:val="20"/>
                <w:szCs w:val="20"/>
              </w:rPr>
            </w:pPr>
            <w:r>
              <w:rPr>
                <w:rFonts w:ascii="宋体" w:hAnsi="宋体" w:eastAsia="宋体" w:cs="宋体"/>
                <w:spacing w:val="4"/>
                <w:position w:val="1"/>
                <w:sz w:val="20"/>
                <w:szCs w:val="20"/>
              </w:rPr>
              <w:t>900-252-12</w:t>
            </w:r>
          </w:p>
        </w:tc>
        <w:tc>
          <w:tcPr>
            <w:tcW w:w="2236" w:type="dxa"/>
            <w:gridSpan w:val="2"/>
            <w:vAlign w:val="top"/>
          </w:tcPr>
          <w:p w14:paraId="08AACF15">
            <w:pPr>
              <w:spacing w:line="423" w:lineRule="auto"/>
              <w:rPr>
                <w:rFonts w:ascii="Arial"/>
                <w:sz w:val="21"/>
              </w:rPr>
            </w:pPr>
          </w:p>
          <w:p w14:paraId="207423B4">
            <w:pPr>
              <w:spacing w:before="57" w:line="195" w:lineRule="auto"/>
              <w:ind w:left="99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2141" w:type="dxa"/>
            <w:gridSpan w:val="2"/>
            <w:tcBorders>
              <w:right w:val="single" w:color="000000" w:sz="6" w:space="0"/>
            </w:tcBorders>
            <w:vAlign w:val="top"/>
          </w:tcPr>
          <w:p w14:paraId="0DEE91A4">
            <w:pPr>
              <w:spacing w:before="31" w:line="227" w:lineRule="auto"/>
              <w:ind w:left="134"/>
              <w:rPr>
                <w:rFonts w:ascii="宋体" w:hAnsi="宋体" w:eastAsia="宋体" w:cs="宋体"/>
                <w:sz w:val="20"/>
                <w:szCs w:val="20"/>
              </w:rPr>
            </w:pPr>
            <w:r>
              <w:rPr>
                <w:rFonts w:ascii="宋体" w:hAnsi="宋体" w:eastAsia="宋体" w:cs="宋体"/>
                <w:spacing w:val="9"/>
                <w:sz w:val="20"/>
                <w:szCs w:val="20"/>
              </w:rPr>
              <w:t>委托曲靖同磊再生资</w:t>
            </w:r>
          </w:p>
          <w:p w14:paraId="0961EF43">
            <w:pPr>
              <w:spacing w:before="161" w:line="228" w:lineRule="auto"/>
              <w:ind w:left="134"/>
              <w:rPr>
                <w:rFonts w:ascii="宋体" w:hAnsi="宋体" w:eastAsia="宋体" w:cs="宋体"/>
                <w:sz w:val="20"/>
                <w:szCs w:val="20"/>
              </w:rPr>
            </w:pPr>
            <w:r>
              <w:rPr>
                <w:rFonts w:ascii="宋体" w:hAnsi="宋体" w:eastAsia="宋体" w:cs="宋体"/>
                <w:spacing w:val="9"/>
                <w:sz w:val="20"/>
                <w:szCs w:val="20"/>
              </w:rPr>
              <w:t>源回收有限公司清运</w:t>
            </w:r>
          </w:p>
          <w:p w14:paraId="6CC20DC3">
            <w:pPr>
              <w:spacing w:before="163" w:line="232" w:lineRule="auto"/>
              <w:ind w:left="874"/>
              <w:rPr>
                <w:rFonts w:ascii="宋体" w:hAnsi="宋体" w:eastAsia="宋体" w:cs="宋体"/>
                <w:sz w:val="20"/>
                <w:szCs w:val="20"/>
              </w:rPr>
            </w:pPr>
            <w:r>
              <w:rPr>
                <w:rFonts w:ascii="宋体" w:hAnsi="宋体" w:eastAsia="宋体" w:cs="宋体"/>
                <w:spacing w:val="2"/>
                <w:sz w:val="20"/>
                <w:szCs w:val="20"/>
              </w:rPr>
              <w:t>处置</w:t>
            </w:r>
          </w:p>
        </w:tc>
        <w:tc>
          <w:tcPr>
            <w:tcW w:w="129" w:type="dxa"/>
            <w:tcBorders>
              <w:top w:val="nil"/>
              <w:left w:val="single" w:color="000000" w:sz="6" w:space="0"/>
              <w:bottom w:val="nil"/>
              <w:right w:val="single" w:color="000000" w:sz="6" w:space="0"/>
            </w:tcBorders>
            <w:vAlign w:val="top"/>
          </w:tcPr>
          <w:p w14:paraId="4C7A5E6B">
            <w:pPr>
              <w:rPr>
                <w:rFonts w:ascii="Arial"/>
                <w:sz w:val="21"/>
              </w:rPr>
            </w:pPr>
          </w:p>
        </w:tc>
      </w:tr>
      <w:tr w14:paraId="0E850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3" w:hRule="atLeast"/>
        </w:trPr>
        <w:tc>
          <w:tcPr>
            <w:tcW w:w="428" w:type="dxa"/>
            <w:vMerge w:val="continue"/>
            <w:tcBorders>
              <w:top w:val="nil"/>
              <w:left w:val="single" w:color="000000" w:sz="6" w:space="0"/>
              <w:bottom w:val="nil"/>
            </w:tcBorders>
            <w:vAlign w:val="top"/>
          </w:tcPr>
          <w:p w14:paraId="571AD6EF">
            <w:pPr>
              <w:rPr>
                <w:rFonts w:ascii="Arial"/>
                <w:sz w:val="21"/>
              </w:rPr>
            </w:pPr>
          </w:p>
        </w:tc>
        <w:tc>
          <w:tcPr>
            <w:tcW w:w="111" w:type="dxa"/>
            <w:vMerge w:val="continue"/>
            <w:tcBorders>
              <w:top w:val="nil"/>
              <w:bottom w:val="nil"/>
              <w:right w:val="single" w:color="000000" w:sz="6" w:space="0"/>
            </w:tcBorders>
            <w:vAlign w:val="top"/>
          </w:tcPr>
          <w:p w14:paraId="26964E8C">
            <w:pPr>
              <w:rPr>
                <w:rFonts w:ascii="Arial"/>
                <w:sz w:val="21"/>
              </w:rPr>
            </w:pPr>
          </w:p>
        </w:tc>
        <w:tc>
          <w:tcPr>
            <w:tcW w:w="877" w:type="dxa"/>
            <w:gridSpan w:val="2"/>
            <w:vMerge w:val="continue"/>
            <w:tcBorders>
              <w:top w:val="nil"/>
              <w:left w:val="single" w:color="000000" w:sz="6" w:space="0"/>
              <w:bottom w:val="single" w:color="000000" w:sz="6" w:space="0"/>
            </w:tcBorders>
            <w:vAlign w:val="top"/>
          </w:tcPr>
          <w:p w14:paraId="6CB32093">
            <w:pPr>
              <w:rPr>
                <w:rFonts w:ascii="Arial"/>
                <w:sz w:val="21"/>
              </w:rPr>
            </w:pPr>
          </w:p>
        </w:tc>
        <w:tc>
          <w:tcPr>
            <w:tcW w:w="1746" w:type="dxa"/>
            <w:gridSpan w:val="2"/>
            <w:tcBorders>
              <w:bottom w:val="single" w:color="000000" w:sz="6" w:space="0"/>
            </w:tcBorders>
            <w:vAlign w:val="top"/>
          </w:tcPr>
          <w:p w14:paraId="100D8A26">
            <w:pPr>
              <w:spacing w:line="373" w:lineRule="auto"/>
              <w:rPr>
                <w:rFonts w:ascii="Arial"/>
                <w:sz w:val="21"/>
              </w:rPr>
            </w:pPr>
          </w:p>
          <w:p w14:paraId="555B513A">
            <w:pPr>
              <w:spacing w:before="65" w:line="229" w:lineRule="auto"/>
              <w:ind w:left="670"/>
              <w:rPr>
                <w:rFonts w:ascii="宋体" w:hAnsi="宋体" w:eastAsia="宋体" w:cs="宋体"/>
                <w:sz w:val="20"/>
                <w:szCs w:val="20"/>
              </w:rPr>
            </w:pPr>
            <w:r>
              <w:rPr>
                <w:rFonts w:ascii="宋体" w:hAnsi="宋体" w:eastAsia="宋体" w:cs="宋体"/>
                <w:spacing w:val="4"/>
                <w:sz w:val="20"/>
                <w:szCs w:val="20"/>
              </w:rPr>
              <w:t>漆渣</w:t>
            </w:r>
          </w:p>
        </w:tc>
        <w:tc>
          <w:tcPr>
            <w:tcW w:w="1396" w:type="dxa"/>
            <w:gridSpan w:val="2"/>
            <w:tcBorders>
              <w:bottom w:val="single" w:color="000000" w:sz="6" w:space="0"/>
            </w:tcBorders>
            <w:vAlign w:val="top"/>
          </w:tcPr>
          <w:p w14:paraId="4FBDEAA0">
            <w:pPr>
              <w:spacing w:line="373" w:lineRule="auto"/>
              <w:rPr>
                <w:rFonts w:ascii="Arial"/>
                <w:sz w:val="21"/>
              </w:rPr>
            </w:pPr>
          </w:p>
          <w:p w14:paraId="169C0C63">
            <w:pPr>
              <w:spacing w:before="65" w:line="269" w:lineRule="exact"/>
              <w:ind w:left="185"/>
              <w:rPr>
                <w:rFonts w:ascii="宋体" w:hAnsi="宋体" w:eastAsia="宋体" w:cs="宋体"/>
                <w:sz w:val="20"/>
                <w:szCs w:val="20"/>
              </w:rPr>
            </w:pPr>
            <w:r>
              <w:rPr>
                <w:rFonts w:ascii="宋体" w:hAnsi="宋体" w:eastAsia="宋体" w:cs="宋体"/>
                <w:spacing w:val="4"/>
                <w:position w:val="1"/>
                <w:sz w:val="20"/>
                <w:szCs w:val="20"/>
              </w:rPr>
              <w:t>900-252-12</w:t>
            </w:r>
          </w:p>
        </w:tc>
        <w:tc>
          <w:tcPr>
            <w:tcW w:w="2236" w:type="dxa"/>
            <w:gridSpan w:val="2"/>
            <w:tcBorders>
              <w:bottom w:val="single" w:color="000000" w:sz="6" w:space="0"/>
            </w:tcBorders>
            <w:vAlign w:val="top"/>
          </w:tcPr>
          <w:p w14:paraId="30592442">
            <w:pPr>
              <w:spacing w:line="424" w:lineRule="auto"/>
              <w:rPr>
                <w:rFonts w:ascii="Arial"/>
                <w:sz w:val="21"/>
              </w:rPr>
            </w:pPr>
          </w:p>
          <w:p w14:paraId="4C9D8C62">
            <w:pPr>
              <w:spacing w:before="57" w:line="195" w:lineRule="auto"/>
              <w:ind w:left="99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2141" w:type="dxa"/>
            <w:gridSpan w:val="2"/>
            <w:tcBorders>
              <w:bottom w:val="single" w:color="000000" w:sz="6" w:space="0"/>
              <w:right w:val="single" w:color="000000" w:sz="6" w:space="0"/>
            </w:tcBorders>
            <w:vAlign w:val="top"/>
          </w:tcPr>
          <w:p w14:paraId="7630278F">
            <w:pPr>
              <w:spacing w:before="32" w:line="227" w:lineRule="auto"/>
              <w:ind w:left="134"/>
              <w:rPr>
                <w:rFonts w:ascii="宋体" w:hAnsi="宋体" w:eastAsia="宋体" w:cs="宋体"/>
                <w:sz w:val="20"/>
                <w:szCs w:val="20"/>
              </w:rPr>
            </w:pPr>
            <w:r>
              <w:rPr>
                <w:rFonts w:ascii="宋体" w:hAnsi="宋体" w:eastAsia="宋体" w:cs="宋体"/>
                <w:spacing w:val="9"/>
                <w:sz w:val="20"/>
                <w:szCs w:val="20"/>
              </w:rPr>
              <w:t>委托曲靖同磊再生资</w:t>
            </w:r>
          </w:p>
          <w:p w14:paraId="4910DE4E">
            <w:pPr>
              <w:spacing w:before="161" w:line="228" w:lineRule="auto"/>
              <w:ind w:left="134"/>
              <w:rPr>
                <w:rFonts w:ascii="宋体" w:hAnsi="宋体" w:eastAsia="宋体" w:cs="宋体"/>
                <w:sz w:val="20"/>
                <w:szCs w:val="20"/>
              </w:rPr>
            </w:pPr>
            <w:r>
              <w:rPr>
                <w:rFonts w:ascii="宋体" w:hAnsi="宋体" w:eastAsia="宋体" w:cs="宋体"/>
                <w:spacing w:val="9"/>
                <w:sz w:val="20"/>
                <w:szCs w:val="20"/>
              </w:rPr>
              <w:t>源回收有限公司清运</w:t>
            </w:r>
          </w:p>
          <w:p w14:paraId="62EFAEC8">
            <w:pPr>
              <w:spacing w:before="161" w:line="232" w:lineRule="auto"/>
              <w:ind w:left="874"/>
              <w:rPr>
                <w:rFonts w:ascii="宋体" w:hAnsi="宋体" w:eastAsia="宋体" w:cs="宋体"/>
                <w:sz w:val="20"/>
                <w:szCs w:val="20"/>
              </w:rPr>
            </w:pPr>
            <w:r>
              <w:rPr>
                <w:rFonts w:ascii="宋体" w:hAnsi="宋体" w:eastAsia="宋体" w:cs="宋体"/>
                <w:spacing w:val="2"/>
                <w:sz w:val="20"/>
                <w:szCs w:val="20"/>
              </w:rPr>
              <w:t>处置</w:t>
            </w:r>
          </w:p>
        </w:tc>
        <w:tc>
          <w:tcPr>
            <w:tcW w:w="129" w:type="dxa"/>
            <w:tcBorders>
              <w:top w:val="nil"/>
              <w:left w:val="single" w:color="000000" w:sz="6" w:space="0"/>
              <w:bottom w:val="nil"/>
              <w:right w:val="single" w:color="000000" w:sz="6" w:space="0"/>
            </w:tcBorders>
            <w:vAlign w:val="top"/>
          </w:tcPr>
          <w:p w14:paraId="39A233C7">
            <w:pPr>
              <w:rPr>
                <w:rFonts w:ascii="Arial"/>
                <w:sz w:val="21"/>
              </w:rPr>
            </w:pPr>
          </w:p>
        </w:tc>
      </w:tr>
      <w:tr w14:paraId="0EE8C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5" w:hRule="atLeast"/>
        </w:trPr>
        <w:tc>
          <w:tcPr>
            <w:tcW w:w="428" w:type="dxa"/>
            <w:vMerge w:val="continue"/>
            <w:tcBorders>
              <w:top w:val="nil"/>
              <w:left w:val="single" w:color="000000" w:sz="6" w:space="0"/>
              <w:bottom w:val="nil"/>
            </w:tcBorders>
            <w:vAlign w:val="top"/>
          </w:tcPr>
          <w:p w14:paraId="659C998C">
            <w:pPr>
              <w:rPr>
                <w:rFonts w:ascii="Arial"/>
                <w:sz w:val="21"/>
              </w:rPr>
            </w:pPr>
          </w:p>
        </w:tc>
        <w:tc>
          <w:tcPr>
            <w:tcW w:w="8636" w:type="dxa"/>
            <w:gridSpan w:val="12"/>
            <w:tcBorders>
              <w:top w:val="single" w:color="000000" w:sz="6" w:space="0"/>
              <w:right w:val="single" w:color="000000" w:sz="6" w:space="0"/>
            </w:tcBorders>
            <w:vAlign w:val="top"/>
          </w:tcPr>
          <w:p w14:paraId="2772CC4D">
            <w:pPr>
              <w:spacing w:before="35" w:line="219" w:lineRule="auto"/>
              <w:ind w:left="585"/>
              <w:rPr>
                <w:rFonts w:ascii="宋体" w:hAnsi="宋体" w:eastAsia="宋体" w:cs="宋体"/>
                <w:sz w:val="24"/>
                <w:szCs w:val="24"/>
              </w:rPr>
            </w:pPr>
            <w:r>
              <w:rPr>
                <w:rFonts w:ascii="Times New Roman" w:hAnsi="Times New Roman" w:eastAsia="Times New Roman" w:cs="Times New Roman"/>
                <w:b/>
                <w:bCs/>
                <w:spacing w:val="-6"/>
                <w:sz w:val="24"/>
                <w:szCs w:val="24"/>
              </w:rPr>
              <w:t>8</w:t>
            </w:r>
            <w:r>
              <w:rPr>
                <w:rFonts w:ascii="Times New Roman" w:hAnsi="Times New Roman" w:eastAsia="Times New Roman" w:cs="Times New Roman"/>
                <w:b/>
                <w:bCs/>
                <w:spacing w:val="-25"/>
                <w:sz w:val="24"/>
                <w:szCs w:val="24"/>
              </w:rPr>
              <w:t xml:space="preserve"> </w:t>
            </w:r>
            <w:r>
              <w:rPr>
                <w:rFonts w:ascii="宋体" w:hAnsi="宋体" w:eastAsia="宋体" w:cs="宋体"/>
                <w:b/>
                <w:bCs/>
                <w:spacing w:val="-6"/>
                <w:sz w:val="24"/>
                <w:szCs w:val="24"/>
              </w:rPr>
              <w:t>、排污许可执行情况</w:t>
            </w:r>
          </w:p>
          <w:p w14:paraId="06E46FF0">
            <w:pPr>
              <w:spacing w:before="181" w:line="358" w:lineRule="auto"/>
              <w:ind w:left="102" w:right="102" w:firstLine="488"/>
              <w:jc w:val="both"/>
              <w:rPr>
                <w:rFonts w:ascii="宋体" w:hAnsi="宋体" w:eastAsia="宋体" w:cs="宋体"/>
                <w:sz w:val="24"/>
                <w:szCs w:val="24"/>
              </w:rPr>
            </w:pPr>
            <w:r>
              <w:rPr>
                <w:rFonts w:ascii="宋体" w:hAnsi="宋体" w:eastAsia="宋体" w:cs="宋体"/>
                <w:spacing w:val="-1"/>
                <w:sz w:val="24"/>
                <w:szCs w:val="24"/>
              </w:rPr>
              <w:t>项目已根据《固定污染源排污许可分类管理名录（</w:t>
            </w:r>
            <w:r>
              <w:rPr>
                <w:rFonts w:ascii="Times New Roman" w:hAnsi="Times New Roman" w:eastAsia="Times New Roman" w:cs="Times New Roman"/>
                <w:spacing w:val="-1"/>
                <w:sz w:val="24"/>
                <w:szCs w:val="24"/>
              </w:rPr>
              <w:t>20</w:t>
            </w:r>
            <w:r>
              <w:rPr>
                <w:rFonts w:ascii="Times New Roman" w:hAnsi="Times New Roman" w:eastAsia="Times New Roman" w:cs="Times New Roman"/>
                <w:spacing w:val="-2"/>
                <w:sz w:val="24"/>
                <w:szCs w:val="24"/>
              </w:rPr>
              <w:t xml:space="preserve">19 </w:t>
            </w:r>
            <w:r>
              <w:rPr>
                <w:rFonts w:ascii="宋体" w:hAnsi="宋体" w:eastAsia="宋体" w:cs="宋体"/>
                <w:spacing w:val="-2"/>
                <w:sz w:val="24"/>
                <w:szCs w:val="24"/>
              </w:rPr>
              <w:t>年版）》要求，进行</w:t>
            </w:r>
            <w:r>
              <w:rPr>
                <w:rFonts w:ascii="宋体" w:hAnsi="宋体" w:eastAsia="宋体" w:cs="宋体"/>
                <w:sz w:val="24"/>
                <w:szCs w:val="24"/>
              </w:rPr>
              <w:t>填报，申请排污许可，许可证编号：</w:t>
            </w:r>
            <w:r>
              <w:rPr>
                <w:rFonts w:ascii="Times New Roman" w:hAnsi="Times New Roman" w:eastAsia="Times New Roman" w:cs="Times New Roman"/>
                <w:sz w:val="24"/>
                <w:szCs w:val="24"/>
              </w:rPr>
              <w:t>91530129</w:t>
            </w:r>
            <w:r>
              <w:rPr>
                <w:rFonts w:ascii="Times New Roman" w:hAnsi="Times New Roman" w:eastAsia="Times New Roman" w:cs="Times New Roman"/>
                <w:spacing w:val="-1"/>
                <w:sz w:val="24"/>
                <w:szCs w:val="24"/>
              </w:rPr>
              <w:t>MA6NWMK51D001P</w:t>
            </w:r>
            <w:r>
              <w:rPr>
                <w:rFonts w:ascii="宋体" w:hAnsi="宋体" w:eastAsia="宋体" w:cs="宋体"/>
                <w:spacing w:val="-1"/>
                <w:sz w:val="24"/>
                <w:szCs w:val="24"/>
              </w:rPr>
              <w:t>（有效期：自</w:t>
            </w:r>
            <w:r>
              <w:rPr>
                <w:rFonts w:ascii="Times New Roman" w:hAnsi="Times New Roman" w:eastAsia="Times New Roman" w:cs="Times New Roman"/>
                <w:spacing w:val="-5"/>
                <w:sz w:val="24"/>
                <w:szCs w:val="24"/>
              </w:rPr>
              <w:t xml:space="preserve">2024 </w:t>
            </w:r>
            <w:r>
              <w:rPr>
                <w:rFonts w:ascii="宋体" w:hAnsi="宋体" w:eastAsia="宋体" w:cs="宋体"/>
                <w:spacing w:val="-5"/>
                <w:sz w:val="24"/>
                <w:szCs w:val="24"/>
              </w:rPr>
              <w:t>年</w:t>
            </w:r>
            <w:r>
              <w:rPr>
                <w:rFonts w:ascii="宋体" w:hAnsi="宋体" w:eastAsia="宋体" w:cs="宋体"/>
                <w:spacing w:val="-49"/>
                <w:sz w:val="24"/>
                <w:szCs w:val="24"/>
              </w:rPr>
              <w:t xml:space="preserve"> </w:t>
            </w:r>
            <w:r>
              <w:rPr>
                <w:rFonts w:ascii="Times New Roman" w:hAnsi="Times New Roman" w:eastAsia="Times New Roman" w:cs="Times New Roman"/>
                <w:spacing w:val="-5"/>
                <w:sz w:val="24"/>
                <w:szCs w:val="24"/>
              </w:rPr>
              <w:t>9</w:t>
            </w:r>
            <w:r>
              <w:rPr>
                <w:rFonts w:ascii="Times New Roman" w:hAnsi="Times New Roman" w:eastAsia="Times New Roman" w:cs="Times New Roman"/>
                <w:spacing w:val="15"/>
                <w:sz w:val="24"/>
                <w:szCs w:val="24"/>
              </w:rPr>
              <w:t xml:space="preserve"> </w:t>
            </w:r>
            <w:r>
              <w:rPr>
                <w:rFonts w:ascii="宋体" w:hAnsi="宋体" w:eastAsia="宋体" w:cs="宋体"/>
                <w:spacing w:val="-5"/>
                <w:sz w:val="24"/>
                <w:szCs w:val="24"/>
              </w:rPr>
              <w:t>月</w:t>
            </w:r>
            <w:r>
              <w:rPr>
                <w:rFonts w:ascii="宋体" w:hAnsi="宋体" w:eastAsia="宋体" w:cs="宋体"/>
                <w:spacing w:val="-55"/>
                <w:sz w:val="24"/>
                <w:szCs w:val="24"/>
              </w:rPr>
              <w:t xml:space="preserve"> </w:t>
            </w:r>
            <w:r>
              <w:rPr>
                <w:rFonts w:ascii="Times New Roman" w:hAnsi="Times New Roman" w:eastAsia="Times New Roman" w:cs="Times New Roman"/>
                <w:spacing w:val="-5"/>
                <w:sz w:val="24"/>
                <w:szCs w:val="24"/>
              </w:rPr>
              <w:t xml:space="preserve">26  </w:t>
            </w:r>
            <w:r>
              <w:rPr>
                <w:rFonts w:ascii="宋体" w:hAnsi="宋体" w:eastAsia="宋体" w:cs="宋体"/>
                <w:spacing w:val="-5"/>
                <w:sz w:val="24"/>
                <w:szCs w:val="24"/>
              </w:rPr>
              <w:t>日至</w:t>
            </w:r>
            <w:r>
              <w:rPr>
                <w:rFonts w:ascii="宋体" w:hAnsi="宋体" w:eastAsia="宋体" w:cs="宋体"/>
                <w:spacing w:val="-55"/>
                <w:sz w:val="24"/>
                <w:szCs w:val="24"/>
              </w:rPr>
              <w:t xml:space="preserve"> </w:t>
            </w:r>
            <w:r>
              <w:rPr>
                <w:rFonts w:ascii="Times New Roman" w:hAnsi="Times New Roman" w:eastAsia="Times New Roman" w:cs="Times New Roman"/>
                <w:spacing w:val="-5"/>
                <w:sz w:val="24"/>
                <w:szCs w:val="24"/>
              </w:rPr>
              <w:t xml:space="preserve">2029 </w:t>
            </w:r>
            <w:r>
              <w:rPr>
                <w:rFonts w:ascii="宋体" w:hAnsi="宋体" w:eastAsia="宋体" w:cs="宋体"/>
                <w:spacing w:val="-5"/>
                <w:sz w:val="24"/>
                <w:szCs w:val="24"/>
              </w:rPr>
              <w:t>年</w:t>
            </w:r>
            <w:r>
              <w:rPr>
                <w:rFonts w:ascii="宋体" w:hAnsi="宋体" w:eastAsia="宋体" w:cs="宋体"/>
                <w:spacing w:val="-51"/>
                <w:sz w:val="24"/>
                <w:szCs w:val="24"/>
              </w:rPr>
              <w:t xml:space="preserve"> </w:t>
            </w:r>
            <w:r>
              <w:rPr>
                <w:rFonts w:ascii="Times New Roman" w:hAnsi="Times New Roman" w:eastAsia="Times New Roman" w:cs="Times New Roman"/>
                <w:spacing w:val="-5"/>
                <w:sz w:val="24"/>
                <w:szCs w:val="24"/>
              </w:rPr>
              <w:t>9</w:t>
            </w:r>
            <w:r>
              <w:rPr>
                <w:rFonts w:ascii="Times New Roman" w:hAnsi="Times New Roman" w:eastAsia="Times New Roman" w:cs="Times New Roman"/>
                <w:spacing w:val="16"/>
                <w:sz w:val="24"/>
                <w:szCs w:val="24"/>
              </w:rPr>
              <w:t xml:space="preserve"> </w:t>
            </w:r>
            <w:r>
              <w:rPr>
                <w:rFonts w:ascii="宋体" w:hAnsi="宋体" w:eastAsia="宋体" w:cs="宋体"/>
                <w:spacing w:val="-5"/>
                <w:sz w:val="24"/>
                <w:szCs w:val="24"/>
              </w:rPr>
              <w:t>月</w:t>
            </w:r>
            <w:r>
              <w:rPr>
                <w:rFonts w:ascii="宋体" w:hAnsi="宋体" w:eastAsia="宋体" w:cs="宋体"/>
                <w:spacing w:val="-55"/>
                <w:sz w:val="24"/>
                <w:szCs w:val="24"/>
              </w:rPr>
              <w:t xml:space="preserve"> </w:t>
            </w:r>
            <w:r>
              <w:rPr>
                <w:rFonts w:ascii="Times New Roman" w:hAnsi="Times New Roman" w:eastAsia="Times New Roman" w:cs="Times New Roman"/>
                <w:spacing w:val="-5"/>
                <w:sz w:val="24"/>
                <w:szCs w:val="24"/>
              </w:rPr>
              <w:t xml:space="preserve">25  </w:t>
            </w:r>
            <w:r>
              <w:rPr>
                <w:rFonts w:ascii="宋体" w:hAnsi="宋体" w:eastAsia="宋体" w:cs="宋体"/>
                <w:spacing w:val="-5"/>
                <w:sz w:val="24"/>
                <w:szCs w:val="24"/>
              </w:rPr>
              <w:t>日止</w:t>
            </w:r>
            <w:r>
              <w:rPr>
                <w:rFonts w:ascii="宋体" w:hAnsi="宋体" w:eastAsia="宋体" w:cs="宋体"/>
                <w:spacing w:val="-18"/>
                <w:sz w:val="24"/>
                <w:szCs w:val="24"/>
              </w:rPr>
              <w:t>）（</w:t>
            </w:r>
            <w:r>
              <w:rPr>
                <w:rFonts w:ascii="宋体" w:hAnsi="宋体" w:eastAsia="宋体" w:cs="宋体"/>
                <w:spacing w:val="-5"/>
                <w:sz w:val="24"/>
                <w:szCs w:val="24"/>
              </w:rPr>
              <w:t>附件</w:t>
            </w:r>
            <w:r>
              <w:rPr>
                <w:rFonts w:ascii="宋体" w:hAnsi="宋体" w:eastAsia="宋体" w:cs="宋体"/>
                <w:spacing w:val="-52"/>
                <w:sz w:val="24"/>
                <w:szCs w:val="24"/>
              </w:rPr>
              <w:t xml:space="preserve"> </w:t>
            </w:r>
            <w:r>
              <w:rPr>
                <w:rFonts w:ascii="Times New Roman" w:hAnsi="Times New Roman" w:eastAsia="Times New Roman" w:cs="Times New Roman"/>
                <w:spacing w:val="-5"/>
                <w:sz w:val="24"/>
                <w:szCs w:val="24"/>
              </w:rPr>
              <w:t>7</w:t>
            </w:r>
            <w:r>
              <w:rPr>
                <w:rFonts w:ascii="宋体" w:hAnsi="宋体" w:eastAsia="宋体" w:cs="宋体"/>
                <w:spacing w:val="-5"/>
                <w:sz w:val="24"/>
                <w:szCs w:val="24"/>
              </w:rPr>
              <w:t>）。</w:t>
            </w:r>
          </w:p>
          <w:p w14:paraId="367DEFE9">
            <w:pPr>
              <w:spacing w:line="209" w:lineRule="auto"/>
              <w:ind w:left="2096"/>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25"/>
                <w:sz w:val="20"/>
                <w:szCs w:val="20"/>
              </w:rPr>
              <w:t xml:space="preserve"> </w:t>
            </w:r>
            <w:r>
              <w:rPr>
                <w:rFonts w:ascii="Times New Roman" w:hAnsi="Times New Roman" w:eastAsia="Times New Roman" w:cs="Times New Roman"/>
                <w:b/>
                <w:bCs/>
                <w:spacing w:val="6"/>
                <w:sz w:val="20"/>
                <w:szCs w:val="20"/>
              </w:rPr>
              <w:t xml:space="preserve">2-17    </w:t>
            </w:r>
            <w:r>
              <w:rPr>
                <w:rFonts w:ascii="宋体" w:hAnsi="宋体" w:eastAsia="宋体" w:cs="宋体"/>
                <w:b/>
                <w:bCs/>
                <w:spacing w:val="6"/>
                <w:sz w:val="20"/>
                <w:szCs w:val="20"/>
              </w:rPr>
              <w:t>现有项目污染物排放总量与控制指标对照表</w:t>
            </w:r>
          </w:p>
        </w:tc>
      </w:tr>
      <w:tr w14:paraId="1E8AB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428" w:type="dxa"/>
            <w:vMerge w:val="continue"/>
            <w:tcBorders>
              <w:top w:val="nil"/>
              <w:left w:val="single" w:color="000000" w:sz="6" w:space="0"/>
              <w:bottom w:val="nil"/>
            </w:tcBorders>
            <w:vAlign w:val="top"/>
          </w:tcPr>
          <w:p w14:paraId="0797E6F7">
            <w:pPr>
              <w:rPr>
                <w:rFonts w:ascii="Arial"/>
                <w:sz w:val="21"/>
              </w:rPr>
            </w:pPr>
          </w:p>
        </w:tc>
        <w:tc>
          <w:tcPr>
            <w:tcW w:w="111" w:type="dxa"/>
            <w:vMerge w:val="restart"/>
            <w:tcBorders>
              <w:top w:val="nil"/>
              <w:bottom w:val="nil"/>
            </w:tcBorders>
            <w:vAlign w:val="top"/>
          </w:tcPr>
          <w:p w14:paraId="7BE38C5B">
            <w:pPr>
              <w:rPr>
                <w:rFonts w:ascii="Arial"/>
                <w:sz w:val="21"/>
              </w:rPr>
            </w:pPr>
          </w:p>
        </w:tc>
        <w:tc>
          <w:tcPr>
            <w:tcW w:w="758" w:type="dxa"/>
            <w:vAlign w:val="top"/>
          </w:tcPr>
          <w:p w14:paraId="653E4734">
            <w:pPr>
              <w:spacing w:before="237" w:line="228" w:lineRule="auto"/>
              <w:ind w:left="167"/>
              <w:rPr>
                <w:rFonts w:ascii="宋体" w:hAnsi="宋体" w:eastAsia="宋体" w:cs="宋体"/>
                <w:sz w:val="20"/>
                <w:szCs w:val="20"/>
              </w:rPr>
            </w:pPr>
            <w:r>
              <w:rPr>
                <w:rFonts w:ascii="宋体" w:hAnsi="宋体" w:eastAsia="宋体" w:cs="宋体"/>
                <w:spacing w:val="4"/>
                <w:sz w:val="20"/>
                <w:szCs w:val="20"/>
              </w:rPr>
              <w:t>类别</w:t>
            </w:r>
          </w:p>
        </w:tc>
        <w:tc>
          <w:tcPr>
            <w:tcW w:w="1493" w:type="dxa"/>
            <w:gridSpan w:val="2"/>
            <w:vAlign w:val="top"/>
          </w:tcPr>
          <w:p w14:paraId="762C2A3A">
            <w:pPr>
              <w:spacing w:before="238" w:line="192" w:lineRule="auto"/>
              <w:ind w:left="433"/>
              <w:rPr>
                <w:rFonts w:ascii="微软雅黑" w:hAnsi="微软雅黑" w:eastAsia="微软雅黑" w:cs="微软雅黑"/>
                <w:sz w:val="20"/>
                <w:szCs w:val="20"/>
              </w:rPr>
            </w:pPr>
            <w:r>
              <w:rPr>
                <w:rFonts w:ascii="宋体" w:hAnsi="宋体" w:eastAsia="宋体" w:cs="宋体"/>
                <w:spacing w:val="6"/>
                <w:sz w:val="20"/>
                <w:szCs w:val="20"/>
              </w:rPr>
              <w:t>污染</w:t>
            </w:r>
            <w:r>
              <w:rPr>
                <w:rFonts w:ascii="微软雅黑" w:hAnsi="微软雅黑" w:eastAsia="微软雅黑" w:cs="微软雅黑"/>
                <w:spacing w:val="6"/>
                <w:sz w:val="20"/>
                <w:szCs w:val="20"/>
              </w:rPr>
              <w:t>物</w:t>
            </w:r>
          </w:p>
        </w:tc>
        <w:tc>
          <w:tcPr>
            <w:tcW w:w="1566" w:type="dxa"/>
            <w:gridSpan w:val="2"/>
            <w:vAlign w:val="top"/>
          </w:tcPr>
          <w:p w14:paraId="20CDB58D">
            <w:pPr>
              <w:spacing w:before="33" w:line="270" w:lineRule="auto"/>
              <w:ind w:left="683" w:right="50" w:hanging="632"/>
              <w:rPr>
                <w:rFonts w:ascii="微软雅黑" w:hAnsi="微软雅黑" w:eastAsia="微软雅黑" w:cs="微软雅黑"/>
                <w:sz w:val="20"/>
                <w:szCs w:val="20"/>
              </w:rPr>
            </w:pPr>
            <w:r>
              <w:rPr>
                <w:rFonts w:ascii="宋体" w:hAnsi="宋体" w:eastAsia="宋体" w:cs="宋体"/>
                <w:spacing w:val="8"/>
                <w:sz w:val="20"/>
                <w:szCs w:val="20"/>
              </w:rPr>
              <w:t>现有项目排放</w:t>
            </w:r>
            <w:r>
              <w:rPr>
                <w:rFonts w:ascii="微软雅黑" w:hAnsi="微软雅黑" w:eastAsia="微软雅黑" w:cs="微软雅黑"/>
                <w:spacing w:val="8"/>
                <w:sz w:val="20"/>
                <w:szCs w:val="20"/>
              </w:rPr>
              <w:t>总</w:t>
            </w:r>
            <w:r>
              <w:rPr>
                <w:rFonts w:ascii="微软雅黑" w:hAnsi="微软雅黑" w:eastAsia="微软雅黑" w:cs="微软雅黑"/>
                <w:sz w:val="20"/>
                <w:szCs w:val="20"/>
              </w:rPr>
              <w:t>量</w:t>
            </w:r>
          </w:p>
        </w:tc>
        <w:tc>
          <w:tcPr>
            <w:tcW w:w="960" w:type="dxa"/>
            <w:gridSpan w:val="2"/>
            <w:vAlign w:val="top"/>
          </w:tcPr>
          <w:p w14:paraId="27C5819F">
            <w:pPr>
              <w:spacing w:before="34" w:line="307" w:lineRule="auto"/>
              <w:ind w:left="271" w:right="62" w:hanging="208"/>
              <w:rPr>
                <w:rFonts w:ascii="微软雅黑" w:hAnsi="微软雅黑" w:eastAsia="微软雅黑" w:cs="微软雅黑"/>
                <w:sz w:val="20"/>
                <w:szCs w:val="20"/>
              </w:rPr>
            </w:pPr>
            <w:r>
              <w:rPr>
                <w:rFonts w:ascii="宋体" w:hAnsi="宋体" w:eastAsia="宋体" w:cs="宋体"/>
                <w:spacing w:val="7"/>
                <w:sz w:val="20"/>
                <w:szCs w:val="20"/>
              </w:rPr>
              <w:t>排污许可</w:t>
            </w:r>
            <w:r>
              <w:rPr>
                <w:rFonts w:ascii="宋体" w:hAnsi="宋体" w:eastAsia="宋体" w:cs="宋体"/>
                <w:spacing w:val="6"/>
                <w:sz w:val="20"/>
                <w:szCs w:val="20"/>
              </w:rPr>
              <w:t>证</w:t>
            </w:r>
            <w:r>
              <w:rPr>
                <w:rFonts w:ascii="微软雅黑" w:hAnsi="微软雅黑" w:eastAsia="微软雅黑" w:cs="微软雅黑"/>
                <w:spacing w:val="6"/>
                <w:sz w:val="20"/>
                <w:szCs w:val="20"/>
              </w:rPr>
              <w:t>量</w:t>
            </w:r>
          </w:p>
        </w:tc>
        <w:tc>
          <w:tcPr>
            <w:tcW w:w="2637" w:type="dxa"/>
            <w:gridSpan w:val="2"/>
            <w:vAlign w:val="top"/>
          </w:tcPr>
          <w:p w14:paraId="07C2CD07">
            <w:pPr>
              <w:spacing w:before="237" w:line="229" w:lineRule="auto"/>
              <w:ind w:left="905"/>
              <w:rPr>
                <w:rFonts w:ascii="宋体" w:hAnsi="宋体" w:eastAsia="宋体" w:cs="宋体"/>
                <w:sz w:val="20"/>
                <w:szCs w:val="20"/>
              </w:rPr>
            </w:pPr>
            <w:r>
              <w:rPr>
                <w:rFonts w:ascii="宋体" w:hAnsi="宋体" w:eastAsia="宋体" w:cs="宋体"/>
                <w:spacing w:val="7"/>
                <w:sz w:val="20"/>
                <w:szCs w:val="20"/>
              </w:rPr>
              <w:t>排放去向</w:t>
            </w:r>
          </w:p>
        </w:tc>
        <w:tc>
          <w:tcPr>
            <w:tcW w:w="982" w:type="dxa"/>
            <w:vAlign w:val="top"/>
          </w:tcPr>
          <w:p w14:paraId="679069B3">
            <w:pPr>
              <w:spacing w:before="237" w:line="228" w:lineRule="auto"/>
              <w:ind w:left="86"/>
              <w:rPr>
                <w:rFonts w:ascii="宋体" w:hAnsi="宋体" w:eastAsia="宋体" w:cs="宋体"/>
                <w:sz w:val="20"/>
                <w:szCs w:val="20"/>
              </w:rPr>
            </w:pPr>
            <w:r>
              <w:rPr>
                <w:rFonts w:ascii="宋体" w:hAnsi="宋体" w:eastAsia="宋体" w:cs="宋体"/>
                <w:spacing w:val="6"/>
                <w:sz w:val="20"/>
                <w:szCs w:val="20"/>
              </w:rPr>
              <w:t>是否满足</w:t>
            </w:r>
          </w:p>
        </w:tc>
        <w:tc>
          <w:tcPr>
            <w:tcW w:w="129" w:type="dxa"/>
            <w:tcBorders>
              <w:top w:val="nil"/>
              <w:bottom w:val="nil"/>
              <w:right w:val="single" w:color="000000" w:sz="6" w:space="0"/>
            </w:tcBorders>
            <w:vAlign w:val="top"/>
          </w:tcPr>
          <w:p w14:paraId="6B8EC0B7">
            <w:pPr>
              <w:rPr>
                <w:rFonts w:ascii="Arial"/>
                <w:sz w:val="21"/>
              </w:rPr>
            </w:pPr>
          </w:p>
        </w:tc>
      </w:tr>
      <w:tr w14:paraId="3B63A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8" w:type="dxa"/>
            <w:vMerge w:val="continue"/>
            <w:tcBorders>
              <w:top w:val="nil"/>
              <w:left w:val="single" w:color="000000" w:sz="6" w:space="0"/>
              <w:bottom w:val="nil"/>
            </w:tcBorders>
            <w:vAlign w:val="top"/>
          </w:tcPr>
          <w:p w14:paraId="186605EC">
            <w:pPr>
              <w:rPr>
                <w:rFonts w:ascii="Arial"/>
                <w:sz w:val="21"/>
              </w:rPr>
            </w:pPr>
          </w:p>
        </w:tc>
        <w:tc>
          <w:tcPr>
            <w:tcW w:w="111" w:type="dxa"/>
            <w:vMerge w:val="continue"/>
            <w:tcBorders>
              <w:top w:val="nil"/>
              <w:bottom w:val="nil"/>
            </w:tcBorders>
            <w:vAlign w:val="top"/>
          </w:tcPr>
          <w:p w14:paraId="2AD1450F">
            <w:pPr>
              <w:rPr>
                <w:rFonts w:ascii="Arial"/>
                <w:sz w:val="21"/>
              </w:rPr>
            </w:pPr>
          </w:p>
        </w:tc>
        <w:tc>
          <w:tcPr>
            <w:tcW w:w="758" w:type="dxa"/>
            <w:vMerge w:val="restart"/>
            <w:tcBorders>
              <w:bottom w:val="nil"/>
            </w:tcBorders>
            <w:vAlign w:val="top"/>
          </w:tcPr>
          <w:p w14:paraId="1EAD3C8C">
            <w:pPr>
              <w:spacing w:line="274" w:lineRule="auto"/>
              <w:rPr>
                <w:rFonts w:ascii="Arial"/>
                <w:sz w:val="21"/>
              </w:rPr>
            </w:pPr>
          </w:p>
          <w:p w14:paraId="33ACA8B3">
            <w:pPr>
              <w:spacing w:line="274" w:lineRule="auto"/>
              <w:rPr>
                <w:rFonts w:ascii="Arial"/>
                <w:sz w:val="21"/>
              </w:rPr>
            </w:pPr>
          </w:p>
          <w:p w14:paraId="0D6DDF2A">
            <w:pPr>
              <w:spacing w:line="274" w:lineRule="auto"/>
              <w:rPr>
                <w:rFonts w:ascii="Arial"/>
                <w:sz w:val="21"/>
              </w:rPr>
            </w:pPr>
          </w:p>
          <w:p w14:paraId="0EB4FF4E">
            <w:pPr>
              <w:spacing w:line="275" w:lineRule="auto"/>
              <w:rPr>
                <w:rFonts w:ascii="Arial"/>
                <w:sz w:val="21"/>
              </w:rPr>
            </w:pPr>
          </w:p>
          <w:p w14:paraId="5CD4493C">
            <w:pPr>
              <w:spacing w:line="275" w:lineRule="auto"/>
              <w:rPr>
                <w:rFonts w:ascii="Arial"/>
                <w:sz w:val="21"/>
              </w:rPr>
            </w:pPr>
          </w:p>
          <w:p w14:paraId="380816F2">
            <w:pPr>
              <w:spacing w:before="85" w:line="192" w:lineRule="auto"/>
              <w:ind w:left="165"/>
              <w:rPr>
                <w:rFonts w:ascii="宋体" w:hAnsi="宋体" w:eastAsia="宋体" w:cs="宋体"/>
                <w:sz w:val="20"/>
                <w:szCs w:val="20"/>
              </w:rPr>
            </w:pPr>
            <w:r>
              <w:rPr>
                <w:rFonts w:ascii="微软雅黑" w:hAnsi="微软雅黑" w:eastAsia="微软雅黑" w:cs="微软雅黑"/>
                <w:spacing w:val="5"/>
                <w:sz w:val="20"/>
                <w:szCs w:val="20"/>
              </w:rPr>
              <w:t>废</w:t>
            </w:r>
            <w:r>
              <w:rPr>
                <w:rFonts w:ascii="宋体" w:hAnsi="宋体" w:eastAsia="宋体" w:cs="宋体"/>
                <w:spacing w:val="5"/>
                <w:sz w:val="20"/>
                <w:szCs w:val="20"/>
              </w:rPr>
              <w:t>水</w:t>
            </w:r>
          </w:p>
        </w:tc>
        <w:tc>
          <w:tcPr>
            <w:tcW w:w="1493" w:type="dxa"/>
            <w:gridSpan w:val="2"/>
            <w:vAlign w:val="top"/>
          </w:tcPr>
          <w:p w14:paraId="188E7B52">
            <w:pPr>
              <w:spacing w:before="35" w:line="192" w:lineRule="auto"/>
              <w:ind w:left="192"/>
              <w:rPr>
                <w:rFonts w:ascii="Times New Roman" w:hAnsi="Times New Roman" w:eastAsia="Times New Roman" w:cs="Times New Roman"/>
                <w:sz w:val="20"/>
                <w:szCs w:val="20"/>
              </w:rPr>
            </w:pPr>
            <w:r>
              <w:rPr>
                <w:rFonts w:ascii="微软雅黑" w:hAnsi="微软雅黑" w:eastAsia="微软雅黑" w:cs="微软雅黑"/>
                <w:spacing w:val="4"/>
                <w:sz w:val="20"/>
                <w:szCs w:val="20"/>
              </w:rPr>
              <w:t>废</w:t>
            </w:r>
            <w:r>
              <w:rPr>
                <w:rFonts w:ascii="宋体" w:hAnsi="宋体" w:eastAsia="宋体" w:cs="宋体"/>
                <w:spacing w:val="4"/>
                <w:sz w:val="20"/>
                <w:szCs w:val="20"/>
              </w:rPr>
              <w:t>水</w:t>
            </w:r>
            <w:r>
              <w:rPr>
                <w:rFonts w:ascii="微软雅黑" w:hAnsi="微软雅黑" w:eastAsia="微软雅黑" w:cs="微软雅黑"/>
                <w:spacing w:val="4"/>
                <w:sz w:val="20"/>
                <w:szCs w:val="20"/>
              </w:rPr>
              <w:t xml:space="preserve">量万 </w:t>
            </w:r>
            <w:r>
              <w:rPr>
                <w:rFonts w:ascii="Times New Roman" w:hAnsi="Times New Roman" w:eastAsia="Times New Roman" w:cs="Times New Roman"/>
                <w:spacing w:val="4"/>
                <w:sz w:val="20"/>
                <w:szCs w:val="20"/>
              </w:rPr>
              <w:t>t/a</w:t>
            </w:r>
          </w:p>
        </w:tc>
        <w:tc>
          <w:tcPr>
            <w:tcW w:w="1566" w:type="dxa"/>
            <w:gridSpan w:val="2"/>
            <w:vAlign w:val="top"/>
          </w:tcPr>
          <w:p w14:paraId="56926848">
            <w:pPr>
              <w:spacing w:before="79" w:line="195" w:lineRule="auto"/>
              <w:ind w:left="73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960" w:type="dxa"/>
            <w:gridSpan w:val="2"/>
            <w:vAlign w:val="top"/>
          </w:tcPr>
          <w:p w14:paraId="0B1B29D2">
            <w:pPr>
              <w:spacing w:before="75" w:line="199" w:lineRule="auto"/>
              <w:ind w:left="4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37" w:type="dxa"/>
            <w:gridSpan w:val="2"/>
            <w:vMerge w:val="restart"/>
            <w:tcBorders>
              <w:bottom w:val="nil"/>
            </w:tcBorders>
            <w:vAlign w:val="top"/>
          </w:tcPr>
          <w:p w14:paraId="7AC40458">
            <w:pPr>
              <w:spacing w:before="38" w:line="371" w:lineRule="auto"/>
              <w:ind w:left="10" w:firstLine="410"/>
              <w:jc w:val="both"/>
              <w:rPr>
                <w:rFonts w:ascii="宋体" w:hAnsi="宋体" w:eastAsia="宋体" w:cs="宋体"/>
                <w:sz w:val="20"/>
                <w:szCs w:val="20"/>
              </w:rPr>
            </w:pPr>
            <w:r>
              <w:rPr>
                <w:rFonts w:ascii="宋体" w:hAnsi="宋体" w:eastAsia="宋体" w:cs="宋体"/>
                <w:spacing w:val="14"/>
                <w:sz w:val="20"/>
                <w:szCs w:val="20"/>
              </w:rPr>
              <w:t>现有项目废水经自建一</w:t>
            </w:r>
            <w:r>
              <w:rPr>
                <w:rFonts w:ascii="宋体" w:hAnsi="宋体" w:eastAsia="宋体" w:cs="宋体"/>
                <w:spacing w:val="13"/>
                <w:sz w:val="20"/>
                <w:szCs w:val="20"/>
              </w:rPr>
              <w:t>体化污水处理设施处理后满</w:t>
            </w:r>
            <w:r>
              <w:rPr>
                <w:rFonts w:ascii="宋体" w:hAnsi="宋体" w:eastAsia="宋体" w:cs="宋体"/>
                <w:spacing w:val="4"/>
                <w:sz w:val="20"/>
                <w:szCs w:val="20"/>
              </w:rPr>
              <w:t>足《城市污水再生利用 城市</w:t>
            </w:r>
            <w:r>
              <w:rPr>
                <w:rFonts w:ascii="宋体" w:hAnsi="宋体" w:eastAsia="宋体" w:cs="宋体"/>
                <w:spacing w:val="-7"/>
                <w:sz w:val="20"/>
                <w:szCs w:val="20"/>
              </w:rPr>
              <w:t>杂</w:t>
            </w:r>
            <w:r>
              <w:rPr>
                <w:rFonts w:ascii="宋体" w:hAnsi="宋体" w:eastAsia="宋体" w:cs="宋体"/>
                <w:spacing w:val="-18"/>
                <w:sz w:val="20"/>
                <w:szCs w:val="20"/>
              </w:rPr>
              <w:t xml:space="preserve"> </w:t>
            </w:r>
            <w:r>
              <w:rPr>
                <w:rFonts w:ascii="宋体" w:hAnsi="宋体" w:eastAsia="宋体" w:cs="宋体"/>
                <w:spacing w:val="-7"/>
                <w:sz w:val="20"/>
                <w:szCs w:val="20"/>
              </w:rPr>
              <w:t>用</w:t>
            </w:r>
            <w:r>
              <w:rPr>
                <w:rFonts w:ascii="宋体" w:hAnsi="宋体" w:eastAsia="宋体" w:cs="宋体"/>
                <w:spacing w:val="-17"/>
                <w:sz w:val="20"/>
                <w:szCs w:val="20"/>
              </w:rPr>
              <w:t xml:space="preserve"> </w:t>
            </w:r>
            <w:r>
              <w:rPr>
                <w:rFonts w:ascii="宋体" w:hAnsi="宋体" w:eastAsia="宋体" w:cs="宋体"/>
                <w:spacing w:val="-7"/>
                <w:sz w:val="20"/>
                <w:szCs w:val="20"/>
              </w:rPr>
              <w:t>水</w:t>
            </w:r>
            <w:r>
              <w:rPr>
                <w:rFonts w:ascii="宋体" w:hAnsi="宋体" w:eastAsia="宋体" w:cs="宋体"/>
                <w:spacing w:val="-18"/>
                <w:sz w:val="20"/>
                <w:szCs w:val="20"/>
              </w:rPr>
              <w:t xml:space="preserve"> </w:t>
            </w:r>
            <w:r>
              <w:rPr>
                <w:rFonts w:ascii="宋体" w:hAnsi="宋体" w:eastAsia="宋体" w:cs="宋体"/>
                <w:spacing w:val="-7"/>
                <w:sz w:val="20"/>
                <w:szCs w:val="20"/>
              </w:rPr>
              <w:t>水</w:t>
            </w:r>
            <w:r>
              <w:rPr>
                <w:rFonts w:ascii="宋体" w:hAnsi="宋体" w:eastAsia="宋体" w:cs="宋体"/>
                <w:spacing w:val="-19"/>
                <w:sz w:val="20"/>
                <w:szCs w:val="20"/>
              </w:rPr>
              <w:t xml:space="preserve"> </w:t>
            </w:r>
            <w:r>
              <w:rPr>
                <w:rFonts w:ascii="宋体" w:hAnsi="宋体" w:eastAsia="宋体" w:cs="宋体"/>
                <w:spacing w:val="-7"/>
                <w:sz w:val="20"/>
                <w:szCs w:val="20"/>
              </w:rPr>
              <w:t>质 》</w:t>
            </w:r>
            <w:r>
              <w:rPr>
                <w:rFonts w:ascii="宋体" w:hAnsi="宋体" w:eastAsia="宋体" w:cs="宋体"/>
                <w:spacing w:val="-23"/>
                <w:sz w:val="20"/>
                <w:szCs w:val="20"/>
              </w:rPr>
              <w:t xml:space="preserve"> </w:t>
            </w:r>
            <w:r>
              <w:rPr>
                <w:rFonts w:ascii="宋体" w:hAnsi="宋体" w:eastAsia="宋体" w:cs="宋体"/>
                <w:spacing w:val="-7"/>
                <w:sz w:val="20"/>
                <w:szCs w:val="20"/>
              </w:rPr>
              <w:t>（</w:t>
            </w:r>
            <w:r>
              <w:rPr>
                <w:rFonts w:ascii="宋体" w:hAnsi="宋体" w:eastAsia="宋体" w:cs="宋体"/>
                <w:spacing w:val="41"/>
                <w:sz w:val="20"/>
                <w:szCs w:val="20"/>
              </w:rPr>
              <w:t xml:space="preserve">  </w:t>
            </w:r>
            <w:r>
              <w:rPr>
                <w:rFonts w:ascii="Times New Roman" w:hAnsi="Times New Roman" w:eastAsia="Times New Roman" w:cs="Times New Roman"/>
                <w:spacing w:val="-7"/>
                <w:sz w:val="20"/>
                <w:szCs w:val="20"/>
              </w:rPr>
              <w:t>GB/T</w:t>
            </w:r>
            <w:r>
              <w:rPr>
                <w:rFonts w:ascii="Times New Roman" w:hAnsi="Times New Roman" w:eastAsia="Times New Roman" w:cs="Times New Roman"/>
                <w:sz w:val="20"/>
                <w:szCs w:val="20"/>
              </w:rPr>
              <w:t xml:space="preserve"> </w:t>
            </w:r>
            <w:r>
              <w:rPr>
                <w:rFonts w:ascii="Times New Roman" w:hAnsi="Times New Roman" w:eastAsia="Times New Roman" w:cs="Times New Roman"/>
                <w:spacing w:val="-1"/>
                <w:sz w:val="20"/>
                <w:szCs w:val="20"/>
              </w:rPr>
              <w:t>18920-2020</w:t>
            </w:r>
            <w:r>
              <w:rPr>
                <w:rFonts w:ascii="宋体" w:hAnsi="宋体" w:eastAsia="宋体" w:cs="宋体"/>
                <w:spacing w:val="-1"/>
                <w:sz w:val="20"/>
                <w:szCs w:val="20"/>
              </w:rPr>
              <w:t>）表</w:t>
            </w:r>
            <w:r>
              <w:rPr>
                <w:rFonts w:ascii="宋体" w:hAnsi="宋体" w:eastAsia="宋体" w:cs="宋体"/>
                <w:spacing w:val="-16"/>
                <w:sz w:val="20"/>
                <w:szCs w:val="20"/>
              </w:rPr>
              <w:t xml:space="preserve"> </w:t>
            </w:r>
            <w:r>
              <w:rPr>
                <w:rFonts w:ascii="Times New Roman" w:hAnsi="Times New Roman" w:eastAsia="Times New Roman" w:cs="Times New Roman"/>
                <w:spacing w:val="-1"/>
                <w:sz w:val="20"/>
                <w:szCs w:val="20"/>
              </w:rPr>
              <w:t>1“</w:t>
            </w:r>
            <w:r>
              <w:rPr>
                <w:rFonts w:ascii="宋体" w:hAnsi="宋体" w:eastAsia="宋体" w:cs="宋体"/>
                <w:spacing w:val="-1"/>
                <w:sz w:val="20"/>
                <w:szCs w:val="20"/>
              </w:rPr>
              <w:t>道路清扫、</w:t>
            </w:r>
            <w:r>
              <w:rPr>
                <w:rFonts w:ascii="宋体" w:hAnsi="宋体" w:eastAsia="宋体" w:cs="宋体"/>
                <w:spacing w:val="3"/>
                <w:sz w:val="20"/>
                <w:szCs w:val="20"/>
              </w:rPr>
              <w:t>城市绿化水质标准</w:t>
            </w:r>
            <w:r>
              <w:rPr>
                <w:rFonts w:ascii="Times New Roman" w:hAnsi="Times New Roman" w:eastAsia="Times New Roman" w:cs="Times New Roman"/>
                <w:spacing w:val="3"/>
                <w:sz w:val="20"/>
                <w:szCs w:val="20"/>
              </w:rPr>
              <w:t>”</w:t>
            </w:r>
            <w:r>
              <w:rPr>
                <w:rFonts w:ascii="Times New Roman" w:hAnsi="Times New Roman" w:eastAsia="Times New Roman" w:cs="Times New Roman"/>
                <w:spacing w:val="-22"/>
                <w:sz w:val="20"/>
                <w:szCs w:val="20"/>
              </w:rPr>
              <w:t xml:space="preserve"> </w:t>
            </w:r>
            <w:r>
              <w:rPr>
                <w:rFonts w:ascii="宋体" w:hAnsi="宋体" w:eastAsia="宋体" w:cs="宋体"/>
                <w:spacing w:val="3"/>
                <w:sz w:val="20"/>
                <w:szCs w:val="20"/>
              </w:rPr>
              <w:t>，处理达</w:t>
            </w:r>
            <w:r>
              <w:rPr>
                <w:rFonts w:ascii="宋体" w:hAnsi="宋体" w:eastAsia="宋体" w:cs="宋体"/>
                <w:spacing w:val="-4"/>
                <w:sz w:val="20"/>
                <w:szCs w:val="20"/>
              </w:rPr>
              <w:t>标的废水回用于厂区绿化，雨</w:t>
            </w:r>
            <w:r>
              <w:rPr>
                <w:rFonts w:ascii="宋体" w:hAnsi="宋体" w:eastAsia="宋体" w:cs="宋体"/>
                <w:spacing w:val="3"/>
                <w:sz w:val="20"/>
                <w:szCs w:val="20"/>
              </w:rPr>
              <w:t>天暂存蓄水池，不外排。</w:t>
            </w:r>
          </w:p>
        </w:tc>
        <w:tc>
          <w:tcPr>
            <w:tcW w:w="982" w:type="dxa"/>
            <w:vMerge w:val="restart"/>
            <w:tcBorders>
              <w:bottom w:val="nil"/>
            </w:tcBorders>
            <w:vAlign w:val="top"/>
          </w:tcPr>
          <w:p w14:paraId="3758E11B">
            <w:pPr>
              <w:spacing w:line="278" w:lineRule="auto"/>
              <w:rPr>
                <w:rFonts w:ascii="Arial"/>
                <w:sz w:val="21"/>
              </w:rPr>
            </w:pPr>
          </w:p>
          <w:p w14:paraId="75C30583">
            <w:pPr>
              <w:spacing w:line="278" w:lineRule="auto"/>
              <w:rPr>
                <w:rFonts w:ascii="Arial"/>
                <w:sz w:val="21"/>
              </w:rPr>
            </w:pPr>
          </w:p>
          <w:p w14:paraId="2B4767DC">
            <w:pPr>
              <w:spacing w:line="278" w:lineRule="auto"/>
              <w:rPr>
                <w:rFonts w:ascii="Arial"/>
                <w:sz w:val="21"/>
              </w:rPr>
            </w:pPr>
          </w:p>
          <w:p w14:paraId="34A04CE4">
            <w:pPr>
              <w:spacing w:line="279" w:lineRule="auto"/>
              <w:rPr>
                <w:rFonts w:ascii="Arial"/>
                <w:sz w:val="21"/>
              </w:rPr>
            </w:pPr>
          </w:p>
          <w:p w14:paraId="70D234C6">
            <w:pPr>
              <w:spacing w:line="279" w:lineRule="auto"/>
              <w:rPr>
                <w:rFonts w:ascii="Arial"/>
                <w:sz w:val="21"/>
              </w:rPr>
            </w:pPr>
          </w:p>
          <w:p w14:paraId="7DB0BCA1">
            <w:pPr>
              <w:spacing w:before="65" w:line="228" w:lineRule="auto"/>
              <w:ind w:left="291"/>
              <w:rPr>
                <w:rFonts w:ascii="宋体" w:hAnsi="宋体" w:eastAsia="宋体" w:cs="宋体"/>
                <w:sz w:val="20"/>
                <w:szCs w:val="20"/>
              </w:rPr>
            </w:pPr>
            <w:r>
              <w:rPr>
                <w:rFonts w:ascii="宋体" w:hAnsi="宋体" w:eastAsia="宋体" w:cs="宋体"/>
                <w:spacing w:val="4"/>
                <w:sz w:val="20"/>
                <w:szCs w:val="20"/>
              </w:rPr>
              <w:t>满足</w:t>
            </w:r>
          </w:p>
        </w:tc>
        <w:tc>
          <w:tcPr>
            <w:tcW w:w="129" w:type="dxa"/>
            <w:tcBorders>
              <w:top w:val="nil"/>
              <w:bottom w:val="nil"/>
              <w:right w:val="single" w:color="000000" w:sz="6" w:space="0"/>
            </w:tcBorders>
            <w:vAlign w:val="top"/>
          </w:tcPr>
          <w:p w14:paraId="61B9E380">
            <w:pPr>
              <w:rPr>
                <w:rFonts w:ascii="Arial"/>
                <w:sz w:val="21"/>
              </w:rPr>
            </w:pPr>
          </w:p>
        </w:tc>
      </w:tr>
      <w:tr w14:paraId="11847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428" w:type="dxa"/>
            <w:vMerge w:val="continue"/>
            <w:tcBorders>
              <w:top w:val="nil"/>
              <w:left w:val="single" w:color="000000" w:sz="6" w:space="0"/>
              <w:bottom w:val="nil"/>
            </w:tcBorders>
            <w:vAlign w:val="top"/>
          </w:tcPr>
          <w:p w14:paraId="54031AF2">
            <w:pPr>
              <w:rPr>
                <w:rFonts w:ascii="Arial"/>
                <w:sz w:val="21"/>
              </w:rPr>
            </w:pPr>
          </w:p>
        </w:tc>
        <w:tc>
          <w:tcPr>
            <w:tcW w:w="111" w:type="dxa"/>
            <w:vMerge w:val="continue"/>
            <w:tcBorders>
              <w:top w:val="nil"/>
              <w:bottom w:val="nil"/>
            </w:tcBorders>
            <w:vAlign w:val="top"/>
          </w:tcPr>
          <w:p w14:paraId="1D50D2F1">
            <w:pPr>
              <w:rPr>
                <w:rFonts w:ascii="Arial"/>
                <w:sz w:val="21"/>
              </w:rPr>
            </w:pPr>
          </w:p>
        </w:tc>
        <w:tc>
          <w:tcPr>
            <w:tcW w:w="758" w:type="dxa"/>
            <w:vMerge w:val="continue"/>
            <w:tcBorders>
              <w:top w:val="nil"/>
              <w:bottom w:val="nil"/>
            </w:tcBorders>
            <w:vAlign w:val="top"/>
          </w:tcPr>
          <w:p w14:paraId="568BF32A">
            <w:pPr>
              <w:rPr>
                <w:rFonts w:ascii="Arial"/>
                <w:sz w:val="21"/>
              </w:rPr>
            </w:pPr>
          </w:p>
        </w:tc>
        <w:tc>
          <w:tcPr>
            <w:tcW w:w="1493" w:type="dxa"/>
            <w:gridSpan w:val="2"/>
            <w:vAlign w:val="top"/>
          </w:tcPr>
          <w:p w14:paraId="090A241E">
            <w:pPr>
              <w:spacing w:before="38" w:line="196" w:lineRule="auto"/>
              <w:ind w:left="89"/>
              <w:rPr>
                <w:rFonts w:ascii="Times New Roman" w:hAnsi="Times New Roman" w:eastAsia="Times New Roman" w:cs="Times New Roman"/>
                <w:sz w:val="20"/>
                <w:szCs w:val="20"/>
              </w:rPr>
            </w:pPr>
            <w:r>
              <w:rPr>
                <w:rFonts w:ascii="宋体" w:hAnsi="宋体" w:eastAsia="宋体" w:cs="宋体"/>
                <w:spacing w:val="4"/>
                <w:sz w:val="20"/>
                <w:szCs w:val="20"/>
              </w:rPr>
              <w:t>化学需氧</w:t>
            </w:r>
            <w:r>
              <w:rPr>
                <w:rFonts w:ascii="微软雅黑" w:hAnsi="微软雅黑" w:eastAsia="微软雅黑" w:cs="微软雅黑"/>
                <w:spacing w:val="4"/>
                <w:sz w:val="20"/>
                <w:szCs w:val="20"/>
              </w:rPr>
              <w:t xml:space="preserve">量 </w:t>
            </w:r>
            <w:r>
              <w:rPr>
                <w:rFonts w:ascii="Times New Roman" w:hAnsi="Times New Roman" w:eastAsia="Times New Roman" w:cs="Times New Roman"/>
                <w:spacing w:val="4"/>
                <w:sz w:val="20"/>
                <w:szCs w:val="20"/>
              </w:rPr>
              <w:t>t/a</w:t>
            </w:r>
          </w:p>
        </w:tc>
        <w:tc>
          <w:tcPr>
            <w:tcW w:w="1566" w:type="dxa"/>
            <w:gridSpan w:val="2"/>
            <w:vAlign w:val="top"/>
          </w:tcPr>
          <w:p w14:paraId="0639BA9C">
            <w:pPr>
              <w:spacing w:before="81" w:line="195" w:lineRule="auto"/>
              <w:ind w:left="73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960" w:type="dxa"/>
            <w:gridSpan w:val="2"/>
            <w:vAlign w:val="top"/>
          </w:tcPr>
          <w:p w14:paraId="29BEAE99">
            <w:pPr>
              <w:spacing w:before="78" w:line="199" w:lineRule="auto"/>
              <w:ind w:left="4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37" w:type="dxa"/>
            <w:gridSpan w:val="2"/>
            <w:vMerge w:val="continue"/>
            <w:tcBorders>
              <w:top w:val="nil"/>
              <w:bottom w:val="nil"/>
            </w:tcBorders>
            <w:vAlign w:val="top"/>
          </w:tcPr>
          <w:p w14:paraId="449F101C">
            <w:pPr>
              <w:rPr>
                <w:rFonts w:ascii="Arial"/>
                <w:sz w:val="21"/>
              </w:rPr>
            </w:pPr>
          </w:p>
        </w:tc>
        <w:tc>
          <w:tcPr>
            <w:tcW w:w="982" w:type="dxa"/>
            <w:vMerge w:val="continue"/>
            <w:tcBorders>
              <w:top w:val="nil"/>
              <w:bottom w:val="nil"/>
            </w:tcBorders>
            <w:vAlign w:val="top"/>
          </w:tcPr>
          <w:p w14:paraId="3B21AE2B">
            <w:pPr>
              <w:rPr>
                <w:rFonts w:ascii="Arial"/>
                <w:sz w:val="21"/>
              </w:rPr>
            </w:pPr>
          </w:p>
        </w:tc>
        <w:tc>
          <w:tcPr>
            <w:tcW w:w="129" w:type="dxa"/>
            <w:tcBorders>
              <w:top w:val="nil"/>
              <w:bottom w:val="nil"/>
              <w:right w:val="single" w:color="000000" w:sz="6" w:space="0"/>
            </w:tcBorders>
            <w:vAlign w:val="top"/>
          </w:tcPr>
          <w:p w14:paraId="5601C96E">
            <w:pPr>
              <w:rPr>
                <w:rFonts w:ascii="Arial"/>
                <w:sz w:val="21"/>
              </w:rPr>
            </w:pPr>
          </w:p>
        </w:tc>
      </w:tr>
      <w:tr w14:paraId="1268D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428" w:type="dxa"/>
            <w:vMerge w:val="continue"/>
            <w:tcBorders>
              <w:top w:val="nil"/>
              <w:left w:val="single" w:color="000000" w:sz="6" w:space="0"/>
              <w:bottom w:val="nil"/>
            </w:tcBorders>
            <w:vAlign w:val="top"/>
          </w:tcPr>
          <w:p w14:paraId="5FB63121">
            <w:pPr>
              <w:rPr>
                <w:rFonts w:ascii="Arial"/>
                <w:sz w:val="21"/>
              </w:rPr>
            </w:pPr>
          </w:p>
        </w:tc>
        <w:tc>
          <w:tcPr>
            <w:tcW w:w="111" w:type="dxa"/>
            <w:vMerge w:val="continue"/>
            <w:tcBorders>
              <w:top w:val="nil"/>
              <w:bottom w:val="nil"/>
            </w:tcBorders>
            <w:vAlign w:val="top"/>
          </w:tcPr>
          <w:p w14:paraId="1316203F">
            <w:pPr>
              <w:rPr>
                <w:rFonts w:ascii="Arial"/>
                <w:sz w:val="21"/>
              </w:rPr>
            </w:pPr>
          </w:p>
        </w:tc>
        <w:tc>
          <w:tcPr>
            <w:tcW w:w="758" w:type="dxa"/>
            <w:vMerge w:val="continue"/>
            <w:tcBorders>
              <w:top w:val="nil"/>
              <w:bottom w:val="nil"/>
            </w:tcBorders>
            <w:vAlign w:val="top"/>
          </w:tcPr>
          <w:p w14:paraId="4F25FF98">
            <w:pPr>
              <w:rPr>
                <w:rFonts w:ascii="Arial"/>
                <w:sz w:val="21"/>
              </w:rPr>
            </w:pPr>
          </w:p>
        </w:tc>
        <w:tc>
          <w:tcPr>
            <w:tcW w:w="1493" w:type="dxa"/>
            <w:gridSpan w:val="2"/>
            <w:vAlign w:val="top"/>
          </w:tcPr>
          <w:p w14:paraId="37F3D5AD">
            <w:pPr>
              <w:spacing w:before="39" w:line="227" w:lineRule="auto"/>
              <w:ind w:left="405"/>
              <w:rPr>
                <w:rFonts w:ascii="Times New Roman" w:hAnsi="Times New Roman" w:eastAsia="Times New Roman" w:cs="Times New Roman"/>
                <w:sz w:val="20"/>
                <w:szCs w:val="20"/>
              </w:rPr>
            </w:pPr>
            <w:r>
              <w:rPr>
                <w:rFonts w:ascii="宋体" w:hAnsi="宋体" w:eastAsia="宋体" w:cs="宋体"/>
                <w:spacing w:val="3"/>
                <w:sz w:val="20"/>
                <w:szCs w:val="20"/>
              </w:rPr>
              <w:t>氨氮</w:t>
            </w:r>
            <w:r>
              <w:rPr>
                <w:rFonts w:ascii="宋体" w:hAnsi="宋体" w:eastAsia="宋体" w:cs="宋体"/>
                <w:spacing w:val="-46"/>
                <w:sz w:val="20"/>
                <w:szCs w:val="20"/>
              </w:rPr>
              <w:t xml:space="preserve"> </w:t>
            </w:r>
            <w:r>
              <w:rPr>
                <w:rFonts w:ascii="Times New Roman" w:hAnsi="Times New Roman" w:eastAsia="Times New Roman" w:cs="Times New Roman"/>
                <w:spacing w:val="3"/>
                <w:sz w:val="20"/>
                <w:szCs w:val="20"/>
              </w:rPr>
              <w:t>t/a</w:t>
            </w:r>
          </w:p>
        </w:tc>
        <w:tc>
          <w:tcPr>
            <w:tcW w:w="1566" w:type="dxa"/>
            <w:gridSpan w:val="2"/>
            <w:vAlign w:val="top"/>
          </w:tcPr>
          <w:p w14:paraId="651B4289">
            <w:pPr>
              <w:spacing w:before="83" w:line="195" w:lineRule="auto"/>
              <w:ind w:left="73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960" w:type="dxa"/>
            <w:gridSpan w:val="2"/>
            <w:vAlign w:val="top"/>
          </w:tcPr>
          <w:p w14:paraId="35A66A45">
            <w:pPr>
              <w:spacing w:before="79" w:line="199" w:lineRule="auto"/>
              <w:ind w:left="4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37" w:type="dxa"/>
            <w:gridSpan w:val="2"/>
            <w:vMerge w:val="continue"/>
            <w:tcBorders>
              <w:top w:val="nil"/>
              <w:bottom w:val="nil"/>
            </w:tcBorders>
            <w:vAlign w:val="top"/>
          </w:tcPr>
          <w:p w14:paraId="2690A61E">
            <w:pPr>
              <w:rPr>
                <w:rFonts w:ascii="Arial"/>
                <w:sz w:val="21"/>
              </w:rPr>
            </w:pPr>
          </w:p>
        </w:tc>
        <w:tc>
          <w:tcPr>
            <w:tcW w:w="982" w:type="dxa"/>
            <w:vMerge w:val="continue"/>
            <w:tcBorders>
              <w:top w:val="nil"/>
              <w:bottom w:val="nil"/>
            </w:tcBorders>
            <w:vAlign w:val="top"/>
          </w:tcPr>
          <w:p w14:paraId="3CA611AC">
            <w:pPr>
              <w:rPr>
                <w:rFonts w:ascii="Arial"/>
                <w:sz w:val="21"/>
              </w:rPr>
            </w:pPr>
          </w:p>
        </w:tc>
        <w:tc>
          <w:tcPr>
            <w:tcW w:w="129" w:type="dxa"/>
            <w:tcBorders>
              <w:top w:val="nil"/>
              <w:bottom w:val="nil"/>
              <w:right w:val="single" w:color="000000" w:sz="6" w:space="0"/>
            </w:tcBorders>
            <w:vAlign w:val="top"/>
          </w:tcPr>
          <w:p w14:paraId="103C3976">
            <w:pPr>
              <w:rPr>
                <w:rFonts w:ascii="Arial"/>
                <w:sz w:val="21"/>
              </w:rPr>
            </w:pPr>
          </w:p>
        </w:tc>
      </w:tr>
      <w:tr w14:paraId="1C4C1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5" w:hRule="atLeast"/>
        </w:trPr>
        <w:tc>
          <w:tcPr>
            <w:tcW w:w="428" w:type="dxa"/>
            <w:vMerge w:val="continue"/>
            <w:tcBorders>
              <w:top w:val="nil"/>
              <w:left w:val="single" w:color="000000" w:sz="6" w:space="0"/>
              <w:bottom w:val="nil"/>
            </w:tcBorders>
            <w:vAlign w:val="top"/>
          </w:tcPr>
          <w:p w14:paraId="7412C27A">
            <w:pPr>
              <w:rPr>
                <w:rFonts w:ascii="Arial"/>
                <w:sz w:val="21"/>
              </w:rPr>
            </w:pPr>
          </w:p>
        </w:tc>
        <w:tc>
          <w:tcPr>
            <w:tcW w:w="111" w:type="dxa"/>
            <w:vMerge w:val="continue"/>
            <w:tcBorders>
              <w:top w:val="nil"/>
              <w:bottom w:val="nil"/>
            </w:tcBorders>
            <w:vAlign w:val="top"/>
          </w:tcPr>
          <w:p w14:paraId="71A67723">
            <w:pPr>
              <w:rPr>
                <w:rFonts w:ascii="Arial"/>
                <w:sz w:val="21"/>
              </w:rPr>
            </w:pPr>
          </w:p>
        </w:tc>
        <w:tc>
          <w:tcPr>
            <w:tcW w:w="758" w:type="dxa"/>
            <w:vMerge w:val="continue"/>
            <w:tcBorders>
              <w:top w:val="nil"/>
            </w:tcBorders>
            <w:vAlign w:val="top"/>
          </w:tcPr>
          <w:p w14:paraId="31542A02">
            <w:pPr>
              <w:rPr>
                <w:rFonts w:ascii="Arial"/>
                <w:sz w:val="21"/>
              </w:rPr>
            </w:pPr>
          </w:p>
        </w:tc>
        <w:tc>
          <w:tcPr>
            <w:tcW w:w="1493" w:type="dxa"/>
            <w:gridSpan w:val="2"/>
            <w:vAlign w:val="top"/>
          </w:tcPr>
          <w:p w14:paraId="1216AF45">
            <w:pPr>
              <w:spacing w:line="252" w:lineRule="auto"/>
              <w:rPr>
                <w:rFonts w:ascii="Arial"/>
                <w:sz w:val="21"/>
              </w:rPr>
            </w:pPr>
          </w:p>
          <w:p w14:paraId="35FD8D51">
            <w:pPr>
              <w:spacing w:line="252" w:lineRule="auto"/>
              <w:rPr>
                <w:rFonts w:ascii="Arial"/>
                <w:sz w:val="21"/>
              </w:rPr>
            </w:pPr>
          </w:p>
          <w:p w14:paraId="09EBD223">
            <w:pPr>
              <w:spacing w:line="252" w:lineRule="auto"/>
              <w:rPr>
                <w:rFonts w:ascii="Arial"/>
                <w:sz w:val="21"/>
              </w:rPr>
            </w:pPr>
          </w:p>
          <w:p w14:paraId="7640E4F6">
            <w:pPr>
              <w:spacing w:before="86" w:line="196" w:lineRule="auto"/>
              <w:ind w:left="548"/>
              <w:rPr>
                <w:rFonts w:ascii="宋体" w:hAnsi="宋体" w:eastAsia="宋体" w:cs="宋体"/>
                <w:sz w:val="20"/>
                <w:szCs w:val="20"/>
              </w:rPr>
            </w:pPr>
            <w:r>
              <w:rPr>
                <w:rFonts w:ascii="微软雅黑" w:hAnsi="微软雅黑" w:eastAsia="微软雅黑" w:cs="微软雅黑"/>
                <w:spacing w:val="-1"/>
                <w:sz w:val="20"/>
                <w:szCs w:val="20"/>
              </w:rPr>
              <w:t>总</w:t>
            </w:r>
            <w:r>
              <w:rPr>
                <w:rFonts w:ascii="宋体" w:hAnsi="宋体" w:eastAsia="宋体" w:cs="宋体"/>
                <w:spacing w:val="-1"/>
                <w:sz w:val="20"/>
                <w:szCs w:val="20"/>
              </w:rPr>
              <w:t>磷</w:t>
            </w:r>
          </w:p>
        </w:tc>
        <w:tc>
          <w:tcPr>
            <w:tcW w:w="1566" w:type="dxa"/>
            <w:gridSpan w:val="2"/>
            <w:vAlign w:val="top"/>
          </w:tcPr>
          <w:p w14:paraId="6BAF9FB7">
            <w:pPr>
              <w:spacing w:line="275" w:lineRule="auto"/>
              <w:rPr>
                <w:rFonts w:ascii="Arial"/>
                <w:sz w:val="21"/>
              </w:rPr>
            </w:pPr>
          </w:p>
          <w:p w14:paraId="35771057">
            <w:pPr>
              <w:spacing w:line="276" w:lineRule="auto"/>
              <w:rPr>
                <w:rFonts w:ascii="Arial"/>
                <w:sz w:val="21"/>
              </w:rPr>
            </w:pPr>
          </w:p>
          <w:p w14:paraId="6AE4CF33">
            <w:pPr>
              <w:spacing w:line="276" w:lineRule="auto"/>
              <w:rPr>
                <w:rFonts w:ascii="Arial"/>
                <w:sz w:val="21"/>
              </w:rPr>
            </w:pPr>
          </w:p>
          <w:p w14:paraId="0C7DF854">
            <w:pPr>
              <w:spacing w:before="57" w:line="195" w:lineRule="auto"/>
              <w:ind w:left="73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960" w:type="dxa"/>
            <w:gridSpan w:val="2"/>
            <w:vAlign w:val="top"/>
          </w:tcPr>
          <w:p w14:paraId="665BC933">
            <w:pPr>
              <w:spacing w:line="274" w:lineRule="auto"/>
              <w:rPr>
                <w:rFonts w:ascii="Arial"/>
                <w:sz w:val="21"/>
              </w:rPr>
            </w:pPr>
          </w:p>
          <w:p w14:paraId="40ADF0A0">
            <w:pPr>
              <w:spacing w:line="274" w:lineRule="auto"/>
              <w:rPr>
                <w:rFonts w:ascii="Arial"/>
                <w:sz w:val="21"/>
              </w:rPr>
            </w:pPr>
          </w:p>
          <w:p w14:paraId="052AD355">
            <w:pPr>
              <w:spacing w:line="275" w:lineRule="auto"/>
              <w:rPr>
                <w:rFonts w:ascii="Arial"/>
                <w:sz w:val="21"/>
              </w:rPr>
            </w:pPr>
          </w:p>
          <w:p w14:paraId="4116A770">
            <w:pPr>
              <w:spacing w:before="57" w:line="199" w:lineRule="auto"/>
              <w:ind w:left="4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37" w:type="dxa"/>
            <w:gridSpan w:val="2"/>
            <w:vMerge w:val="continue"/>
            <w:tcBorders>
              <w:top w:val="nil"/>
            </w:tcBorders>
            <w:vAlign w:val="top"/>
          </w:tcPr>
          <w:p w14:paraId="10C5D9FC">
            <w:pPr>
              <w:rPr>
                <w:rFonts w:ascii="Arial"/>
                <w:sz w:val="21"/>
              </w:rPr>
            </w:pPr>
          </w:p>
        </w:tc>
        <w:tc>
          <w:tcPr>
            <w:tcW w:w="982" w:type="dxa"/>
            <w:vMerge w:val="continue"/>
            <w:tcBorders>
              <w:top w:val="nil"/>
            </w:tcBorders>
            <w:vAlign w:val="top"/>
          </w:tcPr>
          <w:p w14:paraId="120B9139">
            <w:pPr>
              <w:rPr>
                <w:rFonts w:ascii="Arial"/>
                <w:sz w:val="21"/>
              </w:rPr>
            </w:pPr>
          </w:p>
        </w:tc>
        <w:tc>
          <w:tcPr>
            <w:tcW w:w="129" w:type="dxa"/>
            <w:tcBorders>
              <w:top w:val="nil"/>
              <w:bottom w:val="nil"/>
              <w:right w:val="single" w:color="000000" w:sz="6" w:space="0"/>
            </w:tcBorders>
            <w:vAlign w:val="top"/>
          </w:tcPr>
          <w:p w14:paraId="0E077800">
            <w:pPr>
              <w:rPr>
                <w:rFonts w:ascii="Arial"/>
                <w:sz w:val="21"/>
              </w:rPr>
            </w:pPr>
          </w:p>
        </w:tc>
      </w:tr>
      <w:tr w14:paraId="45711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8" w:type="dxa"/>
            <w:vMerge w:val="continue"/>
            <w:tcBorders>
              <w:top w:val="nil"/>
              <w:left w:val="single" w:color="000000" w:sz="6" w:space="0"/>
              <w:bottom w:val="nil"/>
            </w:tcBorders>
            <w:vAlign w:val="top"/>
          </w:tcPr>
          <w:p w14:paraId="5E41E8A1">
            <w:pPr>
              <w:rPr>
                <w:rFonts w:ascii="Arial"/>
                <w:sz w:val="21"/>
              </w:rPr>
            </w:pPr>
          </w:p>
        </w:tc>
        <w:tc>
          <w:tcPr>
            <w:tcW w:w="111" w:type="dxa"/>
            <w:vMerge w:val="continue"/>
            <w:tcBorders>
              <w:top w:val="nil"/>
              <w:bottom w:val="nil"/>
            </w:tcBorders>
            <w:vAlign w:val="top"/>
          </w:tcPr>
          <w:p w14:paraId="59AACF68">
            <w:pPr>
              <w:rPr>
                <w:rFonts w:ascii="Arial"/>
                <w:sz w:val="21"/>
              </w:rPr>
            </w:pPr>
          </w:p>
        </w:tc>
        <w:tc>
          <w:tcPr>
            <w:tcW w:w="758" w:type="dxa"/>
            <w:vMerge w:val="restart"/>
            <w:tcBorders>
              <w:bottom w:val="nil"/>
            </w:tcBorders>
            <w:vAlign w:val="top"/>
          </w:tcPr>
          <w:p w14:paraId="239AD51F">
            <w:pPr>
              <w:spacing w:line="266" w:lineRule="auto"/>
              <w:rPr>
                <w:rFonts w:ascii="Arial"/>
                <w:sz w:val="21"/>
              </w:rPr>
            </w:pPr>
          </w:p>
          <w:p w14:paraId="23317FCF">
            <w:pPr>
              <w:spacing w:line="266" w:lineRule="auto"/>
              <w:rPr>
                <w:rFonts w:ascii="Arial"/>
                <w:sz w:val="21"/>
              </w:rPr>
            </w:pPr>
          </w:p>
          <w:p w14:paraId="04BFACBF">
            <w:pPr>
              <w:spacing w:line="266" w:lineRule="auto"/>
              <w:rPr>
                <w:rFonts w:ascii="Arial"/>
                <w:sz w:val="21"/>
              </w:rPr>
            </w:pPr>
          </w:p>
          <w:p w14:paraId="213AA74E">
            <w:pPr>
              <w:spacing w:line="267" w:lineRule="auto"/>
              <w:rPr>
                <w:rFonts w:ascii="Arial"/>
                <w:sz w:val="21"/>
              </w:rPr>
            </w:pPr>
          </w:p>
          <w:p w14:paraId="4BF3FFE9">
            <w:pPr>
              <w:spacing w:line="267" w:lineRule="auto"/>
              <w:rPr>
                <w:rFonts w:ascii="Arial"/>
                <w:sz w:val="21"/>
              </w:rPr>
            </w:pPr>
          </w:p>
          <w:p w14:paraId="380194A2">
            <w:pPr>
              <w:spacing w:line="267" w:lineRule="auto"/>
              <w:rPr>
                <w:rFonts w:ascii="Arial"/>
                <w:sz w:val="21"/>
              </w:rPr>
            </w:pPr>
          </w:p>
          <w:p w14:paraId="6A408B6C">
            <w:pPr>
              <w:spacing w:before="86" w:line="191" w:lineRule="auto"/>
              <w:ind w:left="165"/>
              <w:rPr>
                <w:rFonts w:ascii="微软雅黑" w:hAnsi="微软雅黑" w:eastAsia="微软雅黑" w:cs="微软雅黑"/>
                <w:sz w:val="20"/>
                <w:szCs w:val="20"/>
              </w:rPr>
            </w:pPr>
            <w:r>
              <w:rPr>
                <w:rFonts w:ascii="微软雅黑" w:hAnsi="微软雅黑" w:eastAsia="微软雅黑" w:cs="微软雅黑"/>
                <w:spacing w:val="5"/>
                <w:sz w:val="20"/>
                <w:szCs w:val="20"/>
              </w:rPr>
              <w:t>废气</w:t>
            </w:r>
          </w:p>
        </w:tc>
        <w:tc>
          <w:tcPr>
            <w:tcW w:w="1493" w:type="dxa"/>
            <w:gridSpan w:val="2"/>
            <w:vAlign w:val="top"/>
          </w:tcPr>
          <w:p w14:paraId="78CD66F1">
            <w:pPr>
              <w:spacing w:before="41" w:line="191" w:lineRule="auto"/>
              <w:ind w:left="108"/>
              <w:rPr>
                <w:rFonts w:ascii="Times New Roman" w:hAnsi="Times New Roman" w:eastAsia="Times New Roman" w:cs="Times New Roman"/>
                <w:sz w:val="20"/>
                <w:szCs w:val="20"/>
              </w:rPr>
            </w:pPr>
            <w:r>
              <w:rPr>
                <w:rFonts w:ascii="微软雅黑" w:hAnsi="微软雅黑" w:eastAsia="微软雅黑" w:cs="微软雅黑"/>
                <w:spacing w:val="4"/>
                <w:sz w:val="20"/>
                <w:szCs w:val="20"/>
              </w:rPr>
              <w:t xml:space="preserve">废气量万 </w:t>
            </w:r>
            <w:r>
              <w:rPr>
                <w:rFonts w:ascii="Times New Roman" w:hAnsi="Times New Roman" w:eastAsia="Times New Roman" w:cs="Times New Roman"/>
                <w:spacing w:val="4"/>
                <w:sz w:val="20"/>
                <w:szCs w:val="20"/>
              </w:rPr>
              <w:t>m³/a</w:t>
            </w:r>
          </w:p>
        </w:tc>
        <w:tc>
          <w:tcPr>
            <w:tcW w:w="1566" w:type="dxa"/>
            <w:gridSpan w:val="2"/>
            <w:vAlign w:val="top"/>
          </w:tcPr>
          <w:p w14:paraId="0CA7CFC1">
            <w:pPr>
              <w:spacing w:before="83" w:line="195" w:lineRule="auto"/>
              <w:ind w:left="45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14461.2</w:t>
            </w:r>
          </w:p>
        </w:tc>
        <w:tc>
          <w:tcPr>
            <w:tcW w:w="960" w:type="dxa"/>
            <w:gridSpan w:val="2"/>
            <w:vAlign w:val="top"/>
          </w:tcPr>
          <w:p w14:paraId="31ED0375">
            <w:pPr>
              <w:spacing w:before="79" w:line="199" w:lineRule="auto"/>
              <w:ind w:left="4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37" w:type="dxa"/>
            <w:gridSpan w:val="2"/>
            <w:vMerge w:val="restart"/>
            <w:tcBorders>
              <w:bottom w:val="nil"/>
            </w:tcBorders>
            <w:vAlign w:val="top"/>
          </w:tcPr>
          <w:p w14:paraId="363E496C">
            <w:pPr>
              <w:spacing w:line="279" w:lineRule="auto"/>
              <w:rPr>
                <w:rFonts w:ascii="Arial"/>
                <w:sz w:val="21"/>
              </w:rPr>
            </w:pPr>
          </w:p>
          <w:p w14:paraId="3561DFBD">
            <w:pPr>
              <w:spacing w:line="279" w:lineRule="auto"/>
              <w:rPr>
                <w:rFonts w:ascii="Arial"/>
                <w:sz w:val="21"/>
              </w:rPr>
            </w:pPr>
          </w:p>
          <w:p w14:paraId="41932F78">
            <w:pPr>
              <w:spacing w:line="279" w:lineRule="auto"/>
              <w:rPr>
                <w:rFonts w:ascii="Arial"/>
                <w:sz w:val="21"/>
              </w:rPr>
            </w:pPr>
          </w:p>
          <w:p w14:paraId="34B4FFA1">
            <w:pPr>
              <w:spacing w:line="279" w:lineRule="auto"/>
              <w:rPr>
                <w:rFonts w:ascii="Arial"/>
                <w:sz w:val="21"/>
              </w:rPr>
            </w:pPr>
          </w:p>
          <w:p w14:paraId="1263B30C">
            <w:pPr>
              <w:spacing w:line="280" w:lineRule="auto"/>
              <w:rPr>
                <w:rFonts w:ascii="Arial"/>
                <w:sz w:val="21"/>
              </w:rPr>
            </w:pPr>
          </w:p>
          <w:p w14:paraId="57304302">
            <w:pPr>
              <w:spacing w:before="85" w:line="192" w:lineRule="auto"/>
              <w:ind w:left="69"/>
              <w:rPr>
                <w:rFonts w:ascii="微软雅黑" w:hAnsi="微软雅黑" w:eastAsia="微软雅黑" w:cs="微软雅黑"/>
                <w:sz w:val="20"/>
                <w:szCs w:val="20"/>
              </w:rPr>
            </w:pPr>
            <w:r>
              <w:rPr>
                <w:rFonts w:ascii="宋体" w:hAnsi="宋体" w:eastAsia="宋体" w:cs="宋体"/>
                <w:spacing w:val="8"/>
                <w:sz w:val="20"/>
                <w:szCs w:val="20"/>
              </w:rPr>
              <w:t>处理达标后排放至周边大</w:t>
            </w:r>
            <w:r>
              <w:rPr>
                <w:rFonts w:ascii="微软雅黑" w:hAnsi="微软雅黑" w:eastAsia="微软雅黑" w:cs="微软雅黑"/>
                <w:spacing w:val="8"/>
                <w:sz w:val="20"/>
                <w:szCs w:val="20"/>
              </w:rPr>
              <w:t>气</w:t>
            </w:r>
          </w:p>
          <w:p w14:paraId="34B9AFA5">
            <w:pPr>
              <w:spacing w:before="133" w:line="228" w:lineRule="auto"/>
              <w:ind w:left="1241"/>
              <w:rPr>
                <w:rFonts w:ascii="宋体" w:hAnsi="宋体" w:eastAsia="宋体" w:cs="宋体"/>
                <w:sz w:val="20"/>
                <w:szCs w:val="20"/>
              </w:rPr>
            </w:pPr>
            <w:r>
              <w:rPr>
                <w:rFonts w:ascii="宋体" w:hAnsi="宋体" w:eastAsia="宋体" w:cs="宋体"/>
                <w:sz w:val="20"/>
                <w:szCs w:val="20"/>
              </w:rPr>
              <w:t>中</w:t>
            </w:r>
          </w:p>
        </w:tc>
        <w:tc>
          <w:tcPr>
            <w:tcW w:w="982" w:type="dxa"/>
            <w:vAlign w:val="top"/>
          </w:tcPr>
          <w:p w14:paraId="21B262EC">
            <w:pPr>
              <w:spacing w:before="40" w:line="228" w:lineRule="auto"/>
              <w:ind w:left="291"/>
              <w:rPr>
                <w:rFonts w:ascii="宋体" w:hAnsi="宋体" w:eastAsia="宋体" w:cs="宋体"/>
                <w:sz w:val="20"/>
                <w:szCs w:val="20"/>
              </w:rPr>
            </w:pPr>
            <w:r>
              <w:rPr>
                <w:rFonts w:ascii="宋体" w:hAnsi="宋体" w:eastAsia="宋体" w:cs="宋体"/>
                <w:spacing w:val="4"/>
                <w:sz w:val="20"/>
                <w:szCs w:val="20"/>
              </w:rPr>
              <w:t>满足</w:t>
            </w:r>
          </w:p>
        </w:tc>
        <w:tc>
          <w:tcPr>
            <w:tcW w:w="129" w:type="dxa"/>
            <w:tcBorders>
              <w:top w:val="nil"/>
              <w:bottom w:val="nil"/>
              <w:right w:val="single" w:color="000000" w:sz="6" w:space="0"/>
            </w:tcBorders>
            <w:vAlign w:val="top"/>
          </w:tcPr>
          <w:p w14:paraId="4665137C">
            <w:pPr>
              <w:rPr>
                <w:rFonts w:ascii="Arial"/>
                <w:sz w:val="21"/>
              </w:rPr>
            </w:pPr>
          </w:p>
        </w:tc>
      </w:tr>
      <w:tr w14:paraId="07199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8" w:type="dxa"/>
            <w:vMerge w:val="continue"/>
            <w:tcBorders>
              <w:top w:val="nil"/>
              <w:left w:val="single" w:color="000000" w:sz="6" w:space="0"/>
              <w:bottom w:val="nil"/>
            </w:tcBorders>
            <w:vAlign w:val="top"/>
          </w:tcPr>
          <w:p w14:paraId="00F5809A">
            <w:pPr>
              <w:rPr>
                <w:rFonts w:ascii="Arial"/>
                <w:sz w:val="21"/>
              </w:rPr>
            </w:pPr>
          </w:p>
        </w:tc>
        <w:tc>
          <w:tcPr>
            <w:tcW w:w="111" w:type="dxa"/>
            <w:vMerge w:val="continue"/>
            <w:tcBorders>
              <w:top w:val="nil"/>
              <w:bottom w:val="nil"/>
            </w:tcBorders>
            <w:vAlign w:val="top"/>
          </w:tcPr>
          <w:p w14:paraId="4F2849B7">
            <w:pPr>
              <w:rPr>
                <w:rFonts w:ascii="Arial"/>
                <w:sz w:val="21"/>
              </w:rPr>
            </w:pPr>
          </w:p>
        </w:tc>
        <w:tc>
          <w:tcPr>
            <w:tcW w:w="758" w:type="dxa"/>
            <w:vMerge w:val="continue"/>
            <w:tcBorders>
              <w:top w:val="nil"/>
              <w:bottom w:val="nil"/>
            </w:tcBorders>
            <w:vAlign w:val="top"/>
          </w:tcPr>
          <w:p w14:paraId="0EB61810">
            <w:pPr>
              <w:rPr>
                <w:rFonts w:ascii="Arial"/>
                <w:sz w:val="21"/>
              </w:rPr>
            </w:pPr>
          </w:p>
        </w:tc>
        <w:tc>
          <w:tcPr>
            <w:tcW w:w="1493" w:type="dxa"/>
            <w:gridSpan w:val="2"/>
            <w:vAlign w:val="top"/>
          </w:tcPr>
          <w:p w14:paraId="055D0BDA">
            <w:pPr>
              <w:spacing w:before="41" w:line="191" w:lineRule="auto"/>
              <w:ind w:left="298"/>
              <w:rPr>
                <w:rFonts w:ascii="Times New Roman" w:hAnsi="Times New Roman" w:eastAsia="Times New Roman" w:cs="Times New Roman"/>
                <w:sz w:val="20"/>
                <w:szCs w:val="20"/>
              </w:rPr>
            </w:pPr>
            <w:r>
              <w:rPr>
                <w:rFonts w:ascii="微软雅黑" w:hAnsi="微软雅黑" w:eastAsia="微软雅黑" w:cs="微软雅黑"/>
                <w:spacing w:val="3"/>
                <w:sz w:val="20"/>
                <w:szCs w:val="20"/>
              </w:rPr>
              <w:t xml:space="preserve">颗粒物 </w:t>
            </w:r>
            <w:r>
              <w:rPr>
                <w:rFonts w:ascii="Times New Roman" w:hAnsi="Times New Roman" w:eastAsia="Times New Roman" w:cs="Times New Roman"/>
                <w:spacing w:val="3"/>
                <w:sz w:val="20"/>
                <w:szCs w:val="20"/>
              </w:rPr>
              <w:t>t/a</w:t>
            </w:r>
          </w:p>
        </w:tc>
        <w:tc>
          <w:tcPr>
            <w:tcW w:w="1566" w:type="dxa"/>
            <w:gridSpan w:val="2"/>
            <w:vAlign w:val="top"/>
          </w:tcPr>
          <w:p w14:paraId="33629289">
            <w:pPr>
              <w:spacing w:before="83" w:line="195" w:lineRule="auto"/>
              <w:ind w:left="50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0.8088</w:t>
            </w:r>
          </w:p>
        </w:tc>
        <w:tc>
          <w:tcPr>
            <w:tcW w:w="960" w:type="dxa"/>
            <w:gridSpan w:val="2"/>
            <w:vAlign w:val="top"/>
          </w:tcPr>
          <w:p w14:paraId="529348A7">
            <w:pPr>
              <w:spacing w:before="79" w:line="199" w:lineRule="auto"/>
              <w:ind w:left="4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37" w:type="dxa"/>
            <w:gridSpan w:val="2"/>
            <w:vMerge w:val="continue"/>
            <w:tcBorders>
              <w:top w:val="nil"/>
              <w:bottom w:val="nil"/>
            </w:tcBorders>
            <w:vAlign w:val="top"/>
          </w:tcPr>
          <w:p w14:paraId="268CF7F7">
            <w:pPr>
              <w:rPr>
                <w:rFonts w:ascii="Arial"/>
                <w:sz w:val="21"/>
              </w:rPr>
            </w:pPr>
          </w:p>
        </w:tc>
        <w:tc>
          <w:tcPr>
            <w:tcW w:w="982" w:type="dxa"/>
            <w:vAlign w:val="top"/>
          </w:tcPr>
          <w:p w14:paraId="5966C330">
            <w:pPr>
              <w:spacing w:before="40" w:line="228" w:lineRule="auto"/>
              <w:ind w:left="291"/>
              <w:rPr>
                <w:rFonts w:ascii="宋体" w:hAnsi="宋体" w:eastAsia="宋体" w:cs="宋体"/>
                <w:sz w:val="20"/>
                <w:szCs w:val="20"/>
              </w:rPr>
            </w:pPr>
            <w:r>
              <w:rPr>
                <w:rFonts w:ascii="宋体" w:hAnsi="宋体" w:eastAsia="宋体" w:cs="宋体"/>
                <w:spacing w:val="4"/>
                <w:sz w:val="20"/>
                <w:szCs w:val="20"/>
              </w:rPr>
              <w:t>满足</w:t>
            </w:r>
          </w:p>
        </w:tc>
        <w:tc>
          <w:tcPr>
            <w:tcW w:w="129" w:type="dxa"/>
            <w:tcBorders>
              <w:top w:val="nil"/>
              <w:bottom w:val="nil"/>
              <w:right w:val="single" w:color="000000" w:sz="6" w:space="0"/>
            </w:tcBorders>
            <w:vAlign w:val="top"/>
          </w:tcPr>
          <w:p w14:paraId="395AA300">
            <w:pPr>
              <w:rPr>
                <w:rFonts w:ascii="Arial"/>
                <w:sz w:val="21"/>
              </w:rPr>
            </w:pPr>
          </w:p>
        </w:tc>
      </w:tr>
      <w:tr w14:paraId="57C95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8" w:type="dxa"/>
            <w:vMerge w:val="continue"/>
            <w:tcBorders>
              <w:top w:val="nil"/>
              <w:left w:val="single" w:color="000000" w:sz="6" w:space="0"/>
              <w:bottom w:val="nil"/>
            </w:tcBorders>
            <w:vAlign w:val="top"/>
          </w:tcPr>
          <w:p w14:paraId="3B6AC0FC">
            <w:pPr>
              <w:rPr>
                <w:rFonts w:ascii="Arial"/>
                <w:sz w:val="21"/>
              </w:rPr>
            </w:pPr>
          </w:p>
        </w:tc>
        <w:tc>
          <w:tcPr>
            <w:tcW w:w="111" w:type="dxa"/>
            <w:vMerge w:val="continue"/>
            <w:tcBorders>
              <w:top w:val="nil"/>
              <w:bottom w:val="nil"/>
            </w:tcBorders>
            <w:vAlign w:val="top"/>
          </w:tcPr>
          <w:p w14:paraId="091E4543">
            <w:pPr>
              <w:rPr>
                <w:rFonts w:ascii="Arial"/>
                <w:sz w:val="21"/>
              </w:rPr>
            </w:pPr>
          </w:p>
        </w:tc>
        <w:tc>
          <w:tcPr>
            <w:tcW w:w="758" w:type="dxa"/>
            <w:vMerge w:val="continue"/>
            <w:tcBorders>
              <w:top w:val="nil"/>
              <w:bottom w:val="nil"/>
            </w:tcBorders>
            <w:vAlign w:val="top"/>
          </w:tcPr>
          <w:p w14:paraId="5B749B94">
            <w:pPr>
              <w:rPr>
                <w:rFonts w:ascii="Arial"/>
                <w:sz w:val="21"/>
              </w:rPr>
            </w:pPr>
          </w:p>
        </w:tc>
        <w:tc>
          <w:tcPr>
            <w:tcW w:w="1493" w:type="dxa"/>
            <w:gridSpan w:val="2"/>
            <w:vAlign w:val="top"/>
          </w:tcPr>
          <w:p w14:paraId="53B457FC">
            <w:pPr>
              <w:spacing w:before="40" w:line="192" w:lineRule="auto"/>
              <w:ind w:left="506"/>
              <w:rPr>
                <w:rFonts w:ascii="Times New Roman" w:hAnsi="Times New Roman" w:eastAsia="Times New Roman" w:cs="Times New Roman"/>
                <w:sz w:val="20"/>
                <w:szCs w:val="20"/>
              </w:rPr>
            </w:pPr>
            <w:r>
              <w:rPr>
                <w:rFonts w:ascii="微软雅黑" w:hAnsi="微软雅黑" w:eastAsia="微软雅黑" w:cs="微软雅黑"/>
                <w:spacing w:val="1"/>
                <w:sz w:val="20"/>
                <w:szCs w:val="20"/>
              </w:rPr>
              <w:t xml:space="preserve">苯 </w:t>
            </w:r>
            <w:r>
              <w:rPr>
                <w:rFonts w:ascii="Times New Roman" w:hAnsi="Times New Roman" w:eastAsia="Times New Roman" w:cs="Times New Roman"/>
                <w:spacing w:val="1"/>
                <w:sz w:val="20"/>
                <w:szCs w:val="20"/>
              </w:rPr>
              <w:t>t/a</w:t>
            </w:r>
          </w:p>
        </w:tc>
        <w:tc>
          <w:tcPr>
            <w:tcW w:w="1566" w:type="dxa"/>
            <w:gridSpan w:val="2"/>
            <w:vAlign w:val="top"/>
          </w:tcPr>
          <w:p w14:paraId="5A561E94">
            <w:pPr>
              <w:spacing w:before="83" w:line="195" w:lineRule="auto"/>
              <w:ind w:left="4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0.00288</w:t>
            </w:r>
          </w:p>
        </w:tc>
        <w:tc>
          <w:tcPr>
            <w:tcW w:w="960" w:type="dxa"/>
            <w:gridSpan w:val="2"/>
            <w:vAlign w:val="top"/>
          </w:tcPr>
          <w:p w14:paraId="4B83D138">
            <w:pPr>
              <w:spacing w:before="79" w:line="199" w:lineRule="auto"/>
              <w:ind w:left="4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37" w:type="dxa"/>
            <w:gridSpan w:val="2"/>
            <w:vMerge w:val="continue"/>
            <w:tcBorders>
              <w:top w:val="nil"/>
              <w:bottom w:val="nil"/>
            </w:tcBorders>
            <w:vAlign w:val="top"/>
          </w:tcPr>
          <w:p w14:paraId="24303D3E">
            <w:pPr>
              <w:rPr>
                <w:rFonts w:ascii="Arial"/>
                <w:sz w:val="21"/>
              </w:rPr>
            </w:pPr>
          </w:p>
        </w:tc>
        <w:tc>
          <w:tcPr>
            <w:tcW w:w="982" w:type="dxa"/>
            <w:vAlign w:val="top"/>
          </w:tcPr>
          <w:p w14:paraId="09268E44">
            <w:pPr>
              <w:spacing w:before="39" w:line="228" w:lineRule="auto"/>
              <w:ind w:left="291"/>
              <w:rPr>
                <w:rFonts w:ascii="宋体" w:hAnsi="宋体" w:eastAsia="宋体" w:cs="宋体"/>
                <w:sz w:val="20"/>
                <w:szCs w:val="20"/>
              </w:rPr>
            </w:pPr>
            <w:r>
              <w:rPr>
                <w:rFonts w:ascii="宋体" w:hAnsi="宋体" w:eastAsia="宋体" w:cs="宋体"/>
                <w:spacing w:val="4"/>
                <w:sz w:val="20"/>
                <w:szCs w:val="20"/>
              </w:rPr>
              <w:t>满足</w:t>
            </w:r>
          </w:p>
        </w:tc>
        <w:tc>
          <w:tcPr>
            <w:tcW w:w="129" w:type="dxa"/>
            <w:tcBorders>
              <w:top w:val="nil"/>
              <w:bottom w:val="nil"/>
              <w:right w:val="single" w:color="000000" w:sz="6" w:space="0"/>
            </w:tcBorders>
            <w:vAlign w:val="top"/>
          </w:tcPr>
          <w:p w14:paraId="247F1D94">
            <w:pPr>
              <w:rPr>
                <w:rFonts w:ascii="Arial"/>
                <w:sz w:val="21"/>
              </w:rPr>
            </w:pPr>
          </w:p>
        </w:tc>
      </w:tr>
      <w:tr w14:paraId="470D9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8" w:type="dxa"/>
            <w:vMerge w:val="continue"/>
            <w:tcBorders>
              <w:top w:val="nil"/>
              <w:left w:val="single" w:color="000000" w:sz="6" w:space="0"/>
              <w:bottom w:val="nil"/>
            </w:tcBorders>
            <w:vAlign w:val="top"/>
          </w:tcPr>
          <w:p w14:paraId="6F6738DD">
            <w:pPr>
              <w:rPr>
                <w:rFonts w:ascii="Arial"/>
                <w:sz w:val="21"/>
              </w:rPr>
            </w:pPr>
          </w:p>
        </w:tc>
        <w:tc>
          <w:tcPr>
            <w:tcW w:w="111" w:type="dxa"/>
            <w:vMerge w:val="continue"/>
            <w:tcBorders>
              <w:top w:val="nil"/>
              <w:bottom w:val="nil"/>
            </w:tcBorders>
            <w:vAlign w:val="top"/>
          </w:tcPr>
          <w:p w14:paraId="7AFC8F86">
            <w:pPr>
              <w:rPr>
                <w:rFonts w:ascii="Arial"/>
                <w:sz w:val="21"/>
              </w:rPr>
            </w:pPr>
          </w:p>
        </w:tc>
        <w:tc>
          <w:tcPr>
            <w:tcW w:w="758" w:type="dxa"/>
            <w:vMerge w:val="continue"/>
            <w:tcBorders>
              <w:top w:val="nil"/>
              <w:bottom w:val="nil"/>
            </w:tcBorders>
            <w:vAlign w:val="top"/>
          </w:tcPr>
          <w:p w14:paraId="1531E21D">
            <w:pPr>
              <w:rPr>
                <w:rFonts w:ascii="Arial"/>
                <w:sz w:val="21"/>
              </w:rPr>
            </w:pPr>
          </w:p>
        </w:tc>
        <w:tc>
          <w:tcPr>
            <w:tcW w:w="1493" w:type="dxa"/>
            <w:gridSpan w:val="2"/>
            <w:vAlign w:val="top"/>
          </w:tcPr>
          <w:p w14:paraId="7B4A039F">
            <w:pPr>
              <w:spacing w:before="42" w:line="192" w:lineRule="auto"/>
              <w:ind w:left="435"/>
              <w:rPr>
                <w:rFonts w:ascii="Times New Roman" w:hAnsi="Times New Roman" w:eastAsia="Times New Roman" w:cs="Times New Roman"/>
                <w:sz w:val="20"/>
                <w:szCs w:val="20"/>
              </w:rPr>
            </w:pPr>
            <w:r>
              <w:rPr>
                <w:rFonts w:ascii="微软雅黑" w:hAnsi="微软雅黑" w:eastAsia="微软雅黑" w:cs="微软雅黑"/>
                <w:spacing w:val="-4"/>
                <w:sz w:val="20"/>
                <w:szCs w:val="20"/>
              </w:rPr>
              <w:t xml:space="preserve">甲苯 </w:t>
            </w:r>
            <w:r>
              <w:rPr>
                <w:rFonts w:ascii="Times New Roman" w:hAnsi="Times New Roman" w:eastAsia="Times New Roman" w:cs="Times New Roman"/>
                <w:spacing w:val="-4"/>
                <w:sz w:val="20"/>
                <w:szCs w:val="20"/>
              </w:rPr>
              <w:t>t/a</w:t>
            </w:r>
          </w:p>
        </w:tc>
        <w:tc>
          <w:tcPr>
            <w:tcW w:w="1566" w:type="dxa"/>
            <w:gridSpan w:val="2"/>
            <w:vAlign w:val="top"/>
          </w:tcPr>
          <w:p w14:paraId="5A3556B5">
            <w:pPr>
              <w:spacing w:before="83" w:line="195" w:lineRule="auto"/>
              <w:ind w:left="44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0.00024</w:t>
            </w:r>
          </w:p>
        </w:tc>
        <w:tc>
          <w:tcPr>
            <w:tcW w:w="960" w:type="dxa"/>
            <w:gridSpan w:val="2"/>
            <w:vAlign w:val="top"/>
          </w:tcPr>
          <w:p w14:paraId="05E2D19B">
            <w:pPr>
              <w:spacing w:before="79" w:line="199" w:lineRule="auto"/>
              <w:ind w:left="4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37" w:type="dxa"/>
            <w:gridSpan w:val="2"/>
            <w:vMerge w:val="continue"/>
            <w:tcBorders>
              <w:top w:val="nil"/>
              <w:bottom w:val="nil"/>
            </w:tcBorders>
            <w:vAlign w:val="top"/>
          </w:tcPr>
          <w:p w14:paraId="59D807B9">
            <w:pPr>
              <w:rPr>
                <w:rFonts w:ascii="Arial"/>
                <w:sz w:val="21"/>
              </w:rPr>
            </w:pPr>
          </w:p>
        </w:tc>
        <w:tc>
          <w:tcPr>
            <w:tcW w:w="982" w:type="dxa"/>
            <w:vAlign w:val="top"/>
          </w:tcPr>
          <w:p w14:paraId="785FF401">
            <w:pPr>
              <w:spacing w:before="42" w:line="228" w:lineRule="auto"/>
              <w:ind w:left="291"/>
              <w:rPr>
                <w:rFonts w:ascii="宋体" w:hAnsi="宋体" w:eastAsia="宋体" w:cs="宋体"/>
                <w:sz w:val="20"/>
                <w:szCs w:val="20"/>
              </w:rPr>
            </w:pPr>
            <w:r>
              <w:rPr>
                <w:rFonts w:ascii="宋体" w:hAnsi="宋体" w:eastAsia="宋体" w:cs="宋体"/>
                <w:spacing w:val="4"/>
                <w:sz w:val="20"/>
                <w:szCs w:val="20"/>
              </w:rPr>
              <w:t>满足</w:t>
            </w:r>
          </w:p>
        </w:tc>
        <w:tc>
          <w:tcPr>
            <w:tcW w:w="129" w:type="dxa"/>
            <w:tcBorders>
              <w:top w:val="nil"/>
              <w:bottom w:val="nil"/>
              <w:right w:val="single" w:color="000000" w:sz="6" w:space="0"/>
            </w:tcBorders>
            <w:vAlign w:val="top"/>
          </w:tcPr>
          <w:p w14:paraId="1A05028A">
            <w:pPr>
              <w:rPr>
                <w:rFonts w:ascii="Arial"/>
                <w:sz w:val="21"/>
              </w:rPr>
            </w:pPr>
          </w:p>
        </w:tc>
      </w:tr>
      <w:tr w14:paraId="71272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8" w:type="dxa"/>
            <w:vMerge w:val="continue"/>
            <w:tcBorders>
              <w:top w:val="nil"/>
              <w:left w:val="single" w:color="000000" w:sz="6" w:space="0"/>
              <w:bottom w:val="nil"/>
            </w:tcBorders>
            <w:vAlign w:val="top"/>
          </w:tcPr>
          <w:p w14:paraId="3C88215F">
            <w:pPr>
              <w:rPr>
                <w:rFonts w:ascii="Arial"/>
                <w:sz w:val="21"/>
              </w:rPr>
            </w:pPr>
          </w:p>
        </w:tc>
        <w:tc>
          <w:tcPr>
            <w:tcW w:w="111" w:type="dxa"/>
            <w:vMerge w:val="continue"/>
            <w:tcBorders>
              <w:top w:val="nil"/>
              <w:bottom w:val="nil"/>
            </w:tcBorders>
            <w:vAlign w:val="top"/>
          </w:tcPr>
          <w:p w14:paraId="74DBC7D5">
            <w:pPr>
              <w:rPr>
                <w:rFonts w:ascii="Arial"/>
                <w:sz w:val="21"/>
              </w:rPr>
            </w:pPr>
          </w:p>
        </w:tc>
        <w:tc>
          <w:tcPr>
            <w:tcW w:w="758" w:type="dxa"/>
            <w:vMerge w:val="continue"/>
            <w:tcBorders>
              <w:top w:val="nil"/>
              <w:bottom w:val="nil"/>
            </w:tcBorders>
            <w:vAlign w:val="top"/>
          </w:tcPr>
          <w:p w14:paraId="119AD3A0">
            <w:pPr>
              <w:rPr>
                <w:rFonts w:ascii="Arial"/>
                <w:sz w:val="21"/>
              </w:rPr>
            </w:pPr>
          </w:p>
        </w:tc>
        <w:tc>
          <w:tcPr>
            <w:tcW w:w="1493" w:type="dxa"/>
            <w:gridSpan w:val="2"/>
            <w:vAlign w:val="top"/>
          </w:tcPr>
          <w:p w14:paraId="3E25B3DC">
            <w:pPr>
              <w:spacing w:before="43" w:line="191" w:lineRule="auto"/>
              <w:ind w:left="100"/>
              <w:rPr>
                <w:rFonts w:ascii="Times New Roman" w:hAnsi="Times New Roman" w:eastAsia="Times New Roman" w:cs="Times New Roman"/>
                <w:sz w:val="20"/>
                <w:szCs w:val="20"/>
              </w:rPr>
            </w:pPr>
            <w:r>
              <w:rPr>
                <w:rFonts w:ascii="微软雅黑" w:hAnsi="微软雅黑" w:eastAsia="微软雅黑" w:cs="微软雅黑"/>
                <w:spacing w:val="3"/>
                <w:sz w:val="20"/>
                <w:szCs w:val="20"/>
              </w:rPr>
              <w:t xml:space="preserve">非甲烷总烃 </w:t>
            </w:r>
            <w:r>
              <w:rPr>
                <w:rFonts w:ascii="Times New Roman" w:hAnsi="Times New Roman" w:eastAsia="Times New Roman" w:cs="Times New Roman"/>
                <w:spacing w:val="3"/>
                <w:sz w:val="20"/>
                <w:szCs w:val="20"/>
              </w:rPr>
              <w:t>t/a</w:t>
            </w:r>
          </w:p>
        </w:tc>
        <w:tc>
          <w:tcPr>
            <w:tcW w:w="1566" w:type="dxa"/>
            <w:gridSpan w:val="2"/>
            <w:vAlign w:val="top"/>
          </w:tcPr>
          <w:p w14:paraId="47E1D37C">
            <w:pPr>
              <w:spacing w:before="85" w:line="195" w:lineRule="auto"/>
              <w:ind w:left="49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0.7032</w:t>
            </w:r>
          </w:p>
        </w:tc>
        <w:tc>
          <w:tcPr>
            <w:tcW w:w="960" w:type="dxa"/>
            <w:gridSpan w:val="2"/>
            <w:vAlign w:val="top"/>
          </w:tcPr>
          <w:p w14:paraId="2B588BBE">
            <w:pPr>
              <w:spacing w:before="81" w:line="199" w:lineRule="auto"/>
              <w:ind w:left="4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37" w:type="dxa"/>
            <w:gridSpan w:val="2"/>
            <w:vMerge w:val="continue"/>
            <w:tcBorders>
              <w:top w:val="nil"/>
              <w:bottom w:val="nil"/>
            </w:tcBorders>
            <w:vAlign w:val="top"/>
          </w:tcPr>
          <w:p w14:paraId="0EC09BEC">
            <w:pPr>
              <w:rPr>
                <w:rFonts w:ascii="Arial"/>
                <w:sz w:val="21"/>
              </w:rPr>
            </w:pPr>
          </w:p>
        </w:tc>
        <w:tc>
          <w:tcPr>
            <w:tcW w:w="982" w:type="dxa"/>
            <w:vAlign w:val="top"/>
          </w:tcPr>
          <w:p w14:paraId="158BAA70">
            <w:pPr>
              <w:spacing w:before="41" w:line="228" w:lineRule="auto"/>
              <w:ind w:left="291"/>
              <w:rPr>
                <w:rFonts w:ascii="宋体" w:hAnsi="宋体" w:eastAsia="宋体" w:cs="宋体"/>
                <w:sz w:val="20"/>
                <w:szCs w:val="20"/>
              </w:rPr>
            </w:pPr>
            <w:r>
              <w:rPr>
                <w:rFonts w:ascii="宋体" w:hAnsi="宋体" w:eastAsia="宋体" w:cs="宋体"/>
                <w:spacing w:val="4"/>
                <w:sz w:val="20"/>
                <w:szCs w:val="20"/>
              </w:rPr>
              <w:t>满足</w:t>
            </w:r>
          </w:p>
        </w:tc>
        <w:tc>
          <w:tcPr>
            <w:tcW w:w="129" w:type="dxa"/>
            <w:tcBorders>
              <w:top w:val="nil"/>
              <w:bottom w:val="nil"/>
              <w:right w:val="single" w:color="000000" w:sz="6" w:space="0"/>
            </w:tcBorders>
            <w:vAlign w:val="top"/>
          </w:tcPr>
          <w:p w14:paraId="38D00040">
            <w:pPr>
              <w:rPr>
                <w:rFonts w:ascii="Arial"/>
                <w:sz w:val="21"/>
              </w:rPr>
            </w:pPr>
          </w:p>
        </w:tc>
      </w:tr>
      <w:tr w14:paraId="18102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8" w:type="dxa"/>
            <w:vMerge w:val="continue"/>
            <w:tcBorders>
              <w:top w:val="nil"/>
              <w:left w:val="single" w:color="000000" w:sz="6" w:space="0"/>
              <w:bottom w:val="nil"/>
            </w:tcBorders>
            <w:vAlign w:val="top"/>
          </w:tcPr>
          <w:p w14:paraId="7719AAC3">
            <w:pPr>
              <w:rPr>
                <w:rFonts w:ascii="Arial"/>
                <w:sz w:val="21"/>
              </w:rPr>
            </w:pPr>
          </w:p>
        </w:tc>
        <w:tc>
          <w:tcPr>
            <w:tcW w:w="111" w:type="dxa"/>
            <w:vMerge w:val="continue"/>
            <w:tcBorders>
              <w:top w:val="nil"/>
              <w:bottom w:val="nil"/>
            </w:tcBorders>
            <w:vAlign w:val="top"/>
          </w:tcPr>
          <w:p w14:paraId="05955948">
            <w:pPr>
              <w:rPr>
                <w:rFonts w:ascii="Arial"/>
                <w:sz w:val="21"/>
              </w:rPr>
            </w:pPr>
          </w:p>
        </w:tc>
        <w:tc>
          <w:tcPr>
            <w:tcW w:w="758" w:type="dxa"/>
            <w:vMerge w:val="continue"/>
            <w:tcBorders>
              <w:top w:val="nil"/>
              <w:bottom w:val="nil"/>
            </w:tcBorders>
            <w:vAlign w:val="top"/>
          </w:tcPr>
          <w:p w14:paraId="48934C56">
            <w:pPr>
              <w:rPr>
                <w:rFonts w:ascii="Arial"/>
                <w:sz w:val="21"/>
              </w:rPr>
            </w:pPr>
          </w:p>
        </w:tc>
        <w:tc>
          <w:tcPr>
            <w:tcW w:w="1493" w:type="dxa"/>
            <w:gridSpan w:val="2"/>
            <w:vAlign w:val="top"/>
          </w:tcPr>
          <w:p w14:paraId="0180B5F1">
            <w:pPr>
              <w:spacing w:before="42" w:line="192" w:lineRule="auto"/>
              <w:ind w:left="311"/>
              <w:rPr>
                <w:rFonts w:ascii="Times New Roman" w:hAnsi="Times New Roman" w:eastAsia="Times New Roman" w:cs="Times New Roman"/>
                <w:sz w:val="20"/>
                <w:szCs w:val="20"/>
              </w:rPr>
            </w:pPr>
            <w:r>
              <w:rPr>
                <w:rFonts w:ascii="微软雅黑" w:hAnsi="微软雅黑" w:eastAsia="微软雅黑" w:cs="微软雅黑"/>
                <w:spacing w:val="-4"/>
                <w:sz w:val="20"/>
                <w:szCs w:val="20"/>
              </w:rPr>
              <w:t>二</w:t>
            </w:r>
            <w:r>
              <w:rPr>
                <w:rFonts w:ascii="微软雅黑" w:hAnsi="微软雅黑" w:eastAsia="微软雅黑" w:cs="微软雅黑"/>
                <w:spacing w:val="-21"/>
                <w:sz w:val="20"/>
                <w:szCs w:val="20"/>
              </w:rPr>
              <w:t xml:space="preserve"> </w:t>
            </w:r>
            <w:r>
              <w:rPr>
                <w:rFonts w:ascii="微软雅黑" w:hAnsi="微软雅黑" w:eastAsia="微软雅黑" w:cs="微软雅黑"/>
                <w:spacing w:val="-4"/>
                <w:sz w:val="20"/>
                <w:szCs w:val="20"/>
              </w:rPr>
              <w:t xml:space="preserve">甲苯 </w:t>
            </w:r>
            <w:r>
              <w:rPr>
                <w:rFonts w:ascii="Times New Roman" w:hAnsi="Times New Roman" w:eastAsia="Times New Roman" w:cs="Times New Roman"/>
                <w:spacing w:val="-4"/>
                <w:sz w:val="20"/>
                <w:szCs w:val="20"/>
              </w:rPr>
              <w:t>t/a</w:t>
            </w:r>
          </w:p>
        </w:tc>
        <w:tc>
          <w:tcPr>
            <w:tcW w:w="1566" w:type="dxa"/>
            <w:gridSpan w:val="2"/>
            <w:vAlign w:val="top"/>
          </w:tcPr>
          <w:p w14:paraId="6B9028F7">
            <w:pPr>
              <w:spacing w:before="85" w:line="195" w:lineRule="auto"/>
              <w:ind w:left="4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0.00144</w:t>
            </w:r>
          </w:p>
        </w:tc>
        <w:tc>
          <w:tcPr>
            <w:tcW w:w="960" w:type="dxa"/>
            <w:gridSpan w:val="2"/>
            <w:vAlign w:val="top"/>
          </w:tcPr>
          <w:p w14:paraId="2A9DAB96">
            <w:pPr>
              <w:spacing w:before="81" w:line="199" w:lineRule="auto"/>
              <w:ind w:left="4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37" w:type="dxa"/>
            <w:gridSpan w:val="2"/>
            <w:vMerge w:val="continue"/>
            <w:tcBorders>
              <w:top w:val="nil"/>
              <w:bottom w:val="nil"/>
            </w:tcBorders>
            <w:vAlign w:val="top"/>
          </w:tcPr>
          <w:p w14:paraId="592FF31D">
            <w:pPr>
              <w:rPr>
                <w:rFonts w:ascii="Arial"/>
                <w:sz w:val="21"/>
              </w:rPr>
            </w:pPr>
          </w:p>
        </w:tc>
        <w:tc>
          <w:tcPr>
            <w:tcW w:w="982" w:type="dxa"/>
            <w:vAlign w:val="top"/>
          </w:tcPr>
          <w:p w14:paraId="2E4D5C3E">
            <w:pPr>
              <w:spacing w:before="41" w:line="228" w:lineRule="auto"/>
              <w:ind w:left="291"/>
              <w:rPr>
                <w:rFonts w:ascii="宋体" w:hAnsi="宋体" w:eastAsia="宋体" w:cs="宋体"/>
                <w:sz w:val="20"/>
                <w:szCs w:val="20"/>
              </w:rPr>
            </w:pPr>
            <w:r>
              <w:rPr>
                <w:rFonts w:ascii="宋体" w:hAnsi="宋体" w:eastAsia="宋体" w:cs="宋体"/>
                <w:spacing w:val="4"/>
                <w:sz w:val="20"/>
                <w:szCs w:val="20"/>
              </w:rPr>
              <w:t>满足</w:t>
            </w:r>
          </w:p>
        </w:tc>
        <w:tc>
          <w:tcPr>
            <w:tcW w:w="129" w:type="dxa"/>
            <w:tcBorders>
              <w:top w:val="nil"/>
              <w:bottom w:val="nil"/>
              <w:right w:val="single" w:color="000000" w:sz="6" w:space="0"/>
            </w:tcBorders>
            <w:vAlign w:val="top"/>
          </w:tcPr>
          <w:p w14:paraId="20AE7D9A">
            <w:pPr>
              <w:rPr>
                <w:rFonts w:ascii="Arial"/>
                <w:sz w:val="21"/>
              </w:rPr>
            </w:pPr>
          </w:p>
        </w:tc>
      </w:tr>
      <w:tr w14:paraId="6847F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428" w:type="dxa"/>
            <w:vMerge w:val="continue"/>
            <w:tcBorders>
              <w:top w:val="nil"/>
              <w:left w:val="single" w:color="000000" w:sz="6" w:space="0"/>
              <w:bottom w:val="nil"/>
            </w:tcBorders>
            <w:vAlign w:val="top"/>
          </w:tcPr>
          <w:p w14:paraId="668D18FD">
            <w:pPr>
              <w:rPr>
                <w:rFonts w:ascii="Arial"/>
                <w:sz w:val="21"/>
              </w:rPr>
            </w:pPr>
          </w:p>
        </w:tc>
        <w:tc>
          <w:tcPr>
            <w:tcW w:w="111" w:type="dxa"/>
            <w:vMerge w:val="continue"/>
            <w:tcBorders>
              <w:top w:val="nil"/>
              <w:bottom w:val="nil"/>
            </w:tcBorders>
            <w:vAlign w:val="top"/>
          </w:tcPr>
          <w:p w14:paraId="2DFFDBC4">
            <w:pPr>
              <w:rPr>
                <w:rFonts w:ascii="Arial"/>
                <w:sz w:val="21"/>
              </w:rPr>
            </w:pPr>
          </w:p>
        </w:tc>
        <w:tc>
          <w:tcPr>
            <w:tcW w:w="758" w:type="dxa"/>
            <w:vMerge w:val="continue"/>
            <w:tcBorders>
              <w:top w:val="nil"/>
              <w:bottom w:val="nil"/>
            </w:tcBorders>
            <w:vAlign w:val="top"/>
          </w:tcPr>
          <w:p w14:paraId="199E45E9">
            <w:pPr>
              <w:rPr>
                <w:rFonts w:ascii="Arial"/>
                <w:sz w:val="21"/>
              </w:rPr>
            </w:pPr>
          </w:p>
        </w:tc>
        <w:tc>
          <w:tcPr>
            <w:tcW w:w="1493" w:type="dxa"/>
            <w:gridSpan w:val="2"/>
            <w:vAlign w:val="top"/>
          </w:tcPr>
          <w:p w14:paraId="7A3DF86C">
            <w:pPr>
              <w:spacing w:before="44" w:line="192" w:lineRule="auto"/>
              <w:ind w:left="435"/>
              <w:rPr>
                <w:rFonts w:ascii="Times New Roman" w:hAnsi="Times New Roman" w:eastAsia="Times New Roman" w:cs="Times New Roman"/>
                <w:sz w:val="20"/>
                <w:szCs w:val="20"/>
              </w:rPr>
            </w:pPr>
            <w:r>
              <w:rPr>
                <w:rFonts w:ascii="微软雅黑" w:hAnsi="微软雅黑" w:eastAsia="微软雅黑" w:cs="微软雅黑"/>
                <w:spacing w:val="-4"/>
                <w:sz w:val="20"/>
                <w:szCs w:val="20"/>
              </w:rPr>
              <w:t xml:space="preserve">甲醛 </w:t>
            </w:r>
            <w:r>
              <w:rPr>
                <w:rFonts w:ascii="Times New Roman" w:hAnsi="Times New Roman" w:eastAsia="Times New Roman" w:cs="Times New Roman"/>
                <w:spacing w:val="-4"/>
                <w:sz w:val="20"/>
                <w:szCs w:val="20"/>
              </w:rPr>
              <w:t>t/a</w:t>
            </w:r>
          </w:p>
        </w:tc>
        <w:tc>
          <w:tcPr>
            <w:tcW w:w="1566" w:type="dxa"/>
            <w:gridSpan w:val="2"/>
            <w:vAlign w:val="top"/>
          </w:tcPr>
          <w:p w14:paraId="7258F847">
            <w:pPr>
              <w:spacing w:before="87" w:line="195" w:lineRule="auto"/>
              <w:ind w:left="49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0.0216</w:t>
            </w:r>
          </w:p>
        </w:tc>
        <w:tc>
          <w:tcPr>
            <w:tcW w:w="960" w:type="dxa"/>
            <w:gridSpan w:val="2"/>
            <w:vAlign w:val="top"/>
          </w:tcPr>
          <w:p w14:paraId="42956094">
            <w:pPr>
              <w:spacing w:before="83" w:line="199" w:lineRule="auto"/>
              <w:ind w:left="4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637" w:type="dxa"/>
            <w:gridSpan w:val="2"/>
            <w:vMerge w:val="continue"/>
            <w:tcBorders>
              <w:top w:val="nil"/>
              <w:bottom w:val="nil"/>
            </w:tcBorders>
            <w:vAlign w:val="top"/>
          </w:tcPr>
          <w:p w14:paraId="034CAD46">
            <w:pPr>
              <w:rPr>
                <w:rFonts w:ascii="Arial"/>
                <w:sz w:val="21"/>
              </w:rPr>
            </w:pPr>
          </w:p>
        </w:tc>
        <w:tc>
          <w:tcPr>
            <w:tcW w:w="982" w:type="dxa"/>
            <w:vAlign w:val="top"/>
          </w:tcPr>
          <w:p w14:paraId="4BF4920E">
            <w:pPr>
              <w:spacing w:before="43" w:line="228" w:lineRule="auto"/>
              <w:ind w:left="291"/>
              <w:rPr>
                <w:rFonts w:ascii="宋体" w:hAnsi="宋体" w:eastAsia="宋体" w:cs="宋体"/>
                <w:sz w:val="20"/>
                <w:szCs w:val="20"/>
              </w:rPr>
            </w:pPr>
            <w:r>
              <w:rPr>
                <w:rFonts w:ascii="宋体" w:hAnsi="宋体" w:eastAsia="宋体" w:cs="宋体"/>
                <w:spacing w:val="4"/>
                <w:sz w:val="20"/>
                <w:szCs w:val="20"/>
              </w:rPr>
              <w:t>满足</w:t>
            </w:r>
          </w:p>
        </w:tc>
        <w:tc>
          <w:tcPr>
            <w:tcW w:w="129" w:type="dxa"/>
            <w:tcBorders>
              <w:top w:val="nil"/>
              <w:bottom w:val="nil"/>
              <w:right w:val="single" w:color="000000" w:sz="6" w:space="0"/>
            </w:tcBorders>
            <w:vAlign w:val="top"/>
          </w:tcPr>
          <w:p w14:paraId="0F74811B">
            <w:pPr>
              <w:rPr>
                <w:rFonts w:ascii="Arial"/>
                <w:sz w:val="21"/>
              </w:rPr>
            </w:pPr>
          </w:p>
        </w:tc>
      </w:tr>
      <w:tr w14:paraId="726DC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8" w:type="dxa"/>
            <w:vMerge w:val="continue"/>
            <w:tcBorders>
              <w:top w:val="nil"/>
              <w:left w:val="single" w:color="000000" w:sz="6" w:space="0"/>
              <w:bottom w:val="nil"/>
            </w:tcBorders>
            <w:vAlign w:val="top"/>
          </w:tcPr>
          <w:p w14:paraId="31135FB0">
            <w:pPr>
              <w:rPr>
                <w:rFonts w:ascii="Arial"/>
                <w:sz w:val="21"/>
              </w:rPr>
            </w:pPr>
          </w:p>
        </w:tc>
        <w:tc>
          <w:tcPr>
            <w:tcW w:w="111" w:type="dxa"/>
            <w:vMerge w:val="continue"/>
            <w:tcBorders>
              <w:top w:val="nil"/>
              <w:bottom w:val="nil"/>
            </w:tcBorders>
            <w:vAlign w:val="top"/>
          </w:tcPr>
          <w:p w14:paraId="3980601A">
            <w:pPr>
              <w:rPr>
                <w:rFonts w:ascii="Arial"/>
                <w:sz w:val="21"/>
              </w:rPr>
            </w:pPr>
          </w:p>
        </w:tc>
        <w:tc>
          <w:tcPr>
            <w:tcW w:w="758" w:type="dxa"/>
            <w:vMerge w:val="continue"/>
            <w:tcBorders>
              <w:top w:val="nil"/>
              <w:bottom w:val="nil"/>
            </w:tcBorders>
            <w:vAlign w:val="top"/>
          </w:tcPr>
          <w:p w14:paraId="6ED74A68">
            <w:pPr>
              <w:rPr>
                <w:rFonts w:ascii="Arial"/>
                <w:sz w:val="21"/>
              </w:rPr>
            </w:pPr>
          </w:p>
        </w:tc>
        <w:tc>
          <w:tcPr>
            <w:tcW w:w="1493" w:type="dxa"/>
            <w:gridSpan w:val="2"/>
            <w:vAlign w:val="top"/>
          </w:tcPr>
          <w:p w14:paraId="1BE8A61E">
            <w:pPr>
              <w:spacing w:before="85" w:line="200" w:lineRule="auto"/>
              <w:ind w:left="583"/>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pacing w:val="1"/>
                <w:position w:val="-1"/>
                <w:sz w:val="13"/>
                <w:szCs w:val="13"/>
              </w:rPr>
              <w:t>2</w:t>
            </w:r>
          </w:p>
        </w:tc>
        <w:tc>
          <w:tcPr>
            <w:tcW w:w="1566" w:type="dxa"/>
            <w:gridSpan w:val="2"/>
            <w:vAlign w:val="top"/>
          </w:tcPr>
          <w:p w14:paraId="1F2EF377">
            <w:pPr>
              <w:spacing w:before="86" w:line="195" w:lineRule="auto"/>
              <w:ind w:left="49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0.1368</w:t>
            </w:r>
          </w:p>
        </w:tc>
        <w:tc>
          <w:tcPr>
            <w:tcW w:w="960" w:type="dxa"/>
            <w:gridSpan w:val="2"/>
            <w:vAlign w:val="top"/>
          </w:tcPr>
          <w:p w14:paraId="4E467A73">
            <w:pPr>
              <w:rPr>
                <w:rFonts w:ascii="Arial"/>
                <w:sz w:val="21"/>
              </w:rPr>
            </w:pPr>
          </w:p>
        </w:tc>
        <w:tc>
          <w:tcPr>
            <w:tcW w:w="2637" w:type="dxa"/>
            <w:gridSpan w:val="2"/>
            <w:vMerge w:val="continue"/>
            <w:tcBorders>
              <w:top w:val="nil"/>
              <w:bottom w:val="nil"/>
            </w:tcBorders>
            <w:vAlign w:val="top"/>
          </w:tcPr>
          <w:p w14:paraId="0EA90DC8">
            <w:pPr>
              <w:rPr>
                <w:rFonts w:ascii="Arial"/>
                <w:sz w:val="21"/>
              </w:rPr>
            </w:pPr>
          </w:p>
        </w:tc>
        <w:tc>
          <w:tcPr>
            <w:tcW w:w="982" w:type="dxa"/>
            <w:vAlign w:val="top"/>
          </w:tcPr>
          <w:p w14:paraId="1ACD72CC">
            <w:pPr>
              <w:spacing w:before="42" w:line="228" w:lineRule="auto"/>
              <w:ind w:left="291"/>
              <w:rPr>
                <w:rFonts w:ascii="宋体" w:hAnsi="宋体" w:eastAsia="宋体" w:cs="宋体"/>
                <w:sz w:val="20"/>
                <w:szCs w:val="20"/>
              </w:rPr>
            </w:pPr>
            <w:r>
              <w:rPr>
                <w:rFonts w:ascii="宋体" w:hAnsi="宋体" w:eastAsia="宋体" w:cs="宋体"/>
                <w:spacing w:val="4"/>
                <w:sz w:val="20"/>
                <w:szCs w:val="20"/>
              </w:rPr>
              <w:t>满足</w:t>
            </w:r>
          </w:p>
        </w:tc>
        <w:tc>
          <w:tcPr>
            <w:tcW w:w="129" w:type="dxa"/>
            <w:tcBorders>
              <w:top w:val="nil"/>
              <w:bottom w:val="nil"/>
              <w:right w:val="single" w:color="000000" w:sz="6" w:space="0"/>
            </w:tcBorders>
            <w:vAlign w:val="top"/>
          </w:tcPr>
          <w:p w14:paraId="260C7B4E">
            <w:pPr>
              <w:rPr>
                <w:rFonts w:ascii="Arial"/>
                <w:sz w:val="21"/>
              </w:rPr>
            </w:pPr>
          </w:p>
        </w:tc>
      </w:tr>
      <w:tr w14:paraId="200A3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428" w:type="dxa"/>
            <w:vMerge w:val="continue"/>
            <w:tcBorders>
              <w:top w:val="nil"/>
              <w:left w:val="single" w:color="000000" w:sz="6" w:space="0"/>
              <w:bottom w:val="single" w:color="000000" w:sz="6" w:space="0"/>
            </w:tcBorders>
            <w:vAlign w:val="top"/>
          </w:tcPr>
          <w:p w14:paraId="2793338D">
            <w:pPr>
              <w:rPr>
                <w:rFonts w:ascii="Arial"/>
                <w:sz w:val="21"/>
              </w:rPr>
            </w:pPr>
          </w:p>
        </w:tc>
        <w:tc>
          <w:tcPr>
            <w:tcW w:w="111" w:type="dxa"/>
            <w:vMerge w:val="continue"/>
            <w:tcBorders>
              <w:top w:val="nil"/>
              <w:bottom w:val="single" w:color="000000" w:sz="6" w:space="0"/>
            </w:tcBorders>
            <w:vAlign w:val="top"/>
          </w:tcPr>
          <w:p w14:paraId="0F06B1CC">
            <w:pPr>
              <w:rPr>
                <w:rFonts w:ascii="Arial"/>
                <w:sz w:val="21"/>
              </w:rPr>
            </w:pPr>
          </w:p>
        </w:tc>
        <w:tc>
          <w:tcPr>
            <w:tcW w:w="758" w:type="dxa"/>
            <w:vMerge w:val="continue"/>
            <w:tcBorders>
              <w:top w:val="nil"/>
              <w:bottom w:val="single" w:color="000000" w:sz="6" w:space="0"/>
            </w:tcBorders>
            <w:vAlign w:val="top"/>
          </w:tcPr>
          <w:p w14:paraId="3F0A1431">
            <w:pPr>
              <w:rPr>
                <w:rFonts w:ascii="Arial"/>
                <w:sz w:val="21"/>
              </w:rPr>
            </w:pPr>
          </w:p>
        </w:tc>
        <w:tc>
          <w:tcPr>
            <w:tcW w:w="1493" w:type="dxa"/>
            <w:gridSpan w:val="2"/>
            <w:tcBorders>
              <w:bottom w:val="single" w:color="000000" w:sz="6" w:space="0"/>
            </w:tcBorders>
            <w:vAlign w:val="top"/>
          </w:tcPr>
          <w:p w14:paraId="2052963C">
            <w:pPr>
              <w:spacing w:before="85" w:line="195" w:lineRule="auto"/>
              <w:ind w:left="53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NOx</w:t>
            </w:r>
          </w:p>
        </w:tc>
        <w:tc>
          <w:tcPr>
            <w:tcW w:w="1566" w:type="dxa"/>
            <w:gridSpan w:val="2"/>
            <w:tcBorders>
              <w:bottom w:val="single" w:color="000000" w:sz="6" w:space="0"/>
            </w:tcBorders>
            <w:vAlign w:val="top"/>
          </w:tcPr>
          <w:p w14:paraId="26764052">
            <w:pPr>
              <w:spacing w:before="85" w:line="195" w:lineRule="auto"/>
              <w:ind w:left="54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0.276</w:t>
            </w:r>
          </w:p>
        </w:tc>
        <w:tc>
          <w:tcPr>
            <w:tcW w:w="960" w:type="dxa"/>
            <w:gridSpan w:val="2"/>
            <w:tcBorders>
              <w:bottom w:val="single" w:color="000000" w:sz="6" w:space="0"/>
            </w:tcBorders>
            <w:vAlign w:val="top"/>
          </w:tcPr>
          <w:p w14:paraId="68F83027">
            <w:pPr>
              <w:rPr>
                <w:rFonts w:ascii="Arial"/>
                <w:sz w:val="21"/>
              </w:rPr>
            </w:pPr>
          </w:p>
        </w:tc>
        <w:tc>
          <w:tcPr>
            <w:tcW w:w="2637" w:type="dxa"/>
            <w:gridSpan w:val="2"/>
            <w:vMerge w:val="continue"/>
            <w:tcBorders>
              <w:top w:val="nil"/>
              <w:bottom w:val="single" w:color="000000" w:sz="6" w:space="0"/>
            </w:tcBorders>
            <w:vAlign w:val="top"/>
          </w:tcPr>
          <w:p w14:paraId="288ABBB5">
            <w:pPr>
              <w:rPr>
                <w:rFonts w:ascii="Arial"/>
                <w:sz w:val="21"/>
              </w:rPr>
            </w:pPr>
          </w:p>
        </w:tc>
        <w:tc>
          <w:tcPr>
            <w:tcW w:w="982" w:type="dxa"/>
            <w:tcBorders>
              <w:bottom w:val="single" w:color="000000" w:sz="6" w:space="0"/>
            </w:tcBorders>
            <w:vAlign w:val="top"/>
          </w:tcPr>
          <w:p w14:paraId="715EDC11">
            <w:pPr>
              <w:spacing w:before="42" w:line="228" w:lineRule="auto"/>
              <w:ind w:left="291"/>
              <w:rPr>
                <w:rFonts w:ascii="宋体" w:hAnsi="宋体" w:eastAsia="宋体" w:cs="宋体"/>
                <w:sz w:val="20"/>
                <w:szCs w:val="20"/>
              </w:rPr>
            </w:pPr>
            <w:r>
              <w:rPr>
                <w:rFonts w:ascii="宋体" w:hAnsi="宋体" w:eastAsia="宋体" w:cs="宋体"/>
                <w:spacing w:val="4"/>
                <w:sz w:val="20"/>
                <w:szCs w:val="20"/>
              </w:rPr>
              <w:t>满足</w:t>
            </w:r>
          </w:p>
        </w:tc>
        <w:tc>
          <w:tcPr>
            <w:tcW w:w="129" w:type="dxa"/>
            <w:tcBorders>
              <w:top w:val="nil"/>
              <w:bottom w:val="single" w:color="000000" w:sz="6" w:space="0"/>
              <w:right w:val="single" w:color="000000" w:sz="6" w:space="0"/>
            </w:tcBorders>
            <w:vAlign w:val="top"/>
          </w:tcPr>
          <w:p w14:paraId="5CDEB06A">
            <w:pPr>
              <w:rPr>
                <w:rFonts w:ascii="Arial"/>
                <w:sz w:val="21"/>
              </w:rPr>
            </w:pPr>
          </w:p>
        </w:tc>
      </w:tr>
    </w:tbl>
    <w:p w14:paraId="39CEC88C">
      <w:pPr>
        <w:pStyle w:val="2"/>
      </w:pPr>
    </w:p>
    <w:p w14:paraId="5ED52311">
      <w:pPr>
        <w:sectPr>
          <w:footerReference r:id="rId74" w:type="default"/>
          <w:pgSz w:w="11906" w:h="16839"/>
          <w:pgMar w:top="400" w:right="1413" w:bottom="1329" w:left="1413" w:header="0" w:footer="1113" w:gutter="0"/>
          <w:cols w:space="720" w:num="1"/>
        </w:sectPr>
      </w:pPr>
    </w:p>
    <w:p w14:paraId="5BA7CAF5">
      <w:pPr>
        <w:spacing w:before="19"/>
      </w:pPr>
    </w:p>
    <w:p w14:paraId="2ED26B45">
      <w:pPr>
        <w:spacing w:before="19"/>
      </w:pPr>
    </w:p>
    <w:p w14:paraId="3260A1C7">
      <w:pPr>
        <w:spacing w:before="19"/>
      </w:pPr>
    </w:p>
    <w:p w14:paraId="129179B6">
      <w:pPr>
        <w:spacing w:before="18"/>
      </w:pPr>
    </w:p>
    <w:p w14:paraId="5261AB5E">
      <w:pPr>
        <w:spacing w:before="18"/>
      </w:pPr>
    </w:p>
    <w:tbl>
      <w:tblPr>
        <w:tblStyle w:val="10"/>
        <w:tblW w:w="90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8"/>
        <w:gridCol w:w="113"/>
        <w:gridCol w:w="709"/>
        <w:gridCol w:w="2049"/>
        <w:gridCol w:w="1505"/>
        <w:gridCol w:w="1146"/>
        <w:gridCol w:w="1923"/>
        <w:gridCol w:w="1066"/>
        <w:gridCol w:w="125"/>
      </w:tblGrid>
      <w:tr w14:paraId="1DECB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428" w:type="dxa"/>
            <w:vMerge w:val="restart"/>
            <w:tcBorders>
              <w:top w:val="single" w:color="000000" w:sz="6" w:space="0"/>
              <w:left w:val="single" w:color="000000" w:sz="6" w:space="0"/>
              <w:bottom w:val="nil"/>
            </w:tcBorders>
            <w:vAlign w:val="top"/>
          </w:tcPr>
          <w:p w14:paraId="248BBA41">
            <w:pPr>
              <w:rPr>
                <w:rFonts w:ascii="Arial"/>
                <w:sz w:val="21"/>
              </w:rPr>
            </w:pPr>
          </w:p>
        </w:tc>
        <w:tc>
          <w:tcPr>
            <w:tcW w:w="8636" w:type="dxa"/>
            <w:gridSpan w:val="8"/>
            <w:tcBorders>
              <w:top w:val="single" w:color="000000" w:sz="6" w:space="0"/>
              <w:right w:val="single" w:color="000000" w:sz="6" w:space="0"/>
            </w:tcBorders>
            <w:vAlign w:val="top"/>
          </w:tcPr>
          <w:p w14:paraId="45336653">
            <w:pPr>
              <w:spacing w:before="30" w:line="219" w:lineRule="auto"/>
              <w:ind w:left="586"/>
              <w:rPr>
                <w:rFonts w:ascii="宋体" w:hAnsi="宋体" w:eastAsia="宋体" w:cs="宋体"/>
                <w:sz w:val="24"/>
                <w:szCs w:val="24"/>
              </w:rPr>
            </w:pPr>
            <w:r>
              <w:rPr>
                <w:rFonts w:ascii="宋体" w:hAnsi="宋体" w:eastAsia="宋体" w:cs="宋体"/>
                <w:spacing w:val="-2"/>
                <w:sz w:val="24"/>
                <w:szCs w:val="24"/>
              </w:rPr>
              <w:t>根据排污许可证，全厂自行监测要求详见表</w:t>
            </w:r>
            <w:r>
              <w:rPr>
                <w:rFonts w:ascii="宋体" w:hAnsi="宋体" w:eastAsia="宋体" w:cs="宋体"/>
                <w:spacing w:val="-45"/>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 xml:space="preserve">18 </w:t>
            </w:r>
            <w:r>
              <w:rPr>
                <w:rFonts w:ascii="宋体" w:hAnsi="宋体" w:eastAsia="宋体" w:cs="宋体"/>
                <w:spacing w:val="-2"/>
                <w:sz w:val="24"/>
                <w:szCs w:val="24"/>
              </w:rPr>
              <w:t>所示：</w:t>
            </w:r>
          </w:p>
          <w:p w14:paraId="205BFF55">
            <w:pPr>
              <w:spacing w:before="178" w:line="216" w:lineRule="auto"/>
              <w:ind w:left="2730"/>
              <w:rPr>
                <w:rFonts w:ascii="宋体" w:hAnsi="宋体" w:eastAsia="宋体" w:cs="宋体"/>
                <w:sz w:val="20"/>
                <w:szCs w:val="20"/>
              </w:rPr>
            </w:pPr>
            <w:r>
              <w:rPr>
                <w:rFonts w:ascii="宋体" w:hAnsi="宋体" w:eastAsia="宋体" w:cs="宋体"/>
                <w:b/>
                <w:bCs/>
                <w:spacing w:val="3"/>
                <w:sz w:val="20"/>
                <w:szCs w:val="20"/>
              </w:rPr>
              <w:t>表</w:t>
            </w:r>
            <w:r>
              <w:rPr>
                <w:rFonts w:ascii="宋体" w:hAnsi="宋体" w:eastAsia="宋体" w:cs="宋体"/>
                <w:spacing w:val="-28"/>
                <w:sz w:val="20"/>
                <w:szCs w:val="20"/>
              </w:rPr>
              <w:t xml:space="preserve"> </w:t>
            </w:r>
            <w:r>
              <w:rPr>
                <w:rFonts w:ascii="Times New Roman" w:hAnsi="Times New Roman" w:eastAsia="Times New Roman" w:cs="Times New Roman"/>
                <w:b/>
                <w:bCs/>
                <w:spacing w:val="3"/>
                <w:sz w:val="20"/>
                <w:szCs w:val="20"/>
              </w:rPr>
              <w:t>2-18</w:t>
            </w:r>
            <w:r>
              <w:rPr>
                <w:rFonts w:ascii="Times New Roman" w:hAnsi="Times New Roman" w:eastAsia="Times New Roman" w:cs="Times New Roman"/>
                <w:b/>
                <w:bCs/>
                <w:sz w:val="20"/>
                <w:szCs w:val="20"/>
              </w:rPr>
              <w:t xml:space="preserve">     </w:t>
            </w:r>
            <w:r>
              <w:rPr>
                <w:rFonts w:ascii="宋体" w:hAnsi="宋体" w:eastAsia="宋体" w:cs="宋体"/>
                <w:b/>
                <w:bCs/>
                <w:spacing w:val="3"/>
                <w:sz w:val="20"/>
                <w:szCs w:val="20"/>
              </w:rPr>
              <w:t>自行监测要求与执行情况</w:t>
            </w:r>
          </w:p>
        </w:tc>
      </w:tr>
      <w:tr w14:paraId="02E68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5CC0F8DC">
            <w:pPr>
              <w:rPr>
                <w:rFonts w:ascii="Arial"/>
                <w:sz w:val="21"/>
              </w:rPr>
            </w:pPr>
          </w:p>
        </w:tc>
        <w:tc>
          <w:tcPr>
            <w:tcW w:w="113" w:type="dxa"/>
            <w:tcBorders>
              <w:top w:val="nil"/>
              <w:bottom w:val="nil"/>
            </w:tcBorders>
            <w:vAlign w:val="top"/>
          </w:tcPr>
          <w:p w14:paraId="28CA43B3">
            <w:pPr>
              <w:rPr>
                <w:rFonts w:ascii="Arial"/>
                <w:sz w:val="21"/>
              </w:rPr>
            </w:pPr>
          </w:p>
        </w:tc>
        <w:tc>
          <w:tcPr>
            <w:tcW w:w="709" w:type="dxa"/>
            <w:vAlign w:val="top"/>
          </w:tcPr>
          <w:p w14:paraId="0F99C9C4">
            <w:pPr>
              <w:spacing w:before="30" w:line="228" w:lineRule="auto"/>
              <w:ind w:left="143"/>
              <w:rPr>
                <w:rFonts w:ascii="宋体" w:hAnsi="宋体" w:eastAsia="宋体" w:cs="宋体"/>
                <w:sz w:val="20"/>
                <w:szCs w:val="20"/>
              </w:rPr>
            </w:pPr>
            <w:r>
              <w:rPr>
                <w:rFonts w:ascii="宋体" w:hAnsi="宋体" w:eastAsia="宋体" w:cs="宋体"/>
                <w:b/>
                <w:bCs/>
                <w:spacing w:val="3"/>
                <w:sz w:val="20"/>
                <w:szCs w:val="20"/>
              </w:rPr>
              <w:t>类别</w:t>
            </w:r>
          </w:p>
        </w:tc>
        <w:tc>
          <w:tcPr>
            <w:tcW w:w="2049" w:type="dxa"/>
            <w:vAlign w:val="top"/>
          </w:tcPr>
          <w:p w14:paraId="66668474">
            <w:pPr>
              <w:spacing w:before="31" w:line="229" w:lineRule="auto"/>
              <w:ind w:left="709"/>
              <w:rPr>
                <w:rFonts w:ascii="宋体" w:hAnsi="宋体" w:eastAsia="宋体" w:cs="宋体"/>
                <w:sz w:val="20"/>
                <w:szCs w:val="20"/>
              </w:rPr>
            </w:pPr>
            <w:r>
              <w:rPr>
                <w:rFonts w:ascii="宋体" w:hAnsi="宋体" w:eastAsia="宋体" w:cs="宋体"/>
                <w:b/>
                <w:bCs/>
                <w:spacing w:val="5"/>
                <w:sz w:val="20"/>
                <w:szCs w:val="20"/>
              </w:rPr>
              <w:t>排放口</w:t>
            </w:r>
          </w:p>
        </w:tc>
        <w:tc>
          <w:tcPr>
            <w:tcW w:w="1505" w:type="dxa"/>
            <w:vAlign w:val="top"/>
          </w:tcPr>
          <w:p w14:paraId="2D544F81">
            <w:pPr>
              <w:spacing w:before="31" w:line="228" w:lineRule="auto"/>
              <w:ind w:left="442"/>
              <w:rPr>
                <w:rFonts w:ascii="宋体" w:hAnsi="宋体" w:eastAsia="宋体" w:cs="宋体"/>
                <w:sz w:val="20"/>
                <w:szCs w:val="20"/>
              </w:rPr>
            </w:pPr>
            <w:r>
              <w:rPr>
                <w:rFonts w:ascii="宋体" w:hAnsi="宋体" w:eastAsia="宋体" w:cs="宋体"/>
                <w:b/>
                <w:bCs/>
                <w:spacing w:val="5"/>
                <w:sz w:val="20"/>
                <w:szCs w:val="20"/>
              </w:rPr>
              <w:t>污染物</w:t>
            </w:r>
          </w:p>
        </w:tc>
        <w:tc>
          <w:tcPr>
            <w:tcW w:w="1146" w:type="dxa"/>
            <w:vAlign w:val="top"/>
          </w:tcPr>
          <w:p w14:paraId="7662406A">
            <w:pPr>
              <w:spacing w:before="30" w:line="228" w:lineRule="auto"/>
              <w:ind w:left="158"/>
              <w:rPr>
                <w:rFonts w:ascii="宋体" w:hAnsi="宋体" w:eastAsia="宋体" w:cs="宋体"/>
                <w:sz w:val="20"/>
                <w:szCs w:val="20"/>
              </w:rPr>
            </w:pPr>
            <w:r>
              <w:rPr>
                <w:rFonts w:ascii="宋体" w:hAnsi="宋体" w:eastAsia="宋体" w:cs="宋体"/>
                <w:b/>
                <w:bCs/>
                <w:spacing w:val="6"/>
                <w:sz w:val="20"/>
                <w:szCs w:val="20"/>
              </w:rPr>
              <w:t>监测频次</w:t>
            </w:r>
          </w:p>
        </w:tc>
        <w:tc>
          <w:tcPr>
            <w:tcW w:w="1923" w:type="dxa"/>
            <w:vAlign w:val="top"/>
          </w:tcPr>
          <w:p w14:paraId="66757A4A">
            <w:pPr>
              <w:spacing w:before="30" w:line="228" w:lineRule="auto"/>
              <w:ind w:left="547"/>
              <w:rPr>
                <w:rFonts w:ascii="宋体" w:hAnsi="宋体" w:eastAsia="宋体" w:cs="宋体"/>
                <w:sz w:val="20"/>
                <w:szCs w:val="20"/>
              </w:rPr>
            </w:pPr>
            <w:r>
              <w:rPr>
                <w:rFonts w:ascii="宋体" w:hAnsi="宋体" w:eastAsia="宋体" w:cs="宋体"/>
                <w:b/>
                <w:bCs/>
                <w:spacing w:val="6"/>
                <w:sz w:val="20"/>
                <w:szCs w:val="20"/>
              </w:rPr>
              <w:t>执行情况</w:t>
            </w:r>
          </w:p>
        </w:tc>
        <w:tc>
          <w:tcPr>
            <w:tcW w:w="1066" w:type="dxa"/>
            <w:vAlign w:val="top"/>
          </w:tcPr>
          <w:p w14:paraId="7513183D">
            <w:pPr>
              <w:spacing w:before="31" w:line="228" w:lineRule="auto"/>
              <w:ind w:left="121"/>
              <w:rPr>
                <w:rFonts w:ascii="宋体" w:hAnsi="宋体" w:eastAsia="宋体" w:cs="宋体"/>
                <w:sz w:val="20"/>
                <w:szCs w:val="20"/>
              </w:rPr>
            </w:pPr>
            <w:r>
              <w:rPr>
                <w:rFonts w:ascii="宋体" w:hAnsi="宋体" w:eastAsia="宋体" w:cs="宋体"/>
                <w:b/>
                <w:bCs/>
                <w:spacing w:val="6"/>
                <w:sz w:val="20"/>
                <w:szCs w:val="20"/>
              </w:rPr>
              <w:t>达标情况</w:t>
            </w:r>
          </w:p>
        </w:tc>
        <w:tc>
          <w:tcPr>
            <w:tcW w:w="125" w:type="dxa"/>
            <w:vMerge w:val="restart"/>
            <w:tcBorders>
              <w:top w:val="nil"/>
              <w:bottom w:val="nil"/>
              <w:right w:val="single" w:color="000000" w:sz="6" w:space="0"/>
            </w:tcBorders>
            <w:vAlign w:val="top"/>
          </w:tcPr>
          <w:p w14:paraId="27659E1B">
            <w:pPr>
              <w:rPr>
                <w:rFonts w:ascii="Arial"/>
                <w:sz w:val="21"/>
              </w:rPr>
            </w:pPr>
          </w:p>
        </w:tc>
      </w:tr>
      <w:tr w14:paraId="7A21C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428" w:type="dxa"/>
            <w:vMerge w:val="continue"/>
            <w:tcBorders>
              <w:top w:val="nil"/>
              <w:left w:val="single" w:color="000000" w:sz="6" w:space="0"/>
              <w:bottom w:val="nil"/>
            </w:tcBorders>
            <w:vAlign w:val="top"/>
          </w:tcPr>
          <w:p w14:paraId="5152D903">
            <w:pPr>
              <w:rPr>
                <w:rFonts w:ascii="Arial"/>
                <w:sz w:val="21"/>
              </w:rPr>
            </w:pPr>
          </w:p>
        </w:tc>
        <w:tc>
          <w:tcPr>
            <w:tcW w:w="113" w:type="dxa"/>
            <w:tcBorders>
              <w:top w:val="nil"/>
              <w:bottom w:val="nil"/>
            </w:tcBorders>
            <w:vAlign w:val="top"/>
          </w:tcPr>
          <w:p w14:paraId="32ACF046">
            <w:pPr>
              <w:rPr>
                <w:rFonts w:ascii="Arial"/>
                <w:sz w:val="21"/>
              </w:rPr>
            </w:pPr>
          </w:p>
        </w:tc>
        <w:tc>
          <w:tcPr>
            <w:tcW w:w="709" w:type="dxa"/>
            <w:vMerge w:val="restart"/>
            <w:tcBorders>
              <w:bottom w:val="nil"/>
            </w:tcBorders>
            <w:vAlign w:val="top"/>
          </w:tcPr>
          <w:p w14:paraId="2D414D0D">
            <w:pPr>
              <w:spacing w:line="246" w:lineRule="auto"/>
              <w:rPr>
                <w:rFonts w:ascii="Arial"/>
                <w:sz w:val="21"/>
              </w:rPr>
            </w:pPr>
          </w:p>
          <w:p w14:paraId="343E68FC">
            <w:pPr>
              <w:spacing w:line="246" w:lineRule="auto"/>
              <w:rPr>
                <w:rFonts w:ascii="Arial"/>
                <w:sz w:val="21"/>
              </w:rPr>
            </w:pPr>
          </w:p>
          <w:p w14:paraId="44811AE0">
            <w:pPr>
              <w:spacing w:line="246" w:lineRule="auto"/>
              <w:rPr>
                <w:rFonts w:ascii="Arial"/>
                <w:sz w:val="21"/>
              </w:rPr>
            </w:pPr>
          </w:p>
          <w:p w14:paraId="28BF49E9">
            <w:pPr>
              <w:spacing w:line="246" w:lineRule="auto"/>
              <w:rPr>
                <w:rFonts w:ascii="Arial"/>
                <w:sz w:val="21"/>
              </w:rPr>
            </w:pPr>
          </w:p>
          <w:p w14:paraId="2D2F8944">
            <w:pPr>
              <w:spacing w:line="246" w:lineRule="auto"/>
              <w:rPr>
                <w:rFonts w:ascii="Arial"/>
                <w:sz w:val="21"/>
              </w:rPr>
            </w:pPr>
          </w:p>
          <w:p w14:paraId="6932D6E6">
            <w:pPr>
              <w:spacing w:line="246" w:lineRule="auto"/>
              <w:rPr>
                <w:rFonts w:ascii="Arial"/>
                <w:sz w:val="21"/>
              </w:rPr>
            </w:pPr>
          </w:p>
          <w:p w14:paraId="20C1BE7F">
            <w:pPr>
              <w:spacing w:line="246" w:lineRule="auto"/>
              <w:rPr>
                <w:rFonts w:ascii="Arial"/>
                <w:sz w:val="21"/>
              </w:rPr>
            </w:pPr>
          </w:p>
          <w:p w14:paraId="3642B9D7">
            <w:pPr>
              <w:spacing w:line="246" w:lineRule="auto"/>
              <w:rPr>
                <w:rFonts w:ascii="Arial"/>
                <w:sz w:val="21"/>
              </w:rPr>
            </w:pPr>
          </w:p>
          <w:p w14:paraId="693E734D">
            <w:pPr>
              <w:spacing w:line="246" w:lineRule="auto"/>
              <w:rPr>
                <w:rFonts w:ascii="Arial"/>
                <w:sz w:val="21"/>
              </w:rPr>
            </w:pPr>
          </w:p>
          <w:p w14:paraId="7ED57D5E">
            <w:pPr>
              <w:spacing w:line="246" w:lineRule="auto"/>
              <w:rPr>
                <w:rFonts w:ascii="Arial"/>
                <w:sz w:val="21"/>
              </w:rPr>
            </w:pPr>
          </w:p>
          <w:p w14:paraId="54EA9A27">
            <w:pPr>
              <w:spacing w:before="65" w:line="228" w:lineRule="auto"/>
              <w:ind w:left="142"/>
              <w:rPr>
                <w:rFonts w:ascii="宋体" w:hAnsi="宋体" w:eastAsia="宋体" w:cs="宋体"/>
                <w:sz w:val="20"/>
                <w:szCs w:val="20"/>
              </w:rPr>
            </w:pPr>
            <w:r>
              <w:rPr>
                <w:rFonts w:ascii="宋体" w:hAnsi="宋体" w:eastAsia="宋体" w:cs="宋体"/>
                <w:spacing w:val="5"/>
                <w:sz w:val="20"/>
                <w:szCs w:val="20"/>
              </w:rPr>
              <w:t>废气</w:t>
            </w:r>
          </w:p>
        </w:tc>
        <w:tc>
          <w:tcPr>
            <w:tcW w:w="2049" w:type="dxa"/>
            <w:vAlign w:val="top"/>
          </w:tcPr>
          <w:p w14:paraId="671330ED">
            <w:pPr>
              <w:spacing w:before="75" w:line="195" w:lineRule="auto"/>
              <w:ind w:left="711"/>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001</w:t>
            </w:r>
          </w:p>
        </w:tc>
        <w:tc>
          <w:tcPr>
            <w:tcW w:w="1505" w:type="dxa"/>
            <w:vAlign w:val="top"/>
          </w:tcPr>
          <w:p w14:paraId="5CA3E6D8">
            <w:pPr>
              <w:spacing w:before="32" w:line="228" w:lineRule="auto"/>
              <w:ind w:left="440"/>
              <w:rPr>
                <w:rFonts w:ascii="宋体" w:hAnsi="宋体" w:eastAsia="宋体" w:cs="宋体"/>
                <w:sz w:val="20"/>
                <w:szCs w:val="20"/>
              </w:rPr>
            </w:pPr>
            <w:r>
              <w:rPr>
                <w:rFonts w:ascii="宋体" w:hAnsi="宋体" w:eastAsia="宋体" w:cs="宋体"/>
                <w:spacing w:val="7"/>
                <w:sz w:val="20"/>
                <w:szCs w:val="20"/>
              </w:rPr>
              <w:t>颗粒物</w:t>
            </w:r>
          </w:p>
        </w:tc>
        <w:tc>
          <w:tcPr>
            <w:tcW w:w="1146" w:type="dxa"/>
            <w:vAlign w:val="top"/>
          </w:tcPr>
          <w:p w14:paraId="6A23E9A5">
            <w:pPr>
              <w:spacing w:before="31"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Align w:val="top"/>
          </w:tcPr>
          <w:p w14:paraId="006FC2E5">
            <w:pPr>
              <w:spacing w:before="31" w:line="228" w:lineRule="auto"/>
              <w:ind w:left="111"/>
              <w:rPr>
                <w:rFonts w:ascii="宋体" w:hAnsi="宋体" w:eastAsia="宋体" w:cs="宋体"/>
                <w:sz w:val="20"/>
                <w:szCs w:val="20"/>
              </w:rPr>
            </w:pPr>
            <w:r>
              <w:rPr>
                <w:rFonts w:ascii="Times New Roman" w:hAnsi="Times New Roman" w:eastAsia="Times New Roman" w:cs="Times New Roman"/>
                <w:spacing w:val="6"/>
                <w:sz w:val="20"/>
                <w:szCs w:val="20"/>
              </w:rPr>
              <w:t>2025</w:t>
            </w:r>
            <w:r>
              <w:rPr>
                <w:rFonts w:ascii="Times New Roman" w:hAnsi="Times New Roman" w:eastAsia="Times New Roman" w:cs="Times New Roman"/>
                <w:spacing w:val="-7"/>
                <w:sz w:val="20"/>
                <w:szCs w:val="20"/>
              </w:rPr>
              <w:t xml:space="preserve"> </w:t>
            </w:r>
            <w:r>
              <w:rPr>
                <w:rFonts w:ascii="宋体" w:hAnsi="宋体" w:eastAsia="宋体" w:cs="宋体"/>
                <w:spacing w:val="6"/>
                <w:sz w:val="20"/>
                <w:szCs w:val="20"/>
              </w:rPr>
              <w:t>年按要求监测</w:t>
            </w:r>
          </w:p>
        </w:tc>
        <w:tc>
          <w:tcPr>
            <w:tcW w:w="1066" w:type="dxa"/>
            <w:vAlign w:val="top"/>
          </w:tcPr>
          <w:p w14:paraId="17B24068">
            <w:pPr>
              <w:spacing w:before="32"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0B2F58FE">
            <w:pPr>
              <w:rPr>
                <w:rFonts w:ascii="Arial"/>
                <w:sz w:val="21"/>
              </w:rPr>
            </w:pPr>
          </w:p>
        </w:tc>
      </w:tr>
      <w:tr w14:paraId="286ED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56A6A236">
            <w:pPr>
              <w:rPr>
                <w:rFonts w:ascii="Arial"/>
                <w:sz w:val="21"/>
              </w:rPr>
            </w:pPr>
          </w:p>
        </w:tc>
        <w:tc>
          <w:tcPr>
            <w:tcW w:w="113" w:type="dxa"/>
            <w:tcBorders>
              <w:top w:val="nil"/>
              <w:bottom w:val="nil"/>
            </w:tcBorders>
            <w:vAlign w:val="top"/>
          </w:tcPr>
          <w:p w14:paraId="41AFFCBE">
            <w:pPr>
              <w:rPr>
                <w:rFonts w:ascii="Arial"/>
                <w:sz w:val="21"/>
              </w:rPr>
            </w:pPr>
          </w:p>
        </w:tc>
        <w:tc>
          <w:tcPr>
            <w:tcW w:w="709" w:type="dxa"/>
            <w:vMerge w:val="continue"/>
            <w:tcBorders>
              <w:top w:val="nil"/>
              <w:bottom w:val="nil"/>
            </w:tcBorders>
            <w:vAlign w:val="top"/>
          </w:tcPr>
          <w:p w14:paraId="46185E6E">
            <w:pPr>
              <w:rPr>
                <w:rFonts w:ascii="Arial"/>
                <w:sz w:val="21"/>
              </w:rPr>
            </w:pPr>
          </w:p>
        </w:tc>
        <w:tc>
          <w:tcPr>
            <w:tcW w:w="2049" w:type="dxa"/>
            <w:vMerge w:val="restart"/>
            <w:tcBorders>
              <w:bottom w:val="nil"/>
            </w:tcBorders>
            <w:vAlign w:val="top"/>
          </w:tcPr>
          <w:p w14:paraId="62169FDC">
            <w:pPr>
              <w:spacing w:line="283" w:lineRule="auto"/>
              <w:rPr>
                <w:rFonts w:ascii="Arial"/>
                <w:sz w:val="21"/>
              </w:rPr>
            </w:pPr>
          </w:p>
          <w:p w14:paraId="13691889">
            <w:pPr>
              <w:spacing w:line="284" w:lineRule="auto"/>
              <w:rPr>
                <w:rFonts w:ascii="Arial"/>
                <w:sz w:val="21"/>
              </w:rPr>
            </w:pPr>
          </w:p>
          <w:p w14:paraId="693CB589">
            <w:pPr>
              <w:spacing w:line="284" w:lineRule="auto"/>
              <w:rPr>
                <w:rFonts w:ascii="Arial"/>
                <w:sz w:val="21"/>
              </w:rPr>
            </w:pPr>
          </w:p>
          <w:p w14:paraId="007B0B3B">
            <w:pPr>
              <w:spacing w:before="58" w:line="195" w:lineRule="auto"/>
              <w:ind w:left="711"/>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002</w:t>
            </w:r>
          </w:p>
        </w:tc>
        <w:tc>
          <w:tcPr>
            <w:tcW w:w="1505" w:type="dxa"/>
            <w:vAlign w:val="top"/>
          </w:tcPr>
          <w:p w14:paraId="40E9D87A">
            <w:pPr>
              <w:spacing w:before="34" w:line="228" w:lineRule="auto"/>
              <w:ind w:left="440"/>
              <w:rPr>
                <w:rFonts w:ascii="宋体" w:hAnsi="宋体" w:eastAsia="宋体" w:cs="宋体"/>
                <w:sz w:val="20"/>
                <w:szCs w:val="20"/>
              </w:rPr>
            </w:pPr>
            <w:r>
              <w:rPr>
                <w:rFonts w:ascii="宋体" w:hAnsi="宋体" w:eastAsia="宋体" w:cs="宋体"/>
                <w:spacing w:val="7"/>
                <w:sz w:val="20"/>
                <w:szCs w:val="20"/>
              </w:rPr>
              <w:t>颗粒物</w:t>
            </w:r>
          </w:p>
        </w:tc>
        <w:tc>
          <w:tcPr>
            <w:tcW w:w="1146" w:type="dxa"/>
            <w:vAlign w:val="top"/>
          </w:tcPr>
          <w:p w14:paraId="6DF95C11">
            <w:pPr>
              <w:spacing w:before="33"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restart"/>
            <w:tcBorders>
              <w:bottom w:val="nil"/>
            </w:tcBorders>
            <w:vAlign w:val="top"/>
          </w:tcPr>
          <w:p w14:paraId="68B2B6E0">
            <w:pPr>
              <w:spacing w:line="267" w:lineRule="auto"/>
              <w:rPr>
                <w:rFonts w:ascii="Arial"/>
                <w:sz w:val="21"/>
              </w:rPr>
            </w:pPr>
          </w:p>
          <w:p w14:paraId="3EEEA4DD">
            <w:pPr>
              <w:spacing w:line="267" w:lineRule="auto"/>
              <w:rPr>
                <w:rFonts w:ascii="Arial"/>
                <w:sz w:val="21"/>
              </w:rPr>
            </w:pPr>
          </w:p>
          <w:p w14:paraId="2D834362">
            <w:pPr>
              <w:spacing w:line="267" w:lineRule="auto"/>
              <w:rPr>
                <w:rFonts w:ascii="Arial"/>
                <w:sz w:val="21"/>
              </w:rPr>
            </w:pPr>
          </w:p>
          <w:p w14:paraId="1496EA20">
            <w:pPr>
              <w:spacing w:before="65" w:line="228" w:lineRule="auto"/>
              <w:ind w:left="111"/>
              <w:rPr>
                <w:rFonts w:ascii="宋体" w:hAnsi="宋体" w:eastAsia="宋体" w:cs="宋体"/>
                <w:sz w:val="20"/>
                <w:szCs w:val="20"/>
              </w:rPr>
            </w:pPr>
            <w:r>
              <w:rPr>
                <w:rFonts w:ascii="Times New Roman" w:hAnsi="Times New Roman" w:eastAsia="Times New Roman" w:cs="Times New Roman"/>
                <w:spacing w:val="6"/>
                <w:sz w:val="20"/>
                <w:szCs w:val="20"/>
              </w:rPr>
              <w:t>2025</w:t>
            </w:r>
            <w:r>
              <w:rPr>
                <w:rFonts w:ascii="Times New Roman" w:hAnsi="Times New Roman" w:eastAsia="Times New Roman" w:cs="Times New Roman"/>
                <w:spacing w:val="-7"/>
                <w:sz w:val="20"/>
                <w:szCs w:val="20"/>
              </w:rPr>
              <w:t xml:space="preserve"> </w:t>
            </w:r>
            <w:r>
              <w:rPr>
                <w:rFonts w:ascii="宋体" w:hAnsi="宋体" w:eastAsia="宋体" w:cs="宋体"/>
                <w:spacing w:val="6"/>
                <w:sz w:val="20"/>
                <w:szCs w:val="20"/>
              </w:rPr>
              <w:t>年按要求监测</w:t>
            </w:r>
          </w:p>
        </w:tc>
        <w:tc>
          <w:tcPr>
            <w:tcW w:w="1066" w:type="dxa"/>
            <w:vAlign w:val="top"/>
          </w:tcPr>
          <w:p w14:paraId="4F3FA3CF">
            <w:pPr>
              <w:spacing w:before="34"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5649EB1A">
            <w:pPr>
              <w:rPr>
                <w:rFonts w:ascii="Arial"/>
                <w:sz w:val="21"/>
              </w:rPr>
            </w:pPr>
          </w:p>
        </w:tc>
      </w:tr>
      <w:tr w14:paraId="19DDC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428" w:type="dxa"/>
            <w:vMerge w:val="continue"/>
            <w:tcBorders>
              <w:top w:val="nil"/>
              <w:left w:val="single" w:color="000000" w:sz="6" w:space="0"/>
              <w:bottom w:val="nil"/>
            </w:tcBorders>
            <w:vAlign w:val="top"/>
          </w:tcPr>
          <w:p w14:paraId="024B7237">
            <w:pPr>
              <w:rPr>
                <w:rFonts w:ascii="Arial"/>
                <w:sz w:val="21"/>
              </w:rPr>
            </w:pPr>
          </w:p>
        </w:tc>
        <w:tc>
          <w:tcPr>
            <w:tcW w:w="113" w:type="dxa"/>
            <w:tcBorders>
              <w:top w:val="nil"/>
              <w:bottom w:val="nil"/>
            </w:tcBorders>
            <w:vAlign w:val="top"/>
          </w:tcPr>
          <w:p w14:paraId="190D23BF">
            <w:pPr>
              <w:rPr>
                <w:rFonts w:ascii="Arial"/>
                <w:sz w:val="21"/>
              </w:rPr>
            </w:pPr>
          </w:p>
        </w:tc>
        <w:tc>
          <w:tcPr>
            <w:tcW w:w="709" w:type="dxa"/>
            <w:vMerge w:val="continue"/>
            <w:tcBorders>
              <w:top w:val="nil"/>
              <w:bottom w:val="nil"/>
            </w:tcBorders>
            <w:vAlign w:val="top"/>
          </w:tcPr>
          <w:p w14:paraId="2B7863E8">
            <w:pPr>
              <w:rPr>
                <w:rFonts w:ascii="Arial"/>
                <w:sz w:val="21"/>
              </w:rPr>
            </w:pPr>
          </w:p>
        </w:tc>
        <w:tc>
          <w:tcPr>
            <w:tcW w:w="2049" w:type="dxa"/>
            <w:vMerge w:val="continue"/>
            <w:tcBorders>
              <w:top w:val="nil"/>
              <w:bottom w:val="nil"/>
            </w:tcBorders>
            <w:vAlign w:val="top"/>
          </w:tcPr>
          <w:p w14:paraId="1A16C0AF">
            <w:pPr>
              <w:rPr>
                <w:rFonts w:ascii="Arial"/>
                <w:sz w:val="21"/>
              </w:rPr>
            </w:pPr>
          </w:p>
        </w:tc>
        <w:tc>
          <w:tcPr>
            <w:tcW w:w="1505" w:type="dxa"/>
            <w:vAlign w:val="top"/>
          </w:tcPr>
          <w:p w14:paraId="15DC2B0A">
            <w:pPr>
              <w:spacing w:before="32" w:line="228" w:lineRule="auto"/>
              <w:ind w:left="235"/>
              <w:rPr>
                <w:rFonts w:ascii="宋体" w:hAnsi="宋体" w:eastAsia="宋体" w:cs="宋体"/>
                <w:sz w:val="20"/>
                <w:szCs w:val="20"/>
              </w:rPr>
            </w:pPr>
            <w:r>
              <w:rPr>
                <w:rFonts w:ascii="宋体" w:hAnsi="宋体" w:eastAsia="宋体" w:cs="宋体"/>
                <w:spacing w:val="7"/>
                <w:sz w:val="20"/>
                <w:szCs w:val="20"/>
              </w:rPr>
              <w:t>非甲烷总烃</w:t>
            </w:r>
          </w:p>
        </w:tc>
        <w:tc>
          <w:tcPr>
            <w:tcW w:w="1146" w:type="dxa"/>
            <w:vAlign w:val="top"/>
          </w:tcPr>
          <w:p w14:paraId="4301A8E0">
            <w:pPr>
              <w:spacing w:before="32"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bottom w:val="nil"/>
            </w:tcBorders>
            <w:vAlign w:val="top"/>
          </w:tcPr>
          <w:p w14:paraId="23061A43">
            <w:pPr>
              <w:rPr>
                <w:rFonts w:ascii="Arial"/>
                <w:sz w:val="21"/>
              </w:rPr>
            </w:pPr>
          </w:p>
        </w:tc>
        <w:tc>
          <w:tcPr>
            <w:tcW w:w="1066" w:type="dxa"/>
            <w:vAlign w:val="top"/>
          </w:tcPr>
          <w:p w14:paraId="5EC0A327">
            <w:pPr>
              <w:spacing w:before="32"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395079C1">
            <w:pPr>
              <w:rPr>
                <w:rFonts w:ascii="Arial"/>
                <w:sz w:val="21"/>
              </w:rPr>
            </w:pPr>
          </w:p>
        </w:tc>
      </w:tr>
      <w:tr w14:paraId="02387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29BEEF8B">
            <w:pPr>
              <w:rPr>
                <w:rFonts w:ascii="Arial"/>
                <w:sz w:val="21"/>
              </w:rPr>
            </w:pPr>
          </w:p>
        </w:tc>
        <w:tc>
          <w:tcPr>
            <w:tcW w:w="113" w:type="dxa"/>
            <w:tcBorders>
              <w:top w:val="nil"/>
              <w:bottom w:val="nil"/>
            </w:tcBorders>
            <w:vAlign w:val="top"/>
          </w:tcPr>
          <w:p w14:paraId="3C6C14C7">
            <w:pPr>
              <w:rPr>
                <w:rFonts w:ascii="Arial"/>
                <w:sz w:val="21"/>
              </w:rPr>
            </w:pPr>
          </w:p>
        </w:tc>
        <w:tc>
          <w:tcPr>
            <w:tcW w:w="709" w:type="dxa"/>
            <w:vMerge w:val="continue"/>
            <w:tcBorders>
              <w:top w:val="nil"/>
              <w:bottom w:val="nil"/>
            </w:tcBorders>
            <w:vAlign w:val="top"/>
          </w:tcPr>
          <w:p w14:paraId="6018A02A">
            <w:pPr>
              <w:rPr>
                <w:rFonts w:ascii="Arial"/>
                <w:sz w:val="21"/>
              </w:rPr>
            </w:pPr>
          </w:p>
        </w:tc>
        <w:tc>
          <w:tcPr>
            <w:tcW w:w="2049" w:type="dxa"/>
            <w:vMerge w:val="continue"/>
            <w:tcBorders>
              <w:top w:val="nil"/>
              <w:bottom w:val="nil"/>
            </w:tcBorders>
            <w:vAlign w:val="top"/>
          </w:tcPr>
          <w:p w14:paraId="3D926ABA">
            <w:pPr>
              <w:rPr>
                <w:rFonts w:ascii="Arial"/>
                <w:sz w:val="21"/>
              </w:rPr>
            </w:pPr>
          </w:p>
        </w:tc>
        <w:tc>
          <w:tcPr>
            <w:tcW w:w="1505" w:type="dxa"/>
            <w:vAlign w:val="top"/>
          </w:tcPr>
          <w:p w14:paraId="5EE7B98D">
            <w:pPr>
              <w:spacing w:before="60" w:line="227" w:lineRule="auto"/>
              <w:ind w:left="654"/>
              <w:rPr>
                <w:rFonts w:ascii="宋体" w:hAnsi="宋体" w:eastAsia="宋体" w:cs="宋体"/>
                <w:sz w:val="20"/>
                <w:szCs w:val="20"/>
              </w:rPr>
            </w:pPr>
            <w:r>
              <w:rPr>
                <w:rFonts w:ascii="宋体" w:hAnsi="宋体" w:eastAsia="宋体" w:cs="宋体"/>
                <w:sz w:val="20"/>
                <w:szCs w:val="20"/>
              </w:rPr>
              <w:t>苯</w:t>
            </w:r>
          </w:p>
        </w:tc>
        <w:tc>
          <w:tcPr>
            <w:tcW w:w="1146" w:type="dxa"/>
            <w:vAlign w:val="top"/>
          </w:tcPr>
          <w:p w14:paraId="0D9BB07A">
            <w:pPr>
              <w:spacing w:before="60"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bottom w:val="nil"/>
            </w:tcBorders>
            <w:vAlign w:val="top"/>
          </w:tcPr>
          <w:p w14:paraId="2CD74409">
            <w:pPr>
              <w:rPr>
                <w:rFonts w:ascii="Arial"/>
                <w:sz w:val="21"/>
              </w:rPr>
            </w:pPr>
          </w:p>
        </w:tc>
        <w:tc>
          <w:tcPr>
            <w:tcW w:w="1066" w:type="dxa"/>
            <w:vAlign w:val="top"/>
          </w:tcPr>
          <w:p w14:paraId="5B04302F">
            <w:pPr>
              <w:spacing w:before="60"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640EF38D">
            <w:pPr>
              <w:rPr>
                <w:rFonts w:ascii="Arial"/>
                <w:sz w:val="21"/>
              </w:rPr>
            </w:pPr>
          </w:p>
        </w:tc>
      </w:tr>
      <w:tr w14:paraId="3F415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770F0496">
            <w:pPr>
              <w:rPr>
                <w:rFonts w:ascii="Arial"/>
                <w:sz w:val="21"/>
              </w:rPr>
            </w:pPr>
          </w:p>
        </w:tc>
        <w:tc>
          <w:tcPr>
            <w:tcW w:w="113" w:type="dxa"/>
            <w:tcBorders>
              <w:top w:val="nil"/>
              <w:bottom w:val="nil"/>
            </w:tcBorders>
            <w:vAlign w:val="top"/>
          </w:tcPr>
          <w:p w14:paraId="38B33741">
            <w:pPr>
              <w:rPr>
                <w:rFonts w:ascii="Arial"/>
                <w:sz w:val="21"/>
              </w:rPr>
            </w:pPr>
          </w:p>
        </w:tc>
        <w:tc>
          <w:tcPr>
            <w:tcW w:w="709" w:type="dxa"/>
            <w:vMerge w:val="continue"/>
            <w:tcBorders>
              <w:top w:val="nil"/>
              <w:bottom w:val="nil"/>
            </w:tcBorders>
            <w:vAlign w:val="top"/>
          </w:tcPr>
          <w:p w14:paraId="7CFD3986">
            <w:pPr>
              <w:rPr>
                <w:rFonts w:ascii="Arial"/>
                <w:sz w:val="21"/>
              </w:rPr>
            </w:pPr>
          </w:p>
        </w:tc>
        <w:tc>
          <w:tcPr>
            <w:tcW w:w="2049" w:type="dxa"/>
            <w:vMerge w:val="continue"/>
            <w:tcBorders>
              <w:top w:val="nil"/>
              <w:bottom w:val="nil"/>
            </w:tcBorders>
            <w:vAlign w:val="top"/>
          </w:tcPr>
          <w:p w14:paraId="7FE443FF">
            <w:pPr>
              <w:rPr>
                <w:rFonts w:ascii="Arial"/>
                <w:sz w:val="21"/>
              </w:rPr>
            </w:pPr>
          </w:p>
        </w:tc>
        <w:tc>
          <w:tcPr>
            <w:tcW w:w="1505" w:type="dxa"/>
            <w:vAlign w:val="top"/>
          </w:tcPr>
          <w:p w14:paraId="03727B62">
            <w:pPr>
              <w:spacing w:before="58" w:line="227" w:lineRule="auto"/>
              <w:ind w:left="573"/>
              <w:rPr>
                <w:rFonts w:ascii="宋体" w:hAnsi="宋体" w:eastAsia="宋体" w:cs="宋体"/>
                <w:sz w:val="20"/>
                <w:szCs w:val="20"/>
              </w:rPr>
            </w:pPr>
            <w:r>
              <w:rPr>
                <w:rFonts w:ascii="宋体" w:hAnsi="宋体" w:eastAsia="宋体" w:cs="宋体"/>
                <w:spacing w:val="-9"/>
                <w:sz w:val="20"/>
                <w:szCs w:val="20"/>
              </w:rPr>
              <w:t>甲苯</w:t>
            </w:r>
          </w:p>
        </w:tc>
        <w:tc>
          <w:tcPr>
            <w:tcW w:w="1146" w:type="dxa"/>
            <w:vAlign w:val="top"/>
          </w:tcPr>
          <w:p w14:paraId="4478CE33">
            <w:pPr>
              <w:spacing w:before="58"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bottom w:val="nil"/>
            </w:tcBorders>
            <w:vAlign w:val="top"/>
          </w:tcPr>
          <w:p w14:paraId="322833C7">
            <w:pPr>
              <w:rPr>
                <w:rFonts w:ascii="Arial"/>
                <w:sz w:val="21"/>
              </w:rPr>
            </w:pPr>
          </w:p>
        </w:tc>
        <w:tc>
          <w:tcPr>
            <w:tcW w:w="1066" w:type="dxa"/>
            <w:vAlign w:val="top"/>
          </w:tcPr>
          <w:p w14:paraId="09115CC3">
            <w:pPr>
              <w:spacing w:before="59"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59F8351A">
            <w:pPr>
              <w:rPr>
                <w:rFonts w:ascii="Arial"/>
                <w:sz w:val="21"/>
              </w:rPr>
            </w:pPr>
          </w:p>
        </w:tc>
      </w:tr>
      <w:tr w14:paraId="41EB9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428" w:type="dxa"/>
            <w:vMerge w:val="continue"/>
            <w:tcBorders>
              <w:top w:val="nil"/>
              <w:left w:val="single" w:color="000000" w:sz="6" w:space="0"/>
              <w:bottom w:val="nil"/>
            </w:tcBorders>
            <w:vAlign w:val="top"/>
          </w:tcPr>
          <w:p w14:paraId="5C0BC51F">
            <w:pPr>
              <w:rPr>
                <w:rFonts w:ascii="Arial"/>
                <w:sz w:val="21"/>
              </w:rPr>
            </w:pPr>
          </w:p>
        </w:tc>
        <w:tc>
          <w:tcPr>
            <w:tcW w:w="113" w:type="dxa"/>
            <w:tcBorders>
              <w:top w:val="nil"/>
              <w:bottom w:val="nil"/>
            </w:tcBorders>
            <w:vAlign w:val="top"/>
          </w:tcPr>
          <w:p w14:paraId="08B94D40">
            <w:pPr>
              <w:rPr>
                <w:rFonts w:ascii="Arial"/>
                <w:sz w:val="21"/>
              </w:rPr>
            </w:pPr>
          </w:p>
        </w:tc>
        <w:tc>
          <w:tcPr>
            <w:tcW w:w="709" w:type="dxa"/>
            <w:vMerge w:val="continue"/>
            <w:tcBorders>
              <w:top w:val="nil"/>
              <w:bottom w:val="nil"/>
            </w:tcBorders>
            <w:vAlign w:val="top"/>
          </w:tcPr>
          <w:p w14:paraId="7E717DF2">
            <w:pPr>
              <w:rPr>
                <w:rFonts w:ascii="Arial"/>
                <w:sz w:val="21"/>
              </w:rPr>
            </w:pPr>
          </w:p>
        </w:tc>
        <w:tc>
          <w:tcPr>
            <w:tcW w:w="2049" w:type="dxa"/>
            <w:vMerge w:val="continue"/>
            <w:tcBorders>
              <w:top w:val="nil"/>
            </w:tcBorders>
            <w:vAlign w:val="top"/>
          </w:tcPr>
          <w:p w14:paraId="5C87189D">
            <w:pPr>
              <w:rPr>
                <w:rFonts w:ascii="Arial"/>
                <w:sz w:val="21"/>
              </w:rPr>
            </w:pPr>
          </w:p>
        </w:tc>
        <w:tc>
          <w:tcPr>
            <w:tcW w:w="1505" w:type="dxa"/>
            <w:vAlign w:val="top"/>
          </w:tcPr>
          <w:p w14:paraId="5755432D">
            <w:pPr>
              <w:spacing w:before="59" w:line="227" w:lineRule="auto"/>
              <w:ind w:left="444"/>
              <w:rPr>
                <w:rFonts w:ascii="宋体" w:hAnsi="宋体" w:eastAsia="宋体" w:cs="宋体"/>
                <w:sz w:val="20"/>
                <w:szCs w:val="20"/>
              </w:rPr>
            </w:pPr>
            <w:r>
              <w:rPr>
                <w:rFonts w:ascii="宋体" w:hAnsi="宋体" w:eastAsia="宋体" w:cs="宋体"/>
                <w:spacing w:val="5"/>
                <w:sz w:val="20"/>
                <w:szCs w:val="20"/>
              </w:rPr>
              <w:t>二甲苯</w:t>
            </w:r>
          </w:p>
        </w:tc>
        <w:tc>
          <w:tcPr>
            <w:tcW w:w="1146" w:type="dxa"/>
            <w:vAlign w:val="top"/>
          </w:tcPr>
          <w:p w14:paraId="1C44F33C">
            <w:pPr>
              <w:spacing w:before="59"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tcBorders>
            <w:vAlign w:val="top"/>
          </w:tcPr>
          <w:p w14:paraId="3285CBC0">
            <w:pPr>
              <w:rPr>
                <w:rFonts w:ascii="Arial"/>
                <w:sz w:val="21"/>
              </w:rPr>
            </w:pPr>
          </w:p>
        </w:tc>
        <w:tc>
          <w:tcPr>
            <w:tcW w:w="1066" w:type="dxa"/>
            <w:vAlign w:val="top"/>
          </w:tcPr>
          <w:p w14:paraId="7F78CDD6">
            <w:pPr>
              <w:spacing w:before="60"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045483F0">
            <w:pPr>
              <w:rPr>
                <w:rFonts w:ascii="Arial"/>
                <w:sz w:val="21"/>
              </w:rPr>
            </w:pPr>
          </w:p>
        </w:tc>
      </w:tr>
      <w:tr w14:paraId="3FB77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0AE83D8F">
            <w:pPr>
              <w:rPr>
                <w:rFonts w:ascii="Arial"/>
                <w:sz w:val="21"/>
              </w:rPr>
            </w:pPr>
          </w:p>
        </w:tc>
        <w:tc>
          <w:tcPr>
            <w:tcW w:w="113" w:type="dxa"/>
            <w:tcBorders>
              <w:top w:val="nil"/>
              <w:bottom w:val="nil"/>
            </w:tcBorders>
            <w:vAlign w:val="top"/>
          </w:tcPr>
          <w:p w14:paraId="079E95A1">
            <w:pPr>
              <w:rPr>
                <w:rFonts w:ascii="Arial"/>
                <w:sz w:val="21"/>
              </w:rPr>
            </w:pPr>
          </w:p>
        </w:tc>
        <w:tc>
          <w:tcPr>
            <w:tcW w:w="709" w:type="dxa"/>
            <w:vMerge w:val="continue"/>
            <w:tcBorders>
              <w:top w:val="nil"/>
              <w:bottom w:val="nil"/>
            </w:tcBorders>
            <w:vAlign w:val="top"/>
          </w:tcPr>
          <w:p w14:paraId="08A3E8E3">
            <w:pPr>
              <w:rPr>
                <w:rFonts w:ascii="Arial"/>
                <w:sz w:val="21"/>
              </w:rPr>
            </w:pPr>
          </w:p>
        </w:tc>
        <w:tc>
          <w:tcPr>
            <w:tcW w:w="2049" w:type="dxa"/>
            <w:vMerge w:val="restart"/>
            <w:tcBorders>
              <w:bottom w:val="nil"/>
            </w:tcBorders>
            <w:vAlign w:val="top"/>
          </w:tcPr>
          <w:p w14:paraId="494C1BB7">
            <w:pPr>
              <w:spacing w:line="329" w:lineRule="auto"/>
              <w:rPr>
                <w:rFonts w:ascii="Arial"/>
                <w:sz w:val="21"/>
              </w:rPr>
            </w:pPr>
          </w:p>
          <w:p w14:paraId="7B798FDA">
            <w:pPr>
              <w:spacing w:line="329" w:lineRule="auto"/>
              <w:rPr>
                <w:rFonts w:ascii="Arial"/>
                <w:sz w:val="21"/>
              </w:rPr>
            </w:pPr>
          </w:p>
          <w:p w14:paraId="12B5063C">
            <w:pPr>
              <w:spacing w:before="58" w:line="195" w:lineRule="auto"/>
              <w:ind w:left="711"/>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003</w:t>
            </w:r>
          </w:p>
        </w:tc>
        <w:tc>
          <w:tcPr>
            <w:tcW w:w="1505" w:type="dxa"/>
            <w:vAlign w:val="top"/>
          </w:tcPr>
          <w:p w14:paraId="68557A00">
            <w:pPr>
              <w:spacing w:before="51" w:line="228" w:lineRule="auto"/>
              <w:ind w:left="440"/>
              <w:rPr>
                <w:rFonts w:ascii="宋体" w:hAnsi="宋体" w:eastAsia="宋体" w:cs="宋体"/>
                <w:sz w:val="20"/>
                <w:szCs w:val="20"/>
              </w:rPr>
            </w:pPr>
            <w:r>
              <w:rPr>
                <w:rFonts w:ascii="宋体" w:hAnsi="宋体" w:eastAsia="宋体" w:cs="宋体"/>
                <w:spacing w:val="7"/>
                <w:sz w:val="20"/>
                <w:szCs w:val="20"/>
              </w:rPr>
              <w:t>颗粒物</w:t>
            </w:r>
          </w:p>
        </w:tc>
        <w:tc>
          <w:tcPr>
            <w:tcW w:w="1146" w:type="dxa"/>
            <w:vAlign w:val="top"/>
          </w:tcPr>
          <w:p w14:paraId="748A3E9B">
            <w:pPr>
              <w:spacing w:before="50"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Align w:val="top"/>
          </w:tcPr>
          <w:p w14:paraId="2995634A">
            <w:pPr>
              <w:spacing w:before="50" w:line="228" w:lineRule="auto"/>
              <w:ind w:left="111"/>
              <w:rPr>
                <w:rFonts w:ascii="宋体" w:hAnsi="宋体" w:eastAsia="宋体" w:cs="宋体"/>
                <w:sz w:val="20"/>
                <w:szCs w:val="20"/>
              </w:rPr>
            </w:pPr>
            <w:r>
              <w:rPr>
                <w:rFonts w:ascii="Times New Roman" w:hAnsi="Times New Roman" w:eastAsia="Times New Roman" w:cs="Times New Roman"/>
                <w:spacing w:val="6"/>
                <w:sz w:val="20"/>
                <w:szCs w:val="20"/>
              </w:rPr>
              <w:t>2025</w:t>
            </w:r>
            <w:r>
              <w:rPr>
                <w:rFonts w:ascii="Times New Roman" w:hAnsi="Times New Roman" w:eastAsia="Times New Roman" w:cs="Times New Roman"/>
                <w:spacing w:val="-7"/>
                <w:sz w:val="20"/>
                <w:szCs w:val="20"/>
              </w:rPr>
              <w:t xml:space="preserve"> </w:t>
            </w:r>
            <w:r>
              <w:rPr>
                <w:rFonts w:ascii="宋体" w:hAnsi="宋体" w:eastAsia="宋体" w:cs="宋体"/>
                <w:spacing w:val="6"/>
                <w:sz w:val="20"/>
                <w:szCs w:val="20"/>
              </w:rPr>
              <w:t>年按要求监测</w:t>
            </w:r>
          </w:p>
        </w:tc>
        <w:tc>
          <w:tcPr>
            <w:tcW w:w="1066" w:type="dxa"/>
            <w:vAlign w:val="top"/>
          </w:tcPr>
          <w:p w14:paraId="08A8CD4A">
            <w:pPr>
              <w:spacing w:before="51"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4D2CD089">
            <w:pPr>
              <w:rPr>
                <w:rFonts w:ascii="Arial"/>
                <w:sz w:val="21"/>
              </w:rPr>
            </w:pPr>
          </w:p>
        </w:tc>
      </w:tr>
      <w:tr w14:paraId="4CEF2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18685B4F">
            <w:pPr>
              <w:rPr>
                <w:rFonts w:ascii="Arial"/>
                <w:sz w:val="21"/>
              </w:rPr>
            </w:pPr>
          </w:p>
        </w:tc>
        <w:tc>
          <w:tcPr>
            <w:tcW w:w="113" w:type="dxa"/>
            <w:tcBorders>
              <w:top w:val="nil"/>
              <w:bottom w:val="nil"/>
            </w:tcBorders>
            <w:vAlign w:val="top"/>
          </w:tcPr>
          <w:p w14:paraId="5D240AAB">
            <w:pPr>
              <w:rPr>
                <w:rFonts w:ascii="Arial"/>
                <w:sz w:val="21"/>
              </w:rPr>
            </w:pPr>
          </w:p>
        </w:tc>
        <w:tc>
          <w:tcPr>
            <w:tcW w:w="709" w:type="dxa"/>
            <w:vMerge w:val="continue"/>
            <w:tcBorders>
              <w:top w:val="nil"/>
              <w:bottom w:val="nil"/>
            </w:tcBorders>
            <w:vAlign w:val="top"/>
          </w:tcPr>
          <w:p w14:paraId="3754C590">
            <w:pPr>
              <w:rPr>
                <w:rFonts w:ascii="Arial"/>
                <w:sz w:val="21"/>
              </w:rPr>
            </w:pPr>
          </w:p>
        </w:tc>
        <w:tc>
          <w:tcPr>
            <w:tcW w:w="2049" w:type="dxa"/>
            <w:vMerge w:val="continue"/>
            <w:tcBorders>
              <w:top w:val="nil"/>
              <w:bottom w:val="nil"/>
            </w:tcBorders>
            <w:vAlign w:val="top"/>
          </w:tcPr>
          <w:p w14:paraId="76AFBB1B">
            <w:pPr>
              <w:rPr>
                <w:rFonts w:ascii="Arial"/>
                <w:sz w:val="21"/>
              </w:rPr>
            </w:pPr>
          </w:p>
        </w:tc>
        <w:tc>
          <w:tcPr>
            <w:tcW w:w="1505" w:type="dxa"/>
            <w:vAlign w:val="top"/>
          </w:tcPr>
          <w:p w14:paraId="77789D19">
            <w:pPr>
              <w:spacing w:before="93" w:line="202" w:lineRule="auto"/>
              <w:ind w:left="594"/>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pacing w:val="1"/>
                <w:position w:val="-1"/>
                <w:sz w:val="13"/>
                <w:szCs w:val="13"/>
              </w:rPr>
              <w:t>2</w:t>
            </w:r>
          </w:p>
        </w:tc>
        <w:tc>
          <w:tcPr>
            <w:tcW w:w="1146" w:type="dxa"/>
            <w:vAlign w:val="top"/>
          </w:tcPr>
          <w:p w14:paraId="762F0B98">
            <w:pPr>
              <w:spacing w:before="49"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restart"/>
            <w:tcBorders>
              <w:bottom w:val="nil"/>
            </w:tcBorders>
            <w:vAlign w:val="top"/>
          </w:tcPr>
          <w:p w14:paraId="68636527">
            <w:pPr>
              <w:spacing w:line="304" w:lineRule="auto"/>
              <w:rPr>
                <w:rFonts w:ascii="Arial"/>
                <w:sz w:val="21"/>
              </w:rPr>
            </w:pPr>
          </w:p>
          <w:p w14:paraId="7253825F">
            <w:pPr>
              <w:spacing w:line="305" w:lineRule="auto"/>
              <w:rPr>
                <w:rFonts w:ascii="Arial"/>
                <w:sz w:val="21"/>
              </w:rPr>
            </w:pPr>
          </w:p>
          <w:p w14:paraId="66B821AF">
            <w:pPr>
              <w:spacing w:before="65" w:line="228" w:lineRule="auto"/>
              <w:ind w:left="111"/>
              <w:rPr>
                <w:rFonts w:ascii="宋体" w:hAnsi="宋体" w:eastAsia="宋体" w:cs="宋体"/>
                <w:sz w:val="20"/>
                <w:szCs w:val="20"/>
              </w:rPr>
            </w:pPr>
            <w:r>
              <w:rPr>
                <w:rFonts w:ascii="Times New Roman" w:hAnsi="Times New Roman" w:eastAsia="Times New Roman" w:cs="Times New Roman"/>
                <w:spacing w:val="6"/>
                <w:sz w:val="20"/>
                <w:szCs w:val="20"/>
              </w:rPr>
              <w:t>2025</w:t>
            </w:r>
            <w:r>
              <w:rPr>
                <w:rFonts w:ascii="Times New Roman" w:hAnsi="Times New Roman" w:eastAsia="Times New Roman" w:cs="Times New Roman"/>
                <w:spacing w:val="-7"/>
                <w:sz w:val="20"/>
                <w:szCs w:val="20"/>
              </w:rPr>
              <w:t xml:space="preserve"> </w:t>
            </w:r>
            <w:r>
              <w:rPr>
                <w:rFonts w:ascii="宋体" w:hAnsi="宋体" w:eastAsia="宋体" w:cs="宋体"/>
                <w:spacing w:val="6"/>
                <w:sz w:val="20"/>
                <w:szCs w:val="20"/>
              </w:rPr>
              <w:t>年按要求监测</w:t>
            </w:r>
          </w:p>
        </w:tc>
        <w:tc>
          <w:tcPr>
            <w:tcW w:w="1066" w:type="dxa"/>
            <w:vAlign w:val="top"/>
          </w:tcPr>
          <w:p w14:paraId="2979F6E4">
            <w:pPr>
              <w:spacing w:before="50"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1510AEE0">
            <w:pPr>
              <w:rPr>
                <w:rFonts w:ascii="Arial"/>
                <w:sz w:val="21"/>
              </w:rPr>
            </w:pPr>
          </w:p>
        </w:tc>
      </w:tr>
      <w:tr w14:paraId="69F10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36740D8E">
            <w:pPr>
              <w:rPr>
                <w:rFonts w:ascii="Arial"/>
                <w:sz w:val="21"/>
              </w:rPr>
            </w:pPr>
          </w:p>
        </w:tc>
        <w:tc>
          <w:tcPr>
            <w:tcW w:w="113" w:type="dxa"/>
            <w:tcBorders>
              <w:top w:val="nil"/>
              <w:bottom w:val="nil"/>
            </w:tcBorders>
            <w:vAlign w:val="top"/>
          </w:tcPr>
          <w:p w14:paraId="4CCC317F">
            <w:pPr>
              <w:rPr>
                <w:rFonts w:ascii="Arial"/>
                <w:sz w:val="21"/>
              </w:rPr>
            </w:pPr>
          </w:p>
        </w:tc>
        <w:tc>
          <w:tcPr>
            <w:tcW w:w="709" w:type="dxa"/>
            <w:vMerge w:val="continue"/>
            <w:tcBorders>
              <w:top w:val="nil"/>
              <w:bottom w:val="nil"/>
            </w:tcBorders>
            <w:vAlign w:val="top"/>
          </w:tcPr>
          <w:p w14:paraId="3D9A3814">
            <w:pPr>
              <w:rPr>
                <w:rFonts w:ascii="Arial"/>
                <w:sz w:val="21"/>
              </w:rPr>
            </w:pPr>
          </w:p>
        </w:tc>
        <w:tc>
          <w:tcPr>
            <w:tcW w:w="2049" w:type="dxa"/>
            <w:vMerge w:val="continue"/>
            <w:tcBorders>
              <w:top w:val="nil"/>
              <w:bottom w:val="nil"/>
            </w:tcBorders>
            <w:vAlign w:val="top"/>
          </w:tcPr>
          <w:p w14:paraId="41789D7C">
            <w:pPr>
              <w:rPr>
                <w:rFonts w:ascii="Arial"/>
                <w:sz w:val="21"/>
              </w:rPr>
            </w:pPr>
          </w:p>
        </w:tc>
        <w:tc>
          <w:tcPr>
            <w:tcW w:w="1505" w:type="dxa"/>
            <w:vAlign w:val="top"/>
          </w:tcPr>
          <w:p w14:paraId="09AFDEDA">
            <w:pPr>
              <w:spacing w:before="94" w:line="195"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NOx</w:t>
            </w:r>
          </w:p>
        </w:tc>
        <w:tc>
          <w:tcPr>
            <w:tcW w:w="1146" w:type="dxa"/>
            <w:vAlign w:val="top"/>
          </w:tcPr>
          <w:p w14:paraId="62F069EA">
            <w:pPr>
              <w:spacing w:before="50"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bottom w:val="nil"/>
            </w:tcBorders>
            <w:vAlign w:val="top"/>
          </w:tcPr>
          <w:p w14:paraId="1D2C3830">
            <w:pPr>
              <w:rPr>
                <w:rFonts w:ascii="Arial"/>
                <w:sz w:val="21"/>
              </w:rPr>
            </w:pPr>
          </w:p>
        </w:tc>
        <w:tc>
          <w:tcPr>
            <w:tcW w:w="1066" w:type="dxa"/>
            <w:vAlign w:val="top"/>
          </w:tcPr>
          <w:p w14:paraId="6D768A40">
            <w:pPr>
              <w:spacing w:before="51"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62E9F531">
            <w:pPr>
              <w:rPr>
                <w:rFonts w:ascii="Arial"/>
                <w:sz w:val="21"/>
              </w:rPr>
            </w:pPr>
          </w:p>
        </w:tc>
      </w:tr>
      <w:tr w14:paraId="1214F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0764FFF3">
            <w:pPr>
              <w:rPr>
                <w:rFonts w:ascii="Arial"/>
                <w:sz w:val="21"/>
              </w:rPr>
            </w:pPr>
          </w:p>
        </w:tc>
        <w:tc>
          <w:tcPr>
            <w:tcW w:w="113" w:type="dxa"/>
            <w:tcBorders>
              <w:top w:val="nil"/>
              <w:bottom w:val="nil"/>
            </w:tcBorders>
            <w:vAlign w:val="top"/>
          </w:tcPr>
          <w:p w14:paraId="6BF0A075">
            <w:pPr>
              <w:rPr>
                <w:rFonts w:ascii="Arial"/>
                <w:sz w:val="21"/>
              </w:rPr>
            </w:pPr>
          </w:p>
        </w:tc>
        <w:tc>
          <w:tcPr>
            <w:tcW w:w="709" w:type="dxa"/>
            <w:vMerge w:val="continue"/>
            <w:tcBorders>
              <w:top w:val="nil"/>
              <w:bottom w:val="nil"/>
            </w:tcBorders>
            <w:vAlign w:val="top"/>
          </w:tcPr>
          <w:p w14:paraId="3F806C4A">
            <w:pPr>
              <w:rPr>
                <w:rFonts w:ascii="Arial"/>
                <w:sz w:val="21"/>
              </w:rPr>
            </w:pPr>
          </w:p>
        </w:tc>
        <w:tc>
          <w:tcPr>
            <w:tcW w:w="2049" w:type="dxa"/>
            <w:vMerge w:val="continue"/>
            <w:tcBorders>
              <w:top w:val="nil"/>
            </w:tcBorders>
            <w:vAlign w:val="top"/>
          </w:tcPr>
          <w:p w14:paraId="2405CC90">
            <w:pPr>
              <w:rPr>
                <w:rFonts w:ascii="Arial"/>
                <w:sz w:val="21"/>
              </w:rPr>
            </w:pPr>
          </w:p>
        </w:tc>
        <w:tc>
          <w:tcPr>
            <w:tcW w:w="1505" w:type="dxa"/>
            <w:vAlign w:val="top"/>
          </w:tcPr>
          <w:p w14:paraId="2182DF3B">
            <w:pPr>
              <w:spacing w:before="49" w:line="231" w:lineRule="auto"/>
              <w:ind w:left="573"/>
              <w:rPr>
                <w:rFonts w:ascii="宋体" w:hAnsi="宋体" w:eastAsia="宋体" w:cs="宋体"/>
                <w:sz w:val="20"/>
                <w:szCs w:val="20"/>
              </w:rPr>
            </w:pPr>
            <w:r>
              <w:rPr>
                <w:rFonts w:ascii="宋体" w:hAnsi="宋体" w:eastAsia="宋体" w:cs="宋体"/>
                <w:spacing w:val="-9"/>
                <w:sz w:val="20"/>
                <w:szCs w:val="20"/>
              </w:rPr>
              <w:t>甲醛</w:t>
            </w:r>
          </w:p>
        </w:tc>
        <w:tc>
          <w:tcPr>
            <w:tcW w:w="1146" w:type="dxa"/>
            <w:vAlign w:val="top"/>
          </w:tcPr>
          <w:p w14:paraId="06DEAEBD">
            <w:pPr>
              <w:spacing w:before="49"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bottom w:val="nil"/>
            </w:tcBorders>
            <w:vAlign w:val="top"/>
          </w:tcPr>
          <w:p w14:paraId="7756C04C">
            <w:pPr>
              <w:rPr>
                <w:rFonts w:ascii="Arial"/>
                <w:sz w:val="21"/>
              </w:rPr>
            </w:pPr>
          </w:p>
        </w:tc>
        <w:tc>
          <w:tcPr>
            <w:tcW w:w="1066" w:type="dxa"/>
            <w:vAlign w:val="top"/>
          </w:tcPr>
          <w:p w14:paraId="382198D8">
            <w:pPr>
              <w:spacing w:before="50"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1F594C8C">
            <w:pPr>
              <w:rPr>
                <w:rFonts w:ascii="Arial"/>
                <w:sz w:val="21"/>
              </w:rPr>
            </w:pPr>
          </w:p>
        </w:tc>
      </w:tr>
      <w:tr w14:paraId="3EB35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28" w:type="dxa"/>
            <w:vMerge w:val="continue"/>
            <w:tcBorders>
              <w:top w:val="nil"/>
              <w:left w:val="single" w:color="000000" w:sz="6" w:space="0"/>
              <w:bottom w:val="nil"/>
            </w:tcBorders>
            <w:vAlign w:val="top"/>
          </w:tcPr>
          <w:p w14:paraId="1C8A1B15">
            <w:pPr>
              <w:rPr>
                <w:rFonts w:ascii="Arial"/>
                <w:sz w:val="21"/>
              </w:rPr>
            </w:pPr>
          </w:p>
        </w:tc>
        <w:tc>
          <w:tcPr>
            <w:tcW w:w="113" w:type="dxa"/>
            <w:tcBorders>
              <w:top w:val="nil"/>
              <w:bottom w:val="nil"/>
            </w:tcBorders>
            <w:vAlign w:val="top"/>
          </w:tcPr>
          <w:p w14:paraId="62DFEB49">
            <w:pPr>
              <w:rPr>
                <w:rFonts w:ascii="Arial"/>
                <w:sz w:val="21"/>
              </w:rPr>
            </w:pPr>
          </w:p>
        </w:tc>
        <w:tc>
          <w:tcPr>
            <w:tcW w:w="709" w:type="dxa"/>
            <w:vMerge w:val="continue"/>
            <w:tcBorders>
              <w:top w:val="nil"/>
              <w:bottom w:val="nil"/>
            </w:tcBorders>
            <w:vAlign w:val="top"/>
          </w:tcPr>
          <w:p w14:paraId="2CB14C81">
            <w:pPr>
              <w:rPr>
                <w:rFonts w:ascii="Arial"/>
                <w:sz w:val="21"/>
              </w:rPr>
            </w:pPr>
          </w:p>
        </w:tc>
        <w:tc>
          <w:tcPr>
            <w:tcW w:w="2049" w:type="dxa"/>
            <w:vAlign w:val="top"/>
          </w:tcPr>
          <w:p w14:paraId="1F2C02C4">
            <w:pPr>
              <w:spacing w:before="91" w:line="195" w:lineRule="auto"/>
              <w:ind w:left="711"/>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004</w:t>
            </w:r>
          </w:p>
        </w:tc>
        <w:tc>
          <w:tcPr>
            <w:tcW w:w="1505" w:type="dxa"/>
            <w:vAlign w:val="top"/>
          </w:tcPr>
          <w:p w14:paraId="03181DA0">
            <w:pPr>
              <w:spacing w:before="48" w:line="228" w:lineRule="auto"/>
              <w:ind w:left="440"/>
              <w:rPr>
                <w:rFonts w:ascii="宋体" w:hAnsi="宋体" w:eastAsia="宋体" w:cs="宋体"/>
                <w:sz w:val="20"/>
                <w:szCs w:val="20"/>
              </w:rPr>
            </w:pPr>
            <w:r>
              <w:rPr>
                <w:rFonts w:ascii="宋体" w:hAnsi="宋体" w:eastAsia="宋体" w:cs="宋体"/>
                <w:spacing w:val="7"/>
                <w:sz w:val="20"/>
                <w:szCs w:val="20"/>
              </w:rPr>
              <w:t>颗粒物</w:t>
            </w:r>
          </w:p>
        </w:tc>
        <w:tc>
          <w:tcPr>
            <w:tcW w:w="1146" w:type="dxa"/>
            <w:vAlign w:val="top"/>
          </w:tcPr>
          <w:p w14:paraId="35FF8B42">
            <w:pPr>
              <w:spacing w:before="48"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tcBorders>
            <w:vAlign w:val="top"/>
          </w:tcPr>
          <w:p w14:paraId="23AB63E0">
            <w:pPr>
              <w:rPr>
                <w:rFonts w:ascii="Arial"/>
                <w:sz w:val="21"/>
              </w:rPr>
            </w:pPr>
          </w:p>
        </w:tc>
        <w:tc>
          <w:tcPr>
            <w:tcW w:w="1066" w:type="dxa"/>
            <w:vAlign w:val="top"/>
          </w:tcPr>
          <w:p w14:paraId="3856E81B">
            <w:pPr>
              <w:spacing w:before="48"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12C3364A">
            <w:pPr>
              <w:rPr>
                <w:rFonts w:ascii="Arial"/>
                <w:sz w:val="21"/>
              </w:rPr>
            </w:pPr>
          </w:p>
        </w:tc>
      </w:tr>
      <w:tr w14:paraId="75DDC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66355F63">
            <w:pPr>
              <w:rPr>
                <w:rFonts w:ascii="Arial"/>
                <w:sz w:val="21"/>
              </w:rPr>
            </w:pPr>
          </w:p>
        </w:tc>
        <w:tc>
          <w:tcPr>
            <w:tcW w:w="113" w:type="dxa"/>
            <w:tcBorders>
              <w:top w:val="nil"/>
              <w:bottom w:val="nil"/>
            </w:tcBorders>
            <w:vAlign w:val="top"/>
          </w:tcPr>
          <w:p w14:paraId="61A2598A">
            <w:pPr>
              <w:rPr>
                <w:rFonts w:ascii="Arial"/>
                <w:sz w:val="21"/>
              </w:rPr>
            </w:pPr>
          </w:p>
        </w:tc>
        <w:tc>
          <w:tcPr>
            <w:tcW w:w="709" w:type="dxa"/>
            <w:vMerge w:val="continue"/>
            <w:tcBorders>
              <w:top w:val="nil"/>
              <w:bottom w:val="nil"/>
            </w:tcBorders>
            <w:vAlign w:val="top"/>
          </w:tcPr>
          <w:p w14:paraId="31AF7EC9">
            <w:pPr>
              <w:rPr>
                <w:rFonts w:ascii="Arial"/>
                <w:sz w:val="21"/>
              </w:rPr>
            </w:pPr>
          </w:p>
        </w:tc>
        <w:tc>
          <w:tcPr>
            <w:tcW w:w="2049" w:type="dxa"/>
            <w:vMerge w:val="restart"/>
            <w:tcBorders>
              <w:bottom w:val="nil"/>
            </w:tcBorders>
            <w:vAlign w:val="top"/>
          </w:tcPr>
          <w:p w14:paraId="60C37DF7">
            <w:pPr>
              <w:spacing w:before="259" w:line="228" w:lineRule="auto"/>
              <w:ind w:left="817"/>
              <w:rPr>
                <w:rFonts w:ascii="宋体" w:hAnsi="宋体" w:eastAsia="宋体" w:cs="宋体"/>
                <w:sz w:val="20"/>
                <w:szCs w:val="20"/>
              </w:rPr>
            </w:pPr>
            <w:r>
              <w:rPr>
                <w:rFonts w:ascii="宋体" w:hAnsi="宋体" w:eastAsia="宋体" w:cs="宋体"/>
                <w:spacing w:val="3"/>
                <w:sz w:val="20"/>
                <w:szCs w:val="20"/>
              </w:rPr>
              <w:t>厂界</w:t>
            </w:r>
          </w:p>
        </w:tc>
        <w:tc>
          <w:tcPr>
            <w:tcW w:w="1505" w:type="dxa"/>
            <w:vAlign w:val="top"/>
          </w:tcPr>
          <w:p w14:paraId="74BA960A">
            <w:pPr>
              <w:spacing w:before="50" w:line="228" w:lineRule="auto"/>
              <w:ind w:left="440"/>
              <w:rPr>
                <w:rFonts w:ascii="宋体" w:hAnsi="宋体" w:eastAsia="宋体" w:cs="宋体"/>
                <w:sz w:val="20"/>
                <w:szCs w:val="20"/>
              </w:rPr>
            </w:pPr>
            <w:r>
              <w:rPr>
                <w:rFonts w:ascii="宋体" w:hAnsi="宋体" w:eastAsia="宋体" w:cs="宋体"/>
                <w:spacing w:val="7"/>
                <w:sz w:val="20"/>
                <w:szCs w:val="20"/>
              </w:rPr>
              <w:t>颗粒物</w:t>
            </w:r>
          </w:p>
        </w:tc>
        <w:tc>
          <w:tcPr>
            <w:tcW w:w="1146" w:type="dxa"/>
            <w:vAlign w:val="top"/>
          </w:tcPr>
          <w:p w14:paraId="0A582F36">
            <w:pPr>
              <w:spacing w:before="50"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restart"/>
            <w:tcBorders>
              <w:bottom w:val="nil"/>
            </w:tcBorders>
            <w:vAlign w:val="top"/>
          </w:tcPr>
          <w:p w14:paraId="650EBD10">
            <w:pPr>
              <w:spacing w:before="258" w:line="228" w:lineRule="auto"/>
              <w:ind w:left="111"/>
              <w:rPr>
                <w:rFonts w:ascii="宋体" w:hAnsi="宋体" w:eastAsia="宋体" w:cs="宋体"/>
                <w:sz w:val="20"/>
                <w:szCs w:val="20"/>
              </w:rPr>
            </w:pPr>
            <w:r>
              <w:rPr>
                <w:rFonts w:ascii="Times New Roman" w:hAnsi="Times New Roman" w:eastAsia="Times New Roman" w:cs="Times New Roman"/>
                <w:spacing w:val="6"/>
                <w:sz w:val="20"/>
                <w:szCs w:val="20"/>
              </w:rPr>
              <w:t>2025</w:t>
            </w:r>
            <w:r>
              <w:rPr>
                <w:rFonts w:ascii="Times New Roman" w:hAnsi="Times New Roman" w:eastAsia="Times New Roman" w:cs="Times New Roman"/>
                <w:spacing w:val="-7"/>
                <w:sz w:val="20"/>
                <w:szCs w:val="20"/>
              </w:rPr>
              <w:t xml:space="preserve"> </w:t>
            </w:r>
            <w:r>
              <w:rPr>
                <w:rFonts w:ascii="宋体" w:hAnsi="宋体" w:eastAsia="宋体" w:cs="宋体"/>
                <w:spacing w:val="6"/>
                <w:sz w:val="20"/>
                <w:szCs w:val="20"/>
              </w:rPr>
              <w:t>年按要求监测</w:t>
            </w:r>
          </w:p>
        </w:tc>
        <w:tc>
          <w:tcPr>
            <w:tcW w:w="1066" w:type="dxa"/>
            <w:vAlign w:val="top"/>
          </w:tcPr>
          <w:p w14:paraId="2150413D">
            <w:pPr>
              <w:spacing w:before="50"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6607B9AB">
            <w:pPr>
              <w:rPr>
                <w:rFonts w:ascii="Arial"/>
                <w:sz w:val="21"/>
              </w:rPr>
            </w:pPr>
          </w:p>
        </w:tc>
      </w:tr>
      <w:tr w14:paraId="34500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28" w:type="dxa"/>
            <w:vMerge w:val="continue"/>
            <w:tcBorders>
              <w:top w:val="nil"/>
              <w:left w:val="single" w:color="000000" w:sz="6" w:space="0"/>
              <w:bottom w:val="nil"/>
            </w:tcBorders>
            <w:vAlign w:val="top"/>
          </w:tcPr>
          <w:p w14:paraId="697A1431">
            <w:pPr>
              <w:rPr>
                <w:rFonts w:ascii="Arial"/>
                <w:sz w:val="21"/>
              </w:rPr>
            </w:pPr>
          </w:p>
        </w:tc>
        <w:tc>
          <w:tcPr>
            <w:tcW w:w="113" w:type="dxa"/>
            <w:tcBorders>
              <w:top w:val="nil"/>
              <w:bottom w:val="nil"/>
            </w:tcBorders>
            <w:vAlign w:val="top"/>
          </w:tcPr>
          <w:p w14:paraId="0C506F83">
            <w:pPr>
              <w:rPr>
                <w:rFonts w:ascii="Arial"/>
                <w:sz w:val="21"/>
              </w:rPr>
            </w:pPr>
          </w:p>
        </w:tc>
        <w:tc>
          <w:tcPr>
            <w:tcW w:w="709" w:type="dxa"/>
            <w:vMerge w:val="continue"/>
            <w:tcBorders>
              <w:top w:val="nil"/>
            </w:tcBorders>
            <w:vAlign w:val="top"/>
          </w:tcPr>
          <w:p w14:paraId="75396D8E">
            <w:pPr>
              <w:rPr>
                <w:rFonts w:ascii="Arial"/>
                <w:sz w:val="21"/>
              </w:rPr>
            </w:pPr>
          </w:p>
        </w:tc>
        <w:tc>
          <w:tcPr>
            <w:tcW w:w="2049" w:type="dxa"/>
            <w:vMerge w:val="continue"/>
            <w:tcBorders>
              <w:top w:val="nil"/>
            </w:tcBorders>
            <w:vAlign w:val="top"/>
          </w:tcPr>
          <w:p w14:paraId="1CA0F3E9">
            <w:pPr>
              <w:rPr>
                <w:rFonts w:ascii="Arial"/>
                <w:sz w:val="21"/>
              </w:rPr>
            </w:pPr>
          </w:p>
        </w:tc>
        <w:tc>
          <w:tcPr>
            <w:tcW w:w="1505" w:type="dxa"/>
            <w:vAlign w:val="top"/>
          </w:tcPr>
          <w:p w14:paraId="3ADE6B4F">
            <w:pPr>
              <w:spacing w:before="49" w:line="228" w:lineRule="auto"/>
              <w:ind w:left="235"/>
              <w:rPr>
                <w:rFonts w:ascii="宋体" w:hAnsi="宋体" w:eastAsia="宋体" w:cs="宋体"/>
                <w:sz w:val="20"/>
                <w:szCs w:val="20"/>
              </w:rPr>
            </w:pPr>
            <w:r>
              <w:rPr>
                <w:rFonts w:ascii="宋体" w:hAnsi="宋体" w:eastAsia="宋体" w:cs="宋体"/>
                <w:spacing w:val="7"/>
                <w:sz w:val="20"/>
                <w:szCs w:val="20"/>
              </w:rPr>
              <w:t>非甲烷总烃</w:t>
            </w:r>
          </w:p>
        </w:tc>
        <w:tc>
          <w:tcPr>
            <w:tcW w:w="1146" w:type="dxa"/>
            <w:vAlign w:val="top"/>
          </w:tcPr>
          <w:p w14:paraId="7C5F7057">
            <w:pPr>
              <w:spacing w:before="48"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tcBorders>
            <w:vAlign w:val="top"/>
          </w:tcPr>
          <w:p w14:paraId="405886EA">
            <w:pPr>
              <w:rPr>
                <w:rFonts w:ascii="Arial"/>
                <w:sz w:val="21"/>
              </w:rPr>
            </w:pPr>
          </w:p>
        </w:tc>
        <w:tc>
          <w:tcPr>
            <w:tcW w:w="1066" w:type="dxa"/>
            <w:vAlign w:val="top"/>
          </w:tcPr>
          <w:p w14:paraId="3F78D8C5">
            <w:pPr>
              <w:spacing w:before="49"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63861A77">
            <w:pPr>
              <w:rPr>
                <w:rFonts w:ascii="Arial"/>
                <w:sz w:val="21"/>
              </w:rPr>
            </w:pPr>
          </w:p>
        </w:tc>
      </w:tr>
      <w:tr w14:paraId="32970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0BA6C195">
            <w:pPr>
              <w:rPr>
                <w:rFonts w:ascii="Arial"/>
                <w:sz w:val="21"/>
              </w:rPr>
            </w:pPr>
          </w:p>
        </w:tc>
        <w:tc>
          <w:tcPr>
            <w:tcW w:w="113" w:type="dxa"/>
            <w:tcBorders>
              <w:top w:val="nil"/>
              <w:bottom w:val="nil"/>
            </w:tcBorders>
            <w:vAlign w:val="top"/>
          </w:tcPr>
          <w:p w14:paraId="0B6B35EC">
            <w:pPr>
              <w:rPr>
                <w:rFonts w:ascii="Arial"/>
                <w:sz w:val="21"/>
              </w:rPr>
            </w:pPr>
          </w:p>
        </w:tc>
        <w:tc>
          <w:tcPr>
            <w:tcW w:w="709" w:type="dxa"/>
            <w:vAlign w:val="top"/>
          </w:tcPr>
          <w:p w14:paraId="0AC08D2B">
            <w:pPr>
              <w:spacing w:before="39" w:line="228" w:lineRule="auto"/>
              <w:ind w:left="153"/>
              <w:rPr>
                <w:rFonts w:ascii="宋体" w:hAnsi="宋体" w:eastAsia="宋体" w:cs="宋体"/>
                <w:sz w:val="20"/>
                <w:szCs w:val="20"/>
              </w:rPr>
            </w:pPr>
            <w:r>
              <w:rPr>
                <w:rFonts w:ascii="宋体" w:hAnsi="宋体" w:eastAsia="宋体" w:cs="宋体"/>
                <w:spacing w:val="-1"/>
                <w:sz w:val="20"/>
                <w:szCs w:val="20"/>
              </w:rPr>
              <w:t>噪声</w:t>
            </w:r>
          </w:p>
        </w:tc>
        <w:tc>
          <w:tcPr>
            <w:tcW w:w="2049" w:type="dxa"/>
            <w:vAlign w:val="top"/>
          </w:tcPr>
          <w:p w14:paraId="510BEDD3">
            <w:pPr>
              <w:spacing w:before="38" w:line="228" w:lineRule="auto"/>
              <w:ind w:left="114"/>
              <w:rPr>
                <w:rFonts w:ascii="宋体" w:hAnsi="宋体" w:eastAsia="宋体" w:cs="宋体"/>
                <w:sz w:val="20"/>
                <w:szCs w:val="20"/>
              </w:rPr>
            </w:pPr>
            <w:r>
              <w:rPr>
                <w:rFonts w:ascii="宋体" w:hAnsi="宋体" w:eastAsia="宋体" w:cs="宋体"/>
                <w:spacing w:val="2"/>
                <w:sz w:val="20"/>
                <w:szCs w:val="20"/>
              </w:rPr>
              <w:t>东、西、南、北厂界</w:t>
            </w:r>
          </w:p>
        </w:tc>
        <w:tc>
          <w:tcPr>
            <w:tcW w:w="1505" w:type="dxa"/>
            <w:vAlign w:val="top"/>
          </w:tcPr>
          <w:p w14:paraId="2AC04488">
            <w:pPr>
              <w:spacing w:before="39" w:line="221" w:lineRule="auto"/>
              <w:ind w:left="302"/>
              <w:rPr>
                <w:rFonts w:ascii="宋体" w:hAnsi="宋体" w:eastAsia="宋体" w:cs="宋体"/>
                <w:sz w:val="20"/>
                <w:szCs w:val="20"/>
              </w:rPr>
            </w:pPr>
            <w:r>
              <w:rPr>
                <w:rFonts w:ascii="Times New Roman" w:hAnsi="Times New Roman" w:eastAsia="Times New Roman" w:cs="Times New Roman"/>
                <w:sz w:val="20"/>
                <w:szCs w:val="20"/>
              </w:rPr>
              <w:t>Leq</w:t>
            </w:r>
            <w:r>
              <w:rPr>
                <w:rFonts w:ascii="宋体" w:hAnsi="宋体" w:eastAsia="宋体" w:cs="宋体"/>
                <w:spacing w:val="9"/>
                <w:sz w:val="20"/>
                <w:szCs w:val="20"/>
              </w:rPr>
              <w:t>（</w:t>
            </w:r>
            <w:r>
              <w:rPr>
                <w:rFonts w:ascii="Times New Roman" w:hAnsi="Times New Roman" w:eastAsia="Times New Roman" w:cs="Times New Roman"/>
                <w:spacing w:val="9"/>
                <w:sz w:val="20"/>
                <w:szCs w:val="20"/>
              </w:rPr>
              <w:t>A</w:t>
            </w:r>
            <w:r>
              <w:rPr>
                <w:rFonts w:ascii="宋体" w:hAnsi="宋体" w:eastAsia="宋体" w:cs="宋体"/>
                <w:spacing w:val="9"/>
                <w:sz w:val="20"/>
                <w:szCs w:val="20"/>
              </w:rPr>
              <w:t>）</w:t>
            </w:r>
          </w:p>
        </w:tc>
        <w:tc>
          <w:tcPr>
            <w:tcW w:w="1146" w:type="dxa"/>
            <w:vAlign w:val="top"/>
          </w:tcPr>
          <w:p w14:paraId="0F314BFC">
            <w:pPr>
              <w:spacing w:before="38"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季</w:t>
            </w:r>
          </w:p>
        </w:tc>
        <w:tc>
          <w:tcPr>
            <w:tcW w:w="1923" w:type="dxa"/>
            <w:vAlign w:val="top"/>
          </w:tcPr>
          <w:p w14:paraId="2E3F5A0D">
            <w:pPr>
              <w:spacing w:before="38" w:line="228" w:lineRule="auto"/>
              <w:ind w:left="111"/>
              <w:rPr>
                <w:rFonts w:ascii="宋体" w:hAnsi="宋体" w:eastAsia="宋体" w:cs="宋体"/>
                <w:sz w:val="20"/>
                <w:szCs w:val="20"/>
              </w:rPr>
            </w:pPr>
            <w:r>
              <w:rPr>
                <w:rFonts w:ascii="Times New Roman" w:hAnsi="Times New Roman" w:eastAsia="Times New Roman" w:cs="Times New Roman"/>
                <w:spacing w:val="6"/>
                <w:sz w:val="20"/>
                <w:szCs w:val="20"/>
              </w:rPr>
              <w:t>2025</w:t>
            </w:r>
            <w:r>
              <w:rPr>
                <w:rFonts w:ascii="Times New Roman" w:hAnsi="Times New Roman" w:eastAsia="Times New Roman" w:cs="Times New Roman"/>
                <w:spacing w:val="-7"/>
                <w:sz w:val="20"/>
                <w:szCs w:val="20"/>
              </w:rPr>
              <w:t xml:space="preserve"> </w:t>
            </w:r>
            <w:r>
              <w:rPr>
                <w:rFonts w:ascii="宋体" w:hAnsi="宋体" w:eastAsia="宋体" w:cs="宋体"/>
                <w:spacing w:val="6"/>
                <w:sz w:val="20"/>
                <w:szCs w:val="20"/>
              </w:rPr>
              <w:t>年按要求监测</w:t>
            </w:r>
          </w:p>
        </w:tc>
        <w:tc>
          <w:tcPr>
            <w:tcW w:w="1066" w:type="dxa"/>
            <w:vAlign w:val="top"/>
          </w:tcPr>
          <w:p w14:paraId="6825B778">
            <w:pPr>
              <w:spacing w:before="39"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1BB6AADD">
            <w:pPr>
              <w:rPr>
                <w:rFonts w:ascii="Arial"/>
                <w:sz w:val="21"/>
              </w:rPr>
            </w:pPr>
          </w:p>
        </w:tc>
      </w:tr>
      <w:tr w14:paraId="09D4E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428" w:type="dxa"/>
            <w:vMerge w:val="continue"/>
            <w:tcBorders>
              <w:top w:val="nil"/>
              <w:left w:val="single" w:color="000000" w:sz="6" w:space="0"/>
              <w:bottom w:val="nil"/>
            </w:tcBorders>
            <w:vAlign w:val="top"/>
          </w:tcPr>
          <w:p w14:paraId="3A435B7E">
            <w:pPr>
              <w:rPr>
                <w:rFonts w:ascii="Arial"/>
                <w:sz w:val="21"/>
              </w:rPr>
            </w:pPr>
          </w:p>
        </w:tc>
        <w:tc>
          <w:tcPr>
            <w:tcW w:w="113" w:type="dxa"/>
            <w:tcBorders>
              <w:top w:val="nil"/>
              <w:bottom w:val="nil"/>
            </w:tcBorders>
            <w:vAlign w:val="top"/>
          </w:tcPr>
          <w:p w14:paraId="090D6E6B">
            <w:pPr>
              <w:rPr>
                <w:rFonts w:ascii="Arial"/>
                <w:sz w:val="21"/>
              </w:rPr>
            </w:pPr>
          </w:p>
        </w:tc>
        <w:tc>
          <w:tcPr>
            <w:tcW w:w="709" w:type="dxa"/>
            <w:vMerge w:val="restart"/>
            <w:tcBorders>
              <w:bottom w:val="nil"/>
            </w:tcBorders>
            <w:vAlign w:val="top"/>
          </w:tcPr>
          <w:p w14:paraId="3CF119A8">
            <w:pPr>
              <w:spacing w:line="245" w:lineRule="auto"/>
              <w:rPr>
                <w:rFonts w:ascii="Arial"/>
                <w:sz w:val="21"/>
              </w:rPr>
            </w:pPr>
          </w:p>
          <w:p w14:paraId="0BB38AE7">
            <w:pPr>
              <w:spacing w:line="245" w:lineRule="auto"/>
              <w:rPr>
                <w:rFonts w:ascii="Arial"/>
                <w:sz w:val="21"/>
              </w:rPr>
            </w:pPr>
          </w:p>
          <w:p w14:paraId="16D12A3C">
            <w:pPr>
              <w:spacing w:line="245" w:lineRule="auto"/>
              <w:rPr>
                <w:rFonts w:ascii="Arial"/>
                <w:sz w:val="21"/>
              </w:rPr>
            </w:pPr>
          </w:p>
          <w:p w14:paraId="49E0C405">
            <w:pPr>
              <w:spacing w:line="246" w:lineRule="auto"/>
              <w:rPr>
                <w:rFonts w:ascii="Arial"/>
                <w:sz w:val="21"/>
              </w:rPr>
            </w:pPr>
          </w:p>
          <w:p w14:paraId="64C54005">
            <w:pPr>
              <w:spacing w:line="246" w:lineRule="auto"/>
              <w:rPr>
                <w:rFonts w:ascii="Arial"/>
                <w:sz w:val="21"/>
              </w:rPr>
            </w:pPr>
          </w:p>
          <w:p w14:paraId="0C5BE40C">
            <w:pPr>
              <w:spacing w:line="246" w:lineRule="auto"/>
              <w:rPr>
                <w:rFonts w:ascii="Arial"/>
                <w:sz w:val="21"/>
              </w:rPr>
            </w:pPr>
          </w:p>
          <w:p w14:paraId="4393286B">
            <w:pPr>
              <w:spacing w:line="246" w:lineRule="auto"/>
              <w:rPr>
                <w:rFonts w:ascii="Arial"/>
                <w:sz w:val="21"/>
              </w:rPr>
            </w:pPr>
          </w:p>
          <w:p w14:paraId="04F790DA">
            <w:pPr>
              <w:spacing w:line="246" w:lineRule="auto"/>
              <w:rPr>
                <w:rFonts w:ascii="Arial"/>
                <w:sz w:val="21"/>
              </w:rPr>
            </w:pPr>
          </w:p>
          <w:p w14:paraId="771A8CF4">
            <w:pPr>
              <w:spacing w:line="246" w:lineRule="auto"/>
              <w:rPr>
                <w:rFonts w:ascii="Arial"/>
                <w:sz w:val="21"/>
              </w:rPr>
            </w:pPr>
          </w:p>
          <w:p w14:paraId="21386987">
            <w:pPr>
              <w:spacing w:line="246" w:lineRule="auto"/>
              <w:rPr>
                <w:rFonts w:ascii="Arial"/>
                <w:sz w:val="21"/>
              </w:rPr>
            </w:pPr>
          </w:p>
          <w:p w14:paraId="3B7382A3">
            <w:pPr>
              <w:spacing w:before="65" w:line="228" w:lineRule="auto"/>
              <w:ind w:left="142"/>
              <w:rPr>
                <w:rFonts w:ascii="宋体" w:hAnsi="宋体" w:eastAsia="宋体" w:cs="宋体"/>
                <w:sz w:val="20"/>
                <w:szCs w:val="20"/>
              </w:rPr>
            </w:pPr>
            <w:r>
              <w:rPr>
                <w:rFonts w:ascii="宋体" w:hAnsi="宋体" w:eastAsia="宋体" w:cs="宋体"/>
                <w:spacing w:val="5"/>
                <w:sz w:val="20"/>
                <w:szCs w:val="20"/>
              </w:rPr>
              <w:t>废水</w:t>
            </w:r>
          </w:p>
        </w:tc>
        <w:tc>
          <w:tcPr>
            <w:tcW w:w="2049" w:type="dxa"/>
            <w:vMerge w:val="restart"/>
            <w:tcBorders>
              <w:bottom w:val="nil"/>
            </w:tcBorders>
            <w:vAlign w:val="top"/>
          </w:tcPr>
          <w:p w14:paraId="2BCBC878">
            <w:pPr>
              <w:spacing w:line="245" w:lineRule="auto"/>
              <w:rPr>
                <w:rFonts w:ascii="Arial"/>
                <w:sz w:val="21"/>
              </w:rPr>
            </w:pPr>
          </w:p>
          <w:p w14:paraId="50DB167A">
            <w:pPr>
              <w:spacing w:line="245" w:lineRule="auto"/>
              <w:rPr>
                <w:rFonts w:ascii="Arial"/>
                <w:sz w:val="21"/>
              </w:rPr>
            </w:pPr>
          </w:p>
          <w:p w14:paraId="67946330">
            <w:pPr>
              <w:spacing w:line="245" w:lineRule="auto"/>
              <w:rPr>
                <w:rFonts w:ascii="Arial"/>
                <w:sz w:val="21"/>
              </w:rPr>
            </w:pPr>
          </w:p>
          <w:p w14:paraId="6F844223">
            <w:pPr>
              <w:spacing w:line="246" w:lineRule="auto"/>
              <w:rPr>
                <w:rFonts w:ascii="Arial"/>
                <w:sz w:val="21"/>
              </w:rPr>
            </w:pPr>
          </w:p>
          <w:p w14:paraId="03E1A18A">
            <w:pPr>
              <w:spacing w:line="246" w:lineRule="auto"/>
              <w:rPr>
                <w:rFonts w:ascii="Arial"/>
                <w:sz w:val="21"/>
              </w:rPr>
            </w:pPr>
          </w:p>
          <w:p w14:paraId="5BFB5882">
            <w:pPr>
              <w:spacing w:line="246" w:lineRule="auto"/>
              <w:rPr>
                <w:rFonts w:ascii="Arial"/>
                <w:sz w:val="21"/>
              </w:rPr>
            </w:pPr>
          </w:p>
          <w:p w14:paraId="1273EC03">
            <w:pPr>
              <w:spacing w:line="246" w:lineRule="auto"/>
              <w:rPr>
                <w:rFonts w:ascii="Arial"/>
                <w:sz w:val="21"/>
              </w:rPr>
            </w:pPr>
          </w:p>
          <w:p w14:paraId="30C915CC">
            <w:pPr>
              <w:spacing w:line="246" w:lineRule="auto"/>
              <w:rPr>
                <w:rFonts w:ascii="Arial"/>
                <w:sz w:val="21"/>
              </w:rPr>
            </w:pPr>
          </w:p>
          <w:p w14:paraId="37DCA64D">
            <w:pPr>
              <w:spacing w:line="246" w:lineRule="auto"/>
              <w:rPr>
                <w:rFonts w:ascii="Arial"/>
                <w:sz w:val="21"/>
              </w:rPr>
            </w:pPr>
          </w:p>
          <w:p w14:paraId="41750F99">
            <w:pPr>
              <w:spacing w:line="246" w:lineRule="auto"/>
              <w:rPr>
                <w:rFonts w:ascii="Arial"/>
                <w:sz w:val="21"/>
              </w:rPr>
            </w:pPr>
          </w:p>
          <w:p w14:paraId="60E341EB">
            <w:pPr>
              <w:spacing w:before="65" w:line="228" w:lineRule="auto"/>
              <w:ind w:left="415"/>
              <w:rPr>
                <w:rFonts w:ascii="宋体" w:hAnsi="宋体" w:eastAsia="宋体" w:cs="宋体"/>
                <w:sz w:val="20"/>
                <w:szCs w:val="20"/>
              </w:rPr>
            </w:pPr>
            <w:r>
              <w:rPr>
                <w:rFonts w:ascii="宋体" w:hAnsi="宋体" w:eastAsia="宋体" w:cs="宋体"/>
                <w:spacing w:val="4"/>
                <w:sz w:val="20"/>
                <w:szCs w:val="20"/>
              </w:rPr>
              <w:t>回用水排放口</w:t>
            </w:r>
          </w:p>
        </w:tc>
        <w:tc>
          <w:tcPr>
            <w:tcW w:w="1505" w:type="dxa"/>
            <w:vAlign w:val="top"/>
          </w:tcPr>
          <w:p w14:paraId="21F3352C">
            <w:pPr>
              <w:spacing w:before="83" w:line="194" w:lineRule="auto"/>
              <w:ind w:left="61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pH</w:t>
            </w:r>
          </w:p>
        </w:tc>
        <w:tc>
          <w:tcPr>
            <w:tcW w:w="1146" w:type="dxa"/>
            <w:vAlign w:val="top"/>
          </w:tcPr>
          <w:p w14:paraId="691A7B1D">
            <w:pPr>
              <w:spacing w:before="37"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restart"/>
            <w:tcBorders>
              <w:bottom w:val="nil"/>
            </w:tcBorders>
            <w:vAlign w:val="top"/>
          </w:tcPr>
          <w:p w14:paraId="3E490637">
            <w:pPr>
              <w:spacing w:line="245" w:lineRule="auto"/>
              <w:rPr>
                <w:rFonts w:ascii="Arial"/>
                <w:sz w:val="21"/>
              </w:rPr>
            </w:pPr>
          </w:p>
          <w:p w14:paraId="5AD609A5">
            <w:pPr>
              <w:spacing w:line="245" w:lineRule="auto"/>
              <w:rPr>
                <w:rFonts w:ascii="Arial"/>
                <w:sz w:val="21"/>
              </w:rPr>
            </w:pPr>
          </w:p>
          <w:p w14:paraId="5E69D0B9">
            <w:pPr>
              <w:spacing w:line="245" w:lineRule="auto"/>
              <w:rPr>
                <w:rFonts w:ascii="Arial"/>
                <w:sz w:val="21"/>
              </w:rPr>
            </w:pPr>
          </w:p>
          <w:p w14:paraId="7FC8E1D7">
            <w:pPr>
              <w:spacing w:line="246" w:lineRule="auto"/>
              <w:rPr>
                <w:rFonts w:ascii="Arial"/>
                <w:sz w:val="21"/>
              </w:rPr>
            </w:pPr>
          </w:p>
          <w:p w14:paraId="0719EB7B">
            <w:pPr>
              <w:spacing w:line="246" w:lineRule="auto"/>
              <w:rPr>
                <w:rFonts w:ascii="Arial"/>
                <w:sz w:val="21"/>
              </w:rPr>
            </w:pPr>
          </w:p>
          <w:p w14:paraId="5A21FAE9">
            <w:pPr>
              <w:spacing w:line="246" w:lineRule="auto"/>
              <w:rPr>
                <w:rFonts w:ascii="Arial"/>
                <w:sz w:val="21"/>
              </w:rPr>
            </w:pPr>
          </w:p>
          <w:p w14:paraId="47E18F21">
            <w:pPr>
              <w:spacing w:line="246" w:lineRule="auto"/>
              <w:rPr>
                <w:rFonts w:ascii="Arial"/>
                <w:sz w:val="21"/>
              </w:rPr>
            </w:pPr>
          </w:p>
          <w:p w14:paraId="49A2E8FA">
            <w:pPr>
              <w:spacing w:line="246" w:lineRule="auto"/>
              <w:rPr>
                <w:rFonts w:ascii="Arial"/>
                <w:sz w:val="21"/>
              </w:rPr>
            </w:pPr>
          </w:p>
          <w:p w14:paraId="321446C4">
            <w:pPr>
              <w:spacing w:line="246" w:lineRule="auto"/>
              <w:rPr>
                <w:rFonts w:ascii="Arial"/>
                <w:sz w:val="21"/>
              </w:rPr>
            </w:pPr>
          </w:p>
          <w:p w14:paraId="60C6EDEB">
            <w:pPr>
              <w:spacing w:line="246" w:lineRule="auto"/>
              <w:rPr>
                <w:rFonts w:ascii="Arial"/>
                <w:sz w:val="21"/>
              </w:rPr>
            </w:pPr>
          </w:p>
          <w:p w14:paraId="5E89BF62">
            <w:pPr>
              <w:spacing w:before="65" w:line="228" w:lineRule="auto"/>
              <w:ind w:left="111"/>
              <w:rPr>
                <w:rFonts w:ascii="宋体" w:hAnsi="宋体" w:eastAsia="宋体" w:cs="宋体"/>
                <w:sz w:val="20"/>
                <w:szCs w:val="20"/>
              </w:rPr>
            </w:pPr>
            <w:r>
              <w:rPr>
                <w:rFonts w:ascii="Times New Roman" w:hAnsi="Times New Roman" w:eastAsia="Times New Roman" w:cs="Times New Roman"/>
                <w:spacing w:val="6"/>
                <w:sz w:val="20"/>
                <w:szCs w:val="20"/>
              </w:rPr>
              <w:t>2025</w:t>
            </w:r>
            <w:r>
              <w:rPr>
                <w:rFonts w:ascii="Times New Roman" w:hAnsi="Times New Roman" w:eastAsia="Times New Roman" w:cs="Times New Roman"/>
                <w:spacing w:val="-7"/>
                <w:sz w:val="20"/>
                <w:szCs w:val="20"/>
              </w:rPr>
              <w:t xml:space="preserve"> </w:t>
            </w:r>
            <w:r>
              <w:rPr>
                <w:rFonts w:ascii="宋体" w:hAnsi="宋体" w:eastAsia="宋体" w:cs="宋体"/>
                <w:spacing w:val="6"/>
                <w:sz w:val="20"/>
                <w:szCs w:val="20"/>
              </w:rPr>
              <w:t>年按要求监测</w:t>
            </w:r>
          </w:p>
        </w:tc>
        <w:tc>
          <w:tcPr>
            <w:tcW w:w="1066" w:type="dxa"/>
            <w:vAlign w:val="top"/>
          </w:tcPr>
          <w:p w14:paraId="782A87B1">
            <w:pPr>
              <w:spacing w:before="38"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5908F2BB">
            <w:pPr>
              <w:rPr>
                <w:rFonts w:ascii="Arial"/>
                <w:sz w:val="21"/>
              </w:rPr>
            </w:pPr>
          </w:p>
        </w:tc>
      </w:tr>
      <w:tr w14:paraId="24C08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24005B1E">
            <w:pPr>
              <w:rPr>
                <w:rFonts w:ascii="Arial"/>
                <w:sz w:val="21"/>
              </w:rPr>
            </w:pPr>
          </w:p>
        </w:tc>
        <w:tc>
          <w:tcPr>
            <w:tcW w:w="113" w:type="dxa"/>
            <w:tcBorders>
              <w:top w:val="nil"/>
              <w:bottom w:val="nil"/>
            </w:tcBorders>
            <w:vAlign w:val="top"/>
          </w:tcPr>
          <w:p w14:paraId="1A1CB882">
            <w:pPr>
              <w:rPr>
                <w:rFonts w:ascii="Arial"/>
                <w:sz w:val="21"/>
              </w:rPr>
            </w:pPr>
          </w:p>
        </w:tc>
        <w:tc>
          <w:tcPr>
            <w:tcW w:w="709" w:type="dxa"/>
            <w:vMerge w:val="continue"/>
            <w:tcBorders>
              <w:top w:val="nil"/>
              <w:bottom w:val="nil"/>
            </w:tcBorders>
            <w:vAlign w:val="top"/>
          </w:tcPr>
          <w:p w14:paraId="5A0941B3">
            <w:pPr>
              <w:rPr>
                <w:rFonts w:ascii="Arial"/>
                <w:sz w:val="21"/>
              </w:rPr>
            </w:pPr>
          </w:p>
        </w:tc>
        <w:tc>
          <w:tcPr>
            <w:tcW w:w="2049" w:type="dxa"/>
            <w:vMerge w:val="continue"/>
            <w:tcBorders>
              <w:top w:val="nil"/>
              <w:bottom w:val="nil"/>
            </w:tcBorders>
            <w:vAlign w:val="top"/>
          </w:tcPr>
          <w:p w14:paraId="44B049D2">
            <w:pPr>
              <w:rPr>
                <w:rFonts w:ascii="Arial"/>
                <w:sz w:val="21"/>
              </w:rPr>
            </w:pPr>
          </w:p>
        </w:tc>
        <w:tc>
          <w:tcPr>
            <w:tcW w:w="1505" w:type="dxa"/>
            <w:vAlign w:val="top"/>
          </w:tcPr>
          <w:p w14:paraId="29C80117">
            <w:pPr>
              <w:spacing w:before="54" w:line="227" w:lineRule="auto"/>
              <w:ind w:left="546"/>
              <w:rPr>
                <w:rFonts w:ascii="宋体" w:hAnsi="宋体" w:eastAsia="宋体" w:cs="宋体"/>
                <w:sz w:val="20"/>
                <w:szCs w:val="20"/>
              </w:rPr>
            </w:pPr>
            <w:r>
              <w:rPr>
                <w:rFonts w:ascii="宋体" w:hAnsi="宋体" w:eastAsia="宋体" w:cs="宋体"/>
                <w:spacing w:val="4"/>
                <w:sz w:val="20"/>
                <w:szCs w:val="20"/>
              </w:rPr>
              <w:t>氨氮</w:t>
            </w:r>
          </w:p>
        </w:tc>
        <w:tc>
          <w:tcPr>
            <w:tcW w:w="1146" w:type="dxa"/>
            <w:vAlign w:val="top"/>
          </w:tcPr>
          <w:p w14:paraId="35217CCE">
            <w:pPr>
              <w:spacing w:before="53"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bottom w:val="nil"/>
            </w:tcBorders>
            <w:vAlign w:val="top"/>
          </w:tcPr>
          <w:p w14:paraId="53190635">
            <w:pPr>
              <w:rPr>
                <w:rFonts w:ascii="Arial"/>
                <w:sz w:val="21"/>
              </w:rPr>
            </w:pPr>
          </w:p>
        </w:tc>
        <w:tc>
          <w:tcPr>
            <w:tcW w:w="1066" w:type="dxa"/>
            <w:vAlign w:val="top"/>
          </w:tcPr>
          <w:p w14:paraId="62CA7927">
            <w:pPr>
              <w:spacing w:before="54"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68A3EF18">
            <w:pPr>
              <w:rPr>
                <w:rFonts w:ascii="Arial"/>
                <w:sz w:val="21"/>
              </w:rPr>
            </w:pPr>
          </w:p>
        </w:tc>
      </w:tr>
      <w:tr w14:paraId="139BF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00BFAF10">
            <w:pPr>
              <w:rPr>
                <w:rFonts w:ascii="Arial"/>
                <w:sz w:val="21"/>
              </w:rPr>
            </w:pPr>
          </w:p>
        </w:tc>
        <w:tc>
          <w:tcPr>
            <w:tcW w:w="113" w:type="dxa"/>
            <w:tcBorders>
              <w:top w:val="nil"/>
              <w:bottom w:val="nil"/>
            </w:tcBorders>
            <w:vAlign w:val="top"/>
          </w:tcPr>
          <w:p w14:paraId="742EDFBB">
            <w:pPr>
              <w:rPr>
                <w:rFonts w:ascii="Arial"/>
                <w:sz w:val="21"/>
              </w:rPr>
            </w:pPr>
          </w:p>
        </w:tc>
        <w:tc>
          <w:tcPr>
            <w:tcW w:w="709" w:type="dxa"/>
            <w:vMerge w:val="continue"/>
            <w:tcBorders>
              <w:top w:val="nil"/>
              <w:bottom w:val="nil"/>
            </w:tcBorders>
            <w:vAlign w:val="top"/>
          </w:tcPr>
          <w:p w14:paraId="76A79362">
            <w:pPr>
              <w:rPr>
                <w:rFonts w:ascii="Arial"/>
                <w:sz w:val="21"/>
              </w:rPr>
            </w:pPr>
          </w:p>
        </w:tc>
        <w:tc>
          <w:tcPr>
            <w:tcW w:w="2049" w:type="dxa"/>
            <w:vMerge w:val="continue"/>
            <w:tcBorders>
              <w:top w:val="nil"/>
              <w:bottom w:val="nil"/>
            </w:tcBorders>
            <w:vAlign w:val="top"/>
          </w:tcPr>
          <w:p w14:paraId="4A4E8A7D">
            <w:pPr>
              <w:rPr>
                <w:rFonts w:ascii="Arial"/>
                <w:sz w:val="21"/>
              </w:rPr>
            </w:pPr>
          </w:p>
        </w:tc>
        <w:tc>
          <w:tcPr>
            <w:tcW w:w="1505" w:type="dxa"/>
            <w:vAlign w:val="top"/>
          </w:tcPr>
          <w:p w14:paraId="029CBD79">
            <w:pPr>
              <w:spacing w:before="55" w:line="228" w:lineRule="auto"/>
              <w:ind w:left="446"/>
              <w:rPr>
                <w:rFonts w:ascii="宋体" w:hAnsi="宋体" w:eastAsia="宋体" w:cs="宋体"/>
                <w:sz w:val="20"/>
                <w:szCs w:val="20"/>
              </w:rPr>
            </w:pPr>
            <w:r>
              <w:rPr>
                <w:rFonts w:ascii="宋体" w:hAnsi="宋体" w:eastAsia="宋体" w:cs="宋体"/>
                <w:spacing w:val="5"/>
                <w:sz w:val="20"/>
                <w:szCs w:val="20"/>
              </w:rPr>
              <w:t>总余氯</w:t>
            </w:r>
          </w:p>
        </w:tc>
        <w:tc>
          <w:tcPr>
            <w:tcW w:w="1146" w:type="dxa"/>
            <w:vAlign w:val="top"/>
          </w:tcPr>
          <w:p w14:paraId="496D2EE6">
            <w:pPr>
              <w:spacing w:before="54"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bottom w:val="nil"/>
            </w:tcBorders>
            <w:vAlign w:val="top"/>
          </w:tcPr>
          <w:p w14:paraId="06417535">
            <w:pPr>
              <w:rPr>
                <w:rFonts w:ascii="Arial"/>
                <w:sz w:val="21"/>
              </w:rPr>
            </w:pPr>
          </w:p>
        </w:tc>
        <w:tc>
          <w:tcPr>
            <w:tcW w:w="1066" w:type="dxa"/>
            <w:vAlign w:val="top"/>
          </w:tcPr>
          <w:p w14:paraId="26BBD9DB">
            <w:pPr>
              <w:spacing w:before="55"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660F7146">
            <w:pPr>
              <w:rPr>
                <w:rFonts w:ascii="Arial"/>
                <w:sz w:val="21"/>
              </w:rPr>
            </w:pPr>
          </w:p>
        </w:tc>
      </w:tr>
      <w:tr w14:paraId="362B0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20644ECD">
            <w:pPr>
              <w:rPr>
                <w:rFonts w:ascii="Arial"/>
                <w:sz w:val="21"/>
              </w:rPr>
            </w:pPr>
          </w:p>
        </w:tc>
        <w:tc>
          <w:tcPr>
            <w:tcW w:w="113" w:type="dxa"/>
            <w:tcBorders>
              <w:top w:val="nil"/>
              <w:bottom w:val="nil"/>
            </w:tcBorders>
            <w:vAlign w:val="top"/>
          </w:tcPr>
          <w:p w14:paraId="6243E776">
            <w:pPr>
              <w:rPr>
                <w:rFonts w:ascii="Arial"/>
                <w:sz w:val="21"/>
              </w:rPr>
            </w:pPr>
          </w:p>
        </w:tc>
        <w:tc>
          <w:tcPr>
            <w:tcW w:w="709" w:type="dxa"/>
            <w:vMerge w:val="continue"/>
            <w:tcBorders>
              <w:top w:val="nil"/>
              <w:bottom w:val="nil"/>
            </w:tcBorders>
            <w:vAlign w:val="top"/>
          </w:tcPr>
          <w:p w14:paraId="10BACAC4">
            <w:pPr>
              <w:rPr>
                <w:rFonts w:ascii="Arial"/>
                <w:sz w:val="21"/>
              </w:rPr>
            </w:pPr>
          </w:p>
        </w:tc>
        <w:tc>
          <w:tcPr>
            <w:tcW w:w="2049" w:type="dxa"/>
            <w:vMerge w:val="continue"/>
            <w:tcBorders>
              <w:top w:val="nil"/>
              <w:bottom w:val="nil"/>
            </w:tcBorders>
            <w:vAlign w:val="top"/>
          </w:tcPr>
          <w:p w14:paraId="67E1237B">
            <w:pPr>
              <w:rPr>
                <w:rFonts w:ascii="Arial"/>
                <w:sz w:val="21"/>
              </w:rPr>
            </w:pPr>
          </w:p>
        </w:tc>
        <w:tc>
          <w:tcPr>
            <w:tcW w:w="1505" w:type="dxa"/>
            <w:vAlign w:val="top"/>
          </w:tcPr>
          <w:p w14:paraId="6E10533F">
            <w:pPr>
              <w:spacing w:before="53" w:line="227" w:lineRule="auto"/>
              <w:ind w:left="443"/>
              <w:rPr>
                <w:rFonts w:ascii="宋体" w:hAnsi="宋体" w:eastAsia="宋体" w:cs="宋体"/>
                <w:sz w:val="20"/>
                <w:szCs w:val="20"/>
              </w:rPr>
            </w:pPr>
            <w:r>
              <w:rPr>
                <w:rFonts w:ascii="宋体" w:hAnsi="宋体" w:eastAsia="宋体" w:cs="宋体"/>
                <w:spacing w:val="6"/>
                <w:sz w:val="20"/>
                <w:szCs w:val="20"/>
              </w:rPr>
              <w:t>溶解氧</w:t>
            </w:r>
          </w:p>
        </w:tc>
        <w:tc>
          <w:tcPr>
            <w:tcW w:w="1146" w:type="dxa"/>
            <w:vAlign w:val="top"/>
          </w:tcPr>
          <w:p w14:paraId="2233C2C8">
            <w:pPr>
              <w:spacing w:before="53"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bottom w:val="nil"/>
            </w:tcBorders>
            <w:vAlign w:val="top"/>
          </w:tcPr>
          <w:p w14:paraId="1B661FDA">
            <w:pPr>
              <w:rPr>
                <w:rFonts w:ascii="Arial"/>
                <w:sz w:val="21"/>
              </w:rPr>
            </w:pPr>
          </w:p>
        </w:tc>
        <w:tc>
          <w:tcPr>
            <w:tcW w:w="1066" w:type="dxa"/>
            <w:vAlign w:val="top"/>
          </w:tcPr>
          <w:p w14:paraId="5290F8C6">
            <w:pPr>
              <w:spacing w:before="54"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5077E57B">
            <w:pPr>
              <w:rPr>
                <w:rFonts w:ascii="Arial"/>
                <w:sz w:val="21"/>
              </w:rPr>
            </w:pPr>
          </w:p>
        </w:tc>
      </w:tr>
      <w:tr w14:paraId="1E285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74470014">
            <w:pPr>
              <w:rPr>
                <w:rFonts w:ascii="Arial"/>
                <w:sz w:val="21"/>
              </w:rPr>
            </w:pPr>
          </w:p>
        </w:tc>
        <w:tc>
          <w:tcPr>
            <w:tcW w:w="113" w:type="dxa"/>
            <w:tcBorders>
              <w:top w:val="nil"/>
              <w:bottom w:val="nil"/>
            </w:tcBorders>
            <w:vAlign w:val="top"/>
          </w:tcPr>
          <w:p w14:paraId="5C3AB503">
            <w:pPr>
              <w:rPr>
                <w:rFonts w:ascii="Arial"/>
                <w:sz w:val="21"/>
              </w:rPr>
            </w:pPr>
          </w:p>
        </w:tc>
        <w:tc>
          <w:tcPr>
            <w:tcW w:w="709" w:type="dxa"/>
            <w:vMerge w:val="continue"/>
            <w:tcBorders>
              <w:top w:val="nil"/>
              <w:bottom w:val="nil"/>
            </w:tcBorders>
            <w:vAlign w:val="top"/>
          </w:tcPr>
          <w:p w14:paraId="7ADD8233">
            <w:pPr>
              <w:rPr>
                <w:rFonts w:ascii="Arial"/>
                <w:sz w:val="21"/>
              </w:rPr>
            </w:pPr>
          </w:p>
        </w:tc>
        <w:tc>
          <w:tcPr>
            <w:tcW w:w="2049" w:type="dxa"/>
            <w:vMerge w:val="continue"/>
            <w:tcBorders>
              <w:top w:val="nil"/>
              <w:bottom w:val="nil"/>
            </w:tcBorders>
            <w:vAlign w:val="top"/>
          </w:tcPr>
          <w:p w14:paraId="1316893A">
            <w:pPr>
              <w:rPr>
                <w:rFonts w:ascii="Arial"/>
                <w:sz w:val="21"/>
              </w:rPr>
            </w:pPr>
          </w:p>
        </w:tc>
        <w:tc>
          <w:tcPr>
            <w:tcW w:w="1505" w:type="dxa"/>
            <w:vAlign w:val="top"/>
          </w:tcPr>
          <w:p w14:paraId="03F6A8D4">
            <w:pPr>
              <w:spacing w:before="55" w:line="228" w:lineRule="auto"/>
              <w:ind w:left="549"/>
              <w:rPr>
                <w:rFonts w:ascii="宋体" w:hAnsi="宋体" w:eastAsia="宋体" w:cs="宋体"/>
                <w:sz w:val="20"/>
                <w:szCs w:val="20"/>
              </w:rPr>
            </w:pPr>
            <w:r>
              <w:rPr>
                <w:rFonts w:ascii="宋体" w:hAnsi="宋体" w:eastAsia="宋体" w:cs="宋体"/>
                <w:spacing w:val="3"/>
                <w:sz w:val="20"/>
                <w:szCs w:val="20"/>
              </w:rPr>
              <w:t>色度</w:t>
            </w:r>
          </w:p>
        </w:tc>
        <w:tc>
          <w:tcPr>
            <w:tcW w:w="1146" w:type="dxa"/>
            <w:vAlign w:val="top"/>
          </w:tcPr>
          <w:p w14:paraId="1B45A04D">
            <w:pPr>
              <w:spacing w:before="54"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bottom w:val="nil"/>
            </w:tcBorders>
            <w:vAlign w:val="top"/>
          </w:tcPr>
          <w:p w14:paraId="46BBFBA6">
            <w:pPr>
              <w:rPr>
                <w:rFonts w:ascii="Arial"/>
                <w:sz w:val="21"/>
              </w:rPr>
            </w:pPr>
          </w:p>
        </w:tc>
        <w:tc>
          <w:tcPr>
            <w:tcW w:w="1066" w:type="dxa"/>
            <w:vAlign w:val="top"/>
          </w:tcPr>
          <w:p w14:paraId="722CF660">
            <w:pPr>
              <w:spacing w:before="55"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66F7B033">
            <w:pPr>
              <w:rPr>
                <w:rFonts w:ascii="Arial"/>
                <w:sz w:val="21"/>
              </w:rPr>
            </w:pPr>
          </w:p>
        </w:tc>
      </w:tr>
      <w:tr w14:paraId="17EA3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16F5ED17">
            <w:pPr>
              <w:rPr>
                <w:rFonts w:ascii="Arial"/>
                <w:sz w:val="21"/>
              </w:rPr>
            </w:pPr>
          </w:p>
        </w:tc>
        <w:tc>
          <w:tcPr>
            <w:tcW w:w="113" w:type="dxa"/>
            <w:tcBorders>
              <w:top w:val="nil"/>
              <w:bottom w:val="nil"/>
            </w:tcBorders>
            <w:vAlign w:val="top"/>
          </w:tcPr>
          <w:p w14:paraId="1819142C">
            <w:pPr>
              <w:rPr>
                <w:rFonts w:ascii="Arial"/>
                <w:sz w:val="21"/>
              </w:rPr>
            </w:pPr>
          </w:p>
        </w:tc>
        <w:tc>
          <w:tcPr>
            <w:tcW w:w="709" w:type="dxa"/>
            <w:vMerge w:val="continue"/>
            <w:tcBorders>
              <w:top w:val="nil"/>
              <w:bottom w:val="nil"/>
            </w:tcBorders>
            <w:vAlign w:val="top"/>
          </w:tcPr>
          <w:p w14:paraId="48DF9E97">
            <w:pPr>
              <w:rPr>
                <w:rFonts w:ascii="Arial"/>
                <w:sz w:val="21"/>
              </w:rPr>
            </w:pPr>
          </w:p>
        </w:tc>
        <w:tc>
          <w:tcPr>
            <w:tcW w:w="2049" w:type="dxa"/>
            <w:vMerge w:val="continue"/>
            <w:tcBorders>
              <w:top w:val="nil"/>
              <w:bottom w:val="nil"/>
            </w:tcBorders>
            <w:vAlign w:val="top"/>
          </w:tcPr>
          <w:p w14:paraId="17A6F549">
            <w:pPr>
              <w:rPr>
                <w:rFonts w:ascii="Arial"/>
                <w:sz w:val="21"/>
              </w:rPr>
            </w:pPr>
          </w:p>
        </w:tc>
        <w:tc>
          <w:tcPr>
            <w:tcW w:w="1505" w:type="dxa"/>
            <w:vAlign w:val="top"/>
          </w:tcPr>
          <w:p w14:paraId="53F2CE4F">
            <w:pPr>
              <w:spacing w:before="53" w:line="228" w:lineRule="auto"/>
              <w:ind w:left="129"/>
              <w:rPr>
                <w:rFonts w:ascii="宋体" w:hAnsi="宋体" w:eastAsia="宋体" w:cs="宋体"/>
                <w:sz w:val="20"/>
                <w:szCs w:val="20"/>
              </w:rPr>
            </w:pPr>
            <w:r>
              <w:rPr>
                <w:rFonts w:ascii="宋体" w:hAnsi="宋体" w:eastAsia="宋体" w:cs="宋体"/>
                <w:spacing w:val="7"/>
                <w:sz w:val="20"/>
                <w:szCs w:val="20"/>
              </w:rPr>
              <w:t>溶解性总固体</w:t>
            </w:r>
          </w:p>
        </w:tc>
        <w:tc>
          <w:tcPr>
            <w:tcW w:w="1146" w:type="dxa"/>
            <w:vAlign w:val="top"/>
          </w:tcPr>
          <w:p w14:paraId="6549D45C">
            <w:pPr>
              <w:spacing w:before="53"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bottom w:val="nil"/>
            </w:tcBorders>
            <w:vAlign w:val="top"/>
          </w:tcPr>
          <w:p w14:paraId="75FCF840">
            <w:pPr>
              <w:rPr>
                <w:rFonts w:ascii="Arial"/>
                <w:sz w:val="21"/>
              </w:rPr>
            </w:pPr>
          </w:p>
        </w:tc>
        <w:tc>
          <w:tcPr>
            <w:tcW w:w="1066" w:type="dxa"/>
            <w:vAlign w:val="top"/>
          </w:tcPr>
          <w:p w14:paraId="685CB700">
            <w:pPr>
              <w:spacing w:before="53"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5D08CD5E">
            <w:pPr>
              <w:rPr>
                <w:rFonts w:ascii="Arial"/>
                <w:sz w:val="21"/>
              </w:rPr>
            </w:pPr>
          </w:p>
        </w:tc>
      </w:tr>
      <w:tr w14:paraId="2D973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428" w:type="dxa"/>
            <w:vMerge w:val="continue"/>
            <w:tcBorders>
              <w:top w:val="nil"/>
              <w:left w:val="single" w:color="000000" w:sz="6" w:space="0"/>
              <w:bottom w:val="nil"/>
            </w:tcBorders>
            <w:vAlign w:val="top"/>
          </w:tcPr>
          <w:p w14:paraId="07ABC6EC">
            <w:pPr>
              <w:rPr>
                <w:rFonts w:ascii="Arial"/>
                <w:sz w:val="21"/>
              </w:rPr>
            </w:pPr>
          </w:p>
        </w:tc>
        <w:tc>
          <w:tcPr>
            <w:tcW w:w="113" w:type="dxa"/>
            <w:tcBorders>
              <w:top w:val="nil"/>
              <w:bottom w:val="nil"/>
            </w:tcBorders>
            <w:vAlign w:val="top"/>
          </w:tcPr>
          <w:p w14:paraId="7DA1FA90">
            <w:pPr>
              <w:rPr>
                <w:rFonts w:ascii="Arial"/>
                <w:sz w:val="21"/>
              </w:rPr>
            </w:pPr>
          </w:p>
        </w:tc>
        <w:tc>
          <w:tcPr>
            <w:tcW w:w="709" w:type="dxa"/>
            <w:vMerge w:val="continue"/>
            <w:tcBorders>
              <w:top w:val="nil"/>
              <w:bottom w:val="nil"/>
            </w:tcBorders>
            <w:vAlign w:val="top"/>
          </w:tcPr>
          <w:p w14:paraId="13BCC693">
            <w:pPr>
              <w:rPr>
                <w:rFonts w:ascii="Arial"/>
                <w:sz w:val="21"/>
              </w:rPr>
            </w:pPr>
          </w:p>
        </w:tc>
        <w:tc>
          <w:tcPr>
            <w:tcW w:w="2049" w:type="dxa"/>
            <w:vMerge w:val="continue"/>
            <w:tcBorders>
              <w:top w:val="nil"/>
              <w:bottom w:val="nil"/>
            </w:tcBorders>
            <w:vAlign w:val="top"/>
          </w:tcPr>
          <w:p w14:paraId="769BF91D">
            <w:pPr>
              <w:rPr>
                <w:rFonts w:ascii="Arial"/>
                <w:sz w:val="21"/>
              </w:rPr>
            </w:pPr>
          </w:p>
        </w:tc>
        <w:tc>
          <w:tcPr>
            <w:tcW w:w="1505" w:type="dxa"/>
            <w:vAlign w:val="top"/>
          </w:tcPr>
          <w:p w14:paraId="3E0CDF00">
            <w:pPr>
              <w:spacing w:before="54" w:line="351" w:lineRule="auto"/>
              <w:ind w:left="651" w:right="123" w:hanging="522"/>
              <w:rPr>
                <w:rFonts w:ascii="宋体" w:hAnsi="宋体" w:eastAsia="宋体" w:cs="宋体"/>
                <w:sz w:val="20"/>
                <w:szCs w:val="20"/>
              </w:rPr>
            </w:pPr>
            <w:r>
              <w:rPr>
                <w:rFonts w:ascii="宋体" w:hAnsi="宋体" w:eastAsia="宋体" w:cs="宋体"/>
                <w:spacing w:val="7"/>
                <w:sz w:val="20"/>
                <w:szCs w:val="20"/>
              </w:rPr>
              <w:t>五日生化需氧</w:t>
            </w:r>
            <w:r>
              <w:rPr>
                <w:rFonts w:ascii="宋体" w:hAnsi="宋体" w:eastAsia="宋体" w:cs="宋体"/>
                <w:sz w:val="20"/>
                <w:szCs w:val="20"/>
              </w:rPr>
              <w:t>量</w:t>
            </w:r>
          </w:p>
        </w:tc>
        <w:tc>
          <w:tcPr>
            <w:tcW w:w="1146" w:type="dxa"/>
            <w:vAlign w:val="top"/>
          </w:tcPr>
          <w:p w14:paraId="302227C6">
            <w:pPr>
              <w:spacing w:before="258"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bottom w:val="nil"/>
            </w:tcBorders>
            <w:vAlign w:val="top"/>
          </w:tcPr>
          <w:p w14:paraId="442C97B7">
            <w:pPr>
              <w:rPr>
                <w:rFonts w:ascii="Arial"/>
                <w:sz w:val="21"/>
              </w:rPr>
            </w:pPr>
          </w:p>
        </w:tc>
        <w:tc>
          <w:tcPr>
            <w:tcW w:w="1066" w:type="dxa"/>
            <w:vAlign w:val="top"/>
          </w:tcPr>
          <w:p w14:paraId="5CD88939">
            <w:pPr>
              <w:spacing w:before="258"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2BB14E06">
            <w:pPr>
              <w:rPr>
                <w:rFonts w:ascii="Arial"/>
                <w:sz w:val="21"/>
              </w:rPr>
            </w:pPr>
          </w:p>
        </w:tc>
      </w:tr>
      <w:tr w14:paraId="633E9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2B7A35E7">
            <w:pPr>
              <w:rPr>
                <w:rFonts w:ascii="Arial"/>
                <w:sz w:val="21"/>
              </w:rPr>
            </w:pPr>
          </w:p>
        </w:tc>
        <w:tc>
          <w:tcPr>
            <w:tcW w:w="113" w:type="dxa"/>
            <w:tcBorders>
              <w:top w:val="nil"/>
              <w:bottom w:val="nil"/>
            </w:tcBorders>
            <w:vAlign w:val="top"/>
          </w:tcPr>
          <w:p w14:paraId="70FD1377">
            <w:pPr>
              <w:rPr>
                <w:rFonts w:ascii="Arial"/>
                <w:sz w:val="21"/>
              </w:rPr>
            </w:pPr>
          </w:p>
        </w:tc>
        <w:tc>
          <w:tcPr>
            <w:tcW w:w="709" w:type="dxa"/>
            <w:vMerge w:val="continue"/>
            <w:tcBorders>
              <w:top w:val="nil"/>
              <w:bottom w:val="nil"/>
            </w:tcBorders>
            <w:vAlign w:val="top"/>
          </w:tcPr>
          <w:p w14:paraId="65289A68">
            <w:pPr>
              <w:rPr>
                <w:rFonts w:ascii="Arial"/>
                <w:sz w:val="21"/>
              </w:rPr>
            </w:pPr>
          </w:p>
        </w:tc>
        <w:tc>
          <w:tcPr>
            <w:tcW w:w="2049" w:type="dxa"/>
            <w:vMerge w:val="continue"/>
            <w:tcBorders>
              <w:top w:val="nil"/>
              <w:bottom w:val="nil"/>
            </w:tcBorders>
            <w:vAlign w:val="top"/>
          </w:tcPr>
          <w:p w14:paraId="0BCDE332">
            <w:pPr>
              <w:rPr>
                <w:rFonts w:ascii="Arial"/>
                <w:sz w:val="21"/>
              </w:rPr>
            </w:pPr>
          </w:p>
        </w:tc>
        <w:tc>
          <w:tcPr>
            <w:tcW w:w="1505" w:type="dxa"/>
            <w:vAlign w:val="top"/>
          </w:tcPr>
          <w:p w14:paraId="7998EF60">
            <w:pPr>
              <w:spacing w:before="49" w:line="228" w:lineRule="auto"/>
              <w:ind w:left="129"/>
              <w:rPr>
                <w:rFonts w:ascii="宋体" w:hAnsi="宋体" w:eastAsia="宋体" w:cs="宋体"/>
                <w:sz w:val="20"/>
                <w:szCs w:val="20"/>
              </w:rPr>
            </w:pPr>
            <w:r>
              <w:rPr>
                <w:rFonts w:ascii="宋体" w:hAnsi="宋体" w:eastAsia="宋体" w:cs="宋体"/>
                <w:spacing w:val="7"/>
                <w:sz w:val="20"/>
                <w:szCs w:val="20"/>
              </w:rPr>
              <w:t>大肠埃希氏菌</w:t>
            </w:r>
          </w:p>
        </w:tc>
        <w:tc>
          <w:tcPr>
            <w:tcW w:w="1146" w:type="dxa"/>
            <w:vAlign w:val="top"/>
          </w:tcPr>
          <w:p w14:paraId="0FEB158D">
            <w:pPr>
              <w:spacing w:before="49"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bottom w:val="nil"/>
            </w:tcBorders>
            <w:vAlign w:val="top"/>
          </w:tcPr>
          <w:p w14:paraId="5D833FBC">
            <w:pPr>
              <w:rPr>
                <w:rFonts w:ascii="Arial"/>
                <w:sz w:val="21"/>
              </w:rPr>
            </w:pPr>
          </w:p>
        </w:tc>
        <w:tc>
          <w:tcPr>
            <w:tcW w:w="1066" w:type="dxa"/>
            <w:vAlign w:val="top"/>
          </w:tcPr>
          <w:p w14:paraId="44663E84">
            <w:pPr>
              <w:spacing w:before="50"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4D26E1D1">
            <w:pPr>
              <w:rPr>
                <w:rFonts w:ascii="Arial"/>
                <w:sz w:val="21"/>
              </w:rPr>
            </w:pPr>
          </w:p>
        </w:tc>
      </w:tr>
      <w:tr w14:paraId="1C9FF9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428" w:type="dxa"/>
            <w:vMerge w:val="continue"/>
            <w:tcBorders>
              <w:top w:val="nil"/>
              <w:left w:val="single" w:color="000000" w:sz="6" w:space="0"/>
              <w:bottom w:val="nil"/>
            </w:tcBorders>
            <w:vAlign w:val="top"/>
          </w:tcPr>
          <w:p w14:paraId="039F5406">
            <w:pPr>
              <w:rPr>
                <w:rFonts w:ascii="Arial"/>
                <w:sz w:val="21"/>
              </w:rPr>
            </w:pPr>
          </w:p>
        </w:tc>
        <w:tc>
          <w:tcPr>
            <w:tcW w:w="113" w:type="dxa"/>
            <w:tcBorders>
              <w:top w:val="nil"/>
              <w:bottom w:val="nil"/>
            </w:tcBorders>
            <w:vAlign w:val="top"/>
          </w:tcPr>
          <w:p w14:paraId="575A3AF2">
            <w:pPr>
              <w:rPr>
                <w:rFonts w:ascii="Arial"/>
                <w:sz w:val="21"/>
              </w:rPr>
            </w:pPr>
          </w:p>
        </w:tc>
        <w:tc>
          <w:tcPr>
            <w:tcW w:w="709" w:type="dxa"/>
            <w:vMerge w:val="continue"/>
            <w:tcBorders>
              <w:top w:val="nil"/>
              <w:bottom w:val="nil"/>
            </w:tcBorders>
            <w:vAlign w:val="top"/>
          </w:tcPr>
          <w:p w14:paraId="403A9E5E">
            <w:pPr>
              <w:rPr>
                <w:rFonts w:ascii="Arial"/>
                <w:sz w:val="21"/>
              </w:rPr>
            </w:pPr>
          </w:p>
        </w:tc>
        <w:tc>
          <w:tcPr>
            <w:tcW w:w="2049" w:type="dxa"/>
            <w:vMerge w:val="continue"/>
            <w:tcBorders>
              <w:top w:val="nil"/>
              <w:bottom w:val="nil"/>
            </w:tcBorders>
            <w:vAlign w:val="top"/>
          </w:tcPr>
          <w:p w14:paraId="2788DF81">
            <w:pPr>
              <w:rPr>
                <w:rFonts w:ascii="Arial"/>
                <w:sz w:val="21"/>
              </w:rPr>
            </w:pPr>
          </w:p>
        </w:tc>
        <w:tc>
          <w:tcPr>
            <w:tcW w:w="1505" w:type="dxa"/>
            <w:vAlign w:val="top"/>
          </w:tcPr>
          <w:p w14:paraId="1C35E1FB">
            <w:pPr>
              <w:spacing w:before="47" w:line="354" w:lineRule="auto"/>
              <w:ind w:left="548" w:right="123" w:hanging="406"/>
              <w:rPr>
                <w:rFonts w:ascii="宋体" w:hAnsi="宋体" w:eastAsia="宋体" w:cs="宋体"/>
                <w:sz w:val="20"/>
                <w:szCs w:val="20"/>
              </w:rPr>
            </w:pPr>
            <w:r>
              <w:rPr>
                <w:rFonts w:ascii="宋体" w:hAnsi="宋体" w:eastAsia="宋体" w:cs="宋体"/>
                <w:spacing w:val="5"/>
                <w:sz w:val="20"/>
                <w:szCs w:val="20"/>
              </w:rPr>
              <w:t>阴离子表面活</w:t>
            </w:r>
            <w:r>
              <w:rPr>
                <w:rFonts w:ascii="宋体" w:hAnsi="宋体" w:eastAsia="宋体" w:cs="宋体"/>
                <w:spacing w:val="3"/>
                <w:sz w:val="20"/>
                <w:szCs w:val="20"/>
              </w:rPr>
              <w:t>性剂</w:t>
            </w:r>
          </w:p>
        </w:tc>
        <w:tc>
          <w:tcPr>
            <w:tcW w:w="1146" w:type="dxa"/>
            <w:vAlign w:val="top"/>
          </w:tcPr>
          <w:p w14:paraId="74B30B24">
            <w:pPr>
              <w:spacing w:before="252"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bottom w:val="nil"/>
            </w:tcBorders>
            <w:vAlign w:val="top"/>
          </w:tcPr>
          <w:p w14:paraId="30DBC6D7">
            <w:pPr>
              <w:rPr>
                <w:rFonts w:ascii="Arial"/>
                <w:sz w:val="21"/>
              </w:rPr>
            </w:pPr>
          </w:p>
        </w:tc>
        <w:tc>
          <w:tcPr>
            <w:tcW w:w="1066" w:type="dxa"/>
            <w:vAlign w:val="top"/>
          </w:tcPr>
          <w:p w14:paraId="54B153E6">
            <w:pPr>
              <w:spacing w:before="253"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43F4A6AE">
            <w:pPr>
              <w:rPr>
                <w:rFonts w:ascii="Arial"/>
                <w:sz w:val="21"/>
              </w:rPr>
            </w:pPr>
          </w:p>
        </w:tc>
      </w:tr>
      <w:tr w14:paraId="231B1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28" w:type="dxa"/>
            <w:vMerge w:val="continue"/>
            <w:tcBorders>
              <w:top w:val="nil"/>
              <w:left w:val="single" w:color="000000" w:sz="6" w:space="0"/>
              <w:bottom w:val="nil"/>
            </w:tcBorders>
            <w:vAlign w:val="top"/>
          </w:tcPr>
          <w:p w14:paraId="1F88FFB7">
            <w:pPr>
              <w:rPr>
                <w:rFonts w:ascii="Arial"/>
                <w:sz w:val="21"/>
              </w:rPr>
            </w:pPr>
          </w:p>
        </w:tc>
        <w:tc>
          <w:tcPr>
            <w:tcW w:w="113" w:type="dxa"/>
            <w:tcBorders>
              <w:top w:val="nil"/>
              <w:bottom w:val="nil"/>
            </w:tcBorders>
            <w:vAlign w:val="top"/>
          </w:tcPr>
          <w:p w14:paraId="19F88967">
            <w:pPr>
              <w:rPr>
                <w:rFonts w:ascii="Arial"/>
                <w:sz w:val="21"/>
              </w:rPr>
            </w:pPr>
          </w:p>
        </w:tc>
        <w:tc>
          <w:tcPr>
            <w:tcW w:w="709" w:type="dxa"/>
            <w:vMerge w:val="continue"/>
            <w:tcBorders>
              <w:top w:val="nil"/>
              <w:bottom w:val="nil"/>
            </w:tcBorders>
            <w:vAlign w:val="top"/>
          </w:tcPr>
          <w:p w14:paraId="750F98E5">
            <w:pPr>
              <w:rPr>
                <w:rFonts w:ascii="Arial"/>
                <w:sz w:val="21"/>
              </w:rPr>
            </w:pPr>
          </w:p>
        </w:tc>
        <w:tc>
          <w:tcPr>
            <w:tcW w:w="2049" w:type="dxa"/>
            <w:vMerge w:val="continue"/>
            <w:tcBorders>
              <w:top w:val="nil"/>
              <w:bottom w:val="nil"/>
            </w:tcBorders>
            <w:vAlign w:val="top"/>
          </w:tcPr>
          <w:p w14:paraId="131C20A9">
            <w:pPr>
              <w:rPr>
                <w:rFonts w:ascii="Arial"/>
                <w:sz w:val="21"/>
              </w:rPr>
            </w:pPr>
          </w:p>
        </w:tc>
        <w:tc>
          <w:tcPr>
            <w:tcW w:w="1505" w:type="dxa"/>
            <w:vAlign w:val="top"/>
          </w:tcPr>
          <w:p w14:paraId="7BF6DCAB">
            <w:pPr>
              <w:spacing w:before="46" w:line="228" w:lineRule="auto"/>
              <w:ind w:left="442"/>
              <w:rPr>
                <w:rFonts w:ascii="宋体" w:hAnsi="宋体" w:eastAsia="宋体" w:cs="宋体"/>
                <w:sz w:val="20"/>
                <w:szCs w:val="20"/>
              </w:rPr>
            </w:pPr>
            <w:r>
              <w:rPr>
                <w:rFonts w:ascii="宋体" w:hAnsi="宋体" w:eastAsia="宋体" w:cs="宋体"/>
                <w:spacing w:val="6"/>
                <w:sz w:val="20"/>
                <w:szCs w:val="20"/>
              </w:rPr>
              <w:t>浑浊度</w:t>
            </w:r>
          </w:p>
        </w:tc>
        <w:tc>
          <w:tcPr>
            <w:tcW w:w="1146" w:type="dxa"/>
            <w:vAlign w:val="top"/>
          </w:tcPr>
          <w:p w14:paraId="2CC1488F">
            <w:pPr>
              <w:spacing w:before="46"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bottom w:val="nil"/>
            </w:tcBorders>
            <w:vAlign w:val="top"/>
          </w:tcPr>
          <w:p w14:paraId="3F0E6C77">
            <w:pPr>
              <w:rPr>
                <w:rFonts w:ascii="Arial"/>
                <w:sz w:val="21"/>
              </w:rPr>
            </w:pPr>
          </w:p>
        </w:tc>
        <w:tc>
          <w:tcPr>
            <w:tcW w:w="1066" w:type="dxa"/>
            <w:vAlign w:val="top"/>
          </w:tcPr>
          <w:p w14:paraId="28B30291">
            <w:pPr>
              <w:spacing w:before="47"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6F00B3AE">
            <w:pPr>
              <w:rPr>
                <w:rFonts w:ascii="Arial"/>
                <w:sz w:val="21"/>
              </w:rPr>
            </w:pPr>
          </w:p>
        </w:tc>
      </w:tr>
      <w:tr w14:paraId="33508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428" w:type="dxa"/>
            <w:vMerge w:val="continue"/>
            <w:tcBorders>
              <w:top w:val="nil"/>
              <w:left w:val="single" w:color="000000" w:sz="6" w:space="0"/>
              <w:bottom w:val="nil"/>
            </w:tcBorders>
            <w:vAlign w:val="top"/>
          </w:tcPr>
          <w:p w14:paraId="5AA15E39">
            <w:pPr>
              <w:rPr>
                <w:rFonts w:ascii="Arial"/>
                <w:sz w:val="21"/>
              </w:rPr>
            </w:pPr>
          </w:p>
        </w:tc>
        <w:tc>
          <w:tcPr>
            <w:tcW w:w="113" w:type="dxa"/>
            <w:tcBorders>
              <w:top w:val="nil"/>
              <w:bottom w:val="nil"/>
            </w:tcBorders>
            <w:vAlign w:val="top"/>
          </w:tcPr>
          <w:p w14:paraId="383215A8">
            <w:pPr>
              <w:rPr>
                <w:rFonts w:ascii="Arial"/>
                <w:sz w:val="21"/>
              </w:rPr>
            </w:pPr>
          </w:p>
        </w:tc>
        <w:tc>
          <w:tcPr>
            <w:tcW w:w="709" w:type="dxa"/>
            <w:vMerge w:val="continue"/>
            <w:tcBorders>
              <w:top w:val="nil"/>
            </w:tcBorders>
            <w:vAlign w:val="top"/>
          </w:tcPr>
          <w:p w14:paraId="7DE841EC">
            <w:pPr>
              <w:rPr>
                <w:rFonts w:ascii="Arial"/>
                <w:sz w:val="21"/>
              </w:rPr>
            </w:pPr>
          </w:p>
        </w:tc>
        <w:tc>
          <w:tcPr>
            <w:tcW w:w="2049" w:type="dxa"/>
            <w:vMerge w:val="continue"/>
            <w:tcBorders>
              <w:top w:val="nil"/>
            </w:tcBorders>
            <w:vAlign w:val="top"/>
          </w:tcPr>
          <w:p w14:paraId="7C87D217">
            <w:pPr>
              <w:rPr>
                <w:rFonts w:ascii="Arial"/>
                <w:sz w:val="21"/>
              </w:rPr>
            </w:pPr>
          </w:p>
        </w:tc>
        <w:tc>
          <w:tcPr>
            <w:tcW w:w="1505" w:type="dxa"/>
            <w:vAlign w:val="top"/>
          </w:tcPr>
          <w:p w14:paraId="52E56E0D">
            <w:pPr>
              <w:spacing w:before="45" w:line="228" w:lineRule="auto"/>
              <w:ind w:left="451"/>
              <w:rPr>
                <w:rFonts w:ascii="宋体" w:hAnsi="宋体" w:eastAsia="宋体" w:cs="宋体"/>
                <w:sz w:val="20"/>
                <w:szCs w:val="20"/>
              </w:rPr>
            </w:pPr>
            <w:r>
              <w:rPr>
                <w:rFonts w:ascii="宋体" w:hAnsi="宋体" w:eastAsia="宋体" w:cs="宋体"/>
                <w:spacing w:val="3"/>
                <w:sz w:val="20"/>
                <w:szCs w:val="20"/>
              </w:rPr>
              <w:t>嗅和味</w:t>
            </w:r>
          </w:p>
        </w:tc>
        <w:tc>
          <w:tcPr>
            <w:tcW w:w="1146" w:type="dxa"/>
            <w:vAlign w:val="top"/>
          </w:tcPr>
          <w:p w14:paraId="51A8AF78">
            <w:pPr>
              <w:spacing w:before="44" w:line="228" w:lineRule="auto"/>
              <w:ind w:left="277"/>
              <w:rPr>
                <w:rFonts w:ascii="宋体" w:hAnsi="宋体" w:eastAsia="宋体" w:cs="宋体"/>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4"/>
                <w:sz w:val="20"/>
                <w:szCs w:val="20"/>
              </w:rPr>
              <w:t>次</w:t>
            </w:r>
            <w:r>
              <w:rPr>
                <w:rFonts w:ascii="Times New Roman" w:hAnsi="Times New Roman" w:eastAsia="Times New Roman" w:cs="Times New Roman"/>
                <w:spacing w:val="-4"/>
                <w:sz w:val="20"/>
                <w:szCs w:val="20"/>
              </w:rPr>
              <w:t>/</w:t>
            </w:r>
            <w:r>
              <w:rPr>
                <w:rFonts w:ascii="宋体" w:hAnsi="宋体" w:eastAsia="宋体" w:cs="宋体"/>
                <w:spacing w:val="-4"/>
                <w:sz w:val="20"/>
                <w:szCs w:val="20"/>
              </w:rPr>
              <w:t>年</w:t>
            </w:r>
          </w:p>
        </w:tc>
        <w:tc>
          <w:tcPr>
            <w:tcW w:w="1923" w:type="dxa"/>
            <w:vMerge w:val="continue"/>
            <w:tcBorders>
              <w:top w:val="nil"/>
            </w:tcBorders>
            <w:vAlign w:val="top"/>
          </w:tcPr>
          <w:p w14:paraId="66459980">
            <w:pPr>
              <w:rPr>
                <w:rFonts w:ascii="Arial"/>
                <w:sz w:val="21"/>
              </w:rPr>
            </w:pPr>
          </w:p>
        </w:tc>
        <w:tc>
          <w:tcPr>
            <w:tcW w:w="1066" w:type="dxa"/>
            <w:vAlign w:val="top"/>
          </w:tcPr>
          <w:p w14:paraId="01FF7BE9">
            <w:pPr>
              <w:spacing w:before="45" w:line="228" w:lineRule="auto"/>
              <w:ind w:left="334"/>
              <w:rPr>
                <w:rFonts w:ascii="宋体" w:hAnsi="宋体" w:eastAsia="宋体" w:cs="宋体"/>
                <w:sz w:val="20"/>
                <w:szCs w:val="20"/>
              </w:rPr>
            </w:pPr>
            <w:r>
              <w:rPr>
                <w:rFonts w:ascii="宋体" w:hAnsi="宋体" w:eastAsia="宋体" w:cs="宋体"/>
                <w:spacing w:val="5"/>
                <w:sz w:val="20"/>
                <w:szCs w:val="20"/>
              </w:rPr>
              <w:t>达标</w:t>
            </w:r>
          </w:p>
        </w:tc>
        <w:tc>
          <w:tcPr>
            <w:tcW w:w="125" w:type="dxa"/>
            <w:vMerge w:val="continue"/>
            <w:tcBorders>
              <w:top w:val="nil"/>
              <w:bottom w:val="nil"/>
              <w:right w:val="single" w:color="000000" w:sz="6" w:space="0"/>
            </w:tcBorders>
            <w:vAlign w:val="top"/>
          </w:tcPr>
          <w:p w14:paraId="32037D70">
            <w:pPr>
              <w:rPr>
                <w:rFonts w:ascii="Arial"/>
                <w:sz w:val="21"/>
              </w:rPr>
            </w:pPr>
          </w:p>
        </w:tc>
      </w:tr>
      <w:tr w14:paraId="03A6C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trPr>
        <w:tc>
          <w:tcPr>
            <w:tcW w:w="428" w:type="dxa"/>
            <w:vMerge w:val="continue"/>
            <w:tcBorders>
              <w:top w:val="nil"/>
              <w:left w:val="single" w:color="000000" w:sz="6" w:space="0"/>
              <w:bottom w:val="single" w:color="000000" w:sz="6" w:space="0"/>
            </w:tcBorders>
            <w:vAlign w:val="top"/>
          </w:tcPr>
          <w:p w14:paraId="4244DB98">
            <w:pPr>
              <w:rPr>
                <w:rFonts w:ascii="Arial"/>
                <w:sz w:val="21"/>
              </w:rPr>
            </w:pPr>
          </w:p>
        </w:tc>
        <w:tc>
          <w:tcPr>
            <w:tcW w:w="8636" w:type="dxa"/>
            <w:gridSpan w:val="8"/>
            <w:tcBorders>
              <w:bottom w:val="single" w:color="000000" w:sz="6" w:space="0"/>
              <w:right w:val="single" w:color="000000" w:sz="6" w:space="0"/>
            </w:tcBorders>
            <w:vAlign w:val="top"/>
          </w:tcPr>
          <w:p w14:paraId="502255E8">
            <w:pPr>
              <w:spacing w:before="48" w:line="350" w:lineRule="auto"/>
              <w:ind w:left="108" w:right="104" w:firstLine="480"/>
              <w:rPr>
                <w:rFonts w:ascii="宋体" w:hAnsi="宋体" w:eastAsia="宋体" w:cs="宋体"/>
                <w:sz w:val="24"/>
                <w:szCs w:val="24"/>
              </w:rPr>
            </w:pPr>
            <w:r>
              <w:rPr>
                <w:rFonts w:ascii="宋体" w:hAnsi="宋体" w:eastAsia="宋体" w:cs="宋体"/>
                <w:sz w:val="24"/>
                <w:szCs w:val="24"/>
              </w:rPr>
              <w:t>建设单位根据排污许可证要求进行环境管理并整理为台账，记录基本信息、生产设施运行管理信息、污染防治措施运行管理信息、监测记录信息、固废环境</w:t>
            </w:r>
          </w:p>
        </w:tc>
      </w:tr>
    </w:tbl>
    <w:p w14:paraId="69FB50CC">
      <w:pPr>
        <w:pStyle w:val="2"/>
      </w:pPr>
    </w:p>
    <w:p w14:paraId="79040BAF">
      <w:pPr>
        <w:sectPr>
          <w:footerReference r:id="rId75" w:type="default"/>
          <w:pgSz w:w="11906" w:h="16839"/>
          <w:pgMar w:top="400" w:right="1413" w:bottom="1329" w:left="1413" w:header="0" w:footer="1113" w:gutter="0"/>
          <w:cols w:space="720" w:num="1"/>
        </w:sectPr>
      </w:pPr>
    </w:p>
    <w:p w14:paraId="751774B2">
      <w:pPr>
        <w:spacing w:before="19"/>
      </w:pPr>
    </w:p>
    <w:p w14:paraId="39A546D9">
      <w:pPr>
        <w:spacing w:before="19"/>
      </w:pPr>
    </w:p>
    <w:p w14:paraId="09E3FE60">
      <w:pPr>
        <w:spacing w:before="19"/>
      </w:pPr>
    </w:p>
    <w:p w14:paraId="30E9833E">
      <w:pPr>
        <w:spacing w:before="18"/>
      </w:pPr>
    </w:p>
    <w:p w14:paraId="2F2F1F09">
      <w:pPr>
        <w:spacing w:before="18"/>
      </w:pPr>
    </w:p>
    <w:tbl>
      <w:tblPr>
        <w:tblStyle w:val="10"/>
        <w:tblW w:w="90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28"/>
        <w:gridCol w:w="8636"/>
      </w:tblGrid>
      <w:tr w14:paraId="53F1A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98" w:hRule="atLeast"/>
        </w:trPr>
        <w:tc>
          <w:tcPr>
            <w:tcW w:w="428" w:type="dxa"/>
            <w:tcBorders>
              <w:right w:val="single" w:color="000000" w:sz="2" w:space="0"/>
            </w:tcBorders>
            <w:vAlign w:val="top"/>
          </w:tcPr>
          <w:p w14:paraId="633B510B">
            <w:pPr>
              <w:rPr>
                <w:rFonts w:ascii="Arial"/>
                <w:sz w:val="21"/>
              </w:rPr>
            </w:pPr>
          </w:p>
        </w:tc>
        <w:tc>
          <w:tcPr>
            <w:tcW w:w="8636" w:type="dxa"/>
            <w:tcBorders>
              <w:left w:val="single" w:color="000000" w:sz="2" w:space="0"/>
            </w:tcBorders>
            <w:vAlign w:val="top"/>
          </w:tcPr>
          <w:p w14:paraId="0B4B3FE1">
            <w:pPr>
              <w:spacing w:before="30" w:line="359" w:lineRule="auto"/>
              <w:ind w:left="110" w:right="102" w:firstLine="1"/>
              <w:rPr>
                <w:rFonts w:ascii="宋体" w:hAnsi="宋体" w:eastAsia="宋体" w:cs="宋体"/>
                <w:sz w:val="24"/>
                <w:szCs w:val="24"/>
              </w:rPr>
            </w:pPr>
            <w:r>
              <w:rPr>
                <w:rFonts w:ascii="宋体" w:hAnsi="宋体" w:eastAsia="宋体" w:cs="宋体"/>
                <w:sz w:val="24"/>
                <w:szCs w:val="24"/>
              </w:rPr>
              <w:t>管理信息，厂区存放近五年电子台账和纸质台账，有组织废气、噪声、废水、组</w:t>
            </w:r>
            <w:r>
              <w:rPr>
                <w:rFonts w:ascii="宋体" w:hAnsi="宋体" w:eastAsia="宋体" w:cs="宋体"/>
                <w:spacing w:val="-1"/>
                <w:sz w:val="24"/>
                <w:szCs w:val="24"/>
              </w:rPr>
              <w:t>织废气按要求进行自行监测，及时进行信息公开，按要求填报年报。</w:t>
            </w:r>
          </w:p>
          <w:p w14:paraId="47C8E252">
            <w:pPr>
              <w:spacing w:line="220" w:lineRule="auto"/>
              <w:ind w:left="584"/>
              <w:rPr>
                <w:rFonts w:ascii="宋体" w:hAnsi="宋体" w:eastAsia="宋体" w:cs="宋体"/>
                <w:sz w:val="24"/>
                <w:szCs w:val="24"/>
              </w:rPr>
            </w:pPr>
            <w:r>
              <w:rPr>
                <w:rFonts w:ascii="Times New Roman" w:hAnsi="Times New Roman" w:eastAsia="Times New Roman" w:cs="Times New Roman"/>
                <w:b/>
                <w:bCs/>
                <w:spacing w:val="-5"/>
                <w:sz w:val="24"/>
                <w:szCs w:val="24"/>
              </w:rPr>
              <w:t>9</w:t>
            </w:r>
            <w:r>
              <w:rPr>
                <w:rFonts w:ascii="Times New Roman" w:hAnsi="Times New Roman" w:eastAsia="Times New Roman" w:cs="Times New Roman"/>
                <w:b/>
                <w:bCs/>
                <w:spacing w:val="-34"/>
                <w:sz w:val="24"/>
                <w:szCs w:val="24"/>
              </w:rPr>
              <w:t xml:space="preserve"> </w:t>
            </w:r>
            <w:r>
              <w:rPr>
                <w:rFonts w:ascii="宋体" w:hAnsi="宋体" w:eastAsia="宋体" w:cs="宋体"/>
                <w:b/>
                <w:bCs/>
                <w:spacing w:val="-5"/>
                <w:sz w:val="24"/>
                <w:szCs w:val="24"/>
              </w:rPr>
              <w:t>、现有项目环境问题</w:t>
            </w:r>
          </w:p>
          <w:p w14:paraId="6EAFBCB9">
            <w:pPr>
              <w:spacing w:before="180" w:line="361" w:lineRule="auto"/>
              <w:ind w:left="105" w:right="102" w:firstLine="480"/>
              <w:jc w:val="both"/>
              <w:rPr>
                <w:rFonts w:ascii="宋体" w:hAnsi="宋体" w:eastAsia="宋体" w:cs="宋体"/>
                <w:sz w:val="24"/>
                <w:szCs w:val="24"/>
              </w:rPr>
            </w:pPr>
            <w:r>
              <w:rPr>
                <w:rFonts w:ascii="宋体" w:hAnsi="宋体" w:eastAsia="宋体" w:cs="宋体"/>
                <w:spacing w:val="-4"/>
                <w:sz w:val="24"/>
                <w:szCs w:val="24"/>
              </w:rPr>
              <w:t>根据现场踏勘，现有项目已按《昆明欧铂瑞木制品有限公司年产</w:t>
            </w:r>
            <w:r>
              <w:rPr>
                <w:rFonts w:ascii="宋体" w:hAnsi="宋体" w:eastAsia="宋体" w:cs="宋体"/>
                <w:spacing w:val="-50"/>
                <w:sz w:val="24"/>
                <w:szCs w:val="24"/>
              </w:rPr>
              <w:t xml:space="preserve"> </w:t>
            </w:r>
            <w:r>
              <w:rPr>
                <w:rFonts w:ascii="Times New Roman" w:hAnsi="Times New Roman" w:eastAsia="Times New Roman" w:cs="Times New Roman"/>
                <w:spacing w:val="-4"/>
                <w:sz w:val="24"/>
                <w:szCs w:val="24"/>
              </w:rPr>
              <w:t>3</w:t>
            </w:r>
            <w:r>
              <w:rPr>
                <w:rFonts w:ascii="Times New Roman" w:hAnsi="Times New Roman" w:eastAsia="Times New Roman" w:cs="Times New Roman"/>
                <w:spacing w:val="15"/>
                <w:sz w:val="24"/>
                <w:szCs w:val="24"/>
              </w:rPr>
              <w:t xml:space="preserve"> </w:t>
            </w:r>
            <w:r>
              <w:rPr>
                <w:rFonts w:ascii="宋体" w:hAnsi="宋体" w:eastAsia="宋体" w:cs="宋体"/>
                <w:spacing w:val="-4"/>
                <w:sz w:val="24"/>
                <w:szCs w:val="24"/>
              </w:rPr>
              <w:t>万</w:t>
            </w:r>
            <w:r>
              <w:rPr>
                <w:rFonts w:ascii="宋体" w:hAnsi="宋体" w:eastAsia="宋体" w:cs="宋体"/>
                <w:spacing w:val="-58"/>
                <w:sz w:val="24"/>
                <w:szCs w:val="24"/>
              </w:rPr>
              <w:t xml:space="preserve"> </w:t>
            </w:r>
            <w:r>
              <w:rPr>
                <w:rFonts w:ascii="Times New Roman" w:hAnsi="Times New Roman" w:eastAsia="Times New Roman" w:cs="Times New Roman"/>
                <w:spacing w:val="-4"/>
                <w:sz w:val="24"/>
                <w:szCs w:val="24"/>
              </w:rPr>
              <w:t>m3</w:t>
            </w:r>
            <w:r>
              <w:rPr>
                <w:rFonts w:ascii="宋体" w:hAnsi="宋体" w:eastAsia="宋体" w:cs="宋体"/>
                <w:spacing w:val="-5"/>
                <w:sz w:val="24"/>
                <w:szCs w:val="24"/>
              </w:rPr>
              <w:t>免漆</w:t>
            </w:r>
            <w:r>
              <w:rPr>
                <w:rFonts w:ascii="宋体" w:hAnsi="宋体" w:eastAsia="宋体" w:cs="宋体"/>
                <w:sz w:val="24"/>
                <w:szCs w:val="24"/>
              </w:rPr>
              <w:t>生态板及深加工生产线项目环境影响评价报告表》及批复要求建设，安装环保设</w:t>
            </w:r>
            <w:r>
              <w:rPr>
                <w:rFonts w:ascii="宋体" w:hAnsi="宋体" w:eastAsia="宋体" w:cs="宋体"/>
                <w:spacing w:val="-1"/>
                <w:sz w:val="24"/>
                <w:szCs w:val="24"/>
              </w:rPr>
              <w:t>施，定期维护，现场未发现环境问题。</w:t>
            </w:r>
          </w:p>
        </w:tc>
      </w:tr>
    </w:tbl>
    <w:p w14:paraId="323EB2A7">
      <w:pPr>
        <w:pStyle w:val="2"/>
      </w:pPr>
    </w:p>
    <w:p w14:paraId="40984E69">
      <w:pPr>
        <w:sectPr>
          <w:footerReference r:id="rId76" w:type="default"/>
          <w:pgSz w:w="11906" w:h="16839"/>
          <w:pgMar w:top="400" w:right="1413" w:bottom="1329" w:left="1413" w:header="0" w:footer="1113" w:gutter="0"/>
          <w:cols w:space="720" w:num="1"/>
        </w:sectPr>
      </w:pPr>
    </w:p>
    <w:p w14:paraId="18B4FD12">
      <w:pPr>
        <w:pStyle w:val="2"/>
        <w:spacing w:line="248" w:lineRule="auto"/>
      </w:pPr>
    </w:p>
    <w:p w14:paraId="1FEF3372">
      <w:pPr>
        <w:pStyle w:val="2"/>
        <w:spacing w:line="248" w:lineRule="auto"/>
      </w:pPr>
    </w:p>
    <w:p w14:paraId="33E919CF">
      <w:pPr>
        <w:pStyle w:val="2"/>
        <w:spacing w:line="248" w:lineRule="auto"/>
      </w:pPr>
    </w:p>
    <w:p w14:paraId="4A73214D">
      <w:pPr>
        <w:pStyle w:val="2"/>
        <w:spacing w:line="248" w:lineRule="auto"/>
      </w:pPr>
    </w:p>
    <w:p w14:paraId="302F0C66">
      <w:pPr>
        <w:pStyle w:val="2"/>
        <w:spacing w:line="249" w:lineRule="auto"/>
      </w:pPr>
    </w:p>
    <w:p w14:paraId="472E635D">
      <w:pPr>
        <w:spacing w:before="98" w:line="218" w:lineRule="auto"/>
        <w:ind w:left="1550"/>
        <w:outlineLvl w:val="0"/>
        <w:rPr>
          <w:rFonts w:ascii="宋体" w:hAnsi="宋体" w:eastAsia="宋体" w:cs="宋体"/>
          <w:sz w:val="30"/>
          <w:szCs w:val="30"/>
        </w:rPr>
      </w:pPr>
      <w:bookmarkStart w:id="6" w:name="bookmark3"/>
      <w:bookmarkEnd w:id="6"/>
      <w:r>
        <w:rPr>
          <w:rFonts w:ascii="宋体" w:hAnsi="宋体" w:eastAsia="宋体" w:cs="宋体"/>
          <w:spacing w:val="-1"/>
          <w:sz w:val="30"/>
          <w:szCs w:val="30"/>
        </w:rPr>
        <w:t>三、区域环境质量现状、环境保护目标及评价标准</w:t>
      </w:r>
    </w:p>
    <w:p w14:paraId="33B06CF8">
      <w:pPr>
        <w:spacing w:line="183" w:lineRule="exact"/>
      </w:pPr>
    </w:p>
    <w:tbl>
      <w:tblPr>
        <w:tblStyle w:val="10"/>
        <w:tblW w:w="906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17"/>
        <w:gridCol w:w="8348"/>
      </w:tblGrid>
      <w:tr w14:paraId="270FD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45" w:hRule="atLeast"/>
        </w:trPr>
        <w:tc>
          <w:tcPr>
            <w:tcW w:w="717" w:type="dxa"/>
            <w:tcBorders>
              <w:right w:val="single" w:color="000000" w:sz="2" w:space="0"/>
            </w:tcBorders>
            <w:vAlign w:val="top"/>
          </w:tcPr>
          <w:p w14:paraId="6DBB382E">
            <w:pPr>
              <w:spacing w:line="241" w:lineRule="auto"/>
              <w:rPr>
                <w:rFonts w:ascii="Arial"/>
                <w:sz w:val="21"/>
              </w:rPr>
            </w:pPr>
          </w:p>
          <w:p w14:paraId="5EA721E9">
            <w:pPr>
              <w:spacing w:line="241" w:lineRule="auto"/>
              <w:rPr>
                <w:rFonts w:ascii="Arial"/>
                <w:sz w:val="21"/>
              </w:rPr>
            </w:pPr>
          </w:p>
          <w:p w14:paraId="17F17B40">
            <w:pPr>
              <w:spacing w:line="241" w:lineRule="auto"/>
              <w:rPr>
                <w:rFonts w:ascii="Arial"/>
                <w:sz w:val="21"/>
              </w:rPr>
            </w:pPr>
          </w:p>
          <w:p w14:paraId="16418BA2">
            <w:pPr>
              <w:spacing w:line="241" w:lineRule="auto"/>
              <w:rPr>
                <w:rFonts w:ascii="Arial"/>
                <w:sz w:val="21"/>
              </w:rPr>
            </w:pPr>
          </w:p>
          <w:p w14:paraId="670BFA19">
            <w:pPr>
              <w:spacing w:line="241" w:lineRule="auto"/>
              <w:rPr>
                <w:rFonts w:ascii="Arial"/>
                <w:sz w:val="21"/>
              </w:rPr>
            </w:pPr>
          </w:p>
          <w:p w14:paraId="60759D7A">
            <w:pPr>
              <w:spacing w:line="241" w:lineRule="auto"/>
              <w:rPr>
                <w:rFonts w:ascii="Arial"/>
                <w:sz w:val="21"/>
              </w:rPr>
            </w:pPr>
          </w:p>
          <w:p w14:paraId="6684004A">
            <w:pPr>
              <w:spacing w:line="241" w:lineRule="auto"/>
              <w:rPr>
                <w:rFonts w:ascii="Arial"/>
                <w:sz w:val="21"/>
              </w:rPr>
            </w:pPr>
          </w:p>
          <w:p w14:paraId="7A35E658">
            <w:pPr>
              <w:spacing w:line="241" w:lineRule="auto"/>
              <w:rPr>
                <w:rFonts w:ascii="Arial"/>
                <w:sz w:val="21"/>
              </w:rPr>
            </w:pPr>
          </w:p>
          <w:p w14:paraId="10F379D6">
            <w:pPr>
              <w:spacing w:line="241" w:lineRule="auto"/>
              <w:rPr>
                <w:rFonts w:ascii="Arial"/>
                <w:sz w:val="21"/>
              </w:rPr>
            </w:pPr>
          </w:p>
          <w:p w14:paraId="7DFB080B">
            <w:pPr>
              <w:spacing w:line="241" w:lineRule="auto"/>
              <w:rPr>
                <w:rFonts w:ascii="Arial"/>
                <w:sz w:val="21"/>
              </w:rPr>
            </w:pPr>
          </w:p>
          <w:p w14:paraId="22E5F6D4">
            <w:pPr>
              <w:spacing w:line="241" w:lineRule="auto"/>
              <w:rPr>
                <w:rFonts w:ascii="Arial"/>
                <w:sz w:val="21"/>
              </w:rPr>
            </w:pPr>
          </w:p>
          <w:p w14:paraId="0CD15AA2">
            <w:pPr>
              <w:spacing w:line="241" w:lineRule="auto"/>
              <w:rPr>
                <w:rFonts w:ascii="Arial"/>
                <w:sz w:val="21"/>
              </w:rPr>
            </w:pPr>
          </w:p>
          <w:p w14:paraId="0CF55A21">
            <w:pPr>
              <w:spacing w:line="241" w:lineRule="auto"/>
              <w:rPr>
                <w:rFonts w:ascii="Arial"/>
                <w:sz w:val="21"/>
              </w:rPr>
            </w:pPr>
          </w:p>
          <w:p w14:paraId="09064F41">
            <w:pPr>
              <w:spacing w:line="241" w:lineRule="auto"/>
              <w:rPr>
                <w:rFonts w:ascii="Arial"/>
                <w:sz w:val="21"/>
              </w:rPr>
            </w:pPr>
          </w:p>
          <w:p w14:paraId="6C551308">
            <w:pPr>
              <w:spacing w:line="241" w:lineRule="auto"/>
              <w:rPr>
                <w:rFonts w:ascii="Arial"/>
                <w:sz w:val="21"/>
              </w:rPr>
            </w:pPr>
          </w:p>
          <w:p w14:paraId="2F98113E">
            <w:pPr>
              <w:spacing w:line="241" w:lineRule="auto"/>
              <w:rPr>
                <w:rFonts w:ascii="Arial"/>
                <w:sz w:val="21"/>
              </w:rPr>
            </w:pPr>
          </w:p>
          <w:p w14:paraId="46577AF9">
            <w:pPr>
              <w:spacing w:line="241" w:lineRule="auto"/>
              <w:rPr>
                <w:rFonts w:ascii="Arial"/>
                <w:sz w:val="21"/>
              </w:rPr>
            </w:pPr>
          </w:p>
          <w:p w14:paraId="20A25939">
            <w:pPr>
              <w:spacing w:line="241" w:lineRule="auto"/>
              <w:rPr>
                <w:rFonts w:ascii="Arial"/>
                <w:sz w:val="21"/>
              </w:rPr>
            </w:pPr>
          </w:p>
          <w:p w14:paraId="46CA9E45">
            <w:pPr>
              <w:spacing w:line="242" w:lineRule="auto"/>
              <w:rPr>
                <w:rFonts w:ascii="Arial"/>
                <w:sz w:val="21"/>
              </w:rPr>
            </w:pPr>
          </w:p>
          <w:p w14:paraId="668C7E89">
            <w:pPr>
              <w:spacing w:line="242" w:lineRule="auto"/>
              <w:rPr>
                <w:rFonts w:ascii="Arial"/>
                <w:sz w:val="21"/>
              </w:rPr>
            </w:pPr>
          </w:p>
          <w:p w14:paraId="4FA1C86A">
            <w:pPr>
              <w:spacing w:line="242" w:lineRule="auto"/>
              <w:rPr>
                <w:rFonts w:ascii="Arial"/>
                <w:sz w:val="21"/>
              </w:rPr>
            </w:pPr>
          </w:p>
          <w:p w14:paraId="23936966">
            <w:pPr>
              <w:spacing w:before="78" w:line="360" w:lineRule="auto"/>
              <w:ind w:left="116" w:right="119" w:firstLine="17"/>
              <w:jc w:val="both"/>
              <w:rPr>
                <w:rFonts w:ascii="宋体" w:hAnsi="宋体" w:eastAsia="宋体" w:cs="宋体"/>
                <w:sz w:val="24"/>
                <w:szCs w:val="24"/>
              </w:rPr>
            </w:pPr>
            <w:r>
              <w:rPr>
                <w:rFonts w:ascii="宋体" w:hAnsi="宋体" w:eastAsia="宋体" w:cs="宋体"/>
                <w:spacing w:val="-14"/>
                <w:sz w:val="24"/>
                <w:szCs w:val="24"/>
              </w:rPr>
              <w:t>区域</w:t>
            </w:r>
            <w:r>
              <w:rPr>
                <w:rFonts w:ascii="宋体" w:hAnsi="宋体" w:eastAsia="宋体" w:cs="宋体"/>
                <w:spacing w:val="-5"/>
                <w:sz w:val="24"/>
                <w:szCs w:val="24"/>
              </w:rPr>
              <w:t>环境质量现状</w:t>
            </w:r>
          </w:p>
        </w:tc>
        <w:tc>
          <w:tcPr>
            <w:tcW w:w="8348" w:type="dxa"/>
            <w:tcBorders>
              <w:left w:val="single" w:color="000000" w:sz="2" w:space="0"/>
            </w:tcBorders>
            <w:vAlign w:val="top"/>
          </w:tcPr>
          <w:p w14:paraId="7CA8A247">
            <w:pPr>
              <w:spacing w:before="39" w:line="219" w:lineRule="auto"/>
              <w:ind w:left="594"/>
              <w:rPr>
                <w:rFonts w:ascii="宋体" w:hAnsi="宋体" w:eastAsia="宋体" w:cs="宋体"/>
                <w:sz w:val="24"/>
                <w:szCs w:val="24"/>
              </w:rPr>
            </w:pPr>
            <w:r>
              <w:rPr>
                <w:rFonts w:ascii="Times New Roman" w:hAnsi="Times New Roman" w:eastAsia="Times New Roman" w:cs="Times New Roman"/>
                <w:b/>
                <w:bCs/>
                <w:spacing w:val="-6"/>
                <w:sz w:val="24"/>
                <w:szCs w:val="24"/>
              </w:rPr>
              <w:t>1</w:t>
            </w:r>
            <w:r>
              <w:rPr>
                <w:rFonts w:ascii="Times New Roman" w:hAnsi="Times New Roman" w:eastAsia="Times New Roman" w:cs="Times New Roman"/>
                <w:b/>
                <w:bCs/>
                <w:spacing w:val="-33"/>
                <w:sz w:val="24"/>
                <w:szCs w:val="24"/>
              </w:rPr>
              <w:t xml:space="preserve"> </w:t>
            </w:r>
            <w:r>
              <w:rPr>
                <w:rFonts w:ascii="宋体" w:hAnsi="宋体" w:eastAsia="宋体" w:cs="宋体"/>
                <w:b/>
                <w:bCs/>
                <w:spacing w:val="-6"/>
                <w:sz w:val="24"/>
                <w:szCs w:val="24"/>
              </w:rPr>
              <w:t>、环境空气质量现状</w:t>
            </w:r>
          </w:p>
          <w:p w14:paraId="22985633">
            <w:pPr>
              <w:spacing w:before="181" w:line="310" w:lineRule="auto"/>
              <w:ind w:left="111" w:right="103" w:firstLine="477"/>
              <w:rPr>
                <w:rFonts w:ascii="宋体" w:hAnsi="宋体" w:eastAsia="宋体" w:cs="宋体"/>
                <w:sz w:val="24"/>
                <w:szCs w:val="24"/>
              </w:rPr>
            </w:pPr>
            <w:r>
              <w:rPr>
                <w:rFonts w:ascii="宋体" w:hAnsi="宋体" w:eastAsia="宋体" w:cs="宋体"/>
                <w:spacing w:val="-1"/>
                <w:sz w:val="24"/>
                <w:szCs w:val="24"/>
              </w:rPr>
              <w:t>本项目位于云南省昆明市寻甸回族彝族自治县特色产业园区金所</w:t>
            </w:r>
            <w:r>
              <w:rPr>
                <w:rFonts w:ascii="宋体" w:hAnsi="宋体" w:eastAsia="宋体" w:cs="宋体"/>
                <w:spacing w:val="-2"/>
                <w:sz w:val="24"/>
                <w:szCs w:val="24"/>
              </w:rPr>
              <w:t>片区，属</w:t>
            </w:r>
            <w:r>
              <w:rPr>
                <w:rFonts w:ascii="宋体" w:hAnsi="宋体" w:eastAsia="宋体" w:cs="宋体"/>
                <w:spacing w:val="-1"/>
                <w:sz w:val="24"/>
                <w:szCs w:val="24"/>
              </w:rPr>
              <w:t>于环境空气质量二类区，项目所在区域大</w:t>
            </w:r>
            <w:r>
              <w:rPr>
                <w:rFonts w:ascii="微软雅黑" w:hAnsi="微软雅黑" w:eastAsia="微软雅黑" w:cs="微软雅黑"/>
                <w:spacing w:val="-1"/>
                <w:sz w:val="24"/>
                <w:szCs w:val="24"/>
              </w:rPr>
              <w:t>气</w:t>
            </w:r>
            <w:r>
              <w:rPr>
                <w:rFonts w:ascii="宋体" w:hAnsi="宋体" w:eastAsia="宋体" w:cs="宋体"/>
                <w:spacing w:val="-1"/>
                <w:sz w:val="24"/>
                <w:szCs w:val="24"/>
              </w:rPr>
              <w:t>环境执行《环境空</w:t>
            </w:r>
            <w:r>
              <w:rPr>
                <w:rFonts w:ascii="微软雅黑" w:hAnsi="微软雅黑" w:eastAsia="微软雅黑" w:cs="微软雅黑"/>
                <w:spacing w:val="-1"/>
                <w:sz w:val="24"/>
                <w:szCs w:val="24"/>
              </w:rPr>
              <w:t>气</w:t>
            </w:r>
            <w:r>
              <w:rPr>
                <w:rFonts w:ascii="宋体" w:hAnsi="宋体" w:eastAsia="宋体" w:cs="宋体"/>
                <w:spacing w:val="-1"/>
                <w:sz w:val="24"/>
                <w:szCs w:val="24"/>
              </w:rPr>
              <w:t>质</w:t>
            </w:r>
            <w:r>
              <w:rPr>
                <w:rFonts w:ascii="微软雅黑" w:hAnsi="微软雅黑" w:eastAsia="微软雅黑" w:cs="微软雅黑"/>
                <w:spacing w:val="-1"/>
                <w:sz w:val="24"/>
                <w:szCs w:val="24"/>
              </w:rPr>
              <w:t>量</w:t>
            </w:r>
            <w:r>
              <w:rPr>
                <w:rFonts w:ascii="宋体" w:hAnsi="宋体" w:eastAsia="宋体" w:cs="宋体"/>
                <w:spacing w:val="-1"/>
                <w:sz w:val="24"/>
                <w:szCs w:val="24"/>
              </w:rPr>
              <w:t>标准》</w:t>
            </w:r>
          </w:p>
          <w:p w14:paraId="3E8DAD3D">
            <w:pPr>
              <w:spacing w:before="1" w:line="189" w:lineRule="auto"/>
              <w:jc w:val="right"/>
              <w:rPr>
                <w:rFonts w:ascii="宋体" w:hAnsi="宋体" w:eastAsia="宋体" w:cs="宋体"/>
                <w:sz w:val="24"/>
                <w:szCs w:val="24"/>
              </w:rPr>
            </w:pPr>
            <w:r>
              <w:rPr>
                <w:rFonts w:ascii="宋体" w:hAnsi="宋体" w:eastAsia="宋体" w:cs="宋体"/>
                <w:spacing w:val="-6"/>
                <w:sz w:val="24"/>
                <w:szCs w:val="24"/>
              </w:rPr>
              <w:t>（</w:t>
            </w:r>
            <w:r>
              <w:rPr>
                <w:rFonts w:ascii="Times New Roman" w:hAnsi="Times New Roman" w:eastAsia="Times New Roman" w:cs="Times New Roman"/>
                <w:spacing w:val="-6"/>
                <w:sz w:val="24"/>
                <w:szCs w:val="24"/>
              </w:rPr>
              <w:t>GB3095-2026</w:t>
            </w:r>
            <w:r>
              <w:rPr>
                <w:rFonts w:ascii="宋体" w:hAnsi="宋体" w:eastAsia="宋体" w:cs="宋体"/>
                <w:spacing w:val="-6"/>
                <w:sz w:val="24"/>
                <w:szCs w:val="24"/>
              </w:rPr>
              <w:t>）表</w:t>
            </w:r>
            <w:r>
              <w:rPr>
                <w:rFonts w:ascii="宋体" w:hAnsi="宋体" w:eastAsia="宋体" w:cs="宋体"/>
                <w:spacing w:val="-28"/>
                <w:sz w:val="24"/>
                <w:szCs w:val="24"/>
              </w:rPr>
              <w:t xml:space="preserve"> </w:t>
            </w:r>
            <w:r>
              <w:rPr>
                <w:rFonts w:ascii="Times New Roman" w:hAnsi="Times New Roman" w:eastAsia="Times New Roman" w:cs="Times New Roman"/>
                <w:spacing w:val="-6"/>
                <w:sz w:val="24"/>
                <w:szCs w:val="24"/>
              </w:rPr>
              <w:t>1</w:t>
            </w:r>
            <w:r>
              <w:rPr>
                <w:rFonts w:ascii="Times New Roman" w:hAnsi="Times New Roman" w:eastAsia="Times New Roman" w:cs="Times New Roman"/>
                <w:spacing w:val="32"/>
                <w:sz w:val="24"/>
                <w:szCs w:val="24"/>
              </w:rPr>
              <w:t xml:space="preserve"> </w:t>
            </w:r>
            <w:r>
              <w:rPr>
                <w:rFonts w:ascii="宋体" w:hAnsi="宋体" w:eastAsia="宋体" w:cs="宋体"/>
                <w:spacing w:val="-6"/>
                <w:sz w:val="24"/>
                <w:szCs w:val="24"/>
              </w:rPr>
              <w:t>中过渡阶段的</w:t>
            </w:r>
            <w:r>
              <w:rPr>
                <w:rFonts w:ascii="微软雅黑" w:hAnsi="微软雅黑" w:eastAsia="微软雅黑" w:cs="微软雅黑"/>
                <w:spacing w:val="-6"/>
                <w:sz w:val="24"/>
                <w:szCs w:val="24"/>
              </w:rPr>
              <w:t>二</w:t>
            </w:r>
            <w:r>
              <w:rPr>
                <w:rFonts w:ascii="宋体" w:hAnsi="宋体" w:eastAsia="宋体" w:cs="宋体"/>
                <w:spacing w:val="-6"/>
                <w:sz w:val="24"/>
                <w:szCs w:val="24"/>
              </w:rPr>
              <w:t>级浓度限值以及表</w:t>
            </w:r>
            <w:r>
              <w:rPr>
                <w:rFonts w:ascii="宋体" w:hAnsi="宋体" w:eastAsia="宋体" w:cs="宋体"/>
                <w:spacing w:val="-55"/>
                <w:sz w:val="24"/>
                <w:szCs w:val="24"/>
              </w:rPr>
              <w:t xml:space="preserve"> </w:t>
            </w:r>
            <w:r>
              <w:rPr>
                <w:rFonts w:ascii="Times New Roman" w:hAnsi="Times New Roman" w:eastAsia="Times New Roman" w:cs="Times New Roman"/>
                <w:spacing w:val="-6"/>
                <w:sz w:val="24"/>
                <w:szCs w:val="24"/>
              </w:rPr>
              <w:t>2</w:t>
            </w:r>
            <w:r>
              <w:rPr>
                <w:rFonts w:ascii="Times New Roman" w:hAnsi="Times New Roman" w:eastAsia="Times New Roman" w:cs="Times New Roman"/>
                <w:spacing w:val="32"/>
                <w:sz w:val="24"/>
                <w:szCs w:val="24"/>
              </w:rPr>
              <w:t xml:space="preserve"> </w:t>
            </w:r>
            <w:r>
              <w:rPr>
                <w:rFonts w:ascii="宋体" w:hAnsi="宋体" w:eastAsia="宋体" w:cs="宋体"/>
                <w:spacing w:val="-6"/>
                <w:sz w:val="24"/>
                <w:szCs w:val="24"/>
              </w:rPr>
              <w:t>中的</w:t>
            </w:r>
            <w:r>
              <w:rPr>
                <w:rFonts w:ascii="微软雅黑" w:hAnsi="微软雅黑" w:eastAsia="微软雅黑" w:cs="微软雅黑"/>
                <w:spacing w:val="-6"/>
                <w:sz w:val="24"/>
                <w:szCs w:val="24"/>
              </w:rPr>
              <w:t>二</w:t>
            </w:r>
            <w:r>
              <w:rPr>
                <w:rFonts w:ascii="宋体" w:hAnsi="宋体" w:eastAsia="宋体" w:cs="宋体"/>
                <w:spacing w:val="-6"/>
                <w:sz w:val="24"/>
                <w:szCs w:val="24"/>
              </w:rPr>
              <w:t>级浓度限值。</w:t>
            </w:r>
          </w:p>
          <w:p w14:paraId="547A8CA9">
            <w:pPr>
              <w:spacing w:before="139" w:line="220" w:lineRule="auto"/>
              <w:ind w:left="599"/>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1</w:t>
            </w:r>
            <w:r>
              <w:rPr>
                <w:rFonts w:ascii="宋体" w:hAnsi="宋体" w:eastAsia="宋体" w:cs="宋体"/>
                <w:b/>
                <w:bCs/>
                <w:spacing w:val="-5"/>
                <w:sz w:val="24"/>
                <w:szCs w:val="24"/>
              </w:rPr>
              <w:t>）达标区判定</w:t>
            </w:r>
          </w:p>
          <w:p w14:paraId="0B23B067">
            <w:pPr>
              <w:spacing w:before="184" w:line="359" w:lineRule="auto"/>
              <w:ind w:left="109" w:right="100" w:firstLine="479"/>
              <w:jc w:val="both"/>
              <w:rPr>
                <w:rFonts w:ascii="宋体" w:hAnsi="宋体" w:eastAsia="宋体" w:cs="宋体"/>
                <w:sz w:val="24"/>
                <w:szCs w:val="24"/>
              </w:rPr>
            </w:pPr>
            <w:r>
              <w:rPr>
                <w:rFonts w:ascii="宋体" w:hAnsi="宋体" w:eastAsia="宋体" w:cs="宋体"/>
                <w:spacing w:val="-9"/>
                <w:sz w:val="24"/>
                <w:szCs w:val="24"/>
              </w:rPr>
              <w:t>根据昆明市生态环境局发布的《</w:t>
            </w:r>
            <w:r>
              <w:rPr>
                <w:rFonts w:ascii="Times New Roman" w:hAnsi="Times New Roman" w:eastAsia="Times New Roman" w:cs="Times New Roman"/>
                <w:spacing w:val="-9"/>
                <w:sz w:val="24"/>
                <w:szCs w:val="24"/>
              </w:rPr>
              <w:t xml:space="preserve">2024 </w:t>
            </w:r>
            <w:r>
              <w:rPr>
                <w:rFonts w:ascii="宋体" w:hAnsi="宋体" w:eastAsia="宋体" w:cs="宋体"/>
                <w:spacing w:val="-9"/>
                <w:sz w:val="24"/>
                <w:szCs w:val="24"/>
              </w:rPr>
              <w:t>年度昆明市生态环境状况公报》，</w:t>
            </w:r>
            <w:r>
              <w:rPr>
                <w:rFonts w:ascii="Times New Roman" w:hAnsi="Times New Roman" w:eastAsia="Times New Roman" w:cs="Times New Roman"/>
                <w:spacing w:val="-9"/>
                <w:sz w:val="24"/>
                <w:szCs w:val="24"/>
              </w:rPr>
              <w:t>2024</w:t>
            </w:r>
            <w:r>
              <w:rPr>
                <w:rFonts w:ascii="宋体" w:hAnsi="宋体" w:eastAsia="宋体" w:cs="宋体"/>
                <w:spacing w:val="-1"/>
                <w:sz w:val="24"/>
                <w:szCs w:val="24"/>
              </w:rPr>
              <w:t>年昆明市主城区外所辖的</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 xml:space="preserve">8 </w:t>
            </w:r>
            <w:r>
              <w:rPr>
                <w:rFonts w:ascii="宋体" w:hAnsi="宋体" w:eastAsia="宋体" w:cs="宋体"/>
                <w:spacing w:val="-1"/>
                <w:sz w:val="24"/>
                <w:szCs w:val="24"/>
              </w:rPr>
              <w:t>个县（市）、区</w:t>
            </w:r>
            <w:r>
              <w:rPr>
                <w:rFonts w:ascii="宋体" w:hAnsi="宋体" w:eastAsia="宋体" w:cs="宋体"/>
                <w:spacing w:val="-2"/>
                <w:sz w:val="24"/>
                <w:szCs w:val="24"/>
              </w:rPr>
              <w:t>环境空气质量总体保持良好，各项</w:t>
            </w:r>
            <w:r>
              <w:rPr>
                <w:rFonts w:ascii="宋体" w:hAnsi="宋体" w:eastAsia="宋体" w:cs="宋体"/>
                <w:spacing w:val="1"/>
                <w:sz w:val="24"/>
                <w:szCs w:val="24"/>
              </w:rPr>
              <w:t>污染物平均浓度均达到《环境空气质量标准》（</w:t>
            </w:r>
            <w:r>
              <w:rPr>
                <w:rFonts w:ascii="Times New Roman" w:hAnsi="Times New Roman" w:eastAsia="Times New Roman" w:cs="Times New Roman"/>
                <w:sz w:val="24"/>
                <w:szCs w:val="24"/>
              </w:rPr>
              <w:t>GB</w:t>
            </w:r>
            <w:r>
              <w:rPr>
                <w:rFonts w:ascii="Times New Roman" w:hAnsi="Times New Roman" w:eastAsia="Times New Roman" w:cs="Times New Roman"/>
                <w:spacing w:val="1"/>
                <w:sz w:val="24"/>
                <w:szCs w:val="24"/>
              </w:rPr>
              <w:t>3095-2012</w:t>
            </w:r>
            <w:r>
              <w:rPr>
                <w:rFonts w:ascii="宋体" w:hAnsi="宋体" w:eastAsia="宋体" w:cs="宋体"/>
                <w:spacing w:val="1"/>
                <w:sz w:val="24"/>
                <w:szCs w:val="24"/>
              </w:rPr>
              <w:t>）二级</w:t>
            </w:r>
            <w:r>
              <w:rPr>
                <w:rFonts w:ascii="宋体" w:hAnsi="宋体" w:eastAsia="宋体" w:cs="宋体"/>
                <w:sz w:val="24"/>
                <w:szCs w:val="24"/>
              </w:rPr>
              <w:t>标准；空</w:t>
            </w:r>
            <w:r>
              <w:rPr>
                <w:rFonts w:ascii="宋体" w:hAnsi="宋体" w:eastAsia="宋体" w:cs="宋体"/>
                <w:spacing w:val="-1"/>
                <w:sz w:val="24"/>
                <w:szCs w:val="24"/>
              </w:rPr>
              <w:t>气优良天数比例范围为</w:t>
            </w:r>
            <w:r>
              <w:rPr>
                <w:rFonts w:ascii="宋体" w:hAnsi="宋体" w:eastAsia="宋体" w:cs="宋体"/>
                <w:spacing w:val="-51"/>
                <w:sz w:val="24"/>
                <w:szCs w:val="24"/>
              </w:rPr>
              <w:t xml:space="preserve"> </w:t>
            </w:r>
            <w:r>
              <w:rPr>
                <w:rFonts w:ascii="Times New Roman" w:hAnsi="Times New Roman" w:eastAsia="Times New Roman" w:cs="Times New Roman"/>
                <w:spacing w:val="-1"/>
                <w:sz w:val="24"/>
                <w:szCs w:val="24"/>
              </w:rPr>
              <w:t>97.50%~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
                <w:sz w:val="24"/>
                <w:szCs w:val="24"/>
              </w:rPr>
              <w:t>100%</w:t>
            </w:r>
            <w:r>
              <w:rPr>
                <w:rFonts w:ascii="Times New Roman" w:hAnsi="Times New Roman" w:eastAsia="Times New Roman" w:cs="Times New Roman"/>
                <w:spacing w:val="-27"/>
                <w:sz w:val="24"/>
                <w:szCs w:val="24"/>
              </w:rPr>
              <w:t xml:space="preserve"> </w:t>
            </w:r>
            <w:r>
              <w:rPr>
                <w:rFonts w:ascii="宋体" w:hAnsi="宋体" w:eastAsia="宋体" w:cs="宋体"/>
                <w:spacing w:val="-1"/>
                <w:sz w:val="24"/>
                <w:szCs w:val="24"/>
              </w:rPr>
              <w:t>，与</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 xml:space="preserve">2023 </w:t>
            </w:r>
            <w:r>
              <w:rPr>
                <w:rFonts w:ascii="宋体" w:hAnsi="宋体" w:eastAsia="宋体" w:cs="宋体"/>
                <w:spacing w:val="-1"/>
                <w:sz w:val="24"/>
                <w:szCs w:val="24"/>
              </w:rPr>
              <w:t>年相比，石林县、富民县、宜良县、东川区、寻甸县、嵩明县、全县空气优良天数比例均有提高。综上</w:t>
            </w:r>
            <w:r>
              <w:rPr>
                <w:rFonts w:ascii="宋体" w:hAnsi="宋体" w:eastAsia="宋体" w:cs="宋体"/>
                <w:spacing w:val="-2"/>
                <w:sz w:val="24"/>
                <w:szCs w:val="24"/>
              </w:rPr>
              <w:t>，本</w:t>
            </w:r>
            <w:r>
              <w:rPr>
                <w:rFonts w:ascii="宋体" w:hAnsi="宋体" w:eastAsia="宋体" w:cs="宋体"/>
                <w:spacing w:val="19"/>
                <w:sz w:val="24"/>
                <w:szCs w:val="24"/>
              </w:rPr>
              <w:t>项</w:t>
            </w:r>
            <w:r>
              <w:rPr>
                <w:rFonts w:ascii="宋体" w:hAnsi="宋体" w:eastAsia="宋体" w:cs="宋体"/>
                <w:spacing w:val="-34"/>
                <w:sz w:val="24"/>
                <w:szCs w:val="24"/>
              </w:rPr>
              <w:t xml:space="preserve"> </w:t>
            </w:r>
            <w:r>
              <w:rPr>
                <w:rFonts w:ascii="宋体" w:hAnsi="宋体" w:eastAsia="宋体" w:cs="宋体"/>
                <w:spacing w:val="19"/>
                <w:sz w:val="24"/>
                <w:szCs w:val="24"/>
              </w:rPr>
              <w:t>目所在</w:t>
            </w:r>
            <w:r>
              <w:rPr>
                <w:rFonts w:ascii="宋体" w:hAnsi="宋体" w:eastAsia="宋体" w:cs="宋体"/>
                <w:spacing w:val="-59"/>
                <w:sz w:val="24"/>
                <w:szCs w:val="24"/>
              </w:rPr>
              <w:t xml:space="preserve"> </w:t>
            </w:r>
            <w:r>
              <w:rPr>
                <w:rFonts w:ascii="宋体" w:hAnsi="宋体" w:eastAsia="宋体" w:cs="宋体"/>
                <w:spacing w:val="19"/>
                <w:sz w:val="24"/>
                <w:szCs w:val="24"/>
              </w:rPr>
              <w:t>区域环境</w:t>
            </w:r>
            <w:r>
              <w:rPr>
                <w:rFonts w:ascii="宋体" w:hAnsi="宋体" w:eastAsia="宋体" w:cs="宋体"/>
                <w:spacing w:val="-70"/>
                <w:sz w:val="24"/>
                <w:szCs w:val="24"/>
              </w:rPr>
              <w:t xml:space="preserve"> </w:t>
            </w:r>
            <w:r>
              <w:rPr>
                <w:rFonts w:ascii="宋体" w:hAnsi="宋体" w:eastAsia="宋体" w:cs="宋体"/>
                <w:spacing w:val="19"/>
                <w:sz w:val="24"/>
                <w:szCs w:val="24"/>
              </w:rPr>
              <w:t>空气质量常规污染物均达</w:t>
            </w:r>
            <w:r>
              <w:rPr>
                <w:rFonts w:ascii="宋体" w:hAnsi="宋体" w:eastAsia="宋体" w:cs="宋体"/>
                <w:spacing w:val="-70"/>
                <w:sz w:val="24"/>
                <w:szCs w:val="24"/>
              </w:rPr>
              <w:t xml:space="preserve"> </w:t>
            </w:r>
            <w:r>
              <w:rPr>
                <w:rFonts w:ascii="宋体" w:hAnsi="宋体" w:eastAsia="宋体" w:cs="宋体"/>
                <w:spacing w:val="19"/>
                <w:sz w:val="24"/>
                <w:szCs w:val="24"/>
              </w:rPr>
              <w:t>到《</w:t>
            </w:r>
            <w:r>
              <w:rPr>
                <w:rFonts w:ascii="宋体" w:hAnsi="宋体" w:eastAsia="宋体" w:cs="宋体"/>
                <w:spacing w:val="-56"/>
                <w:sz w:val="24"/>
                <w:szCs w:val="24"/>
              </w:rPr>
              <w:t xml:space="preserve"> </w:t>
            </w:r>
            <w:r>
              <w:rPr>
                <w:rFonts w:ascii="宋体" w:hAnsi="宋体" w:eastAsia="宋体" w:cs="宋体"/>
                <w:spacing w:val="19"/>
                <w:sz w:val="24"/>
                <w:szCs w:val="24"/>
              </w:rPr>
              <w:t>环</w:t>
            </w:r>
            <w:r>
              <w:rPr>
                <w:rFonts w:ascii="宋体" w:hAnsi="宋体" w:eastAsia="宋体" w:cs="宋体"/>
                <w:spacing w:val="18"/>
                <w:sz w:val="24"/>
                <w:szCs w:val="24"/>
              </w:rPr>
              <w:t>境空气质量标准</w:t>
            </w:r>
            <w:r>
              <w:rPr>
                <w:rFonts w:ascii="宋体" w:hAnsi="宋体" w:eastAsia="宋体" w:cs="宋体"/>
                <w:spacing w:val="-66"/>
                <w:sz w:val="24"/>
                <w:szCs w:val="24"/>
              </w:rPr>
              <w:t xml:space="preserve"> </w:t>
            </w:r>
            <w:r>
              <w:rPr>
                <w:rFonts w:ascii="宋体" w:hAnsi="宋体" w:eastAsia="宋体" w:cs="宋体"/>
                <w:spacing w:val="18"/>
                <w:sz w:val="24"/>
                <w:szCs w:val="24"/>
              </w:rPr>
              <w:t>》</w:t>
            </w:r>
            <w:r>
              <w:rPr>
                <w:rFonts w:ascii="宋体" w:hAnsi="宋体" w:eastAsia="宋体" w:cs="宋体"/>
                <w:sz w:val="24"/>
                <w:szCs w:val="24"/>
              </w:rPr>
              <w:t xml:space="preserve"> </w:t>
            </w:r>
            <w:r>
              <w:rPr>
                <w:rFonts w:ascii="宋体" w:hAnsi="宋体" w:eastAsia="宋体" w:cs="宋体"/>
                <w:spacing w:val="-1"/>
                <w:sz w:val="24"/>
                <w:szCs w:val="24"/>
              </w:rPr>
              <w:t>（</w:t>
            </w:r>
            <w:r>
              <w:rPr>
                <w:rFonts w:ascii="Times New Roman" w:hAnsi="Times New Roman" w:eastAsia="Times New Roman" w:cs="Times New Roman"/>
                <w:spacing w:val="-1"/>
                <w:sz w:val="24"/>
                <w:szCs w:val="24"/>
              </w:rPr>
              <w:t>GB3095-2012</w:t>
            </w:r>
            <w:r>
              <w:rPr>
                <w:rFonts w:ascii="宋体" w:hAnsi="宋体" w:eastAsia="宋体" w:cs="宋体"/>
                <w:spacing w:val="-1"/>
                <w:sz w:val="24"/>
                <w:szCs w:val="24"/>
              </w:rPr>
              <w:t>）二级标准要求，属于达标区。</w:t>
            </w:r>
          </w:p>
          <w:p w14:paraId="448CB4C3">
            <w:pPr>
              <w:spacing w:line="219" w:lineRule="auto"/>
              <w:ind w:left="35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）特征因子环境质量现状</w:t>
            </w:r>
          </w:p>
          <w:p w14:paraId="1E75A878">
            <w:pPr>
              <w:spacing w:before="183" w:line="359" w:lineRule="auto"/>
              <w:ind w:left="103" w:right="41" w:firstLine="485"/>
              <w:jc w:val="both"/>
              <w:rPr>
                <w:rFonts w:ascii="宋体" w:hAnsi="宋体" w:eastAsia="宋体" w:cs="宋体"/>
                <w:sz w:val="24"/>
                <w:szCs w:val="24"/>
              </w:rPr>
            </w:pPr>
            <w:r>
              <w:rPr>
                <w:rFonts w:ascii="宋体" w:hAnsi="宋体" w:eastAsia="宋体" w:cs="宋体"/>
                <w:spacing w:val="-2"/>
                <w:sz w:val="24"/>
                <w:szCs w:val="24"/>
              </w:rPr>
              <w:t>本项目涉及的特征因子为</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TSP</w:t>
            </w:r>
            <w:r>
              <w:rPr>
                <w:rFonts w:ascii="Times New Roman" w:hAnsi="Times New Roman" w:eastAsia="Times New Roman" w:cs="Times New Roman"/>
                <w:spacing w:val="-35"/>
                <w:sz w:val="24"/>
                <w:szCs w:val="24"/>
              </w:rPr>
              <w:t xml:space="preserve"> </w:t>
            </w:r>
            <w:r>
              <w:rPr>
                <w:rFonts w:ascii="宋体" w:hAnsi="宋体" w:eastAsia="宋体" w:cs="宋体"/>
                <w:spacing w:val="-2"/>
                <w:sz w:val="24"/>
                <w:szCs w:val="24"/>
              </w:rPr>
              <w:t>、非甲烷总烃。为了解项目所在区域环境空气中</w:t>
            </w:r>
            <w:r>
              <w:rPr>
                <w:rFonts w:ascii="宋体" w:hAnsi="宋体" w:eastAsia="宋体" w:cs="宋体"/>
                <w:spacing w:val="-39"/>
                <w:sz w:val="24"/>
                <w:szCs w:val="24"/>
              </w:rPr>
              <w:t xml:space="preserve"> </w:t>
            </w:r>
            <w:r>
              <w:rPr>
                <w:rFonts w:ascii="Times New Roman" w:hAnsi="Times New Roman" w:eastAsia="Times New Roman" w:cs="Times New Roman"/>
                <w:spacing w:val="-2"/>
                <w:sz w:val="24"/>
                <w:szCs w:val="24"/>
              </w:rPr>
              <w:t>TSP</w:t>
            </w:r>
            <w:r>
              <w:rPr>
                <w:rFonts w:ascii="Times New Roman" w:hAnsi="Times New Roman" w:eastAsia="Times New Roman" w:cs="Times New Roman"/>
                <w:spacing w:val="-35"/>
                <w:sz w:val="24"/>
                <w:szCs w:val="24"/>
              </w:rPr>
              <w:t xml:space="preserve"> </w:t>
            </w:r>
            <w:r>
              <w:rPr>
                <w:rFonts w:ascii="宋体" w:hAnsi="宋体" w:eastAsia="宋体" w:cs="宋体"/>
                <w:spacing w:val="-2"/>
                <w:sz w:val="24"/>
                <w:szCs w:val="24"/>
              </w:rPr>
              <w:t>、非甲烷总烃的质量状况，本次评价非甲烷总烃引用《寻甸县蜀滇塑</w:t>
            </w:r>
            <w:r>
              <w:rPr>
                <w:rFonts w:ascii="宋体" w:hAnsi="宋体" w:eastAsia="宋体" w:cs="宋体"/>
                <w:spacing w:val="-1"/>
                <w:sz w:val="24"/>
                <w:szCs w:val="24"/>
              </w:rPr>
              <w:t>料制品经营部蔬菜框生产项目环境影响报告书》中寻甸县蜀滇塑料制品经营部</w:t>
            </w:r>
            <w:r>
              <w:rPr>
                <w:rFonts w:ascii="Times New Roman" w:hAnsi="Times New Roman" w:eastAsia="Times New Roman" w:cs="Times New Roman"/>
                <w:spacing w:val="-4"/>
                <w:sz w:val="24"/>
                <w:szCs w:val="24"/>
              </w:rPr>
              <w:t xml:space="preserve">2024 </w:t>
            </w:r>
            <w:r>
              <w:rPr>
                <w:rFonts w:ascii="宋体" w:hAnsi="宋体" w:eastAsia="宋体" w:cs="宋体"/>
                <w:spacing w:val="-4"/>
                <w:sz w:val="24"/>
                <w:szCs w:val="24"/>
              </w:rPr>
              <w:t>年</w:t>
            </w:r>
            <w:r>
              <w:rPr>
                <w:rFonts w:ascii="宋体" w:hAnsi="宋体" w:eastAsia="宋体" w:cs="宋体"/>
                <w:spacing w:val="-46"/>
                <w:sz w:val="24"/>
                <w:szCs w:val="24"/>
              </w:rPr>
              <w:t xml:space="preserve"> </w:t>
            </w:r>
            <w:r>
              <w:rPr>
                <w:rFonts w:ascii="Times New Roman" w:hAnsi="Times New Roman" w:eastAsia="Times New Roman" w:cs="Times New Roman"/>
                <w:spacing w:val="-4"/>
                <w:sz w:val="24"/>
                <w:szCs w:val="24"/>
              </w:rPr>
              <w:t xml:space="preserve">12 </w:t>
            </w:r>
            <w:r>
              <w:rPr>
                <w:rFonts w:ascii="宋体" w:hAnsi="宋体" w:eastAsia="宋体" w:cs="宋体"/>
                <w:spacing w:val="-4"/>
                <w:sz w:val="24"/>
                <w:szCs w:val="24"/>
              </w:rPr>
              <w:t>月</w:t>
            </w:r>
            <w:r>
              <w:rPr>
                <w:rFonts w:ascii="宋体" w:hAnsi="宋体" w:eastAsia="宋体" w:cs="宋体"/>
                <w:spacing w:val="-67"/>
                <w:sz w:val="24"/>
                <w:szCs w:val="24"/>
              </w:rPr>
              <w:t xml:space="preserve"> </w:t>
            </w:r>
            <w:r>
              <w:rPr>
                <w:rFonts w:ascii="Times New Roman" w:hAnsi="Times New Roman" w:eastAsia="Times New Roman" w:cs="Times New Roman"/>
                <w:spacing w:val="-4"/>
                <w:sz w:val="24"/>
                <w:szCs w:val="24"/>
              </w:rPr>
              <w:t>27</w:t>
            </w:r>
            <w:r>
              <w:rPr>
                <w:rFonts w:ascii="Times New Roman" w:hAnsi="Times New Roman" w:eastAsia="Times New Roman" w:cs="Times New Roman"/>
                <w:spacing w:val="36"/>
                <w:w w:val="101"/>
                <w:sz w:val="24"/>
                <w:szCs w:val="24"/>
              </w:rPr>
              <w:t xml:space="preserve"> </w:t>
            </w:r>
            <w:r>
              <w:rPr>
                <w:rFonts w:ascii="宋体" w:hAnsi="宋体" w:eastAsia="宋体" w:cs="宋体"/>
                <w:spacing w:val="-4"/>
                <w:sz w:val="24"/>
                <w:szCs w:val="24"/>
              </w:rPr>
              <w:t>日</w:t>
            </w:r>
            <w:r>
              <w:rPr>
                <w:rFonts w:ascii="Times New Roman" w:hAnsi="Times New Roman" w:eastAsia="Times New Roman" w:cs="Times New Roman"/>
                <w:spacing w:val="-4"/>
                <w:sz w:val="24"/>
                <w:szCs w:val="24"/>
              </w:rPr>
              <w:t xml:space="preserve">-1 </w:t>
            </w:r>
            <w:r>
              <w:rPr>
                <w:rFonts w:ascii="宋体" w:hAnsi="宋体" w:eastAsia="宋体" w:cs="宋体"/>
                <w:spacing w:val="-4"/>
                <w:sz w:val="24"/>
                <w:szCs w:val="24"/>
              </w:rPr>
              <w:t>月</w:t>
            </w:r>
            <w:r>
              <w:rPr>
                <w:rFonts w:ascii="宋体" w:hAnsi="宋体" w:eastAsia="宋体" w:cs="宋体"/>
                <w:spacing w:val="-70"/>
                <w:sz w:val="24"/>
                <w:szCs w:val="24"/>
              </w:rPr>
              <w:t xml:space="preserve"> </w:t>
            </w:r>
            <w:r>
              <w:rPr>
                <w:rFonts w:ascii="Times New Roman" w:hAnsi="Times New Roman" w:eastAsia="Times New Roman" w:cs="Times New Roman"/>
                <w:spacing w:val="-4"/>
                <w:sz w:val="24"/>
                <w:szCs w:val="24"/>
              </w:rPr>
              <w:t>2</w:t>
            </w:r>
            <w:r>
              <w:rPr>
                <w:rFonts w:ascii="Times New Roman" w:hAnsi="Times New Roman" w:eastAsia="Times New Roman" w:cs="Times New Roman"/>
                <w:spacing w:val="39"/>
                <w:sz w:val="24"/>
                <w:szCs w:val="24"/>
              </w:rPr>
              <w:t xml:space="preserve"> </w:t>
            </w:r>
            <w:r>
              <w:rPr>
                <w:rFonts w:ascii="宋体" w:hAnsi="宋体" w:eastAsia="宋体" w:cs="宋体"/>
                <w:spacing w:val="-4"/>
                <w:sz w:val="24"/>
                <w:szCs w:val="24"/>
              </w:rPr>
              <w:t>日委托云</w:t>
            </w:r>
            <w:r>
              <w:rPr>
                <w:rFonts w:ascii="宋体" w:hAnsi="宋体" w:eastAsia="宋体" w:cs="宋体"/>
                <w:spacing w:val="-5"/>
                <w:sz w:val="24"/>
                <w:szCs w:val="24"/>
              </w:rPr>
              <w:t>南鼎祺检测有限公司对项目区及项目下风向</w:t>
            </w:r>
            <w:r>
              <w:rPr>
                <w:rFonts w:ascii="宋体" w:hAnsi="宋体" w:eastAsia="宋体" w:cs="宋体"/>
                <w:spacing w:val="-1"/>
                <w:sz w:val="24"/>
                <w:szCs w:val="24"/>
              </w:rPr>
              <w:t>三月三村非甲烷总烃的监测数据。</w:t>
            </w:r>
            <w:r>
              <w:rPr>
                <w:rFonts w:ascii="Times New Roman" w:hAnsi="Times New Roman" w:eastAsia="Times New Roman" w:cs="Times New Roman"/>
                <w:spacing w:val="-1"/>
                <w:sz w:val="24"/>
                <w:szCs w:val="24"/>
              </w:rPr>
              <w:t xml:space="preserve">TSP </w:t>
            </w:r>
            <w:r>
              <w:rPr>
                <w:rFonts w:ascii="宋体" w:hAnsi="宋体" w:eastAsia="宋体" w:cs="宋体"/>
                <w:spacing w:val="-1"/>
                <w:sz w:val="24"/>
                <w:szCs w:val="24"/>
              </w:rPr>
              <w:t>环境空气质量现状评价引用云南鼎祺检</w:t>
            </w:r>
            <w:r>
              <w:rPr>
                <w:rFonts w:ascii="宋体" w:hAnsi="宋体" w:eastAsia="宋体" w:cs="宋体"/>
                <w:spacing w:val="-4"/>
                <w:sz w:val="24"/>
                <w:szCs w:val="24"/>
              </w:rPr>
              <w:t>测有限公司于</w:t>
            </w:r>
            <w:r>
              <w:rPr>
                <w:rFonts w:ascii="宋体" w:hAnsi="宋体" w:eastAsia="宋体" w:cs="宋体"/>
                <w:spacing w:val="-52"/>
                <w:sz w:val="24"/>
                <w:szCs w:val="24"/>
              </w:rPr>
              <w:t xml:space="preserve"> </w:t>
            </w:r>
            <w:r>
              <w:rPr>
                <w:rFonts w:ascii="Times New Roman" w:hAnsi="Times New Roman" w:eastAsia="Times New Roman" w:cs="Times New Roman"/>
                <w:spacing w:val="-4"/>
                <w:sz w:val="24"/>
                <w:szCs w:val="24"/>
              </w:rPr>
              <w:t>2023</w:t>
            </w:r>
            <w:r>
              <w:rPr>
                <w:rFonts w:ascii="Times New Roman" w:hAnsi="Times New Roman" w:eastAsia="Times New Roman" w:cs="Times New Roman"/>
                <w:spacing w:val="15"/>
                <w:sz w:val="24"/>
                <w:szCs w:val="24"/>
              </w:rPr>
              <w:t xml:space="preserve"> </w:t>
            </w:r>
            <w:r>
              <w:rPr>
                <w:rFonts w:ascii="宋体" w:hAnsi="宋体" w:eastAsia="宋体" w:cs="宋体"/>
                <w:spacing w:val="-4"/>
                <w:sz w:val="24"/>
                <w:szCs w:val="24"/>
              </w:rPr>
              <w:t>年</w:t>
            </w:r>
            <w:r>
              <w:rPr>
                <w:rFonts w:ascii="宋体" w:hAnsi="宋体" w:eastAsia="宋体" w:cs="宋体"/>
                <w:spacing w:val="-30"/>
                <w:sz w:val="24"/>
                <w:szCs w:val="24"/>
              </w:rPr>
              <w:t xml:space="preserve"> </w:t>
            </w:r>
            <w:r>
              <w:rPr>
                <w:rFonts w:ascii="Times New Roman" w:hAnsi="Times New Roman" w:eastAsia="Times New Roman" w:cs="Times New Roman"/>
                <w:spacing w:val="-4"/>
                <w:sz w:val="24"/>
                <w:szCs w:val="24"/>
              </w:rPr>
              <w:t>11</w:t>
            </w:r>
            <w:r>
              <w:rPr>
                <w:rFonts w:ascii="Times New Roman" w:hAnsi="Times New Roman" w:eastAsia="Times New Roman" w:cs="Times New Roman"/>
                <w:spacing w:val="15"/>
                <w:w w:val="101"/>
                <w:sz w:val="24"/>
                <w:szCs w:val="24"/>
              </w:rPr>
              <w:t xml:space="preserve"> </w:t>
            </w:r>
            <w:r>
              <w:rPr>
                <w:rFonts w:ascii="宋体" w:hAnsi="宋体" w:eastAsia="宋体" w:cs="宋体"/>
                <w:spacing w:val="-4"/>
                <w:sz w:val="24"/>
                <w:szCs w:val="24"/>
              </w:rPr>
              <w:t>月</w:t>
            </w:r>
            <w:r>
              <w:rPr>
                <w:rFonts w:ascii="宋体" w:hAnsi="宋体" w:eastAsia="宋体" w:cs="宋体"/>
                <w:spacing w:val="-46"/>
                <w:sz w:val="24"/>
                <w:szCs w:val="24"/>
              </w:rPr>
              <w:t xml:space="preserve"> </w:t>
            </w:r>
            <w:r>
              <w:rPr>
                <w:rFonts w:ascii="Times New Roman" w:hAnsi="Times New Roman" w:eastAsia="Times New Roman" w:cs="Times New Roman"/>
                <w:spacing w:val="-4"/>
                <w:sz w:val="24"/>
                <w:szCs w:val="24"/>
              </w:rPr>
              <w:t>30</w:t>
            </w:r>
            <w:r>
              <w:rPr>
                <w:rFonts w:ascii="Times New Roman" w:hAnsi="Times New Roman" w:eastAsia="Times New Roman" w:cs="Times New Roman"/>
                <w:spacing w:val="53"/>
                <w:w w:val="101"/>
                <w:sz w:val="24"/>
                <w:szCs w:val="24"/>
              </w:rPr>
              <w:t xml:space="preserve"> </w:t>
            </w:r>
            <w:r>
              <w:rPr>
                <w:rFonts w:ascii="宋体" w:hAnsi="宋体" w:eastAsia="宋体" w:cs="宋体"/>
                <w:spacing w:val="-4"/>
                <w:sz w:val="24"/>
                <w:szCs w:val="24"/>
              </w:rPr>
              <w:t>日至</w:t>
            </w:r>
            <w:r>
              <w:rPr>
                <w:rFonts w:ascii="宋体" w:hAnsi="宋体" w:eastAsia="宋体" w:cs="宋体"/>
                <w:spacing w:val="-30"/>
                <w:sz w:val="24"/>
                <w:szCs w:val="24"/>
              </w:rPr>
              <w:t xml:space="preserve"> </w:t>
            </w:r>
            <w:r>
              <w:rPr>
                <w:rFonts w:ascii="Times New Roman" w:hAnsi="Times New Roman" w:eastAsia="Times New Roman" w:cs="Times New Roman"/>
                <w:spacing w:val="-4"/>
                <w:sz w:val="24"/>
                <w:szCs w:val="24"/>
              </w:rPr>
              <w:t>12</w:t>
            </w:r>
            <w:r>
              <w:rPr>
                <w:rFonts w:ascii="Times New Roman" w:hAnsi="Times New Roman" w:eastAsia="Times New Roman" w:cs="Times New Roman"/>
                <w:spacing w:val="18"/>
                <w:sz w:val="24"/>
                <w:szCs w:val="24"/>
              </w:rPr>
              <w:t xml:space="preserve"> </w:t>
            </w:r>
            <w:r>
              <w:rPr>
                <w:rFonts w:ascii="宋体" w:hAnsi="宋体" w:eastAsia="宋体" w:cs="宋体"/>
                <w:spacing w:val="-4"/>
                <w:sz w:val="24"/>
                <w:szCs w:val="24"/>
              </w:rPr>
              <w:t>月</w:t>
            </w:r>
            <w:r>
              <w:rPr>
                <w:rFonts w:ascii="宋体" w:hAnsi="宋体" w:eastAsia="宋体" w:cs="宋体"/>
                <w:spacing w:val="-47"/>
                <w:sz w:val="24"/>
                <w:szCs w:val="24"/>
              </w:rPr>
              <w:t xml:space="preserve"> </w:t>
            </w:r>
            <w:r>
              <w:rPr>
                <w:rFonts w:ascii="Times New Roman" w:hAnsi="Times New Roman" w:eastAsia="Times New Roman" w:cs="Times New Roman"/>
                <w:spacing w:val="-4"/>
                <w:sz w:val="24"/>
                <w:szCs w:val="24"/>
              </w:rPr>
              <w:t>06</w:t>
            </w:r>
            <w:r>
              <w:rPr>
                <w:rFonts w:ascii="Times New Roman" w:hAnsi="Times New Roman" w:eastAsia="Times New Roman" w:cs="Times New Roman"/>
                <w:spacing w:val="56"/>
                <w:sz w:val="24"/>
                <w:szCs w:val="24"/>
              </w:rPr>
              <w:t xml:space="preserve"> </w:t>
            </w:r>
            <w:r>
              <w:rPr>
                <w:rFonts w:ascii="宋体" w:hAnsi="宋体" w:eastAsia="宋体" w:cs="宋体"/>
                <w:spacing w:val="-4"/>
                <w:sz w:val="24"/>
                <w:szCs w:val="24"/>
              </w:rPr>
              <w:t>日</w:t>
            </w:r>
            <w:r>
              <w:rPr>
                <w:rFonts w:ascii="宋体" w:hAnsi="宋体" w:eastAsia="宋体" w:cs="宋体"/>
                <w:spacing w:val="-5"/>
                <w:sz w:val="24"/>
                <w:szCs w:val="24"/>
              </w:rPr>
              <w:t>对《云南南磷集团电化有限公</w:t>
            </w:r>
            <w:r>
              <w:rPr>
                <w:rFonts w:ascii="宋体" w:hAnsi="宋体" w:eastAsia="宋体" w:cs="宋体"/>
                <w:spacing w:val="-3"/>
                <w:sz w:val="24"/>
                <w:szCs w:val="24"/>
              </w:rPr>
              <w:t>司</w:t>
            </w:r>
            <w:r>
              <w:rPr>
                <w:rFonts w:ascii="宋体" w:hAnsi="宋体" w:eastAsia="宋体" w:cs="宋体"/>
                <w:spacing w:val="-39"/>
                <w:sz w:val="24"/>
                <w:szCs w:val="24"/>
              </w:rPr>
              <w:t xml:space="preserve"> </w:t>
            </w:r>
            <w:r>
              <w:rPr>
                <w:rFonts w:ascii="Times New Roman" w:hAnsi="Times New Roman" w:eastAsia="Times New Roman" w:cs="Times New Roman"/>
                <w:spacing w:val="-3"/>
                <w:sz w:val="24"/>
                <w:szCs w:val="24"/>
              </w:rPr>
              <w:t>30</w:t>
            </w:r>
            <w:r>
              <w:rPr>
                <w:rFonts w:ascii="Times New Roman" w:hAnsi="Times New Roman" w:eastAsia="Times New Roman" w:cs="Times New Roman"/>
                <w:spacing w:val="15"/>
                <w:w w:val="101"/>
                <w:sz w:val="24"/>
                <w:szCs w:val="24"/>
              </w:rPr>
              <w:t xml:space="preserve"> </w:t>
            </w:r>
            <w:r>
              <w:rPr>
                <w:rFonts w:ascii="宋体" w:hAnsi="宋体" w:eastAsia="宋体" w:cs="宋体"/>
                <w:spacing w:val="-3"/>
                <w:sz w:val="24"/>
                <w:szCs w:val="24"/>
              </w:rPr>
              <w:t>万吨</w:t>
            </w:r>
            <w:r>
              <w:rPr>
                <w:rFonts w:ascii="Times New Roman" w:hAnsi="Times New Roman" w:eastAsia="Times New Roman" w:cs="Times New Roman"/>
                <w:spacing w:val="-3"/>
                <w:sz w:val="24"/>
                <w:szCs w:val="24"/>
              </w:rPr>
              <w:t>/</w:t>
            </w:r>
            <w:r>
              <w:rPr>
                <w:rFonts w:ascii="宋体" w:hAnsi="宋体" w:eastAsia="宋体" w:cs="宋体"/>
                <w:spacing w:val="-3"/>
                <w:sz w:val="24"/>
                <w:szCs w:val="24"/>
              </w:rPr>
              <w:t>年聚氯乙烯及配套原料烧碱项目（二期）及</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 xml:space="preserve">2×25MW </w:t>
            </w:r>
            <w:r>
              <w:rPr>
                <w:rFonts w:ascii="宋体" w:hAnsi="宋体" w:eastAsia="宋体" w:cs="宋体"/>
                <w:spacing w:val="-3"/>
                <w:sz w:val="24"/>
                <w:szCs w:val="24"/>
              </w:rPr>
              <w:t>综合利用自备</w:t>
            </w:r>
            <w:r>
              <w:rPr>
                <w:rFonts w:ascii="宋体" w:hAnsi="宋体" w:eastAsia="宋体" w:cs="宋体"/>
                <w:spacing w:val="-7"/>
                <w:sz w:val="24"/>
                <w:szCs w:val="24"/>
              </w:rPr>
              <w:t>电厂环境影响后评价》中公司办公区监测点位（</w:t>
            </w:r>
            <w:r>
              <w:rPr>
                <w:rFonts w:ascii="Times New Roman" w:hAnsi="Times New Roman" w:eastAsia="Times New Roman" w:cs="Times New Roman"/>
                <w:spacing w:val="-7"/>
                <w:sz w:val="24"/>
                <w:szCs w:val="24"/>
              </w:rPr>
              <w:t>G2</w:t>
            </w:r>
            <w:r>
              <w:rPr>
                <w:rFonts w:ascii="宋体" w:hAnsi="宋体" w:eastAsia="宋体" w:cs="宋体"/>
                <w:spacing w:val="-7"/>
                <w:sz w:val="24"/>
                <w:szCs w:val="24"/>
              </w:rPr>
              <w:t>）的空</w:t>
            </w:r>
            <w:r>
              <w:rPr>
                <w:rFonts w:ascii="宋体" w:hAnsi="宋体" w:eastAsia="宋体" w:cs="宋体"/>
                <w:spacing w:val="-8"/>
                <w:sz w:val="24"/>
                <w:szCs w:val="24"/>
              </w:rPr>
              <w:t>气质量现状监测数据，</w:t>
            </w:r>
            <w:r>
              <w:rPr>
                <w:rFonts w:ascii="宋体" w:hAnsi="宋体" w:eastAsia="宋体" w:cs="宋体"/>
                <w:spacing w:val="-1"/>
                <w:sz w:val="24"/>
                <w:szCs w:val="24"/>
              </w:rPr>
              <w:t>引用监测点位（公司办公区）位于项目区西南侧</w:t>
            </w:r>
            <w:r>
              <w:rPr>
                <w:rFonts w:ascii="宋体" w:hAnsi="宋体" w:eastAsia="宋体" w:cs="宋体"/>
                <w:spacing w:val="-41"/>
                <w:sz w:val="24"/>
                <w:szCs w:val="24"/>
              </w:rPr>
              <w:t xml:space="preserve"> </w:t>
            </w:r>
            <w:r>
              <w:rPr>
                <w:rFonts w:ascii="Times New Roman" w:hAnsi="Times New Roman" w:eastAsia="Times New Roman" w:cs="Times New Roman"/>
                <w:spacing w:val="-1"/>
                <w:sz w:val="24"/>
                <w:szCs w:val="24"/>
              </w:rPr>
              <w:t>700m</w:t>
            </w:r>
            <w:r>
              <w:rPr>
                <w:rFonts w:ascii="宋体" w:hAnsi="宋体" w:eastAsia="宋体" w:cs="宋体"/>
                <w:spacing w:val="-1"/>
                <w:sz w:val="24"/>
                <w:szCs w:val="24"/>
              </w:rPr>
              <w:t>。</w:t>
            </w:r>
          </w:p>
          <w:p w14:paraId="3927D1AC">
            <w:pPr>
              <w:spacing w:before="4" w:line="350" w:lineRule="auto"/>
              <w:ind w:left="109" w:right="41" w:firstLine="479"/>
              <w:jc w:val="both"/>
              <w:rPr>
                <w:rFonts w:ascii="宋体" w:hAnsi="宋体" w:eastAsia="宋体" w:cs="宋体"/>
                <w:sz w:val="24"/>
                <w:szCs w:val="24"/>
              </w:rPr>
            </w:pPr>
            <w:r>
              <w:rPr>
                <w:rFonts w:ascii="宋体" w:hAnsi="宋体" w:eastAsia="宋体" w:cs="宋体"/>
                <w:spacing w:val="1"/>
                <w:sz w:val="24"/>
                <w:szCs w:val="24"/>
              </w:rPr>
              <w:t>根据《建设项目环境影响报告表编制技术指南（污染影响类</w:t>
            </w:r>
            <w:r>
              <w:rPr>
                <w:rFonts w:ascii="宋体" w:hAnsi="宋体" w:eastAsia="宋体" w:cs="宋体"/>
                <w:spacing w:val="-9"/>
                <w:sz w:val="24"/>
                <w:szCs w:val="24"/>
              </w:rPr>
              <w:t>）（</w:t>
            </w:r>
            <w:r>
              <w:rPr>
                <w:rFonts w:ascii="宋体" w:hAnsi="宋体" w:eastAsia="宋体" w:cs="宋体"/>
                <w:spacing w:val="1"/>
                <w:sz w:val="24"/>
                <w:szCs w:val="24"/>
              </w:rPr>
              <w:t>试行）》</w:t>
            </w:r>
            <w:r>
              <w:rPr>
                <w:rFonts w:ascii="宋体" w:hAnsi="宋体" w:eastAsia="宋体" w:cs="宋体"/>
                <w:spacing w:val="-2"/>
                <w:sz w:val="24"/>
                <w:szCs w:val="24"/>
              </w:rPr>
              <w:t>的要求</w:t>
            </w:r>
            <w:r>
              <w:rPr>
                <w:rFonts w:ascii="Times New Roman" w:hAnsi="Times New Roman" w:eastAsia="Times New Roman" w:cs="Times New Roman"/>
                <w:spacing w:val="-2"/>
                <w:sz w:val="24"/>
                <w:szCs w:val="24"/>
              </w:rPr>
              <w:t>“</w:t>
            </w:r>
            <w:r>
              <w:rPr>
                <w:rFonts w:ascii="宋体" w:hAnsi="宋体" w:eastAsia="宋体" w:cs="宋体"/>
                <w:spacing w:val="-2"/>
                <w:sz w:val="24"/>
                <w:szCs w:val="24"/>
              </w:rPr>
              <w:t>排放国家、地方环境空气质量标准中有标准限</w:t>
            </w:r>
            <w:r>
              <w:rPr>
                <w:rFonts w:ascii="宋体" w:hAnsi="宋体" w:eastAsia="宋体" w:cs="宋体"/>
                <w:spacing w:val="-3"/>
                <w:sz w:val="24"/>
                <w:szCs w:val="24"/>
              </w:rPr>
              <w:t>值要求的特征污染物时，</w:t>
            </w:r>
            <w:r>
              <w:rPr>
                <w:rFonts w:ascii="宋体" w:hAnsi="宋体" w:eastAsia="宋体" w:cs="宋体"/>
                <w:spacing w:val="-1"/>
                <w:sz w:val="24"/>
                <w:szCs w:val="24"/>
              </w:rPr>
              <w:t>引用建设项目周边</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 xml:space="preserve">5 </w:t>
            </w:r>
            <w:r>
              <w:rPr>
                <w:rFonts w:ascii="宋体" w:hAnsi="宋体" w:eastAsia="宋体" w:cs="宋体"/>
                <w:spacing w:val="-1"/>
                <w:sz w:val="24"/>
                <w:szCs w:val="24"/>
              </w:rPr>
              <w:t>千米范围内近</w:t>
            </w:r>
            <w:r>
              <w:rPr>
                <w:rFonts w:ascii="宋体" w:hAnsi="宋体" w:eastAsia="宋体" w:cs="宋体"/>
                <w:spacing w:val="-50"/>
                <w:sz w:val="24"/>
                <w:szCs w:val="24"/>
              </w:rPr>
              <w:t xml:space="preserve"> </w:t>
            </w:r>
            <w:r>
              <w:rPr>
                <w:rFonts w:ascii="Times New Roman" w:hAnsi="Times New Roman" w:eastAsia="Times New Roman" w:cs="Times New Roman"/>
                <w:spacing w:val="-1"/>
                <w:sz w:val="24"/>
                <w:szCs w:val="24"/>
              </w:rPr>
              <w:t xml:space="preserve">3 </w:t>
            </w:r>
            <w:r>
              <w:rPr>
                <w:rFonts w:ascii="宋体" w:hAnsi="宋体" w:eastAsia="宋体" w:cs="宋体"/>
                <w:spacing w:val="-1"/>
                <w:sz w:val="24"/>
                <w:szCs w:val="24"/>
              </w:rPr>
              <w:t>年的现有</w:t>
            </w:r>
            <w:r>
              <w:rPr>
                <w:rFonts w:ascii="宋体" w:hAnsi="宋体" w:eastAsia="宋体" w:cs="宋体"/>
                <w:spacing w:val="-2"/>
                <w:sz w:val="24"/>
                <w:szCs w:val="24"/>
              </w:rPr>
              <w:t>监测数据</w:t>
            </w:r>
            <w:r>
              <w:rPr>
                <w:rFonts w:ascii="Times New Roman" w:hAnsi="Times New Roman" w:eastAsia="Times New Roman" w:cs="Times New Roman"/>
                <w:spacing w:val="-2"/>
                <w:sz w:val="24"/>
                <w:szCs w:val="24"/>
              </w:rPr>
              <w:t>”</w:t>
            </w:r>
            <w:r>
              <w:rPr>
                <w:rFonts w:ascii="Times New Roman" w:hAnsi="Times New Roman" w:eastAsia="Times New Roman" w:cs="Times New Roman"/>
                <w:spacing w:val="-26"/>
                <w:sz w:val="24"/>
                <w:szCs w:val="24"/>
              </w:rPr>
              <w:t xml:space="preserve"> </w:t>
            </w:r>
            <w:r>
              <w:rPr>
                <w:rFonts w:ascii="宋体" w:hAnsi="宋体" w:eastAsia="宋体" w:cs="宋体"/>
                <w:spacing w:val="-2"/>
                <w:sz w:val="24"/>
                <w:szCs w:val="24"/>
              </w:rPr>
              <w:t>。本评价</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TSP</w:t>
            </w:r>
            <w:r>
              <w:rPr>
                <w:rFonts w:ascii="Times New Roman" w:hAnsi="Times New Roman" w:eastAsia="Times New Roman" w:cs="Times New Roman"/>
                <w:spacing w:val="28"/>
                <w:w w:val="101"/>
                <w:sz w:val="24"/>
                <w:szCs w:val="24"/>
              </w:rPr>
              <w:t xml:space="preserve"> </w:t>
            </w:r>
            <w:r>
              <w:rPr>
                <w:rFonts w:ascii="宋体" w:hAnsi="宋体" w:eastAsia="宋体" w:cs="宋体"/>
                <w:spacing w:val="-2"/>
                <w:sz w:val="24"/>
                <w:szCs w:val="24"/>
              </w:rPr>
              <w:t>引用的</w:t>
            </w:r>
            <w:r>
              <w:rPr>
                <w:rFonts w:ascii="宋体" w:hAnsi="宋体" w:eastAsia="宋体" w:cs="宋体"/>
                <w:sz w:val="24"/>
                <w:szCs w:val="24"/>
              </w:rPr>
              <w:t>监测数据在项目西南侧</w:t>
            </w:r>
            <w:r>
              <w:rPr>
                <w:rFonts w:ascii="宋体" w:hAnsi="宋体" w:eastAsia="宋体" w:cs="宋体"/>
                <w:spacing w:val="-39"/>
                <w:sz w:val="24"/>
                <w:szCs w:val="24"/>
              </w:rPr>
              <w:t xml:space="preserve"> </w:t>
            </w:r>
            <w:r>
              <w:rPr>
                <w:rFonts w:ascii="Times New Roman" w:hAnsi="Times New Roman" w:eastAsia="Times New Roman" w:cs="Times New Roman"/>
                <w:sz w:val="24"/>
                <w:szCs w:val="24"/>
              </w:rPr>
              <w:t>955km</w:t>
            </w:r>
            <w:r>
              <w:rPr>
                <w:rFonts w:ascii="Times New Roman" w:hAnsi="Times New Roman" w:eastAsia="Times New Roman" w:cs="Times New Roman"/>
                <w:spacing w:val="18"/>
                <w:sz w:val="24"/>
                <w:szCs w:val="24"/>
              </w:rPr>
              <w:t xml:space="preserve"> </w:t>
            </w:r>
            <w:r>
              <w:rPr>
                <w:rFonts w:ascii="宋体" w:hAnsi="宋体" w:eastAsia="宋体" w:cs="宋体"/>
                <w:sz w:val="24"/>
                <w:szCs w:val="24"/>
              </w:rPr>
              <w:t>处，位于项目周边</w:t>
            </w:r>
            <w:r>
              <w:rPr>
                <w:rFonts w:ascii="宋体" w:hAnsi="宋体" w:eastAsia="宋体" w:cs="宋体"/>
                <w:spacing w:val="-44"/>
                <w:sz w:val="24"/>
                <w:szCs w:val="24"/>
              </w:rPr>
              <w:t xml:space="preserve"> </w:t>
            </w:r>
            <w:r>
              <w:rPr>
                <w:rFonts w:ascii="Times New Roman" w:hAnsi="Times New Roman" w:eastAsia="Times New Roman" w:cs="Times New Roman"/>
                <w:sz w:val="24"/>
                <w:szCs w:val="24"/>
              </w:rPr>
              <w:t>5km</w:t>
            </w:r>
            <w:r>
              <w:rPr>
                <w:rFonts w:ascii="Times New Roman" w:hAnsi="Times New Roman" w:eastAsia="Times New Roman" w:cs="Times New Roman"/>
                <w:spacing w:val="16"/>
                <w:sz w:val="24"/>
                <w:szCs w:val="24"/>
              </w:rPr>
              <w:t xml:space="preserve"> </w:t>
            </w:r>
            <w:r>
              <w:rPr>
                <w:rFonts w:ascii="宋体" w:hAnsi="宋体" w:eastAsia="宋体" w:cs="宋体"/>
                <w:sz w:val="24"/>
                <w:szCs w:val="24"/>
              </w:rPr>
              <w:t>范围内，且监测数据未</w:t>
            </w:r>
          </w:p>
        </w:tc>
      </w:tr>
    </w:tbl>
    <w:p w14:paraId="341FCE19">
      <w:pPr>
        <w:pStyle w:val="2"/>
      </w:pPr>
    </w:p>
    <w:p w14:paraId="2733D2DF">
      <w:pPr>
        <w:sectPr>
          <w:footerReference r:id="rId77" w:type="default"/>
          <w:pgSz w:w="11907" w:h="16840"/>
          <w:pgMar w:top="400" w:right="1413" w:bottom="1103" w:left="1413" w:header="0" w:footer="887" w:gutter="0"/>
          <w:cols w:space="720" w:num="1"/>
        </w:sectPr>
      </w:pPr>
    </w:p>
    <w:p w14:paraId="71A0B529">
      <w:pPr>
        <w:spacing w:before="19"/>
      </w:pPr>
    </w:p>
    <w:p w14:paraId="1155A19A">
      <w:pPr>
        <w:spacing w:before="19"/>
      </w:pPr>
    </w:p>
    <w:p w14:paraId="06FAF408">
      <w:pPr>
        <w:spacing w:before="19"/>
      </w:pPr>
    </w:p>
    <w:p w14:paraId="388F7C7B">
      <w:pPr>
        <w:spacing w:before="18"/>
      </w:pPr>
    </w:p>
    <w:p w14:paraId="3FBC08B9">
      <w:pPr>
        <w:spacing w:before="18"/>
      </w:pPr>
    </w:p>
    <w:tbl>
      <w:tblPr>
        <w:tblStyle w:val="10"/>
        <w:tblW w:w="906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8"/>
        <w:gridCol w:w="113"/>
        <w:gridCol w:w="1142"/>
        <w:gridCol w:w="1679"/>
        <w:gridCol w:w="1712"/>
        <w:gridCol w:w="1463"/>
        <w:gridCol w:w="980"/>
        <w:gridCol w:w="1133"/>
        <w:gridCol w:w="125"/>
      </w:tblGrid>
      <w:tr w14:paraId="16E002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9" w:hRule="atLeast"/>
        </w:trPr>
        <w:tc>
          <w:tcPr>
            <w:tcW w:w="718" w:type="dxa"/>
            <w:vMerge w:val="restart"/>
            <w:tcBorders>
              <w:top w:val="single" w:color="000000" w:sz="6" w:space="0"/>
              <w:left w:val="single" w:color="000000" w:sz="6" w:space="0"/>
              <w:bottom w:val="nil"/>
            </w:tcBorders>
            <w:vAlign w:val="top"/>
          </w:tcPr>
          <w:p w14:paraId="3066E542">
            <w:pPr>
              <w:rPr>
                <w:rFonts w:ascii="Arial"/>
                <w:sz w:val="21"/>
              </w:rPr>
            </w:pPr>
          </w:p>
        </w:tc>
        <w:tc>
          <w:tcPr>
            <w:tcW w:w="8347" w:type="dxa"/>
            <w:gridSpan w:val="8"/>
            <w:tcBorders>
              <w:top w:val="single" w:color="000000" w:sz="6" w:space="0"/>
              <w:right w:val="single" w:color="000000" w:sz="6" w:space="0"/>
            </w:tcBorders>
            <w:vAlign w:val="top"/>
          </w:tcPr>
          <w:p w14:paraId="5519421F">
            <w:pPr>
              <w:spacing w:before="40" w:line="359" w:lineRule="auto"/>
              <w:ind w:left="107" w:right="23" w:hanging="1"/>
              <w:jc w:val="both"/>
              <w:rPr>
                <w:rFonts w:ascii="宋体" w:hAnsi="宋体" w:eastAsia="宋体" w:cs="宋体"/>
                <w:sz w:val="24"/>
                <w:szCs w:val="24"/>
              </w:rPr>
            </w:pPr>
            <w:r>
              <w:rPr>
                <w:rFonts w:ascii="宋体" w:hAnsi="宋体" w:eastAsia="宋体" w:cs="宋体"/>
                <w:spacing w:val="-3"/>
                <w:sz w:val="24"/>
                <w:szCs w:val="24"/>
              </w:rPr>
              <w:t>超过</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 xml:space="preserve">3 </w:t>
            </w:r>
            <w:r>
              <w:rPr>
                <w:rFonts w:ascii="宋体" w:hAnsi="宋体" w:eastAsia="宋体" w:cs="宋体"/>
                <w:spacing w:val="-3"/>
                <w:sz w:val="24"/>
                <w:szCs w:val="24"/>
              </w:rPr>
              <w:t>年有效期，因此本评价可以引用上述现状监测数据，监测结果见下</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3-</w:t>
            </w:r>
            <w:r>
              <w:rPr>
                <w:rFonts w:ascii="Times New Roman" w:hAnsi="Times New Roman" w:eastAsia="Times New Roman" w:cs="Times New Roman"/>
                <w:spacing w:val="-4"/>
                <w:sz w:val="24"/>
                <w:szCs w:val="24"/>
              </w:rPr>
              <w:t>2</w:t>
            </w:r>
            <w:r>
              <w:rPr>
                <w:rFonts w:ascii="宋体" w:hAnsi="宋体" w:eastAsia="宋体" w:cs="宋体"/>
                <w:spacing w:val="-4"/>
                <w:sz w:val="24"/>
                <w:szCs w:val="24"/>
              </w:rPr>
              <w:t>。</w:t>
            </w:r>
            <w:r>
              <w:rPr>
                <w:rFonts w:ascii="宋体" w:hAnsi="宋体" w:eastAsia="宋体" w:cs="宋体"/>
                <w:spacing w:val="-3"/>
                <w:sz w:val="24"/>
                <w:szCs w:val="24"/>
              </w:rPr>
              <w:t>非甲烷总烃引用的监测数据在项目东南侧</w:t>
            </w:r>
            <w:r>
              <w:rPr>
                <w:rFonts w:ascii="宋体" w:hAnsi="宋体" w:eastAsia="宋体" w:cs="宋体"/>
                <w:spacing w:val="-40"/>
                <w:sz w:val="24"/>
                <w:szCs w:val="24"/>
              </w:rPr>
              <w:t xml:space="preserve"> </w:t>
            </w:r>
            <w:r>
              <w:rPr>
                <w:rFonts w:ascii="Times New Roman" w:hAnsi="Times New Roman" w:eastAsia="Times New Roman" w:cs="Times New Roman"/>
                <w:spacing w:val="-3"/>
                <w:sz w:val="24"/>
                <w:szCs w:val="24"/>
              </w:rPr>
              <w:t>4354km</w:t>
            </w:r>
            <w:r>
              <w:rPr>
                <w:rFonts w:ascii="Times New Roman" w:hAnsi="Times New Roman" w:eastAsia="Times New Roman" w:cs="Times New Roman"/>
                <w:spacing w:val="14"/>
                <w:sz w:val="24"/>
                <w:szCs w:val="24"/>
              </w:rPr>
              <w:t xml:space="preserve"> </w:t>
            </w:r>
            <w:r>
              <w:rPr>
                <w:rFonts w:ascii="宋体" w:hAnsi="宋体" w:eastAsia="宋体" w:cs="宋体"/>
                <w:spacing w:val="-3"/>
                <w:sz w:val="24"/>
                <w:szCs w:val="24"/>
              </w:rPr>
              <w:t>处，位于项目周边</w:t>
            </w:r>
            <w:r>
              <w:rPr>
                <w:rFonts w:ascii="宋体" w:hAnsi="宋体" w:eastAsia="宋体" w:cs="宋体"/>
                <w:spacing w:val="-48"/>
                <w:sz w:val="24"/>
                <w:szCs w:val="24"/>
              </w:rPr>
              <w:t xml:space="preserve"> </w:t>
            </w:r>
            <w:r>
              <w:rPr>
                <w:rFonts w:ascii="Times New Roman" w:hAnsi="Times New Roman" w:eastAsia="Times New Roman" w:cs="Times New Roman"/>
                <w:spacing w:val="-3"/>
                <w:sz w:val="24"/>
                <w:szCs w:val="24"/>
              </w:rPr>
              <w:t>5km</w:t>
            </w:r>
            <w:r>
              <w:rPr>
                <w:rFonts w:ascii="Times New Roman" w:hAnsi="Times New Roman" w:eastAsia="Times New Roman" w:cs="Times New Roman"/>
                <w:spacing w:val="16"/>
                <w:sz w:val="24"/>
                <w:szCs w:val="24"/>
              </w:rPr>
              <w:t xml:space="preserve"> </w:t>
            </w:r>
            <w:r>
              <w:rPr>
                <w:rFonts w:ascii="宋体" w:hAnsi="宋体" w:eastAsia="宋体" w:cs="宋体"/>
                <w:spacing w:val="-3"/>
                <w:sz w:val="24"/>
                <w:szCs w:val="24"/>
              </w:rPr>
              <w:t>范围</w:t>
            </w:r>
            <w:r>
              <w:rPr>
                <w:rFonts w:ascii="宋体" w:hAnsi="宋体" w:eastAsia="宋体" w:cs="宋体"/>
                <w:sz w:val="24"/>
                <w:szCs w:val="24"/>
              </w:rPr>
              <w:t>内，且监测数据未超过</w:t>
            </w:r>
            <w:r>
              <w:rPr>
                <w:rFonts w:ascii="宋体" w:hAnsi="宋体" w:eastAsia="宋体" w:cs="宋体"/>
                <w:spacing w:val="-43"/>
                <w:sz w:val="24"/>
                <w:szCs w:val="24"/>
              </w:rPr>
              <w:t xml:space="preserve"> </w:t>
            </w:r>
            <w:r>
              <w:rPr>
                <w:rFonts w:ascii="Times New Roman" w:hAnsi="Times New Roman" w:eastAsia="Times New Roman" w:cs="Times New Roman"/>
                <w:sz w:val="24"/>
                <w:szCs w:val="24"/>
              </w:rPr>
              <w:t xml:space="preserve">3 </w:t>
            </w:r>
            <w:r>
              <w:rPr>
                <w:rFonts w:ascii="宋体" w:hAnsi="宋体" w:eastAsia="宋体" w:cs="宋体"/>
                <w:sz w:val="24"/>
                <w:szCs w:val="24"/>
              </w:rPr>
              <w:t>年有效期，因此本评价可以引用上述现状监测数据，</w:t>
            </w:r>
            <w:r>
              <w:rPr>
                <w:rFonts w:ascii="宋体" w:hAnsi="宋体" w:eastAsia="宋体" w:cs="宋体"/>
                <w:spacing w:val="-3"/>
                <w:sz w:val="24"/>
                <w:szCs w:val="24"/>
              </w:rPr>
              <w:t>监测结果见下</w:t>
            </w:r>
            <w:r>
              <w:rPr>
                <w:rFonts w:ascii="宋体" w:hAnsi="宋体" w:eastAsia="宋体" w:cs="宋体"/>
                <w:spacing w:val="-43"/>
                <w:sz w:val="24"/>
                <w:szCs w:val="24"/>
              </w:rPr>
              <w:t xml:space="preserve"> </w:t>
            </w:r>
            <w:r>
              <w:rPr>
                <w:rFonts w:ascii="Times New Roman" w:hAnsi="Times New Roman" w:eastAsia="Times New Roman" w:cs="Times New Roman"/>
                <w:spacing w:val="-3"/>
                <w:sz w:val="24"/>
                <w:szCs w:val="24"/>
              </w:rPr>
              <w:t>3-3</w:t>
            </w:r>
            <w:r>
              <w:rPr>
                <w:rFonts w:ascii="宋体" w:hAnsi="宋体" w:eastAsia="宋体" w:cs="宋体"/>
                <w:spacing w:val="-3"/>
                <w:sz w:val="24"/>
                <w:szCs w:val="24"/>
              </w:rPr>
              <w:t>。</w:t>
            </w:r>
          </w:p>
          <w:p w14:paraId="6667DB6F">
            <w:pPr>
              <w:spacing w:before="3" w:line="358" w:lineRule="auto"/>
              <w:ind w:left="108" w:right="103" w:firstLine="482"/>
              <w:jc w:val="both"/>
              <w:rPr>
                <w:rFonts w:ascii="Times New Roman" w:hAnsi="Times New Roman" w:eastAsia="Times New Roman" w:cs="Times New Roman"/>
                <w:sz w:val="24"/>
                <w:szCs w:val="24"/>
              </w:rPr>
            </w:pPr>
            <w:r>
              <w:rPr>
                <w:rFonts w:ascii="宋体" w:hAnsi="宋体" w:eastAsia="宋体" w:cs="宋体"/>
                <w:spacing w:val="-2"/>
                <w:sz w:val="24"/>
                <w:szCs w:val="24"/>
              </w:rPr>
              <w:t>故项目区</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TSP</w:t>
            </w:r>
            <w:r>
              <w:rPr>
                <w:rFonts w:ascii="Times New Roman" w:hAnsi="Times New Roman" w:eastAsia="Times New Roman" w:cs="Times New Roman"/>
                <w:spacing w:val="-35"/>
                <w:sz w:val="24"/>
                <w:szCs w:val="24"/>
              </w:rPr>
              <w:t xml:space="preserve"> </w:t>
            </w:r>
            <w:r>
              <w:rPr>
                <w:rFonts w:ascii="宋体" w:hAnsi="宋体" w:eastAsia="宋体" w:cs="宋体"/>
                <w:spacing w:val="-2"/>
                <w:sz w:val="24"/>
                <w:szCs w:val="24"/>
              </w:rPr>
              <w:t>、非甲烷总烃引用现有的监测数据，本项目引用的现状监测</w:t>
            </w:r>
            <w:r>
              <w:rPr>
                <w:rFonts w:ascii="宋体" w:hAnsi="宋体" w:eastAsia="宋体" w:cs="宋体"/>
                <w:spacing w:val="-1"/>
                <w:sz w:val="24"/>
                <w:szCs w:val="24"/>
              </w:rPr>
              <w:t>点具备类比条件，数据在技术指南要求的</w:t>
            </w:r>
            <w:r>
              <w:rPr>
                <w:rFonts w:ascii="Times New Roman" w:hAnsi="Times New Roman" w:eastAsia="Times New Roman" w:cs="Times New Roman"/>
                <w:spacing w:val="-1"/>
                <w:sz w:val="24"/>
                <w:szCs w:val="24"/>
              </w:rPr>
              <w:t>“</w:t>
            </w:r>
            <w:r>
              <w:rPr>
                <w:rFonts w:ascii="宋体" w:hAnsi="宋体" w:eastAsia="宋体" w:cs="宋体"/>
                <w:spacing w:val="-1"/>
                <w:sz w:val="24"/>
                <w:szCs w:val="24"/>
              </w:rPr>
              <w:t>近三年</w:t>
            </w:r>
            <w:r>
              <w:rPr>
                <w:rFonts w:ascii="Times New Roman" w:hAnsi="Times New Roman" w:eastAsia="Times New Roman" w:cs="Times New Roman"/>
                <w:spacing w:val="-1"/>
                <w:sz w:val="24"/>
                <w:szCs w:val="24"/>
              </w:rPr>
              <w:t>”</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时限内，且监测至今区域环境未发生较大变化，属于有效数据，故本项目空气质量现状评价引用的数</w:t>
            </w:r>
            <w:r>
              <w:rPr>
                <w:rFonts w:ascii="宋体" w:hAnsi="宋体" w:eastAsia="宋体" w:cs="宋体"/>
                <w:spacing w:val="-2"/>
                <w:sz w:val="24"/>
                <w:szCs w:val="24"/>
              </w:rPr>
              <w:t>据具有时效性和代表性引用项目监测点位布设见表</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3-</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3"/>
                <w:sz w:val="24"/>
                <w:szCs w:val="24"/>
              </w:rPr>
              <w:t>1.</w:t>
            </w:r>
          </w:p>
          <w:p w14:paraId="4CEAEFEA">
            <w:pPr>
              <w:spacing w:line="221" w:lineRule="auto"/>
              <w:ind w:left="3006"/>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45"/>
                <w:sz w:val="20"/>
                <w:szCs w:val="20"/>
              </w:rPr>
              <w:t xml:space="preserve"> </w:t>
            </w:r>
            <w:r>
              <w:rPr>
                <w:rFonts w:ascii="Times New Roman" w:hAnsi="Times New Roman" w:eastAsia="Times New Roman" w:cs="Times New Roman"/>
                <w:b/>
                <w:bCs/>
                <w:spacing w:val="6"/>
                <w:sz w:val="20"/>
                <w:szCs w:val="20"/>
              </w:rPr>
              <w:t xml:space="preserve">3-1  </w:t>
            </w:r>
            <w:r>
              <w:rPr>
                <w:rFonts w:ascii="宋体" w:hAnsi="宋体" w:eastAsia="宋体" w:cs="宋体"/>
                <w:b/>
                <w:bCs/>
                <w:spacing w:val="6"/>
                <w:sz w:val="20"/>
                <w:szCs w:val="20"/>
              </w:rPr>
              <w:t>监测点位基本信息</w:t>
            </w:r>
          </w:p>
          <w:tbl>
            <w:tblPr>
              <w:tblStyle w:val="10"/>
              <w:tblW w:w="8125" w:type="dxa"/>
              <w:tblInd w:w="10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3"/>
              <w:gridCol w:w="1433"/>
              <w:gridCol w:w="1328"/>
              <w:gridCol w:w="1063"/>
              <w:gridCol w:w="2012"/>
              <w:gridCol w:w="587"/>
              <w:gridCol w:w="909"/>
            </w:tblGrid>
            <w:tr w14:paraId="5611D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793" w:type="dxa"/>
                  <w:vMerge w:val="restart"/>
                  <w:tcBorders>
                    <w:bottom w:val="nil"/>
                  </w:tcBorders>
                  <w:vAlign w:val="top"/>
                </w:tcPr>
                <w:p w14:paraId="134C4FFB">
                  <w:pPr>
                    <w:spacing w:line="287" w:lineRule="auto"/>
                    <w:rPr>
                      <w:rFonts w:ascii="Arial"/>
                      <w:sz w:val="21"/>
                    </w:rPr>
                  </w:pPr>
                </w:p>
                <w:p w14:paraId="62F60BBD">
                  <w:pPr>
                    <w:spacing w:line="287" w:lineRule="auto"/>
                    <w:rPr>
                      <w:rFonts w:ascii="Arial"/>
                      <w:sz w:val="21"/>
                    </w:rPr>
                  </w:pPr>
                </w:p>
                <w:p w14:paraId="3A862D04">
                  <w:pPr>
                    <w:spacing w:before="65" w:line="379" w:lineRule="auto"/>
                    <w:ind w:left="192" w:right="80" w:hanging="107"/>
                    <w:rPr>
                      <w:rFonts w:ascii="宋体" w:hAnsi="宋体" w:eastAsia="宋体" w:cs="宋体"/>
                      <w:sz w:val="20"/>
                      <w:szCs w:val="20"/>
                    </w:rPr>
                  </w:pPr>
                  <w:r>
                    <w:rPr>
                      <w:rFonts w:ascii="宋体" w:hAnsi="宋体" w:eastAsia="宋体" w:cs="宋体"/>
                      <w:b/>
                      <w:bCs/>
                      <w:spacing w:val="5"/>
                      <w:sz w:val="20"/>
                      <w:szCs w:val="20"/>
                    </w:rPr>
                    <w:t>监测点</w:t>
                  </w:r>
                  <w:r>
                    <w:rPr>
                      <w:rFonts w:ascii="宋体" w:hAnsi="宋体" w:eastAsia="宋体" w:cs="宋体"/>
                      <w:b/>
                      <w:bCs/>
                      <w:spacing w:val="2"/>
                      <w:sz w:val="20"/>
                      <w:szCs w:val="20"/>
                    </w:rPr>
                    <w:t>名称</w:t>
                  </w:r>
                </w:p>
              </w:tc>
              <w:tc>
                <w:tcPr>
                  <w:tcW w:w="2761" w:type="dxa"/>
                  <w:gridSpan w:val="2"/>
                  <w:vAlign w:val="top"/>
                </w:tcPr>
                <w:p w14:paraId="0F7E22B8">
                  <w:pPr>
                    <w:spacing w:before="31" w:line="228" w:lineRule="auto"/>
                    <w:ind w:left="753"/>
                    <w:rPr>
                      <w:rFonts w:ascii="宋体" w:hAnsi="宋体" w:eastAsia="宋体" w:cs="宋体"/>
                      <w:sz w:val="20"/>
                      <w:szCs w:val="20"/>
                    </w:rPr>
                  </w:pPr>
                  <w:r>
                    <w:rPr>
                      <w:rFonts w:ascii="宋体" w:hAnsi="宋体" w:eastAsia="宋体" w:cs="宋体"/>
                      <w:b/>
                      <w:bCs/>
                      <w:spacing w:val="6"/>
                      <w:sz w:val="20"/>
                      <w:szCs w:val="20"/>
                    </w:rPr>
                    <w:t>监测点位坐标</w:t>
                  </w:r>
                </w:p>
              </w:tc>
              <w:tc>
                <w:tcPr>
                  <w:tcW w:w="1063" w:type="dxa"/>
                  <w:vMerge w:val="restart"/>
                  <w:tcBorders>
                    <w:bottom w:val="nil"/>
                  </w:tcBorders>
                  <w:vAlign w:val="top"/>
                </w:tcPr>
                <w:p w14:paraId="6A47033D">
                  <w:pPr>
                    <w:spacing w:line="259" w:lineRule="auto"/>
                    <w:rPr>
                      <w:rFonts w:ascii="Arial"/>
                      <w:sz w:val="21"/>
                    </w:rPr>
                  </w:pPr>
                </w:p>
                <w:p w14:paraId="5A080637">
                  <w:pPr>
                    <w:spacing w:line="259" w:lineRule="auto"/>
                    <w:rPr>
                      <w:rFonts w:ascii="Arial"/>
                      <w:sz w:val="21"/>
                    </w:rPr>
                  </w:pPr>
                </w:p>
                <w:p w14:paraId="01CF1F30">
                  <w:pPr>
                    <w:spacing w:line="259" w:lineRule="auto"/>
                    <w:rPr>
                      <w:rFonts w:ascii="Arial"/>
                      <w:sz w:val="21"/>
                    </w:rPr>
                  </w:pPr>
                </w:p>
                <w:p w14:paraId="0C7C4D07">
                  <w:pPr>
                    <w:spacing w:before="65" w:line="228" w:lineRule="auto"/>
                    <w:ind w:left="116"/>
                    <w:rPr>
                      <w:rFonts w:ascii="宋体" w:hAnsi="宋体" w:eastAsia="宋体" w:cs="宋体"/>
                      <w:sz w:val="20"/>
                      <w:szCs w:val="20"/>
                    </w:rPr>
                  </w:pPr>
                  <w:r>
                    <w:rPr>
                      <w:rFonts w:ascii="宋体" w:hAnsi="宋体" w:eastAsia="宋体" w:cs="宋体"/>
                      <w:b/>
                      <w:bCs/>
                      <w:spacing w:val="6"/>
                      <w:sz w:val="20"/>
                      <w:szCs w:val="20"/>
                    </w:rPr>
                    <w:t>监测因子</w:t>
                  </w:r>
                </w:p>
              </w:tc>
              <w:tc>
                <w:tcPr>
                  <w:tcW w:w="2012" w:type="dxa"/>
                  <w:vMerge w:val="restart"/>
                  <w:tcBorders>
                    <w:bottom w:val="nil"/>
                  </w:tcBorders>
                  <w:vAlign w:val="top"/>
                </w:tcPr>
                <w:p w14:paraId="3C0499C9">
                  <w:pPr>
                    <w:spacing w:line="259" w:lineRule="auto"/>
                    <w:rPr>
                      <w:rFonts w:ascii="Arial"/>
                      <w:sz w:val="21"/>
                    </w:rPr>
                  </w:pPr>
                </w:p>
                <w:p w14:paraId="0ED31877">
                  <w:pPr>
                    <w:spacing w:line="259" w:lineRule="auto"/>
                    <w:rPr>
                      <w:rFonts w:ascii="Arial"/>
                      <w:sz w:val="21"/>
                    </w:rPr>
                  </w:pPr>
                </w:p>
                <w:p w14:paraId="601EF352">
                  <w:pPr>
                    <w:spacing w:line="259" w:lineRule="auto"/>
                    <w:rPr>
                      <w:rFonts w:ascii="Arial"/>
                      <w:sz w:val="21"/>
                    </w:rPr>
                  </w:pPr>
                </w:p>
                <w:p w14:paraId="5CE854CB">
                  <w:pPr>
                    <w:spacing w:before="65" w:line="229" w:lineRule="auto"/>
                    <w:ind w:left="592"/>
                    <w:rPr>
                      <w:rFonts w:ascii="宋体" w:hAnsi="宋体" w:eastAsia="宋体" w:cs="宋体"/>
                      <w:sz w:val="20"/>
                      <w:szCs w:val="20"/>
                    </w:rPr>
                  </w:pPr>
                  <w:r>
                    <w:rPr>
                      <w:rFonts w:ascii="宋体" w:hAnsi="宋体" w:eastAsia="宋体" w:cs="宋体"/>
                      <w:b/>
                      <w:bCs/>
                      <w:spacing w:val="6"/>
                      <w:sz w:val="20"/>
                      <w:szCs w:val="20"/>
                    </w:rPr>
                    <w:t>监测时段</w:t>
                  </w:r>
                </w:p>
              </w:tc>
              <w:tc>
                <w:tcPr>
                  <w:tcW w:w="587" w:type="dxa"/>
                  <w:vMerge w:val="restart"/>
                  <w:tcBorders>
                    <w:bottom w:val="nil"/>
                  </w:tcBorders>
                  <w:vAlign w:val="top"/>
                </w:tcPr>
                <w:p w14:paraId="32F55BBD">
                  <w:pPr>
                    <w:spacing w:before="30" w:line="229" w:lineRule="auto"/>
                    <w:ind w:left="91"/>
                    <w:rPr>
                      <w:rFonts w:ascii="宋体" w:hAnsi="宋体" w:eastAsia="宋体" w:cs="宋体"/>
                      <w:sz w:val="20"/>
                      <w:szCs w:val="20"/>
                    </w:rPr>
                  </w:pPr>
                  <w:r>
                    <w:rPr>
                      <w:rFonts w:ascii="宋体" w:hAnsi="宋体" w:eastAsia="宋体" w:cs="宋体"/>
                      <w:b/>
                      <w:bCs/>
                      <w:spacing w:val="3"/>
                      <w:sz w:val="20"/>
                      <w:szCs w:val="20"/>
                    </w:rPr>
                    <w:t>相对</w:t>
                  </w:r>
                </w:p>
                <w:p w14:paraId="64CA9A07">
                  <w:pPr>
                    <w:spacing w:before="159" w:line="227" w:lineRule="auto"/>
                    <w:ind w:left="92"/>
                    <w:rPr>
                      <w:rFonts w:ascii="宋体" w:hAnsi="宋体" w:eastAsia="宋体" w:cs="宋体"/>
                      <w:sz w:val="20"/>
                      <w:szCs w:val="20"/>
                    </w:rPr>
                  </w:pPr>
                  <w:r>
                    <w:rPr>
                      <w:rFonts w:ascii="宋体" w:hAnsi="宋体" w:eastAsia="宋体" w:cs="宋体"/>
                      <w:b/>
                      <w:bCs/>
                      <w:spacing w:val="3"/>
                      <w:sz w:val="20"/>
                      <w:szCs w:val="20"/>
                    </w:rPr>
                    <w:t>本项</w:t>
                  </w:r>
                </w:p>
                <w:p w14:paraId="70D192A0">
                  <w:pPr>
                    <w:spacing w:before="164" w:line="228" w:lineRule="auto"/>
                    <w:ind w:left="131"/>
                    <w:rPr>
                      <w:rFonts w:ascii="宋体" w:hAnsi="宋体" w:eastAsia="宋体" w:cs="宋体"/>
                      <w:sz w:val="20"/>
                      <w:szCs w:val="20"/>
                    </w:rPr>
                  </w:pPr>
                  <w:r>
                    <w:rPr>
                      <w:rFonts w:ascii="宋体" w:hAnsi="宋体" w:eastAsia="宋体" w:cs="宋体"/>
                      <w:b/>
                      <w:bCs/>
                      <w:spacing w:val="-17"/>
                      <w:sz w:val="20"/>
                      <w:szCs w:val="20"/>
                    </w:rPr>
                    <w:t>目厂</w:t>
                  </w:r>
                </w:p>
                <w:p w14:paraId="7450DCF3">
                  <w:pPr>
                    <w:spacing w:before="161" w:line="358" w:lineRule="auto"/>
                    <w:ind w:left="194" w:right="78" w:hanging="102"/>
                    <w:rPr>
                      <w:rFonts w:ascii="宋体" w:hAnsi="宋体" w:eastAsia="宋体" w:cs="宋体"/>
                      <w:sz w:val="20"/>
                      <w:szCs w:val="20"/>
                    </w:rPr>
                  </w:pPr>
                  <w:r>
                    <w:rPr>
                      <w:rFonts w:ascii="宋体" w:hAnsi="宋体" w:eastAsia="宋体" w:cs="宋体"/>
                      <w:b/>
                      <w:bCs/>
                      <w:spacing w:val="3"/>
                      <w:sz w:val="20"/>
                      <w:szCs w:val="20"/>
                    </w:rPr>
                    <w:t>址方</w:t>
                  </w:r>
                  <w:r>
                    <w:rPr>
                      <w:rFonts w:ascii="宋体" w:hAnsi="宋体" w:eastAsia="宋体" w:cs="宋体"/>
                      <w:b/>
                      <w:bCs/>
                      <w:spacing w:val="-2"/>
                      <w:sz w:val="20"/>
                      <w:szCs w:val="20"/>
                    </w:rPr>
                    <w:t>位</w:t>
                  </w:r>
                </w:p>
              </w:tc>
              <w:tc>
                <w:tcPr>
                  <w:tcW w:w="909" w:type="dxa"/>
                  <w:vMerge w:val="restart"/>
                  <w:tcBorders>
                    <w:bottom w:val="nil"/>
                  </w:tcBorders>
                  <w:vAlign w:val="top"/>
                </w:tcPr>
                <w:p w14:paraId="2F2E1B7F">
                  <w:pPr>
                    <w:spacing w:before="258" w:line="227" w:lineRule="auto"/>
                    <w:ind w:left="145"/>
                    <w:rPr>
                      <w:rFonts w:ascii="宋体" w:hAnsi="宋体" w:eastAsia="宋体" w:cs="宋体"/>
                      <w:sz w:val="20"/>
                      <w:szCs w:val="20"/>
                    </w:rPr>
                  </w:pPr>
                  <w:r>
                    <w:rPr>
                      <w:rFonts w:ascii="宋体" w:hAnsi="宋体" w:eastAsia="宋体" w:cs="宋体"/>
                      <w:b/>
                      <w:bCs/>
                      <w:spacing w:val="5"/>
                      <w:sz w:val="20"/>
                      <w:szCs w:val="20"/>
                    </w:rPr>
                    <w:t>相对本</w:t>
                  </w:r>
                </w:p>
                <w:p w14:paraId="743A0433">
                  <w:pPr>
                    <w:spacing w:before="162" w:line="228" w:lineRule="auto"/>
                    <w:ind w:left="148"/>
                    <w:rPr>
                      <w:rFonts w:ascii="宋体" w:hAnsi="宋体" w:eastAsia="宋体" w:cs="宋体"/>
                      <w:sz w:val="20"/>
                      <w:szCs w:val="20"/>
                    </w:rPr>
                  </w:pPr>
                  <w:r>
                    <w:rPr>
                      <w:rFonts w:ascii="宋体" w:hAnsi="宋体" w:eastAsia="宋体" w:cs="宋体"/>
                      <w:b/>
                      <w:bCs/>
                      <w:spacing w:val="4"/>
                      <w:sz w:val="20"/>
                      <w:szCs w:val="20"/>
                    </w:rPr>
                    <w:t>项目厂</w:t>
                  </w:r>
                </w:p>
                <w:p w14:paraId="4AE7A6AC">
                  <w:pPr>
                    <w:spacing w:before="161" w:line="374" w:lineRule="auto"/>
                    <w:ind w:left="336" w:right="135" w:hanging="186"/>
                    <w:rPr>
                      <w:rFonts w:ascii="Times New Roman" w:hAnsi="Times New Roman" w:eastAsia="Times New Roman" w:cs="Times New Roman"/>
                      <w:sz w:val="20"/>
                      <w:szCs w:val="20"/>
                    </w:rPr>
                  </w:pPr>
                  <w:r>
                    <w:rPr>
                      <w:rFonts w:ascii="宋体" w:hAnsi="宋体" w:eastAsia="宋体" w:cs="宋体"/>
                      <w:b/>
                      <w:bCs/>
                      <w:spacing w:val="3"/>
                      <w:sz w:val="20"/>
                      <w:szCs w:val="20"/>
                    </w:rPr>
                    <w:t>界距离</w:t>
                  </w:r>
                  <w:r>
                    <w:rPr>
                      <w:rFonts w:ascii="Times New Roman" w:hAnsi="Times New Roman" w:eastAsia="Times New Roman" w:cs="Times New Roman"/>
                      <w:b/>
                      <w:bCs/>
                      <w:spacing w:val="4"/>
                      <w:sz w:val="20"/>
                      <w:szCs w:val="20"/>
                    </w:rPr>
                    <w:t>/m</w:t>
                  </w:r>
                </w:p>
              </w:tc>
            </w:tr>
            <w:tr w14:paraId="59736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7" w:hRule="atLeast"/>
              </w:trPr>
              <w:tc>
                <w:tcPr>
                  <w:tcW w:w="793" w:type="dxa"/>
                  <w:vMerge w:val="continue"/>
                  <w:tcBorders>
                    <w:top w:val="nil"/>
                  </w:tcBorders>
                  <w:vAlign w:val="top"/>
                </w:tcPr>
                <w:p w14:paraId="62D254CE">
                  <w:pPr>
                    <w:rPr>
                      <w:rFonts w:ascii="Arial"/>
                      <w:sz w:val="21"/>
                    </w:rPr>
                  </w:pPr>
                </w:p>
              </w:tc>
              <w:tc>
                <w:tcPr>
                  <w:tcW w:w="1433" w:type="dxa"/>
                  <w:vAlign w:val="top"/>
                </w:tcPr>
                <w:p w14:paraId="18261A24">
                  <w:pPr>
                    <w:spacing w:line="312" w:lineRule="auto"/>
                    <w:rPr>
                      <w:rFonts w:ascii="Arial"/>
                      <w:sz w:val="21"/>
                    </w:rPr>
                  </w:pPr>
                </w:p>
                <w:p w14:paraId="66795527">
                  <w:pPr>
                    <w:spacing w:line="312" w:lineRule="auto"/>
                    <w:rPr>
                      <w:rFonts w:ascii="Arial"/>
                      <w:sz w:val="21"/>
                    </w:rPr>
                  </w:pPr>
                </w:p>
                <w:p w14:paraId="24B87266">
                  <w:pPr>
                    <w:spacing w:before="57" w:line="192" w:lineRule="auto"/>
                    <w:ind w:left="645"/>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E</w:t>
                  </w:r>
                </w:p>
              </w:tc>
              <w:tc>
                <w:tcPr>
                  <w:tcW w:w="1328" w:type="dxa"/>
                  <w:vAlign w:val="top"/>
                </w:tcPr>
                <w:p w14:paraId="7F59C06A">
                  <w:pPr>
                    <w:spacing w:line="312" w:lineRule="auto"/>
                    <w:rPr>
                      <w:rFonts w:ascii="Arial"/>
                      <w:sz w:val="21"/>
                    </w:rPr>
                  </w:pPr>
                </w:p>
                <w:p w14:paraId="00E2C0F6">
                  <w:pPr>
                    <w:spacing w:line="312" w:lineRule="auto"/>
                    <w:rPr>
                      <w:rFonts w:ascii="Arial"/>
                      <w:sz w:val="21"/>
                    </w:rPr>
                  </w:pPr>
                </w:p>
                <w:p w14:paraId="015788D1">
                  <w:pPr>
                    <w:spacing w:before="57" w:line="192" w:lineRule="auto"/>
                    <w:ind w:left="586"/>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N</w:t>
                  </w:r>
                </w:p>
              </w:tc>
              <w:tc>
                <w:tcPr>
                  <w:tcW w:w="1063" w:type="dxa"/>
                  <w:vMerge w:val="continue"/>
                  <w:tcBorders>
                    <w:top w:val="nil"/>
                  </w:tcBorders>
                  <w:vAlign w:val="top"/>
                </w:tcPr>
                <w:p w14:paraId="15026B41">
                  <w:pPr>
                    <w:rPr>
                      <w:rFonts w:ascii="Arial"/>
                      <w:sz w:val="21"/>
                    </w:rPr>
                  </w:pPr>
                </w:p>
              </w:tc>
              <w:tc>
                <w:tcPr>
                  <w:tcW w:w="2012" w:type="dxa"/>
                  <w:vMerge w:val="continue"/>
                  <w:tcBorders>
                    <w:top w:val="nil"/>
                  </w:tcBorders>
                  <w:vAlign w:val="top"/>
                </w:tcPr>
                <w:p w14:paraId="7B0230B8">
                  <w:pPr>
                    <w:rPr>
                      <w:rFonts w:ascii="Arial"/>
                      <w:sz w:val="21"/>
                    </w:rPr>
                  </w:pPr>
                </w:p>
              </w:tc>
              <w:tc>
                <w:tcPr>
                  <w:tcW w:w="587" w:type="dxa"/>
                  <w:vMerge w:val="continue"/>
                  <w:tcBorders>
                    <w:top w:val="nil"/>
                  </w:tcBorders>
                  <w:vAlign w:val="top"/>
                </w:tcPr>
                <w:p w14:paraId="6BFE761A">
                  <w:pPr>
                    <w:rPr>
                      <w:rFonts w:ascii="Arial"/>
                      <w:sz w:val="21"/>
                    </w:rPr>
                  </w:pPr>
                </w:p>
              </w:tc>
              <w:tc>
                <w:tcPr>
                  <w:tcW w:w="909" w:type="dxa"/>
                  <w:vMerge w:val="continue"/>
                  <w:tcBorders>
                    <w:top w:val="nil"/>
                  </w:tcBorders>
                  <w:vAlign w:val="top"/>
                </w:tcPr>
                <w:p w14:paraId="3EE7F5D5">
                  <w:pPr>
                    <w:rPr>
                      <w:rFonts w:ascii="Arial"/>
                      <w:sz w:val="21"/>
                    </w:rPr>
                  </w:pPr>
                </w:p>
              </w:tc>
            </w:tr>
            <w:tr w14:paraId="40AED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2" w:hRule="atLeast"/>
              </w:trPr>
              <w:tc>
                <w:tcPr>
                  <w:tcW w:w="793" w:type="dxa"/>
                  <w:vAlign w:val="top"/>
                </w:tcPr>
                <w:p w14:paraId="0B3BA7CB">
                  <w:pPr>
                    <w:spacing w:before="30" w:line="228" w:lineRule="auto"/>
                    <w:ind w:left="99"/>
                    <w:rPr>
                      <w:rFonts w:ascii="宋体" w:hAnsi="宋体" w:eastAsia="宋体" w:cs="宋体"/>
                      <w:sz w:val="20"/>
                      <w:szCs w:val="20"/>
                    </w:rPr>
                  </w:pPr>
                  <w:r>
                    <w:rPr>
                      <w:rFonts w:ascii="宋体" w:hAnsi="宋体" w:eastAsia="宋体" w:cs="宋体"/>
                      <w:spacing w:val="1"/>
                      <w:sz w:val="20"/>
                      <w:szCs w:val="20"/>
                    </w:rPr>
                    <w:t>引用项</w:t>
                  </w:r>
                </w:p>
                <w:p w14:paraId="1A16CEAE">
                  <w:pPr>
                    <w:spacing w:before="160" w:line="230" w:lineRule="auto"/>
                    <w:ind w:left="124"/>
                    <w:rPr>
                      <w:rFonts w:ascii="宋体" w:hAnsi="宋体" w:eastAsia="宋体" w:cs="宋体"/>
                      <w:sz w:val="20"/>
                      <w:szCs w:val="20"/>
                    </w:rPr>
                  </w:pPr>
                  <w:r>
                    <w:rPr>
                      <w:rFonts w:ascii="宋体" w:hAnsi="宋体" w:eastAsia="宋体" w:cs="宋体"/>
                      <w:spacing w:val="-7"/>
                      <w:sz w:val="20"/>
                      <w:szCs w:val="20"/>
                    </w:rPr>
                    <w:t>目公司</w:t>
                  </w:r>
                </w:p>
                <w:p w14:paraId="4BE13329">
                  <w:pPr>
                    <w:spacing w:before="161" w:line="357" w:lineRule="auto"/>
                    <w:ind w:left="72" w:right="77" w:firstLine="15"/>
                    <w:rPr>
                      <w:rFonts w:ascii="宋体" w:hAnsi="宋体" w:eastAsia="宋体" w:cs="宋体"/>
                      <w:sz w:val="20"/>
                      <w:szCs w:val="20"/>
                    </w:rPr>
                  </w:pPr>
                  <w:r>
                    <w:rPr>
                      <w:rFonts w:ascii="宋体" w:hAnsi="宋体" w:eastAsia="宋体" w:cs="宋体"/>
                      <w:spacing w:val="5"/>
                      <w:sz w:val="20"/>
                      <w:szCs w:val="20"/>
                    </w:rPr>
                    <w:t>办公区</w:t>
                  </w:r>
                  <w:r>
                    <w:rPr>
                      <w:rFonts w:ascii="宋体" w:hAnsi="宋体" w:eastAsia="宋体" w:cs="宋体"/>
                      <w:spacing w:val="-2"/>
                      <w:sz w:val="20"/>
                      <w:szCs w:val="20"/>
                    </w:rPr>
                    <w:t>（</w:t>
                  </w:r>
                  <w:r>
                    <w:rPr>
                      <w:rFonts w:ascii="Times New Roman" w:hAnsi="Times New Roman" w:eastAsia="Times New Roman" w:cs="Times New Roman"/>
                      <w:spacing w:val="-2"/>
                      <w:sz w:val="20"/>
                      <w:szCs w:val="20"/>
                    </w:rPr>
                    <w:t>G2</w:t>
                  </w:r>
                  <w:r>
                    <w:rPr>
                      <w:rFonts w:ascii="宋体" w:hAnsi="宋体" w:eastAsia="宋体" w:cs="宋体"/>
                      <w:spacing w:val="-2"/>
                      <w:sz w:val="20"/>
                      <w:szCs w:val="20"/>
                    </w:rPr>
                    <w:t>）</w:t>
                  </w:r>
                </w:p>
              </w:tc>
              <w:tc>
                <w:tcPr>
                  <w:tcW w:w="1433" w:type="dxa"/>
                  <w:vAlign w:val="top"/>
                </w:tcPr>
                <w:p w14:paraId="7EA2B535">
                  <w:pPr>
                    <w:spacing w:line="311" w:lineRule="auto"/>
                    <w:rPr>
                      <w:rFonts w:ascii="Arial"/>
                      <w:sz w:val="21"/>
                    </w:rPr>
                  </w:pPr>
                </w:p>
                <w:p w14:paraId="6753B1D3">
                  <w:pPr>
                    <w:spacing w:line="312" w:lineRule="auto"/>
                    <w:rPr>
                      <w:rFonts w:ascii="Arial"/>
                      <w:sz w:val="21"/>
                    </w:rPr>
                  </w:pPr>
                </w:p>
                <w:p w14:paraId="30E275FE">
                  <w:pPr>
                    <w:spacing w:before="58" w:line="195" w:lineRule="auto"/>
                    <w:ind w:left="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103°</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1"/>
                      <w:sz w:val="20"/>
                      <w:szCs w:val="20"/>
                    </w:rPr>
                    <w:t>11′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10.574″</w:t>
                  </w:r>
                </w:p>
              </w:tc>
              <w:tc>
                <w:tcPr>
                  <w:tcW w:w="1328" w:type="dxa"/>
                  <w:vAlign w:val="top"/>
                </w:tcPr>
                <w:p w14:paraId="4D3F03D9">
                  <w:pPr>
                    <w:spacing w:line="311" w:lineRule="auto"/>
                    <w:rPr>
                      <w:rFonts w:ascii="Arial"/>
                      <w:sz w:val="21"/>
                    </w:rPr>
                  </w:pPr>
                </w:p>
                <w:p w14:paraId="5DE82C19">
                  <w:pPr>
                    <w:spacing w:line="312" w:lineRule="auto"/>
                    <w:rPr>
                      <w:rFonts w:ascii="Arial"/>
                      <w:sz w:val="21"/>
                    </w:rPr>
                  </w:pPr>
                </w:p>
                <w:p w14:paraId="60506B76">
                  <w:pPr>
                    <w:spacing w:before="58" w:line="195" w:lineRule="auto"/>
                    <w:ind w:left="5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25°33′33.457″</w:t>
                  </w:r>
                </w:p>
              </w:tc>
              <w:tc>
                <w:tcPr>
                  <w:tcW w:w="1063" w:type="dxa"/>
                  <w:vAlign w:val="top"/>
                </w:tcPr>
                <w:p w14:paraId="6D23A8D7">
                  <w:pPr>
                    <w:spacing w:line="311" w:lineRule="auto"/>
                    <w:rPr>
                      <w:rFonts w:ascii="Arial"/>
                      <w:sz w:val="21"/>
                    </w:rPr>
                  </w:pPr>
                </w:p>
                <w:p w14:paraId="220D8299">
                  <w:pPr>
                    <w:spacing w:line="312" w:lineRule="auto"/>
                    <w:rPr>
                      <w:rFonts w:ascii="Arial"/>
                      <w:sz w:val="21"/>
                    </w:rPr>
                  </w:pPr>
                </w:p>
                <w:p w14:paraId="77D3B7CA">
                  <w:pPr>
                    <w:spacing w:before="58"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TSP</w:t>
                  </w:r>
                </w:p>
              </w:tc>
              <w:tc>
                <w:tcPr>
                  <w:tcW w:w="2012" w:type="dxa"/>
                  <w:vAlign w:val="top"/>
                </w:tcPr>
                <w:p w14:paraId="3A55AD3C">
                  <w:pPr>
                    <w:spacing w:line="311" w:lineRule="auto"/>
                    <w:rPr>
                      <w:rFonts w:ascii="Arial"/>
                      <w:sz w:val="21"/>
                    </w:rPr>
                  </w:pPr>
                </w:p>
                <w:p w14:paraId="25F1292E">
                  <w:pPr>
                    <w:spacing w:line="312" w:lineRule="auto"/>
                    <w:rPr>
                      <w:rFonts w:ascii="Arial"/>
                      <w:sz w:val="21"/>
                    </w:rPr>
                  </w:pPr>
                </w:p>
                <w:p w14:paraId="2AB10AE5">
                  <w:pPr>
                    <w:spacing w:before="58" w:line="195" w:lineRule="auto"/>
                    <w:ind w:left="5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2023.</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11.30~2023.12.6</w:t>
                  </w:r>
                </w:p>
              </w:tc>
              <w:tc>
                <w:tcPr>
                  <w:tcW w:w="587" w:type="dxa"/>
                  <w:vAlign w:val="top"/>
                </w:tcPr>
                <w:p w14:paraId="6B646306">
                  <w:pPr>
                    <w:spacing w:line="370" w:lineRule="auto"/>
                    <w:rPr>
                      <w:rFonts w:ascii="Arial"/>
                      <w:sz w:val="21"/>
                    </w:rPr>
                  </w:pPr>
                </w:p>
                <w:p w14:paraId="13FE7468">
                  <w:pPr>
                    <w:spacing w:before="65" w:line="378" w:lineRule="auto"/>
                    <w:ind w:left="194" w:right="81" w:hanging="98"/>
                    <w:rPr>
                      <w:rFonts w:ascii="宋体" w:hAnsi="宋体" w:eastAsia="宋体" w:cs="宋体"/>
                      <w:sz w:val="20"/>
                      <w:szCs w:val="20"/>
                    </w:rPr>
                  </w:pPr>
                  <w:r>
                    <w:rPr>
                      <w:rFonts w:ascii="宋体" w:hAnsi="宋体" w:eastAsia="宋体" w:cs="宋体"/>
                      <w:spacing w:val="2"/>
                      <w:sz w:val="20"/>
                      <w:szCs w:val="20"/>
                    </w:rPr>
                    <w:t>西南侧</w:t>
                  </w:r>
                </w:p>
              </w:tc>
              <w:tc>
                <w:tcPr>
                  <w:tcW w:w="909" w:type="dxa"/>
                  <w:vAlign w:val="top"/>
                </w:tcPr>
                <w:p w14:paraId="0D72464D">
                  <w:pPr>
                    <w:spacing w:line="311" w:lineRule="auto"/>
                    <w:rPr>
                      <w:rFonts w:ascii="Arial"/>
                      <w:sz w:val="21"/>
                    </w:rPr>
                  </w:pPr>
                </w:p>
                <w:p w14:paraId="498FB774">
                  <w:pPr>
                    <w:spacing w:line="312" w:lineRule="auto"/>
                    <w:rPr>
                      <w:rFonts w:ascii="Arial"/>
                      <w:sz w:val="21"/>
                    </w:rPr>
                  </w:pPr>
                </w:p>
                <w:p w14:paraId="552728E1">
                  <w:pPr>
                    <w:spacing w:before="58" w:line="195" w:lineRule="auto"/>
                    <w:ind w:left="3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955</w:t>
                  </w:r>
                </w:p>
              </w:tc>
            </w:tr>
            <w:tr w14:paraId="34EDE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793" w:type="dxa"/>
                  <w:vAlign w:val="top"/>
                </w:tcPr>
                <w:p w14:paraId="25FAFBF3">
                  <w:pPr>
                    <w:spacing w:before="32" w:line="358" w:lineRule="auto"/>
                    <w:ind w:left="296" w:right="82" w:hanging="212"/>
                    <w:rPr>
                      <w:rFonts w:ascii="宋体" w:hAnsi="宋体" w:eastAsia="宋体" w:cs="宋体"/>
                      <w:sz w:val="20"/>
                      <w:szCs w:val="20"/>
                    </w:rPr>
                  </w:pPr>
                  <w:r>
                    <w:rPr>
                      <w:rFonts w:ascii="宋体" w:hAnsi="宋体" w:eastAsia="宋体" w:cs="宋体"/>
                      <w:spacing w:val="6"/>
                      <w:sz w:val="20"/>
                      <w:szCs w:val="20"/>
                    </w:rPr>
                    <w:t>三月三</w:t>
                  </w:r>
                  <w:r>
                    <w:rPr>
                      <w:rFonts w:ascii="宋体" w:hAnsi="宋体" w:eastAsia="宋体" w:cs="宋体"/>
                      <w:sz w:val="20"/>
                      <w:szCs w:val="20"/>
                    </w:rPr>
                    <w:t>村</w:t>
                  </w:r>
                </w:p>
              </w:tc>
              <w:tc>
                <w:tcPr>
                  <w:tcW w:w="1433" w:type="dxa"/>
                  <w:vAlign w:val="top"/>
                </w:tcPr>
                <w:p w14:paraId="18DBFEFE">
                  <w:pPr>
                    <w:spacing w:before="279" w:line="195" w:lineRule="auto"/>
                    <w:ind w:left="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103°</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1"/>
                      <w:sz w:val="20"/>
                      <w:szCs w:val="20"/>
                    </w:rPr>
                    <w:t>13′59.736″</w:t>
                  </w:r>
                </w:p>
              </w:tc>
              <w:tc>
                <w:tcPr>
                  <w:tcW w:w="1328" w:type="dxa"/>
                  <w:vAlign w:val="top"/>
                </w:tcPr>
                <w:p w14:paraId="51EECDE8">
                  <w:pPr>
                    <w:spacing w:before="279" w:line="195" w:lineRule="auto"/>
                    <w:ind w:left="5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25°32′38.771″</w:t>
                  </w:r>
                </w:p>
              </w:tc>
              <w:tc>
                <w:tcPr>
                  <w:tcW w:w="1063" w:type="dxa"/>
                  <w:vAlign w:val="top"/>
                </w:tcPr>
                <w:p w14:paraId="22DC1D8F">
                  <w:pPr>
                    <w:spacing w:before="32" w:line="358" w:lineRule="auto"/>
                    <w:ind w:left="432" w:right="110" w:hanging="311"/>
                    <w:rPr>
                      <w:rFonts w:ascii="宋体" w:hAnsi="宋体" w:eastAsia="宋体" w:cs="宋体"/>
                      <w:sz w:val="20"/>
                      <w:szCs w:val="20"/>
                    </w:rPr>
                  </w:pPr>
                  <w:r>
                    <w:rPr>
                      <w:rFonts w:ascii="宋体" w:hAnsi="宋体" w:eastAsia="宋体" w:cs="宋体"/>
                      <w:spacing w:val="6"/>
                      <w:sz w:val="20"/>
                      <w:szCs w:val="20"/>
                    </w:rPr>
                    <w:t>非甲烷总</w:t>
                  </w:r>
                  <w:r>
                    <w:rPr>
                      <w:rFonts w:ascii="宋体" w:hAnsi="宋体" w:eastAsia="宋体" w:cs="宋体"/>
                      <w:sz w:val="20"/>
                      <w:szCs w:val="20"/>
                    </w:rPr>
                    <w:t>烃</w:t>
                  </w:r>
                </w:p>
              </w:tc>
              <w:tc>
                <w:tcPr>
                  <w:tcW w:w="2012" w:type="dxa"/>
                  <w:vAlign w:val="top"/>
                </w:tcPr>
                <w:p w14:paraId="516010D4">
                  <w:pPr>
                    <w:spacing w:before="32" w:line="358" w:lineRule="auto"/>
                    <w:ind w:left="701" w:right="54" w:hanging="642"/>
                    <w:rPr>
                      <w:rFonts w:ascii="宋体" w:hAnsi="宋体" w:eastAsia="宋体" w:cs="宋体"/>
                      <w:sz w:val="20"/>
                      <w:szCs w:val="20"/>
                    </w:rPr>
                  </w:pPr>
                  <w:r>
                    <w:rPr>
                      <w:rFonts w:ascii="Times New Roman" w:hAnsi="Times New Roman" w:eastAsia="Times New Roman" w:cs="Times New Roman"/>
                      <w:spacing w:val="-2"/>
                      <w:sz w:val="20"/>
                      <w:szCs w:val="20"/>
                    </w:rPr>
                    <w:t xml:space="preserve">2024 </w:t>
                  </w:r>
                  <w:r>
                    <w:rPr>
                      <w:rFonts w:ascii="宋体" w:hAnsi="宋体" w:eastAsia="宋体" w:cs="宋体"/>
                      <w:spacing w:val="-2"/>
                      <w:sz w:val="20"/>
                      <w:szCs w:val="20"/>
                    </w:rPr>
                    <w:t>年</w:t>
                  </w:r>
                  <w:r>
                    <w:rPr>
                      <w:rFonts w:ascii="宋体" w:hAnsi="宋体" w:eastAsia="宋体" w:cs="宋体"/>
                      <w:spacing w:val="-15"/>
                      <w:sz w:val="20"/>
                      <w:szCs w:val="20"/>
                    </w:rPr>
                    <w:t xml:space="preserve"> </w:t>
                  </w:r>
                  <w:r>
                    <w:rPr>
                      <w:rFonts w:ascii="Times New Roman" w:hAnsi="Times New Roman" w:eastAsia="Times New Roman" w:cs="Times New Roman"/>
                      <w:spacing w:val="-2"/>
                      <w:sz w:val="20"/>
                      <w:szCs w:val="20"/>
                    </w:rPr>
                    <w:t>12</w:t>
                  </w:r>
                  <w:r>
                    <w:rPr>
                      <w:rFonts w:ascii="Times New Roman" w:hAnsi="Times New Roman" w:eastAsia="Times New Roman" w:cs="Times New Roman"/>
                      <w:spacing w:val="15"/>
                      <w:sz w:val="20"/>
                      <w:szCs w:val="20"/>
                    </w:rPr>
                    <w:t xml:space="preserve"> </w:t>
                  </w:r>
                  <w:r>
                    <w:rPr>
                      <w:rFonts w:ascii="宋体" w:hAnsi="宋体" w:eastAsia="宋体" w:cs="宋体"/>
                      <w:spacing w:val="-2"/>
                      <w:sz w:val="20"/>
                      <w:szCs w:val="20"/>
                    </w:rPr>
                    <w:t>月</w:t>
                  </w:r>
                  <w:r>
                    <w:rPr>
                      <w:rFonts w:ascii="宋体" w:hAnsi="宋体" w:eastAsia="宋体" w:cs="宋体"/>
                      <w:spacing w:val="-43"/>
                      <w:sz w:val="20"/>
                      <w:szCs w:val="20"/>
                    </w:rPr>
                    <w:t xml:space="preserve"> </w:t>
                  </w:r>
                  <w:r>
                    <w:rPr>
                      <w:rFonts w:ascii="Times New Roman" w:hAnsi="Times New Roman" w:eastAsia="Times New Roman" w:cs="Times New Roman"/>
                      <w:spacing w:val="-2"/>
                      <w:sz w:val="20"/>
                      <w:szCs w:val="20"/>
                    </w:rPr>
                    <w:t xml:space="preserve">27  </w:t>
                  </w:r>
                  <w:r>
                    <w:rPr>
                      <w:rFonts w:ascii="宋体" w:hAnsi="宋体" w:eastAsia="宋体" w:cs="宋体"/>
                      <w:spacing w:val="-2"/>
                      <w:sz w:val="20"/>
                      <w:szCs w:val="20"/>
                    </w:rPr>
                    <w:t>日</w:t>
                  </w:r>
                  <w:r>
                    <w:rPr>
                      <w:rFonts w:ascii="Times New Roman" w:hAnsi="Times New Roman" w:eastAsia="Times New Roman" w:cs="Times New Roman"/>
                      <w:spacing w:val="-2"/>
                      <w:sz w:val="20"/>
                      <w:szCs w:val="20"/>
                    </w:rPr>
                    <w:t>-1</w:t>
                  </w:r>
                  <w:r>
                    <w:rPr>
                      <w:rFonts w:ascii="宋体" w:hAnsi="宋体" w:eastAsia="宋体" w:cs="宋体"/>
                      <w:spacing w:val="-2"/>
                      <w:sz w:val="20"/>
                      <w:szCs w:val="20"/>
                    </w:rPr>
                    <w:t>月</w:t>
                  </w:r>
                  <w:r>
                    <w:rPr>
                      <w:rFonts w:ascii="宋体" w:hAnsi="宋体" w:eastAsia="宋体" w:cs="宋体"/>
                      <w:spacing w:val="-43"/>
                      <w:sz w:val="20"/>
                      <w:szCs w:val="20"/>
                    </w:rPr>
                    <w:t xml:space="preserve"> </w:t>
                  </w:r>
                  <w:r>
                    <w:rPr>
                      <w:rFonts w:ascii="Times New Roman" w:hAnsi="Times New Roman" w:eastAsia="Times New Roman" w:cs="Times New Roman"/>
                      <w:spacing w:val="-2"/>
                      <w:sz w:val="20"/>
                      <w:szCs w:val="20"/>
                    </w:rPr>
                    <w:t>2</w:t>
                  </w:r>
                  <w:r>
                    <w:rPr>
                      <w:rFonts w:ascii="Times New Roman" w:hAnsi="Times New Roman" w:eastAsia="Times New Roman" w:cs="Times New Roman"/>
                      <w:spacing w:val="48"/>
                      <w:w w:val="101"/>
                      <w:sz w:val="20"/>
                      <w:szCs w:val="20"/>
                    </w:rPr>
                    <w:t xml:space="preserve"> </w:t>
                  </w:r>
                  <w:r>
                    <w:rPr>
                      <w:rFonts w:ascii="宋体" w:hAnsi="宋体" w:eastAsia="宋体" w:cs="宋体"/>
                      <w:spacing w:val="-2"/>
                      <w:sz w:val="20"/>
                      <w:szCs w:val="20"/>
                    </w:rPr>
                    <w:t>日</w:t>
                  </w:r>
                </w:p>
              </w:tc>
              <w:tc>
                <w:tcPr>
                  <w:tcW w:w="587" w:type="dxa"/>
                  <w:vAlign w:val="top"/>
                </w:tcPr>
                <w:p w14:paraId="0D765E01">
                  <w:pPr>
                    <w:spacing w:before="32" w:line="358" w:lineRule="auto"/>
                    <w:ind w:left="194" w:right="78" w:hanging="96"/>
                    <w:rPr>
                      <w:rFonts w:ascii="宋体" w:hAnsi="宋体" w:eastAsia="宋体" w:cs="宋体"/>
                      <w:sz w:val="20"/>
                      <w:szCs w:val="20"/>
                    </w:rPr>
                  </w:pPr>
                  <w:r>
                    <w:rPr>
                      <w:rFonts w:ascii="宋体" w:hAnsi="宋体" w:eastAsia="宋体" w:cs="宋体"/>
                      <w:spacing w:val="2"/>
                      <w:sz w:val="20"/>
                      <w:szCs w:val="20"/>
                    </w:rPr>
                    <w:t>东南侧</w:t>
                  </w:r>
                </w:p>
              </w:tc>
              <w:tc>
                <w:tcPr>
                  <w:tcW w:w="909" w:type="dxa"/>
                  <w:vAlign w:val="top"/>
                </w:tcPr>
                <w:p w14:paraId="736DDE77">
                  <w:pPr>
                    <w:spacing w:before="279" w:line="195" w:lineRule="auto"/>
                    <w:ind w:left="24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4354</w:t>
                  </w:r>
                </w:p>
              </w:tc>
            </w:tr>
          </w:tbl>
          <w:p w14:paraId="2D49EF4D">
            <w:pPr>
              <w:spacing w:before="36" w:line="219" w:lineRule="auto"/>
              <w:ind w:left="590"/>
              <w:rPr>
                <w:rFonts w:ascii="宋体" w:hAnsi="宋体" w:eastAsia="宋体" w:cs="宋体"/>
                <w:sz w:val="24"/>
                <w:szCs w:val="24"/>
              </w:rPr>
            </w:pPr>
            <w:r>
              <w:rPr>
                <w:rFonts w:ascii="宋体" w:hAnsi="宋体" w:eastAsia="宋体" w:cs="宋体"/>
                <w:spacing w:val="-2"/>
                <w:sz w:val="24"/>
                <w:szCs w:val="24"/>
              </w:rPr>
              <w:t>大气环境质量现状引用监测结果见表</w:t>
            </w:r>
            <w:r>
              <w:rPr>
                <w:rFonts w:ascii="宋体" w:hAnsi="宋体" w:eastAsia="宋体" w:cs="宋体"/>
                <w:spacing w:val="-34"/>
                <w:sz w:val="24"/>
                <w:szCs w:val="24"/>
              </w:rPr>
              <w:t xml:space="preserve"> </w:t>
            </w:r>
            <w:r>
              <w:rPr>
                <w:rFonts w:ascii="Times New Roman" w:hAnsi="Times New Roman" w:eastAsia="Times New Roman" w:cs="Times New Roman"/>
                <w:spacing w:val="-2"/>
                <w:sz w:val="24"/>
                <w:szCs w:val="24"/>
              </w:rPr>
              <w:t>3-2</w:t>
            </w:r>
            <w:r>
              <w:rPr>
                <w:rFonts w:ascii="宋体" w:hAnsi="宋体" w:eastAsia="宋体" w:cs="宋体"/>
                <w:spacing w:val="-2"/>
                <w:sz w:val="24"/>
                <w:szCs w:val="24"/>
              </w:rPr>
              <w:t>。</w:t>
            </w:r>
          </w:p>
          <w:p w14:paraId="65052D96">
            <w:pPr>
              <w:spacing w:before="175" w:line="209" w:lineRule="auto"/>
              <w:ind w:left="1686"/>
              <w:rPr>
                <w:rFonts w:ascii="Times New Roman" w:hAnsi="Times New Roman" w:eastAsia="Times New Roman" w:cs="Times New Roman"/>
                <w:sz w:val="20"/>
                <w:szCs w:val="20"/>
              </w:rPr>
            </w:pPr>
            <w:r>
              <w:rPr>
                <w:rFonts w:ascii="宋体" w:hAnsi="宋体" w:eastAsia="宋体" w:cs="宋体"/>
                <w:b/>
                <w:bCs/>
                <w:spacing w:val="6"/>
                <w:sz w:val="20"/>
                <w:szCs w:val="20"/>
              </w:rPr>
              <w:t>表</w:t>
            </w:r>
            <w:r>
              <w:rPr>
                <w:rFonts w:ascii="宋体" w:hAnsi="宋体" w:eastAsia="宋体" w:cs="宋体"/>
                <w:spacing w:val="-27"/>
                <w:sz w:val="20"/>
                <w:szCs w:val="20"/>
              </w:rPr>
              <w:t xml:space="preserve"> </w:t>
            </w:r>
            <w:r>
              <w:rPr>
                <w:rFonts w:ascii="Times New Roman" w:hAnsi="Times New Roman" w:eastAsia="Times New Roman" w:cs="Times New Roman"/>
                <w:b/>
                <w:bCs/>
                <w:spacing w:val="6"/>
                <w:sz w:val="20"/>
                <w:szCs w:val="20"/>
              </w:rPr>
              <w:t xml:space="preserve">3-2    </w:t>
            </w:r>
            <w:r>
              <w:rPr>
                <w:rFonts w:ascii="Times New Roman" w:hAnsi="Times New Roman" w:eastAsia="Times New Roman" w:cs="Times New Roman"/>
                <w:b/>
                <w:bCs/>
                <w:sz w:val="20"/>
                <w:szCs w:val="20"/>
              </w:rPr>
              <w:t>TSP</w:t>
            </w:r>
            <w:r>
              <w:rPr>
                <w:rFonts w:ascii="Times New Roman" w:hAnsi="Times New Roman" w:eastAsia="Times New Roman" w:cs="Times New Roman"/>
                <w:b/>
                <w:bCs/>
                <w:spacing w:val="26"/>
                <w:sz w:val="20"/>
                <w:szCs w:val="20"/>
              </w:rPr>
              <w:t xml:space="preserve"> </w:t>
            </w:r>
            <w:r>
              <w:rPr>
                <w:rFonts w:ascii="宋体" w:hAnsi="宋体" w:eastAsia="宋体" w:cs="宋体"/>
                <w:b/>
                <w:bCs/>
                <w:spacing w:val="6"/>
                <w:sz w:val="20"/>
                <w:szCs w:val="20"/>
              </w:rPr>
              <w:t>引用项目环境空气检测结果单位：</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6"/>
                <w:sz w:val="20"/>
                <w:szCs w:val="20"/>
              </w:rPr>
              <w:t>/m3</w:t>
            </w:r>
          </w:p>
        </w:tc>
      </w:tr>
      <w:tr w14:paraId="43E34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718" w:type="dxa"/>
            <w:vMerge w:val="continue"/>
            <w:tcBorders>
              <w:top w:val="nil"/>
              <w:left w:val="single" w:color="000000" w:sz="6" w:space="0"/>
              <w:bottom w:val="nil"/>
            </w:tcBorders>
            <w:vAlign w:val="top"/>
          </w:tcPr>
          <w:p w14:paraId="72D7D7A5">
            <w:pPr>
              <w:rPr>
                <w:rFonts w:ascii="Arial"/>
                <w:sz w:val="21"/>
              </w:rPr>
            </w:pPr>
          </w:p>
        </w:tc>
        <w:tc>
          <w:tcPr>
            <w:tcW w:w="113" w:type="dxa"/>
            <w:tcBorders>
              <w:top w:val="nil"/>
              <w:bottom w:val="nil"/>
            </w:tcBorders>
            <w:vAlign w:val="top"/>
          </w:tcPr>
          <w:p w14:paraId="31E2BDB8">
            <w:pPr>
              <w:rPr>
                <w:rFonts w:ascii="Arial"/>
                <w:sz w:val="21"/>
              </w:rPr>
            </w:pPr>
          </w:p>
        </w:tc>
        <w:tc>
          <w:tcPr>
            <w:tcW w:w="1142" w:type="dxa"/>
            <w:vAlign w:val="top"/>
          </w:tcPr>
          <w:p w14:paraId="408B9C5E">
            <w:pPr>
              <w:spacing w:before="41" w:line="228" w:lineRule="auto"/>
              <w:ind w:left="148"/>
              <w:rPr>
                <w:rFonts w:ascii="宋体" w:hAnsi="宋体" w:eastAsia="宋体" w:cs="宋体"/>
                <w:sz w:val="20"/>
                <w:szCs w:val="20"/>
              </w:rPr>
            </w:pPr>
            <w:r>
              <w:rPr>
                <w:rFonts w:ascii="宋体" w:hAnsi="宋体" w:eastAsia="宋体" w:cs="宋体"/>
                <w:b/>
                <w:bCs/>
                <w:spacing w:val="6"/>
                <w:sz w:val="20"/>
                <w:szCs w:val="20"/>
              </w:rPr>
              <w:t>检测点位</w:t>
            </w:r>
          </w:p>
        </w:tc>
        <w:tc>
          <w:tcPr>
            <w:tcW w:w="1679" w:type="dxa"/>
            <w:vAlign w:val="top"/>
          </w:tcPr>
          <w:p w14:paraId="23D70DA6">
            <w:pPr>
              <w:spacing w:before="41" w:line="228" w:lineRule="auto"/>
              <w:ind w:left="420"/>
              <w:rPr>
                <w:rFonts w:ascii="宋体" w:hAnsi="宋体" w:eastAsia="宋体" w:cs="宋体"/>
                <w:sz w:val="20"/>
                <w:szCs w:val="20"/>
              </w:rPr>
            </w:pPr>
            <w:r>
              <w:rPr>
                <w:rFonts w:ascii="宋体" w:hAnsi="宋体" w:eastAsia="宋体" w:cs="宋体"/>
                <w:b/>
                <w:bCs/>
                <w:spacing w:val="6"/>
                <w:sz w:val="20"/>
                <w:szCs w:val="20"/>
              </w:rPr>
              <w:t>检测日期</w:t>
            </w:r>
          </w:p>
        </w:tc>
        <w:tc>
          <w:tcPr>
            <w:tcW w:w="1712" w:type="dxa"/>
            <w:vAlign w:val="top"/>
          </w:tcPr>
          <w:p w14:paraId="473C2174">
            <w:pPr>
              <w:spacing w:before="42" w:line="227" w:lineRule="auto"/>
              <w:ind w:left="439"/>
              <w:rPr>
                <w:rFonts w:ascii="宋体" w:hAnsi="宋体" w:eastAsia="宋体" w:cs="宋体"/>
                <w:sz w:val="20"/>
                <w:szCs w:val="20"/>
              </w:rPr>
            </w:pPr>
            <w:r>
              <w:rPr>
                <w:rFonts w:ascii="宋体" w:hAnsi="宋体" w:eastAsia="宋体" w:cs="宋体"/>
                <w:b/>
                <w:bCs/>
                <w:spacing w:val="6"/>
                <w:sz w:val="20"/>
                <w:szCs w:val="20"/>
              </w:rPr>
              <w:t>采样时间</w:t>
            </w:r>
          </w:p>
        </w:tc>
        <w:tc>
          <w:tcPr>
            <w:tcW w:w="1463" w:type="dxa"/>
            <w:vAlign w:val="top"/>
          </w:tcPr>
          <w:p w14:paraId="57C48EF0">
            <w:pPr>
              <w:spacing w:before="41" w:line="228" w:lineRule="auto"/>
              <w:ind w:left="317"/>
              <w:rPr>
                <w:rFonts w:ascii="宋体" w:hAnsi="宋体" w:eastAsia="宋体" w:cs="宋体"/>
                <w:sz w:val="20"/>
                <w:szCs w:val="20"/>
              </w:rPr>
            </w:pPr>
            <w:r>
              <w:rPr>
                <w:rFonts w:ascii="宋体" w:hAnsi="宋体" w:eastAsia="宋体" w:cs="宋体"/>
                <w:b/>
                <w:bCs/>
                <w:spacing w:val="6"/>
                <w:sz w:val="20"/>
                <w:szCs w:val="20"/>
              </w:rPr>
              <w:t>检测结果</w:t>
            </w:r>
          </w:p>
        </w:tc>
        <w:tc>
          <w:tcPr>
            <w:tcW w:w="980" w:type="dxa"/>
            <w:vAlign w:val="top"/>
          </w:tcPr>
          <w:p w14:paraId="406CE75E">
            <w:pPr>
              <w:spacing w:before="42" w:line="228" w:lineRule="auto"/>
              <w:ind w:left="290"/>
              <w:rPr>
                <w:rFonts w:ascii="宋体" w:hAnsi="宋体" w:eastAsia="宋体" w:cs="宋体"/>
                <w:sz w:val="20"/>
                <w:szCs w:val="20"/>
              </w:rPr>
            </w:pPr>
            <w:r>
              <w:rPr>
                <w:rFonts w:ascii="宋体" w:hAnsi="宋体" w:eastAsia="宋体" w:cs="宋体"/>
                <w:b/>
                <w:bCs/>
                <w:spacing w:val="3"/>
                <w:sz w:val="20"/>
                <w:szCs w:val="20"/>
              </w:rPr>
              <w:t>标准</w:t>
            </w:r>
          </w:p>
        </w:tc>
        <w:tc>
          <w:tcPr>
            <w:tcW w:w="1133" w:type="dxa"/>
            <w:vAlign w:val="top"/>
          </w:tcPr>
          <w:p w14:paraId="5CB395F2">
            <w:pPr>
              <w:spacing w:before="42" w:line="228" w:lineRule="auto"/>
              <w:ind w:left="156"/>
              <w:rPr>
                <w:rFonts w:ascii="宋体" w:hAnsi="宋体" w:eastAsia="宋体" w:cs="宋体"/>
                <w:sz w:val="20"/>
                <w:szCs w:val="20"/>
              </w:rPr>
            </w:pPr>
            <w:r>
              <w:rPr>
                <w:rFonts w:ascii="宋体" w:hAnsi="宋体" w:eastAsia="宋体" w:cs="宋体"/>
                <w:b/>
                <w:bCs/>
                <w:spacing w:val="6"/>
                <w:sz w:val="20"/>
                <w:szCs w:val="20"/>
              </w:rPr>
              <w:t>达标情况</w:t>
            </w:r>
          </w:p>
        </w:tc>
        <w:tc>
          <w:tcPr>
            <w:tcW w:w="125" w:type="dxa"/>
            <w:tcBorders>
              <w:top w:val="nil"/>
              <w:bottom w:val="nil"/>
              <w:right w:val="single" w:color="000000" w:sz="6" w:space="0"/>
            </w:tcBorders>
            <w:vAlign w:val="top"/>
          </w:tcPr>
          <w:p w14:paraId="03E0F3FD">
            <w:pPr>
              <w:rPr>
                <w:rFonts w:ascii="Arial"/>
                <w:sz w:val="21"/>
              </w:rPr>
            </w:pPr>
          </w:p>
        </w:tc>
      </w:tr>
      <w:tr w14:paraId="2EA99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18" w:type="dxa"/>
            <w:vMerge w:val="continue"/>
            <w:tcBorders>
              <w:top w:val="nil"/>
              <w:left w:val="single" w:color="000000" w:sz="6" w:space="0"/>
              <w:bottom w:val="nil"/>
            </w:tcBorders>
            <w:vAlign w:val="top"/>
          </w:tcPr>
          <w:p w14:paraId="032801B7">
            <w:pPr>
              <w:rPr>
                <w:rFonts w:ascii="Arial"/>
                <w:sz w:val="21"/>
              </w:rPr>
            </w:pPr>
          </w:p>
        </w:tc>
        <w:tc>
          <w:tcPr>
            <w:tcW w:w="113" w:type="dxa"/>
            <w:tcBorders>
              <w:top w:val="nil"/>
              <w:bottom w:val="nil"/>
            </w:tcBorders>
            <w:vAlign w:val="top"/>
          </w:tcPr>
          <w:p w14:paraId="331402A4">
            <w:pPr>
              <w:rPr>
                <w:rFonts w:ascii="Arial"/>
                <w:sz w:val="21"/>
              </w:rPr>
            </w:pPr>
          </w:p>
        </w:tc>
        <w:tc>
          <w:tcPr>
            <w:tcW w:w="1142" w:type="dxa"/>
            <w:vMerge w:val="restart"/>
            <w:tcBorders>
              <w:bottom w:val="nil"/>
            </w:tcBorders>
            <w:vAlign w:val="top"/>
          </w:tcPr>
          <w:p w14:paraId="198B17D9">
            <w:pPr>
              <w:spacing w:line="255" w:lineRule="auto"/>
              <w:rPr>
                <w:rFonts w:ascii="Arial"/>
                <w:sz w:val="21"/>
              </w:rPr>
            </w:pPr>
          </w:p>
          <w:p w14:paraId="402629D5">
            <w:pPr>
              <w:spacing w:line="255" w:lineRule="auto"/>
              <w:rPr>
                <w:rFonts w:ascii="Arial"/>
                <w:sz w:val="21"/>
              </w:rPr>
            </w:pPr>
          </w:p>
          <w:p w14:paraId="183DA59F">
            <w:pPr>
              <w:spacing w:line="255" w:lineRule="auto"/>
              <w:rPr>
                <w:rFonts w:ascii="Arial"/>
                <w:sz w:val="21"/>
              </w:rPr>
            </w:pPr>
          </w:p>
          <w:p w14:paraId="3F86C0D8">
            <w:pPr>
              <w:spacing w:line="256" w:lineRule="auto"/>
              <w:rPr>
                <w:rFonts w:ascii="Arial"/>
                <w:sz w:val="21"/>
              </w:rPr>
            </w:pPr>
          </w:p>
          <w:p w14:paraId="4C525114">
            <w:pPr>
              <w:spacing w:before="65" w:line="379" w:lineRule="auto"/>
              <w:ind w:left="366" w:right="60" w:hanging="312"/>
              <w:rPr>
                <w:rFonts w:ascii="宋体" w:hAnsi="宋体" w:eastAsia="宋体" w:cs="宋体"/>
                <w:sz w:val="20"/>
                <w:szCs w:val="20"/>
              </w:rPr>
            </w:pPr>
            <w:r>
              <w:rPr>
                <w:rFonts w:ascii="Times New Roman" w:hAnsi="Times New Roman" w:eastAsia="Times New Roman" w:cs="Times New Roman"/>
                <w:spacing w:val="-4"/>
                <w:sz w:val="20"/>
                <w:szCs w:val="20"/>
              </w:rPr>
              <w:t>G2</w:t>
            </w:r>
            <w:r>
              <w:rPr>
                <w:rFonts w:ascii="宋体" w:hAnsi="宋体" w:eastAsia="宋体" w:cs="宋体"/>
                <w:spacing w:val="-4"/>
                <w:sz w:val="20"/>
                <w:szCs w:val="20"/>
              </w:rPr>
              <w:t>：公司办</w:t>
            </w:r>
            <w:r>
              <w:rPr>
                <w:rFonts w:ascii="宋体" w:hAnsi="宋体" w:eastAsia="宋体" w:cs="宋体"/>
                <w:spacing w:val="1"/>
                <w:sz w:val="20"/>
                <w:szCs w:val="20"/>
              </w:rPr>
              <w:t>公区</w:t>
            </w:r>
          </w:p>
        </w:tc>
        <w:tc>
          <w:tcPr>
            <w:tcW w:w="1679" w:type="dxa"/>
            <w:vAlign w:val="top"/>
          </w:tcPr>
          <w:p w14:paraId="04FBC00E">
            <w:pPr>
              <w:spacing w:before="83" w:line="195" w:lineRule="auto"/>
              <w:ind w:left="3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11-30</w:t>
            </w:r>
          </w:p>
        </w:tc>
        <w:tc>
          <w:tcPr>
            <w:tcW w:w="1712" w:type="dxa"/>
            <w:vAlign w:val="top"/>
          </w:tcPr>
          <w:p w14:paraId="228042E0">
            <w:pPr>
              <w:spacing w:before="83" w:line="195" w:lineRule="auto"/>
              <w:ind w:left="32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00:00~24:00</w:t>
            </w:r>
          </w:p>
        </w:tc>
        <w:tc>
          <w:tcPr>
            <w:tcW w:w="1463" w:type="dxa"/>
            <w:vAlign w:val="top"/>
          </w:tcPr>
          <w:p w14:paraId="6E98D28E">
            <w:pPr>
              <w:spacing w:before="84" w:line="195"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221</w:t>
            </w:r>
          </w:p>
        </w:tc>
        <w:tc>
          <w:tcPr>
            <w:tcW w:w="980" w:type="dxa"/>
            <w:vAlign w:val="top"/>
          </w:tcPr>
          <w:p w14:paraId="21361EBD">
            <w:pPr>
              <w:spacing w:before="83"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w:t>
            </w:r>
          </w:p>
        </w:tc>
        <w:tc>
          <w:tcPr>
            <w:tcW w:w="1133" w:type="dxa"/>
            <w:vAlign w:val="top"/>
          </w:tcPr>
          <w:p w14:paraId="1C4A74BC">
            <w:pPr>
              <w:spacing w:before="41" w:line="228" w:lineRule="auto"/>
              <w:ind w:left="367"/>
              <w:rPr>
                <w:rFonts w:ascii="宋体" w:hAnsi="宋体" w:eastAsia="宋体" w:cs="宋体"/>
                <w:sz w:val="20"/>
                <w:szCs w:val="20"/>
              </w:rPr>
            </w:pPr>
            <w:r>
              <w:rPr>
                <w:rFonts w:ascii="宋体" w:hAnsi="宋体" w:eastAsia="宋体" w:cs="宋体"/>
                <w:spacing w:val="5"/>
                <w:sz w:val="20"/>
                <w:szCs w:val="20"/>
              </w:rPr>
              <w:t>达标</w:t>
            </w:r>
          </w:p>
        </w:tc>
        <w:tc>
          <w:tcPr>
            <w:tcW w:w="125" w:type="dxa"/>
            <w:tcBorders>
              <w:top w:val="nil"/>
              <w:bottom w:val="nil"/>
              <w:right w:val="single" w:color="000000" w:sz="6" w:space="0"/>
            </w:tcBorders>
            <w:vAlign w:val="top"/>
          </w:tcPr>
          <w:p w14:paraId="05B18395">
            <w:pPr>
              <w:rPr>
                <w:rFonts w:ascii="Arial"/>
                <w:sz w:val="21"/>
              </w:rPr>
            </w:pPr>
          </w:p>
        </w:tc>
      </w:tr>
      <w:tr w14:paraId="72E30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718" w:type="dxa"/>
            <w:vMerge w:val="continue"/>
            <w:tcBorders>
              <w:top w:val="nil"/>
              <w:left w:val="single" w:color="000000" w:sz="6" w:space="0"/>
              <w:bottom w:val="nil"/>
            </w:tcBorders>
            <w:vAlign w:val="top"/>
          </w:tcPr>
          <w:p w14:paraId="44919BED">
            <w:pPr>
              <w:rPr>
                <w:rFonts w:ascii="Arial"/>
                <w:sz w:val="21"/>
              </w:rPr>
            </w:pPr>
          </w:p>
        </w:tc>
        <w:tc>
          <w:tcPr>
            <w:tcW w:w="113" w:type="dxa"/>
            <w:tcBorders>
              <w:top w:val="nil"/>
              <w:bottom w:val="nil"/>
            </w:tcBorders>
            <w:vAlign w:val="top"/>
          </w:tcPr>
          <w:p w14:paraId="336A21CF">
            <w:pPr>
              <w:rPr>
                <w:rFonts w:ascii="Arial"/>
                <w:sz w:val="21"/>
              </w:rPr>
            </w:pPr>
          </w:p>
        </w:tc>
        <w:tc>
          <w:tcPr>
            <w:tcW w:w="1142" w:type="dxa"/>
            <w:vMerge w:val="continue"/>
            <w:tcBorders>
              <w:top w:val="nil"/>
              <w:bottom w:val="nil"/>
            </w:tcBorders>
            <w:vAlign w:val="top"/>
          </w:tcPr>
          <w:p w14:paraId="4139C087">
            <w:pPr>
              <w:rPr>
                <w:rFonts w:ascii="Arial"/>
                <w:sz w:val="21"/>
              </w:rPr>
            </w:pPr>
          </w:p>
        </w:tc>
        <w:tc>
          <w:tcPr>
            <w:tcW w:w="1679" w:type="dxa"/>
            <w:vAlign w:val="top"/>
          </w:tcPr>
          <w:p w14:paraId="30D3B9CE">
            <w:pPr>
              <w:spacing w:before="93" w:line="195" w:lineRule="auto"/>
              <w:ind w:left="3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12-01</w:t>
            </w:r>
          </w:p>
        </w:tc>
        <w:tc>
          <w:tcPr>
            <w:tcW w:w="1712" w:type="dxa"/>
            <w:vAlign w:val="top"/>
          </w:tcPr>
          <w:p w14:paraId="552405FC">
            <w:pPr>
              <w:spacing w:before="93" w:line="195" w:lineRule="auto"/>
              <w:ind w:left="32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00:00~24:00</w:t>
            </w:r>
          </w:p>
        </w:tc>
        <w:tc>
          <w:tcPr>
            <w:tcW w:w="1463" w:type="dxa"/>
            <w:vAlign w:val="top"/>
          </w:tcPr>
          <w:p w14:paraId="1D39CDA6">
            <w:pPr>
              <w:spacing w:before="93" w:line="195"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225</w:t>
            </w:r>
          </w:p>
        </w:tc>
        <w:tc>
          <w:tcPr>
            <w:tcW w:w="980" w:type="dxa"/>
            <w:vAlign w:val="top"/>
          </w:tcPr>
          <w:p w14:paraId="1E577EAA">
            <w:pPr>
              <w:spacing w:before="93"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w:t>
            </w:r>
          </w:p>
        </w:tc>
        <w:tc>
          <w:tcPr>
            <w:tcW w:w="1133" w:type="dxa"/>
            <w:vAlign w:val="top"/>
          </w:tcPr>
          <w:p w14:paraId="735BE54E">
            <w:pPr>
              <w:spacing w:before="51" w:line="228" w:lineRule="auto"/>
              <w:ind w:left="367"/>
              <w:rPr>
                <w:rFonts w:ascii="宋体" w:hAnsi="宋体" w:eastAsia="宋体" w:cs="宋体"/>
                <w:sz w:val="20"/>
                <w:szCs w:val="20"/>
              </w:rPr>
            </w:pPr>
            <w:r>
              <w:rPr>
                <w:rFonts w:ascii="宋体" w:hAnsi="宋体" w:eastAsia="宋体" w:cs="宋体"/>
                <w:spacing w:val="5"/>
                <w:sz w:val="20"/>
                <w:szCs w:val="20"/>
              </w:rPr>
              <w:t>达标</w:t>
            </w:r>
          </w:p>
        </w:tc>
        <w:tc>
          <w:tcPr>
            <w:tcW w:w="125" w:type="dxa"/>
            <w:tcBorders>
              <w:top w:val="nil"/>
              <w:bottom w:val="nil"/>
              <w:right w:val="single" w:color="000000" w:sz="6" w:space="0"/>
            </w:tcBorders>
            <w:vAlign w:val="top"/>
          </w:tcPr>
          <w:p w14:paraId="2A230313">
            <w:pPr>
              <w:rPr>
                <w:rFonts w:ascii="Arial"/>
                <w:sz w:val="21"/>
              </w:rPr>
            </w:pPr>
          </w:p>
        </w:tc>
      </w:tr>
      <w:tr w14:paraId="666BC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718" w:type="dxa"/>
            <w:vMerge w:val="continue"/>
            <w:tcBorders>
              <w:top w:val="nil"/>
              <w:left w:val="single" w:color="000000" w:sz="6" w:space="0"/>
              <w:bottom w:val="nil"/>
            </w:tcBorders>
            <w:vAlign w:val="top"/>
          </w:tcPr>
          <w:p w14:paraId="6E339F89">
            <w:pPr>
              <w:rPr>
                <w:rFonts w:ascii="Arial"/>
                <w:sz w:val="21"/>
              </w:rPr>
            </w:pPr>
          </w:p>
        </w:tc>
        <w:tc>
          <w:tcPr>
            <w:tcW w:w="113" w:type="dxa"/>
            <w:tcBorders>
              <w:top w:val="nil"/>
              <w:bottom w:val="nil"/>
            </w:tcBorders>
            <w:vAlign w:val="top"/>
          </w:tcPr>
          <w:p w14:paraId="3A858C8C">
            <w:pPr>
              <w:rPr>
                <w:rFonts w:ascii="Arial"/>
                <w:sz w:val="21"/>
              </w:rPr>
            </w:pPr>
          </w:p>
        </w:tc>
        <w:tc>
          <w:tcPr>
            <w:tcW w:w="1142" w:type="dxa"/>
            <w:vMerge w:val="continue"/>
            <w:tcBorders>
              <w:top w:val="nil"/>
              <w:bottom w:val="nil"/>
            </w:tcBorders>
            <w:vAlign w:val="top"/>
          </w:tcPr>
          <w:p w14:paraId="3CDDDABD">
            <w:pPr>
              <w:rPr>
                <w:rFonts w:ascii="Arial"/>
                <w:sz w:val="21"/>
              </w:rPr>
            </w:pPr>
          </w:p>
        </w:tc>
        <w:tc>
          <w:tcPr>
            <w:tcW w:w="1679" w:type="dxa"/>
            <w:vAlign w:val="top"/>
          </w:tcPr>
          <w:p w14:paraId="7E4F14BC">
            <w:pPr>
              <w:spacing w:before="90" w:line="195" w:lineRule="auto"/>
              <w:ind w:left="3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12-02</w:t>
            </w:r>
          </w:p>
        </w:tc>
        <w:tc>
          <w:tcPr>
            <w:tcW w:w="1712" w:type="dxa"/>
            <w:vAlign w:val="top"/>
          </w:tcPr>
          <w:p w14:paraId="22B71F5A">
            <w:pPr>
              <w:spacing w:before="90" w:line="195" w:lineRule="auto"/>
              <w:ind w:left="32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00:00~24:00</w:t>
            </w:r>
          </w:p>
        </w:tc>
        <w:tc>
          <w:tcPr>
            <w:tcW w:w="1463" w:type="dxa"/>
            <w:vAlign w:val="top"/>
          </w:tcPr>
          <w:p w14:paraId="280F2DBD">
            <w:pPr>
              <w:spacing w:before="90" w:line="195"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237</w:t>
            </w:r>
          </w:p>
        </w:tc>
        <w:tc>
          <w:tcPr>
            <w:tcW w:w="980" w:type="dxa"/>
            <w:vAlign w:val="top"/>
          </w:tcPr>
          <w:p w14:paraId="78D462A3">
            <w:pPr>
              <w:spacing w:before="90"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w:t>
            </w:r>
          </w:p>
        </w:tc>
        <w:tc>
          <w:tcPr>
            <w:tcW w:w="1133" w:type="dxa"/>
            <w:vAlign w:val="top"/>
          </w:tcPr>
          <w:p w14:paraId="034FF4BC">
            <w:pPr>
              <w:spacing w:before="47" w:line="228" w:lineRule="auto"/>
              <w:ind w:left="367"/>
              <w:rPr>
                <w:rFonts w:ascii="宋体" w:hAnsi="宋体" w:eastAsia="宋体" w:cs="宋体"/>
                <w:sz w:val="20"/>
                <w:szCs w:val="20"/>
              </w:rPr>
            </w:pPr>
            <w:r>
              <w:rPr>
                <w:rFonts w:ascii="宋体" w:hAnsi="宋体" w:eastAsia="宋体" w:cs="宋体"/>
                <w:spacing w:val="5"/>
                <w:sz w:val="20"/>
                <w:szCs w:val="20"/>
              </w:rPr>
              <w:t>达标</w:t>
            </w:r>
          </w:p>
        </w:tc>
        <w:tc>
          <w:tcPr>
            <w:tcW w:w="125" w:type="dxa"/>
            <w:tcBorders>
              <w:top w:val="nil"/>
              <w:bottom w:val="nil"/>
              <w:right w:val="single" w:color="000000" w:sz="6" w:space="0"/>
            </w:tcBorders>
            <w:vAlign w:val="top"/>
          </w:tcPr>
          <w:p w14:paraId="0797E35F">
            <w:pPr>
              <w:rPr>
                <w:rFonts w:ascii="Arial"/>
                <w:sz w:val="21"/>
              </w:rPr>
            </w:pPr>
          </w:p>
        </w:tc>
      </w:tr>
      <w:tr w14:paraId="348A5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718" w:type="dxa"/>
            <w:vMerge w:val="continue"/>
            <w:tcBorders>
              <w:top w:val="nil"/>
              <w:left w:val="single" w:color="000000" w:sz="6" w:space="0"/>
              <w:bottom w:val="nil"/>
            </w:tcBorders>
            <w:vAlign w:val="top"/>
          </w:tcPr>
          <w:p w14:paraId="424A2A8D">
            <w:pPr>
              <w:rPr>
                <w:rFonts w:ascii="Arial"/>
                <w:sz w:val="21"/>
              </w:rPr>
            </w:pPr>
          </w:p>
        </w:tc>
        <w:tc>
          <w:tcPr>
            <w:tcW w:w="113" w:type="dxa"/>
            <w:tcBorders>
              <w:top w:val="nil"/>
              <w:bottom w:val="nil"/>
            </w:tcBorders>
            <w:vAlign w:val="top"/>
          </w:tcPr>
          <w:p w14:paraId="4D870AD2">
            <w:pPr>
              <w:rPr>
                <w:rFonts w:ascii="Arial"/>
                <w:sz w:val="21"/>
              </w:rPr>
            </w:pPr>
          </w:p>
        </w:tc>
        <w:tc>
          <w:tcPr>
            <w:tcW w:w="1142" w:type="dxa"/>
            <w:vMerge w:val="continue"/>
            <w:tcBorders>
              <w:top w:val="nil"/>
              <w:bottom w:val="nil"/>
            </w:tcBorders>
            <w:vAlign w:val="top"/>
          </w:tcPr>
          <w:p w14:paraId="6F8EB201">
            <w:pPr>
              <w:rPr>
                <w:rFonts w:ascii="Arial"/>
                <w:sz w:val="21"/>
              </w:rPr>
            </w:pPr>
          </w:p>
        </w:tc>
        <w:tc>
          <w:tcPr>
            <w:tcW w:w="1679" w:type="dxa"/>
            <w:vAlign w:val="top"/>
          </w:tcPr>
          <w:p w14:paraId="0382636F">
            <w:pPr>
              <w:spacing w:before="88" w:line="195" w:lineRule="auto"/>
              <w:ind w:left="3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12-03</w:t>
            </w:r>
          </w:p>
        </w:tc>
        <w:tc>
          <w:tcPr>
            <w:tcW w:w="1712" w:type="dxa"/>
            <w:vAlign w:val="top"/>
          </w:tcPr>
          <w:p w14:paraId="2ADA07C5">
            <w:pPr>
              <w:spacing w:before="88" w:line="195" w:lineRule="auto"/>
              <w:ind w:left="32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00:00~24:00</w:t>
            </w:r>
          </w:p>
        </w:tc>
        <w:tc>
          <w:tcPr>
            <w:tcW w:w="1463" w:type="dxa"/>
            <w:vAlign w:val="top"/>
          </w:tcPr>
          <w:p w14:paraId="352089BF">
            <w:pPr>
              <w:spacing w:before="88" w:line="195"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213</w:t>
            </w:r>
          </w:p>
        </w:tc>
        <w:tc>
          <w:tcPr>
            <w:tcW w:w="980" w:type="dxa"/>
            <w:vAlign w:val="top"/>
          </w:tcPr>
          <w:p w14:paraId="746793E2">
            <w:pPr>
              <w:spacing w:before="88"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w:t>
            </w:r>
          </w:p>
        </w:tc>
        <w:tc>
          <w:tcPr>
            <w:tcW w:w="1133" w:type="dxa"/>
            <w:vAlign w:val="top"/>
          </w:tcPr>
          <w:p w14:paraId="1051DC69">
            <w:pPr>
              <w:spacing w:before="47" w:line="228" w:lineRule="auto"/>
              <w:ind w:left="367"/>
              <w:rPr>
                <w:rFonts w:ascii="宋体" w:hAnsi="宋体" w:eastAsia="宋体" w:cs="宋体"/>
                <w:sz w:val="20"/>
                <w:szCs w:val="20"/>
              </w:rPr>
            </w:pPr>
            <w:r>
              <w:rPr>
                <w:rFonts w:ascii="宋体" w:hAnsi="宋体" w:eastAsia="宋体" w:cs="宋体"/>
                <w:spacing w:val="5"/>
                <w:sz w:val="20"/>
                <w:szCs w:val="20"/>
              </w:rPr>
              <w:t>达标</w:t>
            </w:r>
          </w:p>
        </w:tc>
        <w:tc>
          <w:tcPr>
            <w:tcW w:w="125" w:type="dxa"/>
            <w:tcBorders>
              <w:top w:val="nil"/>
              <w:bottom w:val="nil"/>
              <w:right w:val="single" w:color="000000" w:sz="6" w:space="0"/>
            </w:tcBorders>
            <w:vAlign w:val="top"/>
          </w:tcPr>
          <w:p w14:paraId="3F7DF306">
            <w:pPr>
              <w:rPr>
                <w:rFonts w:ascii="Arial"/>
                <w:sz w:val="21"/>
              </w:rPr>
            </w:pPr>
          </w:p>
        </w:tc>
      </w:tr>
      <w:tr w14:paraId="5BF47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718" w:type="dxa"/>
            <w:vMerge w:val="continue"/>
            <w:tcBorders>
              <w:top w:val="nil"/>
              <w:left w:val="single" w:color="000000" w:sz="6" w:space="0"/>
              <w:bottom w:val="nil"/>
            </w:tcBorders>
            <w:vAlign w:val="top"/>
          </w:tcPr>
          <w:p w14:paraId="3E6C335F">
            <w:pPr>
              <w:rPr>
                <w:rFonts w:ascii="Arial"/>
                <w:sz w:val="21"/>
              </w:rPr>
            </w:pPr>
          </w:p>
        </w:tc>
        <w:tc>
          <w:tcPr>
            <w:tcW w:w="113" w:type="dxa"/>
            <w:tcBorders>
              <w:top w:val="nil"/>
              <w:bottom w:val="nil"/>
            </w:tcBorders>
            <w:vAlign w:val="top"/>
          </w:tcPr>
          <w:p w14:paraId="58559BAF">
            <w:pPr>
              <w:rPr>
                <w:rFonts w:ascii="Arial"/>
                <w:sz w:val="21"/>
              </w:rPr>
            </w:pPr>
          </w:p>
        </w:tc>
        <w:tc>
          <w:tcPr>
            <w:tcW w:w="1142" w:type="dxa"/>
            <w:vMerge w:val="continue"/>
            <w:tcBorders>
              <w:top w:val="nil"/>
              <w:bottom w:val="nil"/>
            </w:tcBorders>
            <w:vAlign w:val="top"/>
          </w:tcPr>
          <w:p w14:paraId="5EEBD5EB">
            <w:pPr>
              <w:rPr>
                <w:rFonts w:ascii="Arial"/>
                <w:sz w:val="21"/>
              </w:rPr>
            </w:pPr>
          </w:p>
        </w:tc>
        <w:tc>
          <w:tcPr>
            <w:tcW w:w="1679" w:type="dxa"/>
            <w:vAlign w:val="top"/>
          </w:tcPr>
          <w:p w14:paraId="0B80399E">
            <w:pPr>
              <w:spacing w:before="102" w:line="195" w:lineRule="auto"/>
              <w:ind w:left="3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12-04</w:t>
            </w:r>
          </w:p>
        </w:tc>
        <w:tc>
          <w:tcPr>
            <w:tcW w:w="1712" w:type="dxa"/>
            <w:vAlign w:val="top"/>
          </w:tcPr>
          <w:p w14:paraId="0AF87BE2">
            <w:pPr>
              <w:spacing w:before="102" w:line="195" w:lineRule="auto"/>
              <w:ind w:left="32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00:00~24:00</w:t>
            </w:r>
          </w:p>
        </w:tc>
        <w:tc>
          <w:tcPr>
            <w:tcW w:w="1463" w:type="dxa"/>
            <w:vAlign w:val="top"/>
          </w:tcPr>
          <w:p w14:paraId="66DBB3A5">
            <w:pPr>
              <w:spacing w:before="102" w:line="195"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219</w:t>
            </w:r>
          </w:p>
        </w:tc>
        <w:tc>
          <w:tcPr>
            <w:tcW w:w="980" w:type="dxa"/>
            <w:vAlign w:val="top"/>
          </w:tcPr>
          <w:p w14:paraId="4E63683A">
            <w:pPr>
              <w:spacing w:before="102"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w:t>
            </w:r>
          </w:p>
        </w:tc>
        <w:tc>
          <w:tcPr>
            <w:tcW w:w="1133" w:type="dxa"/>
            <w:vAlign w:val="top"/>
          </w:tcPr>
          <w:p w14:paraId="6A99A30F">
            <w:pPr>
              <w:spacing w:before="59" w:line="228" w:lineRule="auto"/>
              <w:ind w:left="367"/>
              <w:rPr>
                <w:rFonts w:ascii="宋体" w:hAnsi="宋体" w:eastAsia="宋体" w:cs="宋体"/>
                <w:sz w:val="20"/>
                <w:szCs w:val="20"/>
              </w:rPr>
            </w:pPr>
            <w:r>
              <w:rPr>
                <w:rFonts w:ascii="宋体" w:hAnsi="宋体" w:eastAsia="宋体" w:cs="宋体"/>
                <w:spacing w:val="5"/>
                <w:sz w:val="20"/>
                <w:szCs w:val="20"/>
              </w:rPr>
              <w:t>达标</w:t>
            </w:r>
          </w:p>
        </w:tc>
        <w:tc>
          <w:tcPr>
            <w:tcW w:w="125" w:type="dxa"/>
            <w:tcBorders>
              <w:top w:val="nil"/>
              <w:bottom w:val="nil"/>
              <w:right w:val="single" w:color="000000" w:sz="6" w:space="0"/>
            </w:tcBorders>
            <w:vAlign w:val="top"/>
          </w:tcPr>
          <w:p w14:paraId="0BBBA16E">
            <w:pPr>
              <w:rPr>
                <w:rFonts w:ascii="Arial"/>
                <w:sz w:val="21"/>
              </w:rPr>
            </w:pPr>
          </w:p>
        </w:tc>
      </w:tr>
      <w:tr w14:paraId="12011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718" w:type="dxa"/>
            <w:vMerge w:val="continue"/>
            <w:tcBorders>
              <w:top w:val="nil"/>
              <w:left w:val="single" w:color="000000" w:sz="6" w:space="0"/>
              <w:bottom w:val="nil"/>
            </w:tcBorders>
            <w:vAlign w:val="top"/>
          </w:tcPr>
          <w:p w14:paraId="5782FE68">
            <w:pPr>
              <w:rPr>
                <w:rFonts w:ascii="Arial"/>
                <w:sz w:val="21"/>
              </w:rPr>
            </w:pPr>
          </w:p>
        </w:tc>
        <w:tc>
          <w:tcPr>
            <w:tcW w:w="113" w:type="dxa"/>
            <w:tcBorders>
              <w:top w:val="nil"/>
              <w:bottom w:val="nil"/>
            </w:tcBorders>
            <w:vAlign w:val="top"/>
          </w:tcPr>
          <w:p w14:paraId="1C75B1CB">
            <w:pPr>
              <w:rPr>
                <w:rFonts w:ascii="Arial"/>
                <w:sz w:val="21"/>
              </w:rPr>
            </w:pPr>
          </w:p>
        </w:tc>
        <w:tc>
          <w:tcPr>
            <w:tcW w:w="1142" w:type="dxa"/>
            <w:vMerge w:val="continue"/>
            <w:tcBorders>
              <w:top w:val="nil"/>
              <w:bottom w:val="nil"/>
            </w:tcBorders>
            <w:vAlign w:val="top"/>
          </w:tcPr>
          <w:p w14:paraId="10919474">
            <w:pPr>
              <w:rPr>
                <w:rFonts w:ascii="Arial"/>
                <w:sz w:val="21"/>
              </w:rPr>
            </w:pPr>
          </w:p>
        </w:tc>
        <w:tc>
          <w:tcPr>
            <w:tcW w:w="1679" w:type="dxa"/>
            <w:vAlign w:val="top"/>
          </w:tcPr>
          <w:p w14:paraId="78AACA89">
            <w:pPr>
              <w:spacing w:before="99" w:line="195" w:lineRule="auto"/>
              <w:ind w:left="3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12-05</w:t>
            </w:r>
          </w:p>
        </w:tc>
        <w:tc>
          <w:tcPr>
            <w:tcW w:w="1712" w:type="dxa"/>
            <w:vAlign w:val="top"/>
          </w:tcPr>
          <w:p w14:paraId="077E586C">
            <w:pPr>
              <w:spacing w:before="99" w:line="195" w:lineRule="auto"/>
              <w:ind w:left="32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00:00~24:00</w:t>
            </w:r>
          </w:p>
        </w:tc>
        <w:tc>
          <w:tcPr>
            <w:tcW w:w="1463" w:type="dxa"/>
            <w:vAlign w:val="top"/>
          </w:tcPr>
          <w:p w14:paraId="1CD57B62">
            <w:pPr>
              <w:spacing w:before="99" w:line="195"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204</w:t>
            </w:r>
          </w:p>
        </w:tc>
        <w:tc>
          <w:tcPr>
            <w:tcW w:w="980" w:type="dxa"/>
            <w:vAlign w:val="top"/>
          </w:tcPr>
          <w:p w14:paraId="7F0D572F">
            <w:pPr>
              <w:spacing w:before="99"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w:t>
            </w:r>
          </w:p>
        </w:tc>
        <w:tc>
          <w:tcPr>
            <w:tcW w:w="1133" w:type="dxa"/>
            <w:vAlign w:val="top"/>
          </w:tcPr>
          <w:p w14:paraId="3744722D">
            <w:pPr>
              <w:spacing w:before="57" w:line="228" w:lineRule="auto"/>
              <w:ind w:left="367"/>
              <w:rPr>
                <w:rFonts w:ascii="宋体" w:hAnsi="宋体" w:eastAsia="宋体" w:cs="宋体"/>
                <w:sz w:val="20"/>
                <w:szCs w:val="20"/>
              </w:rPr>
            </w:pPr>
            <w:r>
              <w:rPr>
                <w:rFonts w:ascii="宋体" w:hAnsi="宋体" w:eastAsia="宋体" w:cs="宋体"/>
                <w:spacing w:val="5"/>
                <w:sz w:val="20"/>
                <w:szCs w:val="20"/>
              </w:rPr>
              <w:t>达标</w:t>
            </w:r>
          </w:p>
        </w:tc>
        <w:tc>
          <w:tcPr>
            <w:tcW w:w="125" w:type="dxa"/>
            <w:tcBorders>
              <w:top w:val="nil"/>
              <w:bottom w:val="nil"/>
              <w:right w:val="single" w:color="000000" w:sz="6" w:space="0"/>
            </w:tcBorders>
            <w:vAlign w:val="top"/>
          </w:tcPr>
          <w:p w14:paraId="33529577">
            <w:pPr>
              <w:rPr>
                <w:rFonts w:ascii="Arial"/>
                <w:sz w:val="21"/>
              </w:rPr>
            </w:pPr>
          </w:p>
        </w:tc>
      </w:tr>
      <w:tr w14:paraId="23B4D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718" w:type="dxa"/>
            <w:vMerge w:val="continue"/>
            <w:tcBorders>
              <w:top w:val="nil"/>
              <w:left w:val="single" w:color="000000" w:sz="6" w:space="0"/>
              <w:bottom w:val="single" w:color="000000" w:sz="6" w:space="0"/>
            </w:tcBorders>
            <w:vAlign w:val="top"/>
          </w:tcPr>
          <w:p w14:paraId="7095FFC2">
            <w:pPr>
              <w:rPr>
                <w:rFonts w:ascii="Arial"/>
                <w:sz w:val="21"/>
              </w:rPr>
            </w:pPr>
          </w:p>
        </w:tc>
        <w:tc>
          <w:tcPr>
            <w:tcW w:w="113" w:type="dxa"/>
            <w:tcBorders>
              <w:top w:val="nil"/>
              <w:bottom w:val="single" w:color="000000" w:sz="6" w:space="0"/>
            </w:tcBorders>
            <w:vAlign w:val="top"/>
          </w:tcPr>
          <w:p w14:paraId="40351D11">
            <w:pPr>
              <w:rPr>
                <w:rFonts w:ascii="Arial"/>
                <w:sz w:val="21"/>
              </w:rPr>
            </w:pPr>
          </w:p>
        </w:tc>
        <w:tc>
          <w:tcPr>
            <w:tcW w:w="1142" w:type="dxa"/>
            <w:vMerge w:val="continue"/>
            <w:tcBorders>
              <w:top w:val="nil"/>
            </w:tcBorders>
            <w:vAlign w:val="top"/>
          </w:tcPr>
          <w:p w14:paraId="2A509C1B">
            <w:pPr>
              <w:rPr>
                <w:rFonts w:ascii="Arial"/>
                <w:sz w:val="21"/>
              </w:rPr>
            </w:pPr>
          </w:p>
        </w:tc>
        <w:tc>
          <w:tcPr>
            <w:tcW w:w="1679" w:type="dxa"/>
            <w:vAlign w:val="top"/>
          </w:tcPr>
          <w:p w14:paraId="54A20D98">
            <w:pPr>
              <w:spacing w:before="96" w:line="195" w:lineRule="auto"/>
              <w:ind w:left="3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12-06</w:t>
            </w:r>
          </w:p>
        </w:tc>
        <w:tc>
          <w:tcPr>
            <w:tcW w:w="1712" w:type="dxa"/>
            <w:vAlign w:val="top"/>
          </w:tcPr>
          <w:p w14:paraId="2EAAD736">
            <w:pPr>
              <w:spacing w:before="96" w:line="195" w:lineRule="auto"/>
              <w:ind w:left="32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00:00~24:00</w:t>
            </w:r>
          </w:p>
        </w:tc>
        <w:tc>
          <w:tcPr>
            <w:tcW w:w="1463" w:type="dxa"/>
            <w:vAlign w:val="top"/>
          </w:tcPr>
          <w:p w14:paraId="55E4F41B">
            <w:pPr>
              <w:spacing w:before="96" w:line="195"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241</w:t>
            </w:r>
          </w:p>
        </w:tc>
        <w:tc>
          <w:tcPr>
            <w:tcW w:w="980" w:type="dxa"/>
            <w:vAlign w:val="top"/>
          </w:tcPr>
          <w:p w14:paraId="791A9E8D">
            <w:pPr>
              <w:spacing w:before="96"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w:t>
            </w:r>
          </w:p>
        </w:tc>
        <w:tc>
          <w:tcPr>
            <w:tcW w:w="1133" w:type="dxa"/>
            <w:vAlign w:val="top"/>
          </w:tcPr>
          <w:p w14:paraId="48C0F7E2">
            <w:pPr>
              <w:spacing w:before="53" w:line="228" w:lineRule="auto"/>
              <w:ind w:left="367"/>
              <w:rPr>
                <w:rFonts w:ascii="宋体" w:hAnsi="宋体" w:eastAsia="宋体" w:cs="宋体"/>
                <w:sz w:val="20"/>
                <w:szCs w:val="20"/>
              </w:rPr>
            </w:pPr>
            <w:r>
              <w:rPr>
                <w:rFonts w:ascii="宋体" w:hAnsi="宋体" w:eastAsia="宋体" w:cs="宋体"/>
                <w:spacing w:val="5"/>
                <w:sz w:val="20"/>
                <w:szCs w:val="20"/>
              </w:rPr>
              <w:t>达标</w:t>
            </w:r>
          </w:p>
        </w:tc>
        <w:tc>
          <w:tcPr>
            <w:tcW w:w="125" w:type="dxa"/>
            <w:tcBorders>
              <w:top w:val="nil"/>
              <w:bottom w:val="single" w:color="000000" w:sz="6" w:space="0"/>
              <w:right w:val="single" w:color="000000" w:sz="6" w:space="0"/>
            </w:tcBorders>
            <w:vAlign w:val="top"/>
          </w:tcPr>
          <w:p w14:paraId="4D897B45">
            <w:pPr>
              <w:rPr>
                <w:rFonts w:ascii="Arial"/>
                <w:sz w:val="21"/>
              </w:rPr>
            </w:pPr>
          </w:p>
        </w:tc>
      </w:tr>
    </w:tbl>
    <w:p w14:paraId="0142ABF1">
      <w:pPr>
        <w:pStyle w:val="2"/>
      </w:pPr>
    </w:p>
    <w:p w14:paraId="3E27C6DA">
      <w:pPr>
        <w:sectPr>
          <w:footerReference r:id="rId78" w:type="default"/>
          <w:pgSz w:w="11907" w:h="16840"/>
          <w:pgMar w:top="400" w:right="1413" w:bottom="1103" w:left="1413" w:header="0" w:footer="887" w:gutter="0"/>
          <w:cols w:space="720" w:num="1"/>
        </w:sectPr>
      </w:pPr>
    </w:p>
    <w:p w14:paraId="534596B9">
      <w:pPr>
        <w:spacing w:before="19"/>
      </w:pPr>
    </w:p>
    <w:p w14:paraId="472A248E">
      <w:pPr>
        <w:spacing w:before="19"/>
      </w:pPr>
    </w:p>
    <w:p w14:paraId="6873D673">
      <w:pPr>
        <w:spacing w:before="19"/>
      </w:pPr>
    </w:p>
    <w:p w14:paraId="4DED4F4E">
      <w:pPr>
        <w:spacing w:before="18"/>
      </w:pPr>
    </w:p>
    <w:p w14:paraId="2181F32E">
      <w:pPr>
        <w:spacing w:before="18"/>
      </w:pPr>
    </w:p>
    <w:tbl>
      <w:tblPr>
        <w:tblStyle w:val="10"/>
        <w:tblW w:w="906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119"/>
        <w:gridCol w:w="2101"/>
        <w:gridCol w:w="1308"/>
        <w:gridCol w:w="1451"/>
        <w:gridCol w:w="1435"/>
        <w:gridCol w:w="1816"/>
        <w:gridCol w:w="118"/>
      </w:tblGrid>
      <w:tr w14:paraId="58688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8" w:hRule="atLeast"/>
        </w:trPr>
        <w:tc>
          <w:tcPr>
            <w:tcW w:w="717" w:type="dxa"/>
            <w:vMerge w:val="restart"/>
            <w:tcBorders>
              <w:top w:val="single" w:color="000000" w:sz="6" w:space="0"/>
              <w:left w:val="single" w:color="000000" w:sz="6" w:space="0"/>
              <w:bottom w:val="nil"/>
            </w:tcBorders>
            <w:vAlign w:val="top"/>
          </w:tcPr>
          <w:p w14:paraId="717F91A4">
            <w:pPr>
              <w:rPr>
                <w:rFonts w:ascii="Arial"/>
                <w:sz w:val="21"/>
              </w:rPr>
            </w:pPr>
          </w:p>
        </w:tc>
        <w:tc>
          <w:tcPr>
            <w:tcW w:w="8348" w:type="dxa"/>
            <w:gridSpan w:val="7"/>
            <w:tcBorders>
              <w:top w:val="single" w:color="000000" w:sz="6" w:space="0"/>
              <w:right w:val="single" w:color="000000" w:sz="6" w:space="0"/>
            </w:tcBorders>
            <w:vAlign w:val="top"/>
          </w:tcPr>
          <w:p w14:paraId="44FAC60B">
            <w:pPr>
              <w:spacing w:before="41" w:line="359" w:lineRule="auto"/>
              <w:ind w:left="109" w:right="103" w:firstLine="479"/>
              <w:jc w:val="both"/>
              <w:rPr>
                <w:rFonts w:ascii="宋体" w:hAnsi="宋体" w:eastAsia="宋体" w:cs="宋体"/>
                <w:sz w:val="24"/>
                <w:szCs w:val="24"/>
              </w:rPr>
            </w:pPr>
            <w:r>
              <w:rPr>
                <w:rFonts w:ascii="宋体" w:hAnsi="宋体" w:eastAsia="宋体" w:cs="宋体"/>
                <w:spacing w:val="-4"/>
                <w:sz w:val="24"/>
                <w:szCs w:val="24"/>
              </w:rPr>
              <w:t>根据引用监测结果可知，引用监测点</w:t>
            </w:r>
            <w:r>
              <w:rPr>
                <w:rFonts w:ascii="宋体" w:hAnsi="宋体" w:eastAsia="宋体" w:cs="宋体"/>
                <w:spacing w:val="-53"/>
                <w:sz w:val="24"/>
                <w:szCs w:val="24"/>
              </w:rPr>
              <w:t xml:space="preserve"> </w:t>
            </w:r>
            <w:r>
              <w:rPr>
                <w:rFonts w:ascii="Times New Roman" w:hAnsi="Times New Roman" w:eastAsia="Times New Roman" w:cs="Times New Roman"/>
                <w:spacing w:val="-4"/>
                <w:sz w:val="24"/>
                <w:szCs w:val="24"/>
              </w:rPr>
              <w:t>TSP</w:t>
            </w:r>
            <w:r>
              <w:rPr>
                <w:rFonts w:ascii="Times New Roman" w:hAnsi="Times New Roman" w:eastAsia="Times New Roman" w:cs="Times New Roman"/>
                <w:spacing w:val="50"/>
                <w:sz w:val="24"/>
                <w:szCs w:val="24"/>
              </w:rPr>
              <w:t xml:space="preserve"> </w:t>
            </w:r>
            <w:r>
              <w:rPr>
                <w:rFonts w:ascii="宋体" w:hAnsi="宋体" w:eastAsia="宋体" w:cs="宋体"/>
                <w:spacing w:val="-4"/>
                <w:sz w:val="24"/>
                <w:szCs w:val="24"/>
              </w:rPr>
              <w:t>日</w:t>
            </w:r>
            <w:r>
              <w:rPr>
                <w:rFonts w:ascii="宋体" w:hAnsi="宋体" w:eastAsia="宋体" w:cs="宋体"/>
                <w:spacing w:val="-5"/>
                <w:sz w:val="24"/>
                <w:szCs w:val="24"/>
              </w:rPr>
              <w:t>均值浓度能够达到《环境空气</w:t>
            </w:r>
            <w:r>
              <w:rPr>
                <w:rFonts w:ascii="宋体" w:hAnsi="宋体" w:eastAsia="宋体" w:cs="宋体"/>
                <w:spacing w:val="1"/>
                <w:sz w:val="24"/>
                <w:szCs w:val="24"/>
              </w:rPr>
              <w:t>质量标准》（</w:t>
            </w:r>
            <w:r>
              <w:rPr>
                <w:rFonts w:ascii="Times New Roman" w:hAnsi="Times New Roman" w:eastAsia="Times New Roman" w:cs="Times New Roman"/>
                <w:sz w:val="24"/>
                <w:szCs w:val="24"/>
              </w:rPr>
              <w:t>GB</w:t>
            </w:r>
            <w:r>
              <w:rPr>
                <w:rFonts w:ascii="Times New Roman" w:hAnsi="Times New Roman" w:eastAsia="Times New Roman" w:cs="Times New Roman"/>
                <w:spacing w:val="1"/>
                <w:sz w:val="24"/>
                <w:szCs w:val="24"/>
              </w:rPr>
              <w:t>3095-2026</w:t>
            </w:r>
            <w:r>
              <w:rPr>
                <w:rFonts w:ascii="宋体" w:hAnsi="宋体" w:eastAsia="宋体" w:cs="宋体"/>
                <w:spacing w:val="1"/>
                <w:sz w:val="24"/>
                <w:szCs w:val="24"/>
              </w:rPr>
              <w:t>）二级评价标准（过渡标准）要求。</w:t>
            </w:r>
            <w:r>
              <w:rPr>
                <w:rFonts w:ascii="宋体" w:hAnsi="宋体" w:eastAsia="宋体" w:cs="宋体"/>
                <w:sz w:val="24"/>
                <w:szCs w:val="24"/>
              </w:rPr>
              <w:t>项目区环境空</w:t>
            </w:r>
            <w:r>
              <w:rPr>
                <w:rFonts w:ascii="宋体" w:hAnsi="宋体" w:eastAsia="宋体" w:cs="宋体"/>
                <w:spacing w:val="-1"/>
                <w:sz w:val="24"/>
                <w:szCs w:val="24"/>
              </w:rPr>
              <w:t>气质量满足功能区要求。</w:t>
            </w:r>
          </w:p>
          <w:p w14:paraId="3A3D9858">
            <w:pPr>
              <w:spacing w:line="220" w:lineRule="auto"/>
              <w:ind w:left="591"/>
              <w:rPr>
                <w:rFonts w:ascii="宋体" w:hAnsi="宋体" w:eastAsia="宋体" w:cs="宋体"/>
                <w:sz w:val="24"/>
                <w:szCs w:val="24"/>
              </w:rPr>
            </w:pPr>
            <w:r>
              <w:rPr>
                <w:rFonts w:ascii="宋体" w:hAnsi="宋体" w:eastAsia="宋体" w:cs="宋体"/>
                <w:spacing w:val="-1"/>
                <w:sz w:val="24"/>
                <w:szCs w:val="24"/>
              </w:rPr>
              <w:t>非甲烷总烃具体监测结果如下：</w:t>
            </w:r>
          </w:p>
          <w:p w14:paraId="434991E2">
            <w:pPr>
              <w:spacing w:before="174" w:line="218" w:lineRule="auto"/>
              <w:ind w:left="1925"/>
              <w:rPr>
                <w:rFonts w:ascii="Times New Roman" w:hAnsi="Times New Roman" w:eastAsia="Times New Roman" w:cs="Times New Roman"/>
                <w:sz w:val="13"/>
                <w:szCs w:val="13"/>
              </w:rPr>
            </w:pPr>
            <w:r>
              <w:rPr>
                <w:rFonts w:ascii="宋体" w:hAnsi="宋体" w:eastAsia="宋体" w:cs="宋体"/>
                <w:b/>
                <w:bCs/>
                <w:spacing w:val="7"/>
                <w:sz w:val="20"/>
                <w:szCs w:val="20"/>
              </w:rPr>
              <w:t>表</w:t>
            </w:r>
            <w:r>
              <w:rPr>
                <w:rFonts w:ascii="宋体" w:hAnsi="宋体" w:eastAsia="宋体" w:cs="宋体"/>
                <w:spacing w:val="-37"/>
                <w:sz w:val="20"/>
                <w:szCs w:val="20"/>
              </w:rPr>
              <w:t xml:space="preserve"> </w:t>
            </w:r>
            <w:r>
              <w:rPr>
                <w:rFonts w:ascii="Times New Roman" w:hAnsi="Times New Roman" w:eastAsia="Times New Roman" w:cs="Times New Roman"/>
                <w:b/>
                <w:bCs/>
                <w:spacing w:val="7"/>
                <w:sz w:val="20"/>
                <w:szCs w:val="20"/>
              </w:rPr>
              <w:t xml:space="preserve">3-3  </w:t>
            </w:r>
            <w:r>
              <w:rPr>
                <w:rFonts w:ascii="宋体" w:hAnsi="宋体" w:eastAsia="宋体" w:cs="宋体"/>
                <w:b/>
                <w:bCs/>
                <w:spacing w:val="7"/>
                <w:sz w:val="20"/>
                <w:szCs w:val="20"/>
              </w:rPr>
              <w:t>非甲烷总烃现状检测结果一览表</w:t>
            </w:r>
            <w:r>
              <w:rPr>
                <w:rFonts w:ascii="宋体" w:hAnsi="宋体" w:eastAsia="宋体" w:cs="宋体"/>
                <w:spacing w:val="7"/>
                <w:sz w:val="20"/>
                <w:szCs w:val="20"/>
              </w:rPr>
              <w:t xml:space="preserve"> </w:t>
            </w:r>
            <w:r>
              <w:rPr>
                <w:rFonts w:ascii="宋体" w:hAnsi="宋体" w:eastAsia="宋体" w:cs="宋体"/>
                <w:b/>
                <w:bCs/>
                <w:spacing w:val="7"/>
                <w:sz w:val="20"/>
                <w:szCs w:val="20"/>
              </w:rPr>
              <w:t>单位：</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7"/>
                <w:sz w:val="20"/>
                <w:szCs w:val="20"/>
              </w:rPr>
              <w:t>/m</w:t>
            </w:r>
            <w:r>
              <w:rPr>
                <w:rFonts w:ascii="Times New Roman" w:hAnsi="Times New Roman" w:eastAsia="Times New Roman" w:cs="Times New Roman"/>
                <w:b/>
                <w:bCs/>
                <w:spacing w:val="7"/>
                <w:position w:val="6"/>
                <w:sz w:val="13"/>
                <w:szCs w:val="13"/>
              </w:rPr>
              <w:t>3</w:t>
            </w:r>
          </w:p>
        </w:tc>
      </w:tr>
      <w:tr w14:paraId="295E8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717" w:type="dxa"/>
            <w:vMerge w:val="continue"/>
            <w:tcBorders>
              <w:top w:val="nil"/>
              <w:left w:val="single" w:color="000000" w:sz="6" w:space="0"/>
              <w:bottom w:val="nil"/>
            </w:tcBorders>
            <w:vAlign w:val="top"/>
          </w:tcPr>
          <w:p w14:paraId="325FD18B">
            <w:pPr>
              <w:rPr>
                <w:rFonts w:ascii="Arial"/>
                <w:sz w:val="21"/>
              </w:rPr>
            </w:pPr>
          </w:p>
        </w:tc>
        <w:tc>
          <w:tcPr>
            <w:tcW w:w="119" w:type="dxa"/>
            <w:tcBorders>
              <w:top w:val="nil"/>
              <w:bottom w:val="nil"/>
            </w:tcBorders>
            <w:vAlign w:val="top"/>
          </w:tcPr>
          <w:p w14:paraId="76E6E450">
            <w:pPr>
              <w:rPr>
                <w:rFonts w:ascii="Arial"/>
                <w:sz w:val="21"/>
              </w:rPr>
            </w:pPr>
          </w:p>
        </w:tc>
        <w:tc>
          <w:tcPr>
            <w:tcW w:w="2101" w:type="dxa"/>
            <w:vMerge w:val="restart"/>
            <w:tcBorders>
              <w:bottom w:val="nil"/>
            </w:tcBorders>
            <w:vAlign w:val="top"/>
          </w:tcPr>
          <w:p w14:paraId="7D3EF291">
            <w:pPr>
              <w:spacing w:before="116" w:line="227" w:lineRule="auto"/>
              <w:ind w:left="313"/>
              <w:rPr>
                <w:rFonts w:ascii="宋体" w:hAnsi="宋体" w:eastAsia="宋体" w:cs="宋体"/>
                <w:sz w:val="20"/>
                <w:szCs w:val="20"/>
              </w:rPr>
            </w:pPr>
            <w:r>
              <w:rPr>
                <w:rFonts w:ascii="宋体" w:hAnsi="宋体" w:eastAsia="宋体" w:cs="宋体"/>
                <w:b/>
                <w:bCs/>
                <w:spacing w:val="7"/>
                <w:sz w:val="20"/>
                <w:szCs w:val="20"/>
              </w:rPr>
              <w:t>采样项目及地点</w:t>
            </w:r>
          </w:p>
          <w:p w14:paraId="6607DC7F">
            <w:pPr>
              <w:spacing w:before="114" w:line="228" w:lineRule="auto"/>
              <w:ind w:left="844"/>
              <w:rPr>
                <w:rFonts w:ascii="宋体" w:hAnsi="宋体" w:eastAsia="宋体" w:cs="宋体"/>
                <w:sz w:val="20"/>
                <w:szCs w:val="20"/>
              </w:rPr>
            </w:pPr>
            <w:r>
              <w:rPr>
                <w:rFonts w:ascii="宋体" w:hAnsi="宋体" w:eastAsia="宋体" w:cs="宋体"/>
                <w:b/>
                <w:bCs/>
                <w:spacing w:val="1"/>
                <w:sz w:val="20"/>
                <w:szCs w:val="20"/>
              </w:rPr>
              <w:t>结果</w:t>
            </w:r>
          </w:p>
          <w:p w14:paraId="1D5CC5E3">
            <w:pPr>
              <w:spacing w:before="112" w:line="227" w:lineRule="auto"/>
              <w:ind w:left="630"/>
              <w:rPr>
                <w:rFonts w:ascii="宋体" w:hAnsi="宋体" w:eastAsia="宋体" w:cs="宋体"/>
                <w:sz w:val="20"/>
                <w:szCs w:val="20"/>
              </w:rPr>
            </w:pPr>
            <w:r>
              <w:rPr>
                <w:rFonts w:ascii="宋体" w:hAnsi="宋体" w:eastAsia="宋体" w:cs="宋体"/>
                <w:b/>
                <w:bCs/>
                <w:spacing w:val="6"/>
                <w:sz w:val="20"/>
                <w:szCs w:val="20"/>
              </w:rPr>
              <w:t>采样日期</w:t>
            </w:r>
          </w:p>
        </w:tc>
        <w:tc>
          <w:tcPr>
            <w:tcW w:w="6010" w:type="dxa"/>
            <w:gridSpan w:val="4"/>
            <w:vAlign w:val="top"/>
          </w:tcPr>
          <w:p w14:paraId="4C1E4AC4">
            <w:pPr>
              <w:spacing w:before="111" w:line="211" w:lineRule="auto"/>
              <w:ind w:left="1987"/>
              <w:rPr>
                <w:rFonts w:ascii="宋体" w:hAnsi="宋体" w:eastAsia="宋体" w:cs="宋体"/>
                <w:sz w:val="20"/>
                <w:szCs w:val="20"/>
              </w:rPr>
            </w:pPr>
            <w:r>
              <w:rPr>
                <w:rFonts w:ascii="宋体" w:hAnsi="宋体" w:eastAsia="宋体" w:cs="宋体"/>
                <w:b/>
                <w:bCs/>
                <w:spacing w:val="6"/>
                <w:sz w:val="20"/>
                <w:szCs w:val="20"/>
              </w:rPr>
              <w:t>非甲烷总烃（</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6"/>
                <w:sz w:val="20"/>
                <w:szCs w:val="20"/>
              </w:rPr>
              <w:t>/m</w:t>
            </w:r>
            <w:r>
              <w:rPr>
                <w:rFonts w:ascii="Times New Roman" w:hAnsi="Times New Roman" w:eastAsia="Times New Roman" w:cs="Times New Roman"/>
                <w:b/>
                <w:bCs/>
                <w:spacing w:val="6"/>
                <w:position w:val="1"/>
                <w:sz w:val="13"/>
                <w:szCs w:val="13"/>
              </w:rPr>
              <w:t>3</w:t>
            </w:r>
            <w:r>
              <w:rPr>
                <w:rFonts w:ascii="宋体" w:hAnsi="宋体" w:eastAsia="宋体" w:cs="宋体"/>
                <w:b/>
                <w:bCs/>
                <w:spacing w:val="6"/>
                <w:position w:val="1"/>
                <w:sz w:val="20"/>
                <w:szCs w:val="20"/>
              </w:rPr>
              <w:t>）</w:t>
            </w:r>
          </w:p>
        </w:tc>
        <w:tc>
          <w:tcPr>
            <w:tcW w:w="118" w:type="dxa"/>
            <w:tcBorders>
              <w:top w:val="nil"/>
              <w:bottom w:val="nil"/>
              <w:right w:val="single" w:color="000000" w:sz="6" w:space="0"/>
            </w:tcBorders>
            <w:vAlign w:val="top"/>
          </w:tcPr>
          <w:p w14:paraId="5D2A75E8">
            <w:pPr>
              <w:rPr>
                <w:rFonts w:ascii="Arial"/>
                <w:sz w:val="21"/>
              </w:rPr>
            </w:pPr>
          </w:p>
        </w:tc>
      </w:tr>
      <w:tr w14:paraId="434B0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717" w:type="dxa"/>
            <w:vMerge w:val="continue"/>
            <w:tcBorders>
              <w:top w:val="nil"/>
              <w:left w:val="single" w:color="000000" w:sz="6" w:space="0"/>
              <w:bottom w:val="nil"/>
            </w:tcBorders>
            <w:vAlign w:val="top"/>
          </w:tcPr>
          <w:p w14:paraId="697B7E3D">
            <w:pPr>
              <w:rPr>
                <w:rFonts w:ascii="Arial"/>
                <w:sz w:val="21"/>
              </w:rPr>
            </w:pPr>
          </w:p>
        </w:tc>
        <w:tc>
          <w:tcPr>
            <w:tcW w:w="119" w:type="dxa"/>
            <w:tcBorders>
              <w:top w:val="nil"/>
              <w:bottom w:val="nil"/>
            </w:tcBorders>
            <w:vAlign w:val="top"/>
          </w:tcPr>
          <w:p w14:paraId="2C9F9BF4">
            <w:pPr>
              <w:rPr>
                <w:rFonts w:ascii="Arial"/>
                <w:sz w:val="21"/>
              </w:rPr>
            </w:pPr>
          </w:p>
        </w:tc>
        <w:tc>
          <w:tcPr>
            <w:tcW w:w="2101" w:type="dxa"/>
            <w:vMerge w:val="continue"/>
            <w:tcBorders>
              <w:top w:val="nil"/>
            </w:tcBorders>
            <w:vAlign w:val="top"/>
          </w:tcPr>
          <w:p w14:paraId="17883778">
            <w:pPr>
              <w:rPr>
                <w:rFonts w:ascii="Arial"/>
                <w:sz w:val="21"/>
              </w:rPr>
            </w:pPr>
          </w:p>
        </w:tc>
        <w:tc>
          <w:tcPr>
            <w:tcW w:w="1308" w:type="dxa"/>
            <w:vAlign w:val="top"/>
          </w:tcPr>
          <w:p w14:paraId="735FE564">
            <w:pPr>
              <w:spacing w:before="296" w:line="227" w:lineRule="auto"/>
              <w:ind w:left="235"/>
              <w:rPr>
                <w:rFonts w:ascii="宋体" w:hAnsi="宋体" w:eastAsia="宋体" w:cs="宋体"/>
                <w:sz w:val="20"/>
                <w:szCs w:val="20"/>
              </w:rPr>
            </w:pPr>
            <w:r>
              <w:rPr>
                <w:rFonts w:ascii="宋体" w:hAnsi="宋体" w:eastAsia="宋体" w:cs="宋体"/>
                <w:b/>
                <w:bCs/>
                <w:spacing w:val="6"/>
                <w:sz w:val="20"/>
                <w:szCs w:val="20"/>
              </w:rPr>
              <w:t>采样时间</w:t>
            </w:r>
          </w:p>
        </w:tc>
        <w:tc>
          <w:tcPr>
            <w:tcW w:w="1451" w:type="dxa"/>
            <w:vAlign w:val="top"/>
          </w:tcPr>
          <w:p w14:paraId="19DF2538">
            <w:pPr>
              <w:spacing w:before="295" w:line="228" w:lineRule="auto"/>
              <w:ind w:left="119"/>
              <w:rPr>
                <w:rFonts w:ascii="宋体" w:hAnsi="宋体" w:eastAsia="宋体" w:cs="宋体"/>
                <w:sz w:val="20"/>
                <w:szCs w:val="20"/>
              </w:rPr>
            </w:pPr>
            <w:r>
              <w:rPr>
                <w:rFonts w:ascii="Times New Roman" w:hAnsi="Times New Roman" w:eastAsia="Times New Roman" w:cs="Times New Roman"/>
                <w:b/>
                <w:bCs/>
                <w:spacing w:val="1"/>
                <w:sz w:val="20"/>
                <w:szCs w:val="20"/>
              </w:rPr>
              <w:t>1#</w:t>
            </w:r>
            <w:r>
              <w:rPr>
                <w:rFonts w:ascii="宋体" w:hAnsi="宋体" w:eastAsia="宋体" w:cs="宋体"/>
                <w:b/>
                <w:bCs/>
                <w:spacing w:val="1"/>
                <w:sz w:val="20"/>
                <w:szCs w:val="20"/>
              </w:rPr>
              <w:t>：项目区内</w:t>
            </w:r>
          </w:p>
        </w:tc>
        <w:tc>
          <w:tcPr>
            <w:tcW w:w="1435" w:type="dxa"/>
            <w:vAlign w:val="top"/>
          </w:tcPr>
          <w:p w14:paraId="79D50528">
            <w:pPr>
              <w:spacing w:before="296" w:line="227" w:lineRule="auto"/>
              <w:ind w:left="303"/>
              <w:rPr>
                <w:rFonts w:ascii="宋体" w:hAnsi="宋体" w:eastAsia="宋体" w:cs="宋体"/>
                <w:sz w:val="20"/>
                <w:szCs w:val="20"/>
              </w:rPr>
            </w:pPr>
            <w:r>
              <w:rPr>
                <w:rFonts w:ascii="宋体" w:hAnsi="宋体" w:eastAsia="宋体" w:cs="宋体"/>
                <w:b/>
                <w:bCs/>
                <w:spacing w:val="6"/>
                <w:sz w:val="20"/>
                <w:szCs w:val="20"/>
              </w:rPr>
              <w:t>采样时间</w:t>
            </w:r>
          </w:p>
        </w:tc>
        <w:tc>
          <w:tcPr>
            <w:tcW w:w="1816" w:type="dxa"/>
            <w:vAlign w:val="top"/>
          </w:tcPr>
          <w:p w14:paraId="3A1338DB">
            <w:pPr>
              <w:spacing w:before="116" w:line="278" w:lineRule="auto"/>
              <w:ind w:left="496" w:right="100" w:hanging="382"/>
              <w:rPr>
                <w:rFonts w:ascii="宋体" w:hAnsi="宋体" w:eastAsia="宋体" w:cs="宋体"/>
                <w:sz w:val="20"/>
                <w:szCs w:val="20"/>
              </w:rPr>
            </w:pPr>
            <w:r>
              <w:rPr>
                <w:rFonts w:ascii="Times New Roman" w:hAnsi="Times New Roman" w:eastAsia="Times New Roman" w:cs="Times New Roman"/>
                <w:b/>
                <w:bCs/>
                <w:spacing w:val="-3"/>
                <w:sz w:val="20"/>
                <w:szCs w:val="20"/>
              </w:rPr>
              <w:t>2#</w:t>
            </w:r>
            <w:r>
              <w:rPr>
                <w:rFonts w:ascii="宋体" w:hAnsi="宋体" w:eastAsia="宋体" w:cs="宋体"/>
                <w:b/>
                <w:bCs/>
                <w:spacing w:val="-3"/>
                <w:sz w:val="20"/>
                <w:szCs w:val="20"/>
              </w:rPr>
              <w:t>：项目区下风向</w:t>
            </w:r>
            <w:r>
              <w:rPr>
                <w:rFonts w:ascii="宋体" w:hAnsi="宋体" w:eastAsia="宋体" w:cs="宋体"/>
                <w:b/>
                <w:bCs/>
                <w:spacing w:val="6"/>
                <w:sz w:val="20"/>
                <w:szCs w:val="20"/>
              </w:rPr>
              <w:t>三月三村</w:t>
            </w:r>
          </w:p>
        </w:tc>
        <w:tc>
          <w:tcPr>
            <w:tcW w:w="118" w:type="dxa"/>
            <w:tcBorders>
              <w:top w:val="nil"/>
              <w:bottom w:val="nil"/>
              <w:right w:val="single" w:color="000000" w:sz="6" w:space="0"/>
            </w:tcBorders>
            <w:vAlign w:val="top"/>
          </w:tcPr>
          <w:p w14:paraId="184A7E24">
            <w:pPr>
              <w:rPr>
                <w:rFonts w:ascii="Arial"/>
                <w:sz w:val="21"/>
              </w:rPr>
            </w:pPr>
          </w:p>
        </w:tc>
      </w:tr>
      <w:tr w14:paraId="6D0E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717" w:type="dxa"/>
            <w:vMerge w:val="continue"/>
            <w:tcBorders>
              <w:top w:val="nil"/>
              <w:left w:val="single" w:color="000000" w:sz="6" w:space="0"/>
              <w:bottom w:val="nil"/>
            </w:tcBorders>
            <w:vAlign w:val="top"/>
          </w:tcPr>
          <w:p w14:paraId="20B7E763">
            <w:pPr>
              <w:rPr>
                <w:rFonts w:ascii="Arial"/>
                <w:sz w:val="21"/>
              </w:rPr>
            </w:pPr>
          </w:p>
        </w:tc>
        <w:tc>
          <w:tcPr>
            <w:tcW w:w="119" w:type="dxa"/>
            <w:tcBorders>
              <w:top w:val="nil"/>
              <w:bottom w:val="nil"/>
            </w:tcBorders>
            <w:vAlign w:val="top"/>
          </w:tcPr>
          <w:p w14:paraId="5940184C">
            <w:pPr>
              <w:rPr>
                <w:rFonts w:ascii="Arial"/>
                <w:sz w:val="21"/>
              </w:rPr>
            </w:pPr>
          </w:p>
        </w:tc>
        <w:tc>
          <w:tcPr>
            <w:tcW w:w="2101" w:type="dxa"/>
            <w:vMerge w:val="restart"/>
            <w:tcBorders>
              <w:bottom w:val="nil"/>
            </w:tcBorders>
            <w:vAlign w:val="top"/>
          </w:tcPr>
          <w:p w14:paraId="354D74AC">
            <w:pPr>
              <w:spacing w:line="298" w:lineRule="auto"/>
              <w:rPr>
                <w:rFonts w:ascii="Arial"/>
                <w:sz w:val="21"/>
              </w:rPr>
            </w:pPr>
          </w:p>
          <w:p w14:paraId="345D06C8">
            <w:pPr>
              <w:spacing w:line="299" w:lineRule="auto"/>
              <w:rPr>
                <w:rFonts w:ascii="Arial"/>
                <w:sz w:val="21"/>
              </w:rPr>
            </w:pPr>
          </w:p>
          <w:p w14:paraId="1841AA4A">
            <w:pPr>
              <w:spacing w:before="65" w:line="228" w:lineRule="auto"/>
              <w:ind w:left="180"/>
              <w:rPr>
                <w:rFonts w:ascii="宋体" w:hAnsi="宋体" w:eastAsia="宋体" w:cs="宋体"/>
                <w:sz w:val="20"/>
                <w:szCs w:val="20"/>
              </w:rPr>
            </w:pPr>
            <w:r>
              <w:rPr>
                <w:rFonts w:ascii="Times New Roman" w:hAnsi="Times New Roman" w:eastAsia="Times New Roman" w:cs="Times New Roman"/>
                <w:sz w:val="20"/>
                <w:szCs w:val="20"/>
              </w:rPr>
              <w:t xml:space="preserve">2023 </w:t>
            </w:r>
            <w:r>
              <w:rPr>
                <w:rFonts w:ascii="宋体" w:hAnsi="宋体" w:eastAsia="宋体" w:cs="宋体"/>
                <w:sz w:val="20"/>
                <w:szCs w:val="20"/>
              </w:rPr>
              <w:t>年</w:t>
            </w:r>
            <w:r>
              <w:rPr>
                <w:rFonts w:ascii="宋体" w:hAnsi="宋体" w:eastAsia="宋体" w:cs="宋体"/>
                <w:spacing w:val="-9"/>
                <w:sz w:val="20"/>
                <w:szCs w:val="20"/>
              </w:rPr>
              <w:t xml:space="preserve"> </w:t>
            </w:r>
            <w:r>
              <w:rPr>
                <w:rFonts w:ascii="Times New Roman" w:hAnsi="Times New Roman" w:eastAsia="Times New Roman" w:cs="Times New Roman"/>
                <w:sz w:val="20"/>
                <w:szCs w:val="20"/>
              </w:rPr>
              <w:t>12</w:t>
            </w:r>
            <w:r>
              <w:rPr>
                <w:rFonts w:ascii="Times New Roman" w:hAnsi="Times New Roman" w:eastAsia="Times New Roman" w:cs="Times New Roman"/>
                <w:spacing w:val="14"/>
                <w:w w:val="101"/>
                <w:sz w:val="20"/>
                <w:szCs w:val="20"/>
              </w:rPr>
              <w:t xml:space="preserve"> </w:t>
            </w:r>
            <w:r>
              <w:rPr>
                <w:rFonts w:ascii="宋体" w:hAnsi="宋体" w:eastAsia="宋体" w:cs="宋体"/>
                <w:sz w:val="20"/>
                <w:szCs w:val="20"/>
              </w:rPr>
              <w:t>月</w:t>
            </w:r>
            <w:r>
              <w:rPr>
                <w:rFonts w:ascii="宋体" w:hAnsi="宋体" w:eastAsia="宋体" w:cs="宋体"/>
                <w:spacing w:val="-43"/>
                <w:sz w:val="20"/>
                <w:szCs w:val="20"/>
              </w:rPr>
              <w:t xml:space="preserve"> </w:t>
            </w:r>
            <w:r>
              <w:rPr>
                <w:rFonts w:ascii="Times New Roman" w:hAnsi="Times New Roman" w:eastAsia="Times New Roman" w:cs="Times New Roman"/>
                <w:sz w:val="20"/>
                <w:szCs w:val="20"/>
              </w:rPr>
              <w:t xml:space="preserve">27  </w:t>
            </w:r>
            <w:r>
              <w:rPr>
                <w:rFonts w:ascii="宋体" w:hAnsi="宋体" w:eastAsia="宋体" w:cs="宋体"/>
                <w:sz w:val="20"/>
                <w:szCs w:val="20"/>
              </w:rPr>
              <w:t>日</w:t>
            </w:r>
          </w:p>
        </w:tc>
        <w:tc>
          <w:tcPr>
            <w:tcW w:w="1308" w:type="dxa"/>
            <w:vAlign w:val="top"/>
          </w:tcPr>
          <w:p w14:paraId="1DDD3302">
            <w:pPr>
              <w:spacing w:before="147" w:line="195"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02:00</w:t>
            </w:r>
          </w:p>
        </w:tc>
        <w:tc>
          <w:tcPr>
            <w:tcW w:w="1451" w:type="dxa"/>
            <w:vAlign w:val="top"/>
          </w:tcPr>
          <w:p w14:paraId="5BA2F175">
            <w:pPr>
              <w:spacing w:before="147"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c>
          <w:tcPr>
            <w:tcW w:w="1435" w:type="dxa"/>
            <w:vAlign w:val="top"/>
          </w:tcPr>
          <w:p w14:paraId="1401435B">
            <w:pPr>
              <w:spacing w:before="147"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02:10</w:t>
            </w:r>
          </w:p>
        </w:tc>
        <w:tc>
          <w:tcPr>
            <w:tcW w:w="1816" w:type="dxa"/>
            <w:vAlign w:val="top"/>
          </w:tcPr>
          <w:p w14:paraId="1F4EBF9E">
            <w:pPr>
              <w:spacing w:before="147"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0.39</w:t>
            </w:r>
          </w:p>
        </w:tc>
        <w:tc>
          <w:tcPr>
            <w:tcW w:w="118" w:type="dxa"/>
            <w:tcBorders>
              <w:top w:val="nil"/>
              <w:bottom w:val="nil"/>
              <w:right w:val="single" w:color="000000" w:sz="6" w:space="0"/>
            </w:tcBorders>
            <w:vAlign w:val="top"/>
          </w:tcPr>
          <w:p w14:paraId="378166B5">
            <w:pPr>
              <w:rPr>
                <w:rFonts w:ascii="Arial"/>
                <w:sz w:val="21"/>
              </w:rPr>
            </w:pPr>
          </w:p>
        </w:tc>
      </w:tr>
      <w:tr w14:paraId="05869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717" w:type="dxa"/>
            <w:vMerge w:val="continue"/>
            <w:tcBorders>
              <w:top w:val="nil"/>
              <w:left w:val="single" w:color="000000" w:sz="6" w:space="0"/>
              <w:bottom w:val="nil"/>
            </w:tcBorders>
            <w:vAlign w:val="top"/>
          </w:tcPr>
          <w:p w14:paraId="3152BCDF">
            <w:pPr>
              <w:rPr>
                <w:rFonts w:ascii="Arial"/>
                <w:sz w:val="21"/>
              </w:rPr>
            </w:pPr>
          </w:p>
        </w:tc>
        <w:tc>
          <w:tcPr>
            <w:tcW w:w="119" w:type="dxa"/>
            <w:tcBorders>
              <w:top w:val="nil"/>
              <w:bottom w:val="nil"/>
            </w:tcBorders>
            <w:vAlign w:val="top"/>
          </w:tcPr>
          <w:p w14:paraId="266545B3">
            <w:pPr>
              <w:rPr>
                <w:rFonts w:ascii="Arial"/>
                <w:sz w:val="21"/>
              </w:rPr>
            </w:pPr>
          </w:p>
        </w:tc>
        <w:tc>
          <w:tcPr>
            <w:tcW w:w="2101" w:type="dxa"/>
            <w:vMerge w:val="continue"/>
            <w:tcBorders>
              <w:top w:val="nil"/>
              <w:bottom w:val="nil"/>
            </w:tcBorders>
            <w:vAlign w:val="top"/>
          </w:tcPr>
          <w:p w14:paraId="671B9342">
            <w:pPr>
              <w:rPr>
                <w:rFonts w:ascii="Arial"/>
                <w:sz w:val="21"/>
              </w:rPr>
            </w:pPr>
          </w:p>
        </w:tc>
        <w:tc>
          <w:tcPr>
            <w:tcW w:w="1308" w:type="dxa"/>
            <w:vAlign w:val="top"/>
          </w:tcPr>
          <w:p w14:paraId="4756C2D3">
            <w:pPr>
              <w:spacing w:before="161" w:line="195"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08:00</w:t>
            </w:r>
          </w:p>
        </w:tc>
        <w:tc>
          <w:tcPr>
            <w:tcW w:w="1451" w:type="dxa"/>
            <w:vAlign w:val="top"/>
          </w:tcPr>
          <w:p w14:paraId="5FBEA60E">
            <w:pPr>
              <w:spacing w:before="161"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0.29</w:t>
            </w:r>
          </w:p>
        </w:tc>
        <w:tc>
          <w:tcPr>
            <w:tcW w:w="1435" w:type="dxa"/>
            <w:vAlign w:val="top"/>
          </w:tcPr>
          <w:p w14:paraId="6DD363F3">
            <w:pPr>
              <w:spacing w:before="161"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08:11</w:t>
            </w:r>
          </w:p>
        </w:tc>
        <w:tc>
          <w:tcPr>
            <w:tcW w:w="1816" w:type="dxa"/>
            <w:vAlign w:val="top"/>
          </w:tcPr>
          <w:p w14:paraId="0790B296">
            <w:pPr>
              <w:spacing w:before="161"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0.41</w:t>
            </w:r>
          </w:p>
        </w:tc>
        <w:tc>
          <w:tcPr>
            <w:tcW w:w="118" w:type="dxa"/>
            <w:tcBorders>
              <w:top w:val="nil"/>
              <w:bottom w:val="nil"/>
              <w:right w:val="single" w:color="000000" w:sz="6" w:space="0"/>
            </w:tcBorders>
            <w:vAlign w:val="top"/>
          </w:tcPr>
          <w:p w14:paraId="602D1E88">
            <w:pPr>
              <w:rPr>
                <w:rFonts w:ascii="Arial"/>
                <w:sz w:val="21"/>
              </w:rPr>
            </w:pPr>
          </w:p>
        </w:tc>
      </w:tr>
      <w:tr w14:paraId="7E609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717" w:type="dxa"/>
            <w:vMerge w:val="continue"/>
            <w:tcBorders>
              <w:top w:val="nil"/>
              <w:left w:val="single" w:color="000000" w:sz="6" w:space="0"/>
              <w:bottom w:val="nil"/>
            </w:tcBorders>
            <w:vAlign w:val="top"/>
          </w:tcPr>
          <w:p w14:paraId="492707DE">
            <w:pPr>
              <w:rPr>
                <w:rFonts w:ascii="Arial"/>
                <w:sz w:val="21"/>
              </w:rPr>
            </w:pPr>
          </w:p>
        </w:tc>
        <w:tc>
          <w:tcPr>
            <w:tcW w:w="119" w:type="dxa"/>
            <w:tcBorders>
              <w:top w:val="nil"/>
              <w:bottom w:val="nil"/>
            </w:tcBorders>
            <w:vAlign w:val="top"/>
          </w:tcPr>
          <w:p w14:paraId="0D9467ED">
            <w:pPr>
              <w:rPr>
                <w:rFonts w:ascii="Arial"/>
                <w:sz w:val="21"/>
              </w:rPr>
            </w:pPr>
          </w:p>
        </w:tc>
        <w:tc>
          <w:tcPr>
            <w:tcW w:w="2101" w:type="dxa"/>
            <w:vMerge w:val="continue"/>
            <w:tcBorders>
              <w:top w:val="nil"/>
              <w:bottom w:val="nil"/>
            </w:tcBorders>
            <w:vAlign w:val="top"/>
          </w:tcPr>
          <w:p w14:paraId="218F70DD">
            <w:pPr>
              <w:rPr>
                <w:rFonts w:ascii="Arial"/>
                <w:sz w:val="21"/>
              </w:rPr>
            </w:pPr>
          </w:p>
        </w:tc>
        <w:tc>
          <w:tcPr>
            <w:tcW w:w="1308" w:type="dxa"/>
            <w:vAlign w:val="top"/>
          </w:tcPr>
          <w:p w14:paraId="2E13FF72">
            <w:pPr>
              <w:spacing w:before="156" w:line="195" w:lineRule="auto"/>
              <w:ind w:left="43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14:00</w:t>
            </w:r>
          </w:p>
        </w:tc>
        <w:tc>
          <w:tcPr>
            <w:tcW w:w="1451" w:type="dxa"/>
            <w:vAlign w:val="top"/>
          </w:tcPr>
          <w:p w14:paraId="5CEDFBB4">
            <w:pPr>
              <w:spacing w:before="156"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0.30</w:t>
            </w:r>
          </w:p>
        </w:tc>
        <w:tc>
          <w:tcPr>
            <w:tcW w:w="1435" w:type="dxa"/>
            <w:vAlign w:val="top"/>
          </w:tcPr>
          <w:p w14:paraId="23B098A0">
            <w:pPr>
              <w:spacing w:before="156" w:line="195" w:lineRule="auto"/>
              <w:ind w:left="50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14:11</w:t>
            </w:r>
          </w:p>
        </w:tc>
        <w:tc>
          <w:tcPr>
            <w:tcW w:w="1816" w:type="dxa"/>
            <w:vAlign w:val="top"/>
          </w:tcPr>
          <w:p w14:paraId="76C680A5">
            <w:pPr>
              <w:spacing w:before="156"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0.40</w:t>
            </w:r>
          </w:p>
        </w:tc>
        <w:tc>
          <w:tcPr>
            <w:tcW w:w="118" w:type="dxa"/>
            <w:tcBorders>
              <w:top w:val="nil"/>
              <w:bottom w:val="nil"/>
              <w:right w:val="single" w:color="000000" w:sz="6" w:space="0"/>
            </w:tcBorders>
            <w:vAlign w:val="top"/>
          </w:tcPr>
          <w:p w14:paraId="21F824D2">
            <w:pPr>
              <w:rPr>
                <w:rFonts w:ascii="Arial"/>
                <w:sz w:val="21"/>
              </w:rPr>
            </w:pPr>
          </w:p>
        </w:tc>
      </w:tr>
      <w:tr w14:paraId="6A5BF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717" w:type="dxa"/>
            <w:vMerge w:val="continue"/>
            <w:tcBorders>
              <w:top w:val="nil"/>
              <w:left w:val="single" w:color="000000" w:sz="6" w:space="0"/>
              <w:bottom w:val="nil"/>
            </w:tcBorders>
            <w:vAlign w:val="top"/>
          </w:tcPr>
          <w:p w14:paraId="0928D802">
            <w:pPr>
              <w:rPr>
                <w:rFonts w:ascii="Arial"/>
                <w:sz w:val="21"/>
              </w:rPr>
            </w:pPr>
          </w:p>
        </w:tc>
        <w:tc>
          <w:tcPr>
            <w:tcW w:w="119" w:type="dxa"/>
            <w:tcBorders>
              <w:top w:val="nil"/>
              <w:bottom w:val="nil"/>
            </w:tcBorders>
            <w:vAlign w:val="top"/>
          </w:tcPr>
          <w:p w14:paraId="084A4CD3">
            <w:pPr>
              <w:rPr>
                <w:rFonts w:ascii="Arial"/>
                <w:sz w:val="21"/>
              </w:rPr>
            </w:pPr>
          </w:p>
        </w:tc>
        <w:tc>
          <w:tcPr>
            <w:tcW w:w="2101" w:type="dxa"/>
            <w:vMerge w:val="continue"/>
            <w:tcBorders>
              <w:top w:val="nil"/>
            </w:tcBorders>
            <w:vAlign w:val="top"/>
          </w:tcPr>
          <w:p w14:paraId="265A8A4E">
            <w:pPr>
              <w:rPr>
                <w:rFonts w:ascii="Arial"/>
                <w:sz w:val="21"/>
              </w:rPr>
            </w:pPr>
          </w:p>
        </w:tc>
        <w:tc>
          <w:tcPr>
            <w:tcW w:w="1308" w:type="dxa"/>
            <w:vAlign w:val="top"/>
          </w:tcPr>
          <w:p w14:paraId="5B466F8D">
            <w:pPr>
              <w:spacing w:before="165" w:line="195" w:lineRule="auto"/>
              <w:ind w:left="4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20:00</w:t>
            </w:r>
          </w:p>
        </w:tc>
        <w:tc>
          <w:tcPr>
            <w:tcW w:w="1451" w:type="dxa"/>
            <w:vAlign w:val="top"/>
          </w:tcPr>
          <w:p w14:paraId="204386BB">
            <w:pPr>
              <w:spacing w:before="165"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0.37</w:t>
            </w:r>
          </w:p>
        </w:tc>
        <w:tc>
          <w:tcPr>
            <w:tcW w:w="1435" w:type="dxa"/>
            <w:vAlign w:val="top"/>
          </w:tcPr>
          <w:p w14:paraId="75E239AE">
            <w:pPr>
              <w:spacing w:before="165" w:line="195" w:lineRule="auto"/>
              <w:ind w:left="48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20:10</w:t>
            </w:r>
          </w:p>
        </w:tc>
        <w:tc>
          <w:tcPr>
            <w:tcW w:w="1816" w:type="dxa"/>
            <w:vAlign w:val="top"/>
          </w:tcPr>
          <w:p w14:paraId="2C9CEF42">
            <w:pPr>
              <w:spacing w:before="165"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0.53</w:t>
            </w:r>
          </w:p>
        </w:tc>
        <w:tc>
          <w:tcPr>
            <w:tcW w:w="118" w:type="dxa"/>
            <w:tcBorders>
              <w:top w:val="nil"/>
              <w:bottom w:val="nil"/>
              <w:right w:val="single" w:color="000000" w:sz="6" w:space="0"/>
            </w:tcBorders>
            <w:vAlign w:val="top"/>
          </w:tcPr>
          <w:p w14:paraId="4DF2856D">
            <w:pPr>
              <w:rPr>
                <w:rFonts w:ascii="Arial"/>
                <w:sz w:val="21"/>
              </w:rPr>
            </w:pPr>
          </w:p>
        </w:tc>
      </w:tr>
      <w:tr w14:paraId="70F30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717" w:type="dxa"/>
            <w:vMerge w:val="continue"/>
            <w:tcBorders>
              <w:top w:val="nil"/>
              <w:left w:val="single" w:color="000000" w:sz="6" w:space="0"/>
              <w:bottom w:val="nil"/>
            </w:tcBorders>
            <w:vAlign w:val="top"/>
          </w:tcPr>
          <w:p w14:paraId="44C4E7A7">
            <w:pPr>
              <w:rPr>
                <w:rFonts w:ascii="Arial"/>
                <w:sz w:val="21"/>
              </w:rPr>
            </w:pPr>
          </w:p>
        </w:tc>
        <w:tc>
          <w:tcPr>
            <w:tcW w:w="119" w:type="dxa"/>
            <w:tcBorders>
              <w:top w:val="nil"/>
              <w:bottom w:val="nil"/>
            </w:tcBorders>
            <w:vAlign w:val="top"/>
          </w:tcPr>
          <w:p w14:paraId="70CFDF34">
            <w:pPr>
              <w:rPr>
                <w:rFonts w:ascii="Arial"/>
                <w:sz w:val="21"/>
              </w:rPr>
            </w:pPr>
          </w:p>
        </w:tc>
        <w:tc>
          <w:tcPr>
            <w:tcW w:w="2101" w:type="dxa"/>
            <w:vMerge w:val="restart"/>
            <w:tcBorders>
              <w:bottom w:val="nil"/>
            </w:tcBorders>
            <w:vAlign w:val="top"/>
          </w:tcPr>
          <w:p w14:paraId="41F4DEF6">
            <w:pPr>
              <w:spacing w:line="299" w:lineRule="auto"/>
              <w:rPr>
                <w:rFonts w:ascii="Arial"/>
                <w:sz w:val="21"/>
              </w:rPr>
            </w:pPr>
          </w:p>
          <w:p w14:paraId="4FF58B3A">
            <w:pPr>
              <w:spacing w:line="300" w:lineRule="auto"/>
              <w:rPr>
                <w:rFonts w:ascii="Arial"/>
                <w:sz w:val="21"/>
              </w:rPr>
            </w:pPr>
          </w:p>
          <w:p w14:paraId="4B11BCE0">
            <w:pPr>
              <w:spacing w:before="65" w:line="228" w:lineRule="auto"/>
              <w:ind w:left="180"/>
              <w:rPr>
                <w:rFonts w:ascii="宋体" w:hAnsi="宋体" w:eastAsia="宋体" w:cs="宋体"/>
                <w:sz w:val="20"/>
                <w:szCs w:val="20"/>
              </w:rPr>
            </w:pPr>
            <w:r>
              <w:rPr>
                <w:rFonts w:ascii="Times New Roman" w:hAnsi="Times New Roman" w:eastAsia="Times New Roman" w:cs="Times New Roman"/>
                <w:sz w:val="20"/>
                <w:szCs w:val="20"/>
              </w:rPr>
              <w:t xml:space="preserve">2023 </w:t>
            </w:r>
            <w:r>
              <w:rPr>
                <w:rFonts w:ascii="宋体" w:hAnsi="宋体" w:eastAsia="宋体" w:cs="宋体"/>
                <w:sz w:val="20"/>
                <w:szCs w:val="20"/>
              </w:rPr>
              <w:t>年</w:t>
            </w:r>
            <w:r>
              <w:rPr>
                <w:rFonts w:ascii="宋体" w:hAnsi="宋体" w:eastAsia="宋体" w:cs="宋体"/>
                <w:spacing w:val="-9"/>
                <w:sz w:val="20"/>
                <w:szCs w:val="20"/>
              </w:rPr>
              <w:t xml:space="preserve"> </w:t>
            </w:r>
            <w:r>
              <w:rPr>
                <w:rFonts w:ascii="Times New Roman" w:hAnsi="Times New Roman" w:eastAsia="Times New Roman" w:cs="Times New Roman"/>
                <w:sz w:val="20"/>
                <w:szCs w:val="20"/>
              </w:rPr>
              <w:t>12</w:t>
            </w:r>
            <w:r>
              <w:rPr>
                <w:rFonts w:ascii="Times New Roman" w:hAnsi="Times New Roman" w:eastAsia="Times New Roman" w:cs="Times New Roman"/>
                <w:spacing w:val="14"/>
                <w:w w:val="101"/>
                <w:sz w:val="20"/>
                <w:szCs w:val="20"/>
              </w:rPr>
              <w:t xml:space="preserve"> </w:t>
            </w:r>
            <w:r>
              <w:rPr>
                <w:rFonts w:ascii="宋体" w:hAnsi="宋体" w:eastAsia="宋体" w:cs="宋体"/>
                <w:sz w:val="20"/>
                <w:szCs w:val="20"/>
              </w:rPr>
              <w:t>月</w:t>
            </w:r>
            <w:r>
              <w:rPr>
                <w:rFonts w:ascii="宋体" w:hAnsi="宋体" w:eastAsia="宋体" w:cs="宋体"/>
                <w:spacing w:val="-43"/>
                <w:sz w:val="20"/>
                <w:szCs w:val="20"/>
              </w:rPr>
              <w:t xml:space="preserve"> </w:t>
            </w:r>
            <w:r>
              <w:rPr>
                <w:rFonts w:ascii="Times New Roman" w:hAnsi="Times New Roman" w:eastAsia="Times New Roman" w:cs="Times New Roman"/>
                <w:sz w:val="20"/>
                <w:szCs w:val="20"/>
              </w:rPr>
              <w:t xml:space="preserve">28  </w:t>
            </w:r>
            <w:r>
              <w:rPr>
                <w:rFonts w:ascii="宋体" w:hAnsi="宋体" w:eastAsia="宋体" w:cs="宋体"/>
                <w:sz w:val="20"/>
                <w:szCs w:val="20"/>
              </w:rPr>
              <w:t>日</w:t>
            </w:r>
          </w:p>
        </w:tc>
        <w:tc>
          <w:tcPr>
            <w:tcW w:w="1308" w:type="dxa"/>
            <w:vAlign w:val="top"/>
          </w:tcPr>
          <w:p w14:paraId="6EC37972">
            <w:pPr>
              <w:spacing w:before="150" w:line="195"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02:00</w:t>
            </w:r>
          </w:p>
        </w:tc>
        <w:tc>
          <w:tcPr>
            <w:tcW w:w="1451" w:type="dxa"/>
            <w:vAlign w:val="top"/>
          </w:tcPr>
          <w:p w14:paraId="1C748BD8">
            <w:pPr>
              <w:spacing w:before="150"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0.24</w:t>
            </w:r>
          </w:p>
        </w:tc>
        <w:tc>
          <w:tcPr>
            <w:tcW w:w="1435" w:type="dxa"/>
            <w:vAlign w:val="top"/>
          </w:tcPr>
          <w:p w14:paraId="2CF40493">
            <w:pPr>
              <w:spacing w:before="150"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02:10</w:t>
            </w:r>
          </w:p>
        </w:tc>
        <w:tc>
          <w:tcPr>
            <w:tcW w:w="1816" w:type="dxa"/>
            <w:vAlign w:val="top"/>
          </w:tcPr>
          <w:p w14:paraId="1D0C9A5E">
            <w:pPr>
              <w:spacing w:before="150"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118" w:type="dxa"/>
            <w:tcBorders>
              <w:top w:val="nil"/>
              <w:bottom w:val="nil"/>
              <w:right w:val="single" w:color="000000" w:sz="6" w:space="0"/>
            </w:tcBorders>
            <w:vAlign w:val="top"/>
          </w:tcPr>
          <w:p w14:paraId="67634B1B">
            <w:pPr>
              <w:rPr>
                <w:rFonts w:ascii="Arial"/>
                <w:sz w:val="21"/>
              </w:rPr>
            </w:pPr>
          </w:p>
        </w:tc>
      </w:tr>
      <w:tr w14:paraId="695E3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717" w:type="dxa"/>
            <w:vMerge w:val="continue"/>
            <w:tcBorders>
              <w:top w:val="nil"/>
              <w:left w:val="single" w:color="000000" w:sz="6" w:space="0"/>
              <w:bottom w:val="nil"/>
            </w:tcBorders>
            <w:vAlign w:val="top"/>
          </w:tcPr>
          <w:p w14:paraId="29F175FF">
            <w:pPr>
              <w:rPr>
                <w:rFonts w:ascii="Arial"/>
                <w:sz w:val="21"/>
              </w:rPr>
            </w:pPr>
          </w:p>
        </w:tc>
        <w:tc>
          <w:tcPr>
            <w:tcW w:w="119" w:type="dxa"/>
            <w:tcBorders>
              <w:top w:val="nil"/>
              <w:bottom w:val="nil"/>
            </w:tcBorders>
            <w:vAlign w:val="top"/>
          </w:tcPr>
          <w:p w14:paraId="38CC58E1">
            <w:pPr>
              <w:rPr>
                <w:rFonts w:ascii="Arial"/>
                <w:sz w:val="21"/>
              </w:rPr>
            </w:pPr>
          </w:p>
        </w:tc>
        <w:tc>
          <w:tcPr>
            <w:tcW w:w="2101" w:type="dxa"/>
            <w:vMerge w:val="continue"/>
            <w:tcBorders>
              <w:top w:val="nil"/>
              <w:bottom w:val="nil"/>
            </w:tcBorders>
            <w:vAlign w:val="top"/>
          </w:tcPr>
          <w:p w14:paraId="4207C4FE">
            <w:pPr>
              <w:rPr>
                <w:rFonts w:ascii="Arial"/>
                <w:sz w:val="21"/>
              </w:rPr>
            </w:pPr>
          </w:p>
        </w:tc>
        <w:tc>
          <w:tcPr>
            <w:tcW w:w="1308" w:type="dxa"/>
            <w:vAlign w:val="top"/>
          </w:tcPr>
          <w:p w14:paraId="1568050A">
            <w:pPr>
              <w:spacing w:before="167" w:line="195"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08:00</w:t>
            </w:r>
          </w:p>
        </w:tc>
        <w:tc>
          <w:tcPr>
            <w:tcW w:w="1451" w:type="dxa"/>
            <w:vAlign w:val="top"/>
          </w:tcPr>
          <w:p w14:paraId="1A92FA2D">
            <w:pPr>
              <w:spacing w:before="167"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0.26</w:t>
            </w:r>
          </w:p>
        </w:tc>
        <w:tc>
          <w:tcPr>
            <w:tcW w:w="1435" w:type="dxa"/>
            <w:vAlign w:val="top"/>
          </w:tcPr>
          <w:p w14:paraId="4E00A106">
            <w:pPr>
              <w:spacing w:before="167"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08:11</w:t>
            </w:r>
          </w:p>
        </w:tc>
        <w:tc>
          <w:tcPr>
            <w:tcW w:w="1816" w:type="dxa"/>
            <w:vAlign w:val="top"/>
          </w:tcPr>
          <w:p w14:paraId="45679559">
            <w:pPr>
              <w:spacing w:before="167"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0.38</w:t>
            </w:r>
          </w:p>
        </w:tc>
        <w:tc>
          <w:tcPr>
            <w:tcW w:w="118" w:type="dxa"/>
            <w:tcBorders>
              <w:top w:val="nil"/>
              <w:bottom w:val="nil"/>
              <w:right w:val="single" w:color="000000" w:sz="6" w:space="0"/>
            </w:tcBorders>
            <w:vAlign w:val="top"/>
          </w:tcPr>
          <w:p w14:paraId="5976F7C8">
            <w:pPr>
              <w:rPr>
                <w:rFonts w:ascii="Arial"/>
                <w:sz w:val="21"/>
              </w:rPr>
            </w:pPr>
          </w:p>
        </w:tc>
      </w:tr>
      <w:tr w14:paraId="3107C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717" w:type="dxa"/>
            <w:vMerge w:val="continue"/>
            <w:tcBorders>
              <w:top w:val="nil"/>
              <w:left w:val="single" w:color="000000" w:sz="6" w:space="0"/>
              <w:bottom w:val="nil"/>
            </w:tcBorders>
            <w:vAlign w:val="top"/>
          </w:tcPr>
          <w:p w14:paraId="6A64D926">
            <w:pPr>
              <w:rPr>
                <w:rFonts w:ascii="Arial"/>
                <w:sz w:val="21"/>
              </w:rPr>
            </w:pPr>
          </w:p>
        </w:tc>
        <w:tc>
          <w:tcPr>
            <w:tcW w:w="119" w:type="dxa"/>
            <w:tcBorders>
              <w:top w:val="nil"/>
              <w:bottom w:val="nil"/>
            </w:tcBorders>
            <w:vAlign w:val="top"/>
          </w:tcPr>
          <w:p w14:paraId="66548B0C">
            <w:pPr>
              <w:rPr>
                <w:rFonts w:ascii="Arial"/>
                <w:sz w:val="21"/>
              </w:rPr>
            </w:pPr>
          </w:p>
        </w:tc>
        <w:tc>
          <w:tcPr>
            <w:tcW w:w="2101" w:type="dxa"/>
            <w:vMerge w:val="continue"/>
            <w:tcBorders>
              <w:top w:val="nil"/>
              <w:bottom w:val="nil"/>
            </w:tcBorders>
            <w:vAlign w:val="top"/>
          </w:tcPr>
          <w:p w14:paraId="36980870">
            <w:pPr>
              <w:rPr>
                <w:rFonts w:ascii="Arial"/>
                <w:sz w:val="21"/>
              </w:rPr>
            </w:pPr>
          </w:p>
        </w:tc>
        <w:tc>
          <w:tcPr>
            <w:tcW w:w="1308" w:type="dxa"/>
            <w:vAlign w:val="top"/>
          </w:tcPr>
          <w:p w14:paraId="6C51EA53">
            <w:pPr>
              <w:spacing w:before="159" w:line="194" w:lineRule="auto"/>
              <w:ind w:left="43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14:00</w:t>
            </w:r>
          </w:p>
        </w:tc>
        <w:tc>
          <w:tcPr>
            <w:tcW w:w="1451" w:type="dxa"/>
            <w:vAlign w:val="top"/>
          </w:tcPr>
          <w:p w14:paraId="21F19733">
            <w:pPr>
              <w:spacing w:before="159" w:line="194"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0.30</w:t>
            </w:r>
          </w:p>
        </w:tc>
        <w:tc>
          <w:tcPr>
            <w:tcW w:w="1435" w:type="dxa"/>
            <w:vAlign w:val="top"/>
          </w:tcPr>
          <w:p w14:paraId="6542E867">
            <w:pPr>
              <w:spacing w:before="159" w:line="194" w:lineRule="auto"/>
              <w:ind w:left="50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14:13</w:t>
            </w:r>
          </w:p>
        </w:tc>
        <w:tc>
          <w:tcPr>
            <w:tcW w:w="1816" w:type="dxa"/>
            <w:vAlign w:val="top"/>
          </w:tcPr>
          <w:p w14:paraId="7C66A40E">
            <w:pPr>
              <w:spacing w:before="159" w:line="194"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0.41</w:t>
            </w:r>
          </w:p>
        </w:tc>
        <w:tc>
          <w:tcPr>
            <w:tcW w:w="118" w:type="dxa"/>
            <w:tcBorders>
              <w:top w:val="nil"/>
              <w:bottom w:val="nil"/>
              <w:right w:val="single" w:color="000000" w:sz="6" w:space="0"/>
            </w:tcBorders>
            <w:vAlign w:val="top"/>
          </w:tcPr>
          <w:p w14:paraId="04A52EFD">
            <w:pPr>
              <w:rPr>
                <w:rFonts w:ascii="Arial"/>
                <w:sz w:val="21"/>
              </w:rPr>
            </w:pPr>
          </w:p>
        </w:tc>
      </w:tr>
      <w:tr w14:paraId="7187E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717" w:type="dxa"/>
            <w:vMerge w:val="continue"/>
            <w:tcBorders>
              <w:top w:val="nil"/>
              <w:left w:val="single" w:color="000000" w:sz="6" w:space="0"/>
              <w:bottom w:val="nil"/>
            </w:tcBorders>
            <w:vAlign w:val="top"/>
          </w:tcPr>
          <w:p w14:paraId="565DF2C8">
            <w:pPr>
              <w:rPr>
                <w:rFonts w:ascii="Arial"/>
                <w:sz w:val="21"/>
              </w:rPr>
            </w:pPr>
          </w:p>
        </w:tc>
        <w:tc>
          <w:tcPr>
            <w:tcW w:w="119" w:type="dxa"/>
            <w:tcBorders>
              <w:top w:val="nil"/>
              <w:bottom w:val="nil"/>
            </w:tcBorders>
            <w:vAlign w:val="top"/>
          </w:tcPr>
          <w:p w14:paraId="51547C1F">
            <w:pPr>
              <w:rPr>
                <w:rFonts w:ascii="Arial"/>
                <w:sz w:val="21"/>
              </w:rPr>
            </w:pPr>
          </w:p>
        </w:tc>
        <w:tc>
          <w:tcPr>
            <w:tcW w:w="2101" w:type="dxa"/>
            <w:vMerge w:val="continue"/>
            <w:tcBorders>
              <w:top w:val="nil"/>
            </w:tcBorders>
            <w:vAlign w:val="top"/>
          </w:tcPr>
          <w:p w14:paraId="6A623A5E">
            <w:pPr>
              <w:rPr>
                <w:rFonts w:ascii="Arial"/>
                <w:sz w:val="21"/>
              </w:rPr>
            </w:pPr>
          </w:p>
        </w:tc>
        <w:tc>
          <w:tcPr>
            <w:tcW w:w="1308" w:type="dxa"/>
            <w:vAlign w:val="top"/>
          </w:tcPr>
          <w:p w14:paraId="2307BDB7">
            <w:pPr>
              <w:spacing w:before="168" w:line="195" w:lineRule="auto"/>
              <w:ind w:left="4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20:00</w:t>
            </w:r>
          </w:p>
        </w:tc>
        <w:tc>
          <w:tcPr>
            <w:tcW w:w="1451" w:type="dxa"/>
            <w:vAlign w:val="top"/>
          </w:tcPr>
          <w:p w14:paraId="4D36823C">
            <w:pPr>
              <w:spacing w:before="168"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0.31</w:t>
            </w:r>
          </w:p>
        </w:tc>
        <w:tc>
          <w:tcPr>
            <w:tcW w:w="1435" w:type="dxa"/>
            <w:vAlign w:val="top"/>
          </w:tcPr>
          <w:p w14:paraId="1EF0D8DA">
            <w:pPr>
              <w:spacing w:before="168" w:line="195" w:lineRule="auto"/>
              <w:ind w:left="48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20:10</w:t>
            </w:r>
          </w:p>
        </w:tc>
        <w:tc>
          <w:tcPr>
            <w:tcW w:w="1816" w:type="dxa"/>
            <w:vAlign w:val="top"/>
          </w:tcPr>
          <w:p w14:paraId="68ECDC00">
            <w:pPr>
              <w:spacing w:before="168"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0.43</w:t>
            </w:r>
          </w:p>
        </w:tc>
        <w:tc>
          <w:tcPr>
            <w:tcW w:w="118" w:type="dxa"/>
            <w:tcBorders>
              <w:top w:val="nil"/>
              <w:bottom w:val="nil"/>
              <w:right w:val="single" w:color="000000" w:sz="6" w:space="0"/>
            </w:tcBorders>
            <w:vAlign w:val="top"/>
          </w:tcPr>
          <w:p w14:paraId="13DB6668">
            <w:pPr>
              <w:rPr>
                <w:rFonts w:ascii="Arial"/>
                <w:sz w:val="21"/>
              </w:rPr>
            </w:pPr>
          </w:p>
        </w:tc>
      </w:tr>
      <w:tr w14:paraId="1CD83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717" w:type="dxa"/>
            <w:vMerge w:val="continue"/>
            <w:tcBorders>
              <w:top w:val="nil"/>
              <w:left w:val="single" w:color="000000" w:sz="6" w:space="0"/>
              <w:bottom w:val="nil"/>
            </w:tcBorders>
            <w:vAlign w:val="top"/>
          </w:tcPr>
          <w:p w14:paraId="04A6C1C0">
            <w:pPr>
              <w:rPr>
                <w:rFonts w:ascii="Arial"/>
                <w:sz w:val="21"/>
              </w:rPr>
            </w:pPr>
          </w:p>
        </w:tc>
        <w:tc>
          <w:tcPr>
            <w:tcW w:w="119" w:type="dxa"/>
            <w:tcBorders>
              <w:top w:val="nil"/>
              <w:bottom w:val="nil"/>
            </w:tcBorders>
            <w:vAlign w:val="top"/>
          </w:tcPr>
          <w:p w14:paraId="3B834972">
            <w:pPr>
              <w:rPr>
                <w:rFonts w:ascii="Arial"/>
                <w:sz w:val="21"/>
              </w:rPr>
            </w:pPr>
          </w:p>
        </w:tc>
        <w:tc>
          <w:tcPr>
            <w:tcW w:w="2101" w:type="dxa"/>
            <w:vMerge w:val="restart"/>
            <w:tcBorders>
              <w:bottom w:val="nil"/>
            </w:tcBorders>
            <w:vAlign w:val="top"/>
          </w:tcPr>
          <w:p w14:paraId="128F3DEA">
            <w:pPr>
              <w:spacing w:line="300" w:lineRule="auto"/>
              <w:rPr>
                <w:rFonts w:ascii="Arial"/>
                <w:sz w:val="21"/>
              </w:rPr>
            </w:pPr>
          </w:p>
          <w:p w14:paraId="7BD6A70B">
            <w:pPr>
              <w:spacing w:line="301" w:lineRule="auto"/>
              <w:rPr>
                <w:rFonts w:ascii="Arial"/>
                <w:sz w:val="21"/>
              </w:rPr>
            </w:pPr>
          </w:p>
          <w:p w14:paraId="3AC2B755">
            <w:pPr>
              <w:spacing w:before="65" w:line="228" w:lineRule="auto"/>
              <w:ind w:left="180"/>
              <w:rPr>
                <w:rFonts w:ascii="宋体" w:hAnsi="宋体" w:eastAsia="宋体" w:cs="宋体"/>
                <w:sz w:val="20"/>
                <w:szCs w:val="20"/>
              </w:rPr>
            </w:pPr>
            <w:r>
              <w:rPr>
                <w:rFonts w:ascii="Times New Roman" w:hAnsi="Times New Roman" w:eastAsia="Times New Roman" w:cs="Times New Roman"/>
                <w:sz w:val="20"/>
                <w:szCs w:val="20"/>
              </w:rPr>
              <w:t xml:space="preserve">2023 </w:t>
            </w:r>
            <w:r>
              <w:rPr>
                <w:rFonts w:ascii="宋体" w:hAnsi="宋体" w:eastAsia="宋体" w:cs="宋体"/>
                <w:sz w:val="20"/>
                <w:szCs w:val="20"/>
              </w:rPr>
              <w:t>年</w:t>
            </w:r>
            <w:r>
              <w:rPr>
                <w:rFonts w:ascii="宋体" w:hAnsi="宋体" w:eastAsia="宋体" w:cs="宋体"/>
                <w:spacing w:val="-9"/>
                <w:sz w:val="20"/>
                <w:szCs w:val="20"/>
              </w:rPr>
              <w:t xml:space="preserve"> </w:t>
            </w:r>
            <w:r>
              <w:rPr>
                <w:rFonts w:ascii="Times New Roman" w:hAnsi="Times New Roman" w:eastAsia="Times New Roman" w:cs="Times New Roman"/>
                <w:sz w:val="20"/>
                <w:szCs w:val="20"/>
              </w:rPr>
              <w:t>12</w:t>
            </w:r>
            <w:r>
              <w:rPr>
                <w:rFonts w:ascii="Times New Roman" w:hAnsi="Times New Roman" w:eastAsia="Times New Roman" w:cs="Times New Roman"/>
                <w:spacing w:val="14"/>
                <w:w w:val="101"/>
                <w:sz w:val="20"/>
                <w:szCs w:val="20"/>
              </w:rPr>
              <w:t xml:space="preserve"> </w:t>
            </w:r>
            <w:r>
              <w:rPr>
                <w:rFonts w:ascii="宋体" w:hAnsi="宋体" w:eastAsia="宋体" w:cs="宋体"/>
                <w:sz w:val="20"/>
                <w:szCs w:val="20"/>
              </w:rPr>
              <w:t>月</w:t>
            </w:r>
            <w:r>
              <w:rPr>
                <w:rFonts w:ascii="宋体" w:hAnsi="宋体" w:eastAsia="宋体" w:cs="宋体"/>
                <w:spacing w:val="-43"/>
                <w:sz w:val="20"/>
                <w:szCs w:val="20"/>
              </w:rPr>
              <w:t xml:space="preserve"> </w:t>
            </w:r>
            <w:r>
              <w:rPr>
                <w:rFonts w:ascii="Times New Roman" w:hAnsi="Times New Roman" w:eastAsia="Times New Roman" w:cs="Times New Roman"/>
                <w:sz w:val="20"/>
                <w:szCs w:val="20"/>
              </w:rPr>
              <w:t xml:space="preserve">29  </w:t>
            </w:r>
            <w:r>
              <w:rPr>
                <w:rFonts w:ascii="宋体" w:hAnsi="宋体" w:eastAsia="宋体" w:cs="宋体"/>
                <w:sz w:val="20"/>
                <w:szCs w:val="20"/>
              </w:rPr>
              <w:t>日</w:t>
            </w:r>
          </w:p>
        </w:tc>
        <w:tc>
          <w:tcPr>
            <w:tcW w:w="1308" w:type="dxa"/>
            <w:vAlign w:val="top"/>
          </w:tcPr>
          <w:p w14:paraId="5E078063">
            <w:pPr>
              <w:spacing w:before="152" w:line="195"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02:00</w:t>
            </w:r>
          </w:p>
        </w:tc>
        <w:tc>
          <w:tcPr>
            <w:tcW w:w="1451" w:type="dxa"/>
            <w:vAlign w:val="top"/>
          </w:tcPr>
          <w:p w14:paraId="781F2314">
            <w:pPr>
              <w:spacing w:before="152"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0.29</w:t>
            </w:r>
          </w:p>
        </w:tc>
        <w:tc>
          <w:tcPr>
            <w:tcW w:w="1435" w:type="dxa"/>
            <w:vAlign w:val="top"/>
          </w:tcPr>
          <w:p w14:paraId="62855BC2">
            <w:pPr>
              <w:spacing w:before="152"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02:10</w:t>
            </w:r>
          </w:p>
        </w:tc>
        <w:tc>
          <w:tcPr>
            <w:tcW w:w="1816" w:type="dxa"/>
            <w:vAlign w:val="top"/>
          </w:tcPr>
          <w:p w14:paraId="607D8496">
            <w:pPr>
              <w:spacing w:before="152"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118" w:type="dxa"/>
            <w:tcBorders>
              <w:top w:val="nil"/>
              <w:bottom w:val="nil"/>
              <w:right w:val="single" w:color="000000" w:sz="6" w:space="0"/>
            </w:tcBorders>
            <w:vAlign w:val="top"/>
          </w:tcPr>
          <w:p w14:paraId="5E851004">
            <w:pPr>
              <w:rPr>
                <w:rFonts w:ascii="Arial"/>
                <w:sz w:val="21"/>
              </w:rPr>
            </w:pPr>
          </w:p>
        </w:tc>
      </w:tr>
      <w:tr w14:paraId="5861F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717" w:type="dxa"/>
            <w:vMerge w:val="continue"/>
            <w:tcBorders>
              <w:top w:val="nil"/>
              <w:left w:val="single" w:color="000000" w:sz="6" w:space="0"/>
              <w:bottom w:val="nil"/>
            </w:tcBorders>
            <w:vAlign w:val="top"/>
          </w:tcPr>
          <w:p w14:paraId="016B0AFD">
            <w:pPr>
              <w:rPr>
                <w:rFonts w:ascii="Arial"/>
                <w:sz w:val="21"/>
              </w:rPr>
            </w:pPr>
          </w:p>
        </w:tc>
        <w:tc>
          <w:tcPr>
            <w:tcW w:w="119" w:type="dxa"/>
            <w:tcBorders>
              <w:top w:val="nil"/>
              <w:bottom w:val="nil"/>
            </w:tcBorders>
            <w:vAlign w:val="top"/>
          </w:tcPr>
          <w:p w14:paraId="3FEC8711">
            <w:pPr>
              <w:rPr>
                <w:rFonts w:ascii="Arial"/>
                <w:sz w:val="21"/>
              </w:rPr>
            </w:pPr>
          </w:p>
        </w:tc>
        <w:tc>
          <w:tcPr>
            <w:tcW w:w="2101" w:type="dxa"/>
            <w:vMerge w:val="continue"/>
            <w:tcBorders>
              <w:top w:val="nil"/>
              <w:bottom w:val="nil"/>
            </w:tcBorders>
            <w:vAlign w:val="top"/>
          </w:tcPr>
          <w:p w14:paraId="7983B219">
            <w:pPr>
              <w:rPr>
                <w:rFonts w:ascii="Arial"/>
                <w:sz w:val="21"/>
              </w:rPr>
            </w:pPr>
          </w:p>
        </w:tc>
        <w:tc>
          <w:tcPr>
            <w:tcW w:w="1308" w:type="dxa"/>
            <w:vAlign w:val="top"/>
          </w:tcPr>
          <w:p w14:paraId="4EDA9E99">
            <w:pPr>
              <w:spacing w:before="154" w:line="195"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08:00</w:t>
            </w:r>
          </w:p>
        </w:tc>
        <w:tc>
          <w:tcPr>
            <w:tcW w:w="1451" w:type="dxa"/>
            <w:vAlign w:val="top"/>
          </w:tcPr>
          <w:p w14:paraId="28F49A76">
            <w:pPr>
              <w:spacing w:before="154"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0.30</w:t>
            </w:r>
          </w:p>
        </w:tc>
        <w:tc>
          <w:tcPr>
            <w:tcW w:w="1435" w:type="dxa"/>
            <w:vAlign w:val="top"/>
          </w:tcPr>
          <w:p w14:paraId="26A7323C">
            <w:pPr>
              <w:spacing w:before="154"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08:11</w:t>
            </w:r>
          </w:p>
        </w:tc>
        <w:tc>
          <w:tcPr>
            <w:tcW w:w="1816" w:type="dxa"/>
            <w:vAlign w:val="top"/>
          </w:tcPr>
          <w:p w14:paraId="43B9471B">
            <w:pPr>
              <w:spacing w:before="154"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0.37</w:t>
            </w:r>
          </w:p>
        </w:tc>
        <w:tc>
          <w:tcPr>
            <w:tcW w:w="118" w:type="dxa"/>
            <w:tcBorders>
              <w:top w:val="nil"/>
              <w:bottom w:val="nil"/>
              <w:right w:val="single" w:color="000000" w:sz="6" w:space="0"/>
            </w:tcBorders>
            <w:vAlign w:val="top"/>
          </w:tcPr>
          <w:p w14:paraId="430781A7">
            <w:pPr>
              <w:rPr>
                <w:rFonts w:ascii="Arial"/>
                <w:sz w:val="21"/>
              </w:rPr>
            </w:pPr>
          </w:p>
        </w:tc>
      </w:tr>
      <w:tr w14:paraId="6EE47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717" w:type="dxa"/>
            <w:vMerge w:val="continue"/>
            <w:tcBorders>
              <w:top w:val="nil"/>
              <w:left w:val="single" w:color="000000" w:sz="6" w:space="0"/>
              <w:bottom w:val="nil"/>
            </w:tcBorders>
            <w:vAlign w:val="top"/>
          </w:tcPr>
          <w:p w14:paraId="10CF1995">
            <w:pPr>
              <w:rPr>
                <w:rFonts w:ascii="Arial"/>
                <w:sz w:val="21"/>
              </w:rPr>
            </w:pPr>
          </w:p>
        </w:tc>
        <w:tc>
          <w:tcPr>
            <w:tcW w:w="119" w:type="dxa"/>
            <w:tcBorders>
              <w:top w:val="nil"/>
              <w:bottom w:val="nil"/>
            </w:tcBorders>
            <w:vAlign w:val="top"/>
          </w:tcPr>
          <w:p w14:paraId="35F14049">
            <w:pPr>
              <w:rPr>
                <w:rFonts w:ascii="Arial"/>
                <w:sz w:val="21"/>
              </w:rPr>
            </w:pPr>
          </w:p>
        </w:tc>
        <w:tc>
          <w:tcPr>
            <w:tcW w:w="2101" w:type="dxa"/>
            <w:vMerge w:val="continue"/>
            <w:tcBorders>
              <w:top w:val="nil"/>
              <w:bottom w:val="nil"/>
            </w:tcBorders>
            <w:vAlign w:val="top"/>
          </w:tcPr>
          <w:p w14:paraId="47E898B6">
            <w:pPr>
              <w:rPr>
                <w:rFonts w:ascii="Arial"/>
                <w:sz w:val="21"/>
              </w:rPr>
            </w:pPr>
          </w:p>
        </w:tc>
        <w:tc>
          <w:tcPr>
            <w:tcW w:w="1308" w:type="dxa"/>
            <w:vAlign w:val="top"/>
          </w:tcPr>
          <w:p w14:paraId="6497C94E">
            <w:pPr>
              <w:spacing w:before="164" w:line="195" w:lineRule="auto"/>
              <w:ind w:left="43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14:00</w:t>
            </w:r>
          </w:p>
        </w:tc>
        <w:tc>
          <w:tcPr>
            <w:tcW w:w="1451" w:type="dxa"/>
            <w:vAlign w:val="top"/>
          </w:tcPr>
          <w:p w14:paraId="3E6D8CA7">
            <w:pPr>
              <w:spacing w:before="164"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0.34</w:t>
            </w:r>
          </w:p>
        </w:tc>
        <w:tc>
          <w:tcPr>
            <w:tcW w:w="1435" w:type="dxa"/>
            <w:vAlign w:val="top"/>
          </w:tcPr>
          <w:p w14:paraId="609D2111">
            <w:pPr>
              <w:spacing w:before="164" w:line="195" w:lineRule="auto"/>
              <w:ind w:left="50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14:13</w:t>
            </w:r>
          </w:p>
        </w:tc>
        <w:tc>
          <w:tcPr>
            <w:tcW w:w="1816" w:type="dxa"/>
            <w:vAlign w:val="top"/>
          </w:tcPr>
          <w:p w14:paraId="5D0853C1">
            <w:pPr>
              <w:spacing w:before="164"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0.38</w:t>
            </w:r>
          </w:p>
        </w:tc>
        <w:tc>
          <w:tcPr>
            <w:tcW w:w="118" w:type="dxa"/>
            <w:tcBorders>
              <w:top w:val="nil"/>
              <w:bottom w:val="nil"/>
              <w:right w:val="single" w:color="000000" w:sz="6" w:space="0"/>
            </w:tcBorders>
            <w:vAlign w:val="top"/>
          </w:tcPr>
          <w:p w14:paraId="67C16C04">
            <w:pPr>
              <w:rPr>
                <w:rFonts w:ascii="Arial"/>
                <w:sz w:val="21"/>
              </w:rPr>
            </w:pPr>
          </w:p>
        </w:tc>
      </w:tr>
      <w:tr w14:paraId="397929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17" w:type="dxa"/>
            <w:vMerge w:val="continue"/>
            <w:tcBorders>
              <w:top w:val="nil"/>
              <w:left w:val="single" w:color="000000" w:sz="6" w:space="0"/>
              <w:bottom w:val="nil"/>
            </w:tcBorders>
            <w:vAlign w:val="top"/>
          </w:tcPr>
          <w:p w14:paraId="59B9B96F">
            <w:pPr>
              <w:rPr>
                <w:rFonts w:ascii="Arial"/>
                <w:sz w:val="21"/>
              </w:rPr>
            </w:pPr>
          </w:p>
        </w:tc>
        <w:tc>
          <w:tcPr>
            <w:tcW w:w="119" w:type="dxa"/>
            <w:tcBorders>
              <w:top w:val="nil"/>
              <w:bottom w:val="nil"/>
            </w:tcBorders>
            <w:vAlign w:val="top"/>
          </w:tcPr>
          <w:p w14:paraId="5B39EEF9">
            <w:pPr>
              <w:rPr>
                <w:rFonts w:ascii="Arial"/>
                <w:sz w:val="21"/>
              </w:rPr>
            </w:pPr>
          </w:p>
        </w:tc>
        <w:tc>
          <w:tcPr>
            <w:tcW w:w="2101" w:type="dxa"/>
            <w:vMerge w:val="continue"/>
            <w:tcBorders>
              <w:top w:val="nil"/>
            </w:tcBorders>
            <w:vAlign w:val="top"/>
          </w:tcPr>
          <w:p w14:paraId="797AABC5">
            <w:pPr>
              <w:rPr>
                <w:rFonts w:ascii="Arial"/>
                <w:sz w:val="21"/>
              </w:rPr>
            </w:pPr>
          </w:p>
        </w:tc>
        <w:tc>
          <w:tcPr>
            <w:tcW w:w="1308" w:type="dxa"/>
            <w:vAlign w:val="top"/>
          </w:tcPr>
          <w:p w14:paraId="4F120722">
            <w:pPr>
              <w:spacing w:before="156" w:line="195" w:lineRule="auto"/>
              <w:ind w:left="4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20:00</w:t>
            </w:r>
          </w:p>
        </w:tc>
        <w:tc>
          <w:tcPr>
            <w:tcW w:w="1451" w:type="dxa"/>
            <w:vAlign w:val="top"/>
          </w:tcPr>
          <w:p w14:paraId="4CB9C046">
            <w:pPr>
              <w:spacing w:before="156"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0.34</w:t>
            </w:r>
          </w:p>
        </w:tc>
        <w:tc>
          <w:tcPr>
            <w:tcW w:w="1435" w:type="dxa"/>
            <w:vAlign w:val="top"/>
          </w:tcPr>
          <w:p w14:paraId="2D2E05DC">
            <w:pPr>
              <w:spacing w:before="156" w:line="195" w:lineRule="auto"/>
              <w:ind w:left="48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20:10</w:t>
            </w:r>
          </w:p>
        </w:tc>
        <w:tc>
          <w:tcPr>
            <w:tcW w:w="1816" w:type="dxa"/>
            <w:vAlign w:val="top"/>
          </w:tcPr>
          <w:p w14:paraId="3FA21101">
            <w:pPr>
              <w:spacing w:before="156"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0.40</w:t>
            </w:r>
          </w:p>
        </w:tc>
        <w:tc>
          <w:tcPr>
            <w:tcW w:w="118" w:type="dxa"/>
            <w:tcBorders>
              <w:top w:val="nil"/>
              <w:bottom w:val="nil"/>
              <w:right w:val="single" w:color="000000" w:sz="6" w:space="0"/>
            </w:tcBorders>
            <w:vAlign w:val="top"/>
          </w:tcPr>
          <w:p w14:paraId="250B621A">
            <w:pPr>
              <w:rPr>
                <w:rFonts w:ascii="Arial"/>
                <w:sz w:val="21"/>
              </w:rPr>
            </w:pPr>
          </w:p>
        </w:tc>
      </w:tr>
      <w:tr w14:paraId="01E26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717" w:type="dxa"/>
            <w:vMerge w:val="continue"/>
            <w:tcBorders>
              <w:top w:val="nil"/>
              <w:left w:val="single" w:color="000000" w:sz="6" w:space="0"/>
              <w:bottom w:val="nil"/>
            </w:tcBorders>
            <w:vAlign w:val="top"/>
          </w:tcPr>
          <w:p w14:paraId="17A9D672">
            <w:pPr>
              <w:rPr>
                <w:rFonts w:ascii="Arial"/>
                <w:sz w:val="21"/>
              </w:rPr>
            </w:pPr>
          </w:p>
        </w:tc>
        <w:tc>
          <w:tcPr>
            <w:tcW w:w="119" w:type="dxa"/>
            <w:tcBorders>
              <w:top w:val="nil"/>
              <w:bottom w:val="nil"/>
            </w:tcBorders>
            <w:vAlign w:val="top"/>
          </w:tcPr>
          <w:p w14:paraId="126312D8">
            <w:pPr>
              <w:rPr>
                <w:rFonts w:ascii="Arial"/>
                <w:sz w:val="21"/>
              </w:rPr>
            </w:pPr>
          </w:p>
        </w:tc>
        <w:tc>
          <w:tcPr>
            <w:tcW w:w="2101" w:type="dxa"/>
            <w:vMerge w:val="restart"/>
            <w:tcBorders>
              <w:bottom w:val="nil"/>
            </w:tcBorders>
            <w:vAlign w:val="top"/>
          </w:tcPr>
          <w:p w14:paraId="3AC58185">
            <w:pPr>
              <w:spacing w:line="301" w:lineRule="auto"/>
              <w:rPr>
                <w:rFonts w:ascii="Arial"/>
                <w:sz w:val="21"/>
              </w:rPr>
            </w:pPr>
          </w:p>
          <w:p w14:paraId="57FF73E4">
            <w:pPr>
              <w:spacing w:line="301" w:lineRule="auto"/>
              <w:rPr>
                <w:rFonts w:ascii="Arial"/>
                <w:sz w:val="21"/>
              </w:rPr>
            </w:pPr>
          </w:p>
          <w:p w14:paraId="10CB0DED">
            <w:pPr>
              <w:spacing w:before="65" w:line="228" w:lineRule="auto"/>
              <w:ind w:left="180"/>
              <w:rPr>
                <w:rFonts w:ascii="宋体" w:hAnsi="宋体" w:eastAsia="宋体" w:cs="宋体"/>
                <w:sz w:val="20"/>
                <w:szCs w:val="20"/>
              </w:rPr>
            </w:pPr>
            <w:r>
              <w:rPr>
                <w:rFonts w:ascii="Times New Roman" w:hAnsi="Times New Roman" w:eastAsia="Times New Roman" w:cs="Times New Roman"/>
                <w:sz w:val="20"/>
                <w:szCs w:val="20"/>
              </w:rPr>
              <w:t xml:space="preserve">2023 </w:t>
            </w:r>
            <w:r>
              <w:rPr>
                <w:rFonts w:ascii="宋体" w:hAnsi="宋体" w:eastAsia="宋体" w:cs="宋体"/>
                <w:sz w:val="20"/>
                <w:szCs w:val="20"/>
              </w:rPr>
              <w:t>年</w:t>
            </w:r>
            <w:r>
              <w:rPr>
                <w:rFonts w:ascii="宋体" w:hAnsi="宋体" w:eastAsia="宋体" w:cs="宋体"/>
                <w:spacing w:val="-14"/>
                <w:sz w:val="20"/>
                <w:szCs w:val="20"/>
              </w:rPr>
              <w:t xml:space="preserve"> </w:t>
            </w:r>
            <w:r>
              <w:rPr>
                <w:rFonts w:ascii="Times New Roman" w:hAnsi="Times New Roman" w:eastAsia="Times New Roman" w:cs="Times New Roman"/>
                <w:sz w:val="20"/>
                <w:szCs w:val="20"/>
              </w:rPr>
              <w:t>12</w:t>
            </w:r>
            <w:r>
              <w:rPr>
                <w:rFonts w:ascii="Times New Roman" w:hAnsi="Times New Roman" w:eastAsia="Times New Roman" w:cs="Times New Roman"/>
                <w:spacing w:val="15"/>
                <w:w w:val="101"/>
                <w:sz w:val="20"/>
                <w:szCs w:val="20"/>
              </w:rPr>
              <w:t xml:space="preserve"> </w:t>
            </w:r>
            <w:r>
              <w:rPr>
                <w:rFonts w:ascii="宋体" w:hAnsi="宋体" w:eastAsia="宋体" w:cs="宋体"/>
                <w:sz w:val="20"/>
                <w:szCs w:val="20"/>
              </w:rPr>
              <w:t>月</w:t>
            </w:r>
            <w:r>
              <w:rPr>
                <w:rFonts w:ascii="宋体" w:hAnsi="宋体" w:eastAsia="宋体" w:cs="宋体"/>
                <w:spacing w:val="-39"/>
                <w:sz w:val="20"/>
                <w:szCs w:val="20"/>
              </w:rPr>
              <w:t xml:space="preserve"> </w:t>
            </w:r>
            <w:r>
              <w:rPr>
                <w:rFonts w:ascii="Times New Roman" w:hAnsi="Times New Roman" w:eastAsia="Times New Roman" w:cs="Times New Roman"/>
                <w:sz w:val="20"/>
                <w:szCs w:val="20"/>
              </w:rPr>
              <w:t xml:space="preserve">30  </w:t>
            </w:r>
            <w:r>
              <w:rPr>
                <w:rFonts w:ascii="宋体" w:hAnsi="宋体" w:eastAsia="宋体" w:cs="宋体"/>
                <w:sz w:val="20"/>
                <w:szCs w:val="20"/>
              </w:rPr>
              <w:t>日</w:t>
            </w:r>
          </w:p>
        </w:tc>
        <w:tc>
          <w:tcPr>
            <w:tcW w:w="1308" w:type="dxa"/>
            <w:vAlign w:val="top"/>
          </w:tcPr>
          <w:p w14:paraId="440D4009">
            <w:pPr>
              <w:spacing w:before="152" w:line="195"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02:00</w:t>
            </w:r>
          </w:p>
        </w:tc>
        <w:tc>
          <w:tcPr>
            <w:tcW w:w="1451" w:type="dxa"/>
            <w:vAlign w:val="top"/>
          </w:tcPr>
          <w:p w14:paraId="3C07F57D">
            <w:pPr>
              <w:spacing w:before="152"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0.26</w:t>
            </w:r>
          </w:p>
        </w:tc>
        <w:tc>
          <w:tcPr>
            <w:tcW w:w="1435" w:type="dxa"/>
            <w:vAlign w:val="top"/>
          </w:tcPr>
          <w:p w14:paraId="2AB8B23A">
            <w:pPr>
              <w:spacing w:before="152"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02:10</w:t>
            </w:r>
          </w:p>
        </w:tc>
        <w:tc>
          <w:tcPr>
            <w:tcW w:w="1816" w:type="dxa"/>
            <w:vAlign w:val="top"/>
          </w:tcPr>
          <w:p w14:paraId="0DEAA86D">
            <w:pPr>
              <w:spacing w:before="152"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0.33</w:t>
            </w:r>
          </w:p>
        </w:tc>
        <w:tc>
          <w:tcPr>
            <w:tcW w:w="118" w:type="dxa"/>
            <w:tcBorders>
              <w:top w:val="nil"/>
              <w:bottom w:val="nil"/>
              <w:right w:val="single" w:color="000000" w:sz="6" w:space="0"/>
            </w:tcBorders>
            <w:vAlign w:val="top"/>
          </w:tcPr>
          <w:p w14:paraId="4D6B2B43">
            <w:pPr>
              <w:rPr>
                <w:rFonts w:ascii="Arial"/>
                <w:sz w:val="21"/>
              </w:rPr>
            </w:pPr>
          </w:p>
        </w:tc>
      </w:tr>
      <w:tr w14:paraId="0D476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717" w:type="dxa"/>
            <w:vMerge w:val="continue"/>
            <w:tcBorders>
              <w:top w:val="nil"/>
              <w:left w:val="single" w:color="000000" w:sz="6" w:space="0"/>
              <w:bottom w:val="nil"/>
            </w:tcBorders>
            <w:vAlign w:val="top"/>
          </w:tcPr>
          <w:p w14:paraId="1D0760E3">
            <w:pPr>
              <w:rPr>
                <w:rFonts w:ascii="Arial"/>
                <w:sz w:val="21"/>
              </w:rPr>
            </w:pPr>
          </w:p>
        </w:tc>
        <w:tc>
          <w:tcPr>
            <w:tcW w:w="119" w:type="dxa"/>
            <w:tcBorders>
              <w:top w:val="nil"/>
              <w:bottom w:val="nil"/>
            </w:tcBorders>
            <w:vAlign w:val="top"/>
          </w:tcPr>
          <w:p w14:paraId="5C3C48F6">
            <w:pPr>
              <w:rPr>
                <w:rFonts w:ascii="Arial"/>
                <w:sz w:val="21"/>
              </w:rPr>
            </w:pPr>
          </w:p>
        </w:tc>
        <w:tc>
          <w:tcPr>
            <w:tcW w:w="2101" w:type="dxa"/>
            <w:vMerge w:val="continue"/>
            <w:tcBorders>
              <w:top w:val="nil"/>
              <w:bottom w:val="nil"/>
            </w:tcBorders>
            <w:vAlign w:val="top"/>
          </w:tcPr>
          <w:p w14:paraId="088CD038">
            <w:pPr>
              <w:rPr>
                <w:rFonts w:ascii="Arial"/>
                <w:sz w:val="21"/>
              </w:rPr>
            </w:pPr>
          </w:p>
        </w:tc>
        <w:tc>
          <w:tcPr>
            <w:tcW w:w="1308" w:type="dxa"/>
            <w:vAlign w:val="top"/>
          </w:tcPr>
          <w:p w14:paraId="28A4F15C">
            <w:pPr>
              <w:spacing w:before="157" w:line="195"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08:00</w:t>
            </w:r>
          </w:p>
        </w:tc>
        <w:tc>
          <w:tcPr>
            <w:tcW w:w="1451" w:type="dxa"/>
            <w:vAlign w:val="top"/>
          </w:tcPr>
          <w:p w14:paraId="55BB80A4">
            <w:pPr>
              <w:spacing w:before="157"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0.27</w:t>
            </w:r>
          </w:p>
        </w:tc>
        <w:tc>
          <w:tcPr>
            <w:tcW w:w="1435" w:type="dxa"/>
            <w:vAlign w:val="top"/>
          </w:tcPr>
          <w:p w14:paraId="5EF93350">
            <w:pPr>
              <w:spacing w:before="157"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08:11</w:t>
            </w:r>
          </w:p>
        </w:tc>
        <w:tc>
          <w:tcPr>
            <w:tcW w:w="1816" w:type="dxa"/>
            <w:vAlign w:val="top"/>
          </w:tcPr>
          <w:p w14:paraId="6C6FC9DE">
            <w:pPr>
              <w:spacing w:before="157"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0.37</w:t>
            </w:r>
          </w:p>
        </w:tc>
        <w:tc>
          <w:tcPr>
            <w:tcW w:w="118" w:type="dxa"/>
            <w:tcBorders>
              <w:top w:val="nil"/>
              <w:bottom w:val="nil"/>
              <w:right w:val="single" w:color="000000" w:sz="6" w:space="0"/>
            </w:tcBorders>
            <w:vAlign w:val="top"/>
          </w:tcPr>
          <w:p w14:paraId="17311520">
            <w:pPr>
              <w:rPr>
                <w:rFonts w:ascii="Arial"/>
                <w:sz w:val="21"/>
              </w:rPr>
            </w:pPr>
          </w:p>
        </w:tc>
      </w:tr>
      <w:tr w14:paraId="45463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717" w:type="dxa"/>
            <w:vMerge w:val="continue"/>
            <w:tcBorders>
              <w:top w:val="nil"/>
              <w:left w:val="single" w:color="000000" w:sz="6" w:space="0"/>
              <w:bottom w:val="nil"/>
            </w:tcBorders>
            <w:vAlign w:val="top"/>
          </w:tcPr>
          <w:p w14:paraId="3BB2F8C1">
            <w:pPr>
              <w:rPr>
                <w:rFonts w:ascii="Arial"/>
                <w:sz w:val="21"/>
              </w:rPr>
            </w:pPr>
          </w:p>
        </w:tc>
        <w:tc>
          <w:tcPr>
            <w:tcW w:w="119" w:type="dxa"/>
            <w:tcBorders>
              <w:top w:val="nil"/>
              <w:bottom w:val="nil"/>
            </w:tcBorders>
            <w:vAlign w:val="top"/>
          </w:tcPr>
          <w:p w14:paraId="37DB8962">
            <w:pPr>
              <w:rPr>
                <w:rFonts w:ascii="Arial"/>
                <w:sz w:val="21"/>
              </w:rPr>
            </w:pPr>
          </w:p>
        </w:tc>
        <w:tc>
          <w:tcPr>
            <w:tcW w:w="2101" w:type="dxa"/>
            <w:vMerge w:val="continue"/>
            <w:tcBorders>
              <w:top w:val="nil"/>
              <w:bottom w:val="nil"/>
            </w:tcBorders>
            <w:vAlign w:val="top"/>
          </w:tcPr>
          <w:p w14:paraId="2E0C731E">
            <w:pPr>
              <w:rPr>
                <w:rFonts w:ascii="Arial"/>
                <w:sz w:val="21"/>
              </w:rPr>
            </w:pPr>
          </w:p>
        </w:tc>
        <w:tc>
          <w:tcPr>
            <w:tcW w:w="1308" w:type="dxa"/>
            <w:vAlign w:val="top"/>
          </w:tcPr>
          <w:p w14:paraId="5A35A5DF">
            <w:pPr>
              <w:spacing w:before="169" w:line="195" w:lineRule="auto"/>
              <w:ind w:left="43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14:00</w:t>
            </w:r>
          </w:p>
        </w:tc>
        <w:tc>
          <w:tcPr>
            <w:tcW w:w="1451" w:type="dxa"/>
            <w:vAlign w:val="top"/>
          </w:tcPr>
          <w:p w14:paraId="6785398C">
            <w:pPr>
              <w:spacing w:before="169"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0.31</w:t>
            </w:r>
          </w:p>
        </w:tc>
        <w:tc>
          <w:tcPr>
            <w:tcW w:w="1435" w:type="dxa"/>
            <w:vAlign w:val="top"/>
          </w:tcPr>
          <w:p w14:paraId="1C26AE5B">
            <w:pPr>
              <w:spacing w:before="169" w:line="195" w:lineRule="auto"/>
              <w:ind w:left="50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14:13</w:t>
            </w:r>
          </w:p>
        </w:tc>
        <w:tc>
          <w:tcPr>
            <w:tcW w:w="1816" w:type="dxa"/>
            <w:vAlign w:val="top"/>
          </w:tcPr>
          <w:p w14:paraId="41C73F6F">
            <w:pPr>
              <w:spacing w:before="169"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0.40</w:t>
            </w:r>
          </w:p>
        </w:tc>
        <w:tc>
          <w:tcPr>
            <w:tcW w:w="118" w:type="dxa"/>
            <w:tcBorders>
              <w:top w:val="nil"/>
              <w:bottom w:val="nil"/>
              <w:right w:val="single" w:color="000000" w:sz="6" w:space="0"/>
            </w:tcBorders>
            <w:vAlign w:val="top"/>
          </w:tcPr>
          <w:p w14:paraId="194D93E5">
            <w:pPr>
              <w:rPr>
                <w:rFonts w:ascii="Arial"/>
                <w:sz w:val="21"/>
              </w:rPr>
            </w:pPr>
          </w:p>
        </w:tc>
      </w:tr>
      <w:tr w14:paraId="7845D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717" w:type="dxa"/>
            <w:vMerge w:val="continue"/>
            <w:tcBorders>
              <w:top w:val="nil"/>
              <w:left w:val="single" w:color="000000" w:sz="6" w:space="0"/>
              <w:bottom w:val="nil"/>
            </w:tcBorders>
            <w:vAlign w:val="top"/>
          </w:tcPr>
          <w:p w14:paraId="52E98586">
            <w:pPr>
              <w:rPr>
                <w:rFonts w:ascii="Arial"/>
                <w:sz w:val="21"/>
              </w:rPr>
            </w:pPr>
          </w:p>
        </w:tc>
        <w:tc>
          <w:tcPr>
            <w:tcW w:w="119" w:type="dxa"/>
            <w:tcBorders>
              <w:top w:val="nil"/>
              <w:bottom w:val="nil"/>
            </w:tcBorders>
            <w:vAlign w:val="top"/>
          </w:tcPr>
          <w:p w14:paraId="4CE259C6">
            <w:pPr>
              <w:rPr>
                <w:rFonts w:ascii="Arial"/>
                <w:sz w:val="21"/>
              </w:rPr>
            </w:pPr>
          </w:p>
        </w:tc>
        <w:tc>
          <w:tcPr>
            <w:tcW w:w="2101" w:type="dxa"/>
            <w:vMerge w:val="continue"/>
            <w:tcBorders>
              <w:top w:val="nil"/>
            </w:tcBorders>
            <w:vAlign w:val="top"/>
          </w:tcPr>
          <w:p w14:paraId="4FE6112F">
            <w:pPr>
              <w:rPr>
                <w:rFonts w:ascii="Arial"/>
                <w:sz w:val="21"/>
              </w:rPr>
            </w:pPr>
          </w:p>
        </w:tc>
        <w:tc>
          <w:tcPr>
            <w:tcW w:w="1308" w:type="dxa"/>
            <w:vAlign w:val="top"/>
          </w:tcPr>
          <w:p w14:paraId="762E141D">
            <w:pPr>
              <w:spacing w:before="161" w:line="195" w:lineRule="auto"/>
              <w:ind w:left="4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20:00</w:t>
            </w:r>
          </w:p>
        </w:tc>
        <w:tc>
          <w:tcPr>
            <w:tcW w:w="1451" w:type="dxa"/>
            <w:vAlign w:val="top"/>
          </w:tcPr>
          <w:p w14:paraId="77BD966E">
            <w:pPr>
              <w:spacing w:before="161"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0.33</w:t>
            </w:r>
          </w:p>
        </w:tc>
        <w:tc>
          <w:tcPr>
            <w:tcW w:w="1435" w:type="dxa"/>
            <w:vAlign w:val="top"/>
          </w:tcPr>
          <w:p w14:paraId="7ADC7655">
            <w:pPr>
              <w:spacing w:before="161" w:line="195" w:lineRule="auto"/>
              <w:ind w:left="48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20:10</w:t>
            </w:r>
          </w:p>
        </w:tc>
        <w:tc>
          <w:tcPr>
            <w:tcW w:w="1816" w:type="dxa"/>
            <w:vAlign w:val="top"/>
          </w:tcPr>
          <w:p w14:paraId="7D073363">
            <w:pPr>
              <w:spacing w:before="161"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0.40</w:t>
            </w:r>
          </w:p>
        </w:tc>
        <w:tc>
          <w:tcPr>
            <w:tcW w:w="118" w:type="dxa"/>
            <w:tcBorders>
              <w:top w:val="nil"/>
              <w:bottom w:val="nil"/>
              <w:right w:val="single" w:color="000000" w:sz="6" w:space="0"/>
            </w:tcBorders>
            <w:vAlign w:val="top"/>
          </w:tcPr>
          <w:p w14:paraId="284B4BFA">
            <w:pPr>
              <w:rPr>
                <w:rFonts w:ascii="Arial"/>
                <w:sz w:val="21"/>
              </w:rPr>
            </w:pPr>
          </w:p>
        </w:tc>
      </w:tr>
      <w:tr w14:paraId="7BAC5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717" w:type="dxa"/>
            <w:vMerge w:val="continue"/>
            <w:tcBorders>
              <w:top w:val="nil"/>
              <w:left w:val="single" w:color="000000" w:sz="6" w:space="0"/>
              <w:bottom w:val="nil"/>
            </w:tcBorders>
            <w:vAlign w:val="top"/>
          </w:tcPr>
          <w:p w14:paraId="00AC3E9B">
            <w:pPr>
              <w:rPr>
                <w:rFonts w:ascii="Arial"/>
                <w:sz w:val="21"/>
              </w:rPr>
            </w:pPr>
          </w:p>
        </w:tc>
        <w:tc>
          <w:tcPr>
            <w:tcW w:w="119" w:type="dxa"/>
            <w:tcBorders>
              <w:top w:val="nil"/>
              <w:bottom w:val="nil"/>
            </w:tcBorders>
            <w:vAlign w:val="top"/>
          </w:tcPr>
          <w:p w14:paraId="5E3C4462">
            <w:pPr>
              <w:rPr>
                <w:rFonts w:ascii="Arial"/>
                <w:sz w:val="21"/>
              </w:rPr>
            </w:pPr>
          </w:p>
        </w:tc>
        <w:tc>
          <w:tcPr>
            <w:tcW w:w="2101" w:type="dxa"/>
            <w:vMerge w:val="restart"/>
            <w:tcBorders>
              <w:bottom w:val="nil"/>
            </w:tcBorders>
            <w:vAlign w:val="top"/>
          </w:tcPr>
          <w:p w14:paraId="666DBA22">
            <w:pPr>
              <w:spacing w:line="302" w:lineRule="auto"/>
              <w:rPr>
                <w:rFonts w:ascii="Arial"/>
                <w:sz w:val="21"/>
              </w:rPr>
            </w:pPr>
          </w:p>
          <w:p w14:paraId="7AD2C9CF">
            <w:pPr>
              <w:spacing w:line="302" w:lineRule="auto"/>
              <w:rPr>
                <w:rFonts w:ascii="Arial"/>
                <w:sz w:val="21"/>
              </w:rPr>
            </w:pPr>
          </w:p>
          <w:p w14:paraId="57F7F383">
            <w:pPr>
              <w:spacing w:before="65" w:line="228" w:lineRule="auto"/>
              <w:ind w:left="180"/>
              <w:rPr>
                <w:rFonts w:ascii="宋体" w:hAnsi="宋体" w:eastAsia="宋体" w:cs="宋体"/>
                <w:sz w:val="20"/>
                <w:szCs w:val="20"/>
              </w:rPr>
            </w:pPr>
            <w:r>
              <w:rPr>
                <w:rFonts w:ascii="Times New Roman" w:hAnsi="Times New Roman" w:eastAsia="Times New Roman" w:cs="Times New Roman"/>
                <w:sz w:val="20"/>
                <w:szCs w:val="20"/>
              </w:rPr>
              <w:t xml:space="preserve">2023 </w:t>
            </w:r>
            <w:r>
              <w:rPr>
                <w:rFonts w:ascii="宋体" w:hAnsi="宋体" w:eastAsia="宋体" w:cs="宋体"/>
                <w:sz w:val="20"/>
                <w:szCs w:val="20"/>
              </w:rPr>
              <w:t>年</w:t>
            </w:r>
            <w:r>
              <w:rPr>
                <w:rFonts w:ascii="宋体" w:hAnsi="宋体" w:eastAsia="宋体" w:cs="宋体"/>
                <w:spacing w:val="-14"/>
                <w:sz w:val="20"/>
                <w:szCs w:val="20"/>
              </w:rPr>
              <w:t xml:space="preserve"> </w:t>
            </w:r>
            <w:r>
              <w:rPr>
                <w:rFonts w:ascii="Times New Roman" w:hAnsi="Times New Roman" w:eastAsia="Times New Roman" w:cs="Times New Roman"/>
                <w:sz w:val="20"/>
                <w:szCs w:val="20"/>
              </w:rPr>
              <w:t>12</w:t>
            </w:r>
            <w:r>
              <w:rPr>
                <w:rFonts w:ascii="Times New Roman" w:hAnsi="Times New Roman" w:eastAsia="Times New Roman" w:cs="Times New Roman"/>
                <w:spacing w:val="15"/>
                <w:w w:val="101"/>
                <w:sz w:val="20"/>
                <w:szCs w:val="20"/>
              </w:rPr>
              <w:t xml:space="preserve"> </w:t>
            </w:r>
            <w:r>
              <w:rPr>
                <w:rFonts w:ascii="宋体" w:hAnsi="宋体" w:eastAsia="宋体" w:cs="宋体"/>
                <w:sz w:val="20"/>
                <w:szCs w:val="20"/>
              </w:rPr>
              <w:t>月</w:t>
            </w:r>
            <w:r>
              <w:rPr>
                <w:rFonts w:ascii="宋体" w:hAnsi="宋体" w:eastAsia="宋体" w:cs="宋体"/>
                <w:spacing w:val="-39"/>
                <w:sz w:val="20"/>
                <w:szCs w:val="20"/>
              </w:rPr>
              <w:t xml:space="preserve"> </w:t>
            </w:r>
            <w:r>
              <w:rPr>
                <w:rFonts w:ascii="Times New Roman" w:hAnsi="Times New Roman" w:eastAsia="Times New Roman" w:cs="Times New Roman"/>
                <w:sz w:val="20"/>
                <w:szCs w:val="20"/>
              </w:rPr>
              <w:t xml:space="preserve">31  </w:t>
            </w:r>
            <w:r>
              <w:rPr>
                <w:rFonts w:ascii="宋体" w:hAnsi="宋体" w:eastAsia="宋体" w:cs="宋体"/>
                <w:sz w:val="20"/>
                <w:szCs w:val="20"/>
              </w:rPr>
              <w:t>日</w:t>
            </w:r>
          </w:p>
        </w:tc>
        <w:tc>
          <w:tcPr>
            <w:tcW w:w="1308" w:type="dxa"/>
            <w:vAlign w:val="top"/>
          </w:tcPr>
          <w:p w14:paraId="652579F4">
            <w:pPr>
              <w:spacing w:before="155" w:line="195"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02:00</w:t>
            </w:r>
          </w:p>
        </w:tc>
        <w:tc>
          <w:tcPr>
            <w:tcW w:w="1451" w:type="dxa"/>
            <w:vAlign w:val="top"/>
          </w:tcPr>
          <w:p w14:paraId="79B54A66">
            <w:pPr>
              <w:spacing w:before="155"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0.29</w:t>
            </w:r>
          </w:p>
        </w:tc>
        <w:tc>
          <w:tcPr>
            <w:tcW w:w="1435" w:type="dxa"/>
            <w:vAlign w:val="top"/>
          </w:tcPr>
          <w:p w14:paraId="3EF1C526">
            <w:pPr>
              <w:spacing w:before="155"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02:10</w:t>
            </w:r>
          </w:p>
        </w:tc>
        <w:tc>
          <w:tcPr>
            <w:tcW w:w="1816" w:type="dxa"/>
            <w:vAlign w:val="top"/>
          </w:tcPr>
          <w:p w14:paraId="51E2771B">
            <w:pPr>
              <w:spacing w:before="155"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0.34</w:t>
            </w:r>
          </w:p>
        </w:tc>
        <w:tc>
          <w:tcPr>
            <w:tcW w:w="118" w:type="dxa"/>
            <w:tcBorders>
              <w:top w:val="nil"/>
              <w:bottom w:val="nil"/>
              <w:right w:val="single" w:color="000000" w:sz="6" w:space="0"/>
            </w:tcBorders>
            <w:vAlign w:val="top"/>
          </w:tcPr>
          <w:p w14:paraId="60D5657B">
            <w:pPr>
              <w:rPr>
                <w:rFonts w:ascii="Arial"/>
                <w:sz w:val="21"/>
              </w:rPr>
            </w:pPr>
          </w:p>
        </w:tc>
      </w:tr>
      <w:tr w14:paraId="52001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717" w:type="dxa"/>
            <w:vMerge w:val="continue"/>
            <w:tcBorders>
              <w:top w:val="nil"/>
              <w:left w:val="single" w:color="000000" w:sz="6" w:space="0"/>
              <w:bottom w:val="nil"/>
            </w:tcBorders>
            <w:vAlign w:val="top"/>
          </w:tcPr>
          <w:p w14:paraId="65BA7A3A">
            <w:pPr>
              <w:rPr>
                <w:rFonts w:ascii="Arial"/>
                <w:sz w:val="21"/>
              </w:rPr>
            </w:pPr>
          </w:p>
        </w:tc>
        <w:tc>
          <w:tcPr>
            <w:tcW w:w="119" w:type="dxa"/>
            <w:tcBorders>
              <w:top w:val="nil"/>
              <w:bottom w:val="nil"/>
            </w:tcBorders>
            <w:vAlign w:val="top"/>
          </w:tcPr>
          <w:p w14:paraId="039ACC14">
            <w:pPr>
              <w:rPr>
                <w:rFonts w:ascii="Arial"/>
                <w:sz w:val="21"/>
              </w:rPr>
            </w:pPr>
          </w:p>
        </w:tc>
        <w:tc>
          <w:tcPr>
            <w:tcW w:w="2101" w:type="dxa"/>
            <w:vMerge w:val="continue"/>
            <w:tcBorders>
              <w:top w:val="nil"/>
              <w:bottom w:val="nil"/>
            </w:tcBorders>
            <w:vAlign w:val="top"/>
          </w:tcPr>
          <w:p w14:paraId="4BE8BFF1">
            <w:pPr>
              <w:rPr>
                <w:rFonts w:ascii="Arial"/>
                <w:sz w:val="21"/>
              </w:rPr>
            </w:pPr>
          </w:p>
        </w:tc>
        <w:tc>
          <w:tcPr>
            <w:tcW w:w="1308" w:type="dxa"/>
            <w:vAlign w:val="top"/>
          </w:tcPr>
          <w:p w14:paraId="0985DD8F">
            <w:pPr>
              <w:spacing w:before="163" w:line="189"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08:00</w:t>
            </w:r>
          </w:p>
        </w:tc>
        <w:tc>
          <w:tcPr>
            <w:tcW w:w="1451" w:type="dxa"/>
            <w:vAlign w:val="top"/>
          </w:tcPr>
          <w:p w14:paraId="61B770D7">
            <w:pPr>
              <w:spacing w:before="163" w:line="189"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0.32</w:t>
            </w:r>
          </w:p>
        </w:tc>
        <w:tc>
          <w:tcPr>
            <w:tcW w:w="1435" w:type="dxa"/>
            <w:vAlign w:val="top"/>
          </w:tcPr>
          <w:p w14:paraId="769E2550">
            <w:pPr>
              <w:spacing w:before="163" w:line="189"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08:11</w:t>
            </w:r>
          </w:p>
        </w:tc>
        <w:tc>
          <w:tcPr>
            <w:tcW w:w="1816" w:type="dxa"/>
            <w:vAlign w:val="top"/>
          </w:tcPr>
          <w:p w14:paraId="688EC062">
            <w:pPr>
              <w:spacing w:before="163" w:line="189"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118" w:type="dxa"/>
            <w:tcBorders>
              <w:top w:val="nil"/>
              <w:bottom w:val="nil"/>
              <w:right w:val="single" w:color="000000" w:sz="6" w:space="0"/>
            </w:tcBorders>
            <w:vAlign w:val="top"/>
          </w:tcPr>
          <w:p w14:paraId="0DA4225E">
            <w:pPr>
              <w:rPr>
                <w:rFonts w:ascii="Arial"/>
                <w:sz w:val="21"/>
              </w:rPr>
            </w:pPr>
          </w:p>
        </w:tc>
      </w:tr>
      <w:tr w14:paraId="0C47D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717" w:type="dxa"/>
            <w:vMerge w:val="continue"/>
            <w:tcBorders>
              <w:top w:val="nil"/>
              <w:left w:val="single" w:color="000000" w:sz="6" w:space="0"/>
              <w:bottom w:val="nil"/>
            </w:tcBorders>
            <w:vAlign w:val="top"/>
          </w:tcPr>
          <w:p w14:paraId="4CC24925">
            <w:pPr>
              <w:rPr>
                <w:rFonts w:ascii="Arial"/>
                <w:sz w:val="21"/>
              </w:rPr>
            </w:pPr>
          </w:p>
        </w:tc>
        <w:tc>
          <w:tcPr>
            <w:tcW w:w="119" w:type="dxa"/>
            <w:tcBorders>
              <w:top w:val="nil"/>
              <w:bottom w:val="nil"/>
            </w:tcBorders>
            <w:vAlign w:val="top"/>
          </w:tcPr>
          <w:p w14:paraId="36F602F4">
            <w:pPr>
              <w:rPr>
                <w:rFonts w:ascii="Arial"/>
                <w:sz w:val="21"/>
              </w:rPr>
            </w:pPr>
          </w:p>
        </w:tc>
        <w:tc>
          <w:tcPr>
            <w:tcW w:w="2101" w:type="dxa"/>
            <w:vMerge w:val="continue"/>
            <w:tcBorders>
              <w:top w:val="nil"/>
              <w:bottom w:val="nil"/>
            </w:tcBorders>
            <w:vAlign w:val="top"/>
          </w:tcPr>
          <w:p w14:paraId="63673420">
            <w:pPr>
              <w:rPr>
                <w:rFonts w:ascii="Arial"/>
                <w:sz w:val="21"/>
              </w:rPr>
            </w:pPr>
          </w:p>
        </w:tc>
        <w:tc>
          <w:tcPr>
            <w:tcW w:w="1308" w:type="dxa"/>
            <w:vAlign w:val="top"/>
          </w:tcPr>
          <w:p w14:paraId="470212CD">
            <w:pPr>
              <w:spacing w:before="172" w:line="195" w:lineRule="auto"/>
              <w:ind w:left="43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14:00</w:t>
            </w:r>
          </w:p>
        </w:tc>
        <w:tc>
          <w:tcPr>
            <w:tcW w:w="1451" w:type="dxa"/>
            <w:vAlign w:val="top"/>
          </w:tcPr>
          <w:p w14:paraId="3749B5AF">
            <w:pPr>
              <w:spacing w:before="172"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0.33</w:t>
            </w:r>
          </w:p>
        </w:tc>
        <w:tc>
          <w:tcPr>
            <w:tcW w:w="1435" w:type="dxa"/>
            <w:vAlign w:val="top"/>
          </w:tcPr>
          <w:p w14:paraId="34855F65">
            <w:pPr>
              <w:spacing w:before="172" w:line="195" w:lineRule="auto"/>
              <w:ind w:left="50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14:13</w:t>
            </w:r>
          </w:p>
        </w:tc>
        <w:tc>
          <w:tcPr>
            <w:tcW w:w="1816" w:type="dxa"/>
            <w:vAlign w:val="top"/>
          </w:tcPr>
          <w:p w14:paraId="443B840A">
            <w:pPr>
              <w:spacing w:before="172"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0.40</w:t>
            </w:r>
          </w:p>
        </w:tc>
        <w:tc>
          <w:tcPr>
            <w:tcW w:w="118" w:type="dxa"/>
            <w:tcBorders>
              <w:top w:val="nil"/>
              <w:bottom w:val="nil"/>
              <w:right w:val="single" w:color="000000" w:sz="6" w:space="0"/>
            </w:tcBorders>
            <w:vAlign w:val="top"/>
          </w:tcPr>
          <w:p w14:paraId="7A60C8FF">
            <w:pPr>
              <w:rPr>
                <w:rFonts w:ascii="Arial"/>
                <w:sz w:val="21"/>
              </w:rPr>
            </w:pPr>
          </w:p>
        </w:tc>
      </w:tr>
      <w:tr w14:paraId="38F45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717" w:type="dxa"/>
            <w:vMerge w:val="continue"/>
            <w:tcBorders>
              <w:top w:val="nil"/>
              <w:left w:val="single" w:color="000000" w:sz="6" w:space="0"/>
              <w:bottom w:val="nil"/>
            </w:tcBorders>
            <w:vAlign w:val="top"/>
          </w:tcPr>
          <w:p w14:paraId="372B5858">
            <w:pPr>
              <w:rPr>
                <w:rFonts w:ascii="Arial"/>
                <w:sz w:val="21"/>
              </w:rPr>
            </w:pPr>
          </w:p>
        </w:tc>
        <w:tc>
          <w:tcPr>
            <w:tcW w:w="119" w:type="dxa"/>
            <w:tcBorders>
              <w:top w:val="nil"/>
              <w:bottom w:val="nil"/>
            </w:tcBorders>
            <w:vAlign w:val="top"/>
          </w:tcPr>
          <w:p w14:paraId="4EBF7BF5">
            <w:pPr>
              <w:rPr>
                <w:rFonts w:ascii="Arial"/>
                <w:sz w:val="21"/>
              </w:rPr>
            </w:pPr>
          </w:p>
        </w:tc>
        <w:tc>
          <w:tcPr>
            <w:tcW w:w="2101" w:type="dxa"/>
            <w:vMerge w:val="continue"/>
            <w:tcBorders>
              <w:top w:val="nil"/>
            </w:tcBorders>
            <w:vAlign w:val="top"/>
          </w:tcPr>
          <w:p w14:paraId="3C60D334">
            <w:pPr>
              <w:rPr>
                <w:rFonts w:ascii="Arial"/>
                <w:sz w:val="21"/>
              </w:rPr>
            </w:pPr>
          </w:p>
        </w:tc>
        <w:tc>
          <w:tcPr>
            <w:tcW w:w="1308" w:type="dxa"/>
            <w:vAlign w:val="top"/>
          </w:tcPr>
          <w:p w14:paraId="0446E8E8">
            <w:pPr>
              <w:spacing w:before="164" w:line="195" w:lineRule="auto"/>
              <w:ind w:left="4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20:00</w:t>
            </w:r>
          </w:p>
        </w:tc>
        <w:tc>
          <w:tcPr>
            <w:tcW w:w="1451" w:type="dxa"/>
            <w:vAlign w:val="top"/>
          </w:tcPr>
          <w:p w14:paraId="2DEC1B89">
            <w:pPr>
              <w:spacing w:before="164"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0.34</w:t>
            </w:r>
          </w:p>
        </w:tc>
        <w:tc>
          <w:tcPr>
            <w:tcW w:w="1435" w:type="dxa"/>
            <w:vAlign w:val="top"/>
          </w:tcPr>
          <w:p w14:paraId="56F30828">
            <w:pPr>
              <w:spacing w:before="164" w:line="195" w:lineRule="auto"/>
              <w:ind w:left="48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20:10</w:t>
            </w:r>
          </w:p>
        </w:tc>
        <w:tc>
          <w:tcPr>
            <w:tcW w:w="1816" w:type="dxa"/>
            <w:vAlign w:val="top"/>
          </w:tcPr>
          <w:p w14:paraId="64B032ED">
            <w:pPr>
              <w:spacing w:before="164"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0.41</w:t>
            </w:r>
          </w:p>
        </w:tc>
        <w:tc>
          <w:tcPr>
            <w:tcW w:w="118" w:type="dxa"/>
            <w:tcBorders>
              <w:top w:val="nil"/>
              <w:bottom w:val="nil"/>
              <w:right w:val="single" w:color="000000" w:sz="6" w:space="0"/>
            </w:tcBorders>
            <w:vAlign w:val="top"/>
          </w:tcPr>
          <w:p w14:paraId="3CB0D6E1">
            <w:pPr>
              <w:rPr>
                <w:rFonts w:ascii="Arial"/>
                <w:sz w:val="21"/>
              </w:rPr>
            </w:pPr>
          </w:p>
        </w:tc>
      </w:tr>
      <w:tr w14:paraId="2FB93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717" w:type="dxa"/>
            <w:vMerge w:val="continue"/>
            <w:tcBorders>
              <w:top w:val="nil"/>
              <w:left w:val="single" w:color="000000" w:sz="6" w:space="0"/>
              <w:bottom w:val="nil"/>
            </w:tcBorders>
            <w:vAlign w:val="top"/>
          </w:tcPr>
          <w:p w14:paraId="468160D2">
            <w:pPr>
              <w:rPr>
                <w:rFonts w:ascii="Arial"/>
                <w:sz w:val="21"/>
              </w:rPr>
            </w:pPr>
          </w:p>
        </w:tc>
        <w:tc>
          <w:tcPr>
            <w:tcW w:w="119" w:type="dxa"/>
            <w:tcBorders>
              <w:top w:val="nil"/>
              <w:bottom w:val="nil"/>
            </w:tcBorders>
            <w:vAlign w:val="top"/>
          </w:tcPr>
          <w:p w14:paraId="62AB1D49">
            <w:pPr>
              <w:rPr>
                <w:rFonts w:ascii="Arial"/>
                <w:sz w:val="21"/>
              </w:rPr>
            </w:pPr>
          </w:p>
        </w:tc>
        <w:tc>
          <w:tcPr>
            <w:tcW w:w="2101" w:type="dxa"/>
            <w:vMerge w:val="restart"/>
            <w:tcBorders>
              <w:bottom w:val="nil"/>
            </w:tcBorders>
            <w:vAlign w:val="top"/>
          </w:tcPr>
          <w:p w14:paraId="27850CBF">
            <w:pPr>
              <w:spacing w:line="303" w:lineRule="auto"/>
              <w:rPr>
                <w:rFonts w:ascii="Arial"/>
                <w:sz w:val="21"/>
              </w:rPr>
            </w:pPr>
          </w:p>
          <w:p w14:paraId="63CC39C0">
            <w:pPr>
              <w:spacing w:line="303" w:lineRule="auto"/>
              <w:rPr>
                <w:rFonts w:ascii="Arial"/>
                <w:sz w:val="21"/>
              </w:rPr>
            </w:pPr>
          </w:p>
          <w:p w14:paraId="40EC7301">
            <w:pPr>
              <w:spacing w:before="65" w:line="228" w:lineRule="auto"/>
              <w:ind w:left="180"/>
              <w:rPr>
                <w:rFonts w:ascii="宋体" w:hAnsi="宋体" w:eastAsia="宋体" w:cs="宋体"/>
                <w:sz w:val="20"/>
                <w:szCs w:val="20"/>
              </w:rPr>
            </w:pPr>
            <w:r>
              <w:rPr>
                <w:rFonts w:ascii="Times New Roman" w:hAnsi="Times New Roman" w:eastAsia="Times New Roman" w:cs="Times New Roman"/>
                <w:spacing w:val="1"/>
                <w:sz w:val="20"/>
                <w:szCs w:val="20"/>
              </w:rPr>
              <w:t xml:space="preserve">2024 </w:t>
            </w:r>
            <w:r>
              <w:rPr>
                <w:rFonts w:ascii="宋体" w:hAnsi="宋体" w:eastAsia="宋体" w:cs="宋体"/>
                <w:spacing w:val="1"/>
                <w:sz w:val="20"/>
                <w:szCs w:val="20"/>
              </w:rPr>
              <w:t>年</w:t>
            </w:r>
            <w:r>
              <w:rPr>
                <w:rFonts w:ascii="宋体" w:hAnsi="宋体" w:eastAsia="宋体" w:cs="宋体"/>
                <w:spacing w:val="-27"/>
                <w:sz w:val="20"/>
                <w:szCs w:val="20"/>
              </w:rPr>
              <w:t xml:space="preserve"> </w:t>
            </w:r>
            <w:r>
              <w:rPr>
                <w:rFonts w:ascii="Times New Roman" w:hAnsi="Times New Roman" w:eastAsia="Times New Roman" w:cs="Times New Roman"/>
                <w:spacing w:val="1"/>
                <w:sz w:val="20"/>
                <w:szCs w:val="20"/>
              </w:rPr>
              <w:t>01</w:t>
            </w:r>
            <w:r>
              <w:rPr>
                <w:rFonts w:ascii="Times New Roman" w:hAnsi="Times New Roman" w:eastAsia="Times New Roman" w:cs="Times New Roman"/>
                <w:spacing w:val="15"/>
                <w:w w:val="101"/>
                <w:sz w:val="20"/>
                <w:szCs w:val="20"/>
              </w:rPr>
              <w:t xml:space="preserve"> </w:t>
            </w:r>
            <w:r>
              <w:rPr>
                <w:rFonts w:ascii="宋体" w:hAnsi="宋体" w:eastAsia="宋体" w:cs="宋体"/>
                <w:spacing w:val="1"/>
                <w:sz w:val="20"/>
                <w:szCs w:val="20"/>
              </w:rPr>
              <w:t>月</w:t>
            </w:r>
            <w:r>
              <w:rPr>
                <w:rFonts w:ascii="宋体" w:hAnsi="宋体" w:eastAsia="宋体" w:cs="宋体"/>
                <w:spacing w:val="-40"/>
                <w:sz w:val="20"/>
                <w:szCs w:val="20"/>
              </w:rPr>
              <w:t xml:space="preserve"> </w:t>
            </w:r>
            <w:r>
              <w:rPr>
                <w:rFonts w:ascii="Times New Roman" w:hAnsi="Times New Roman" w:eastAsia="Times New Roman" w:cs="Times New Roman"/>
                <w:spacing w:val="1"/>
                <w:sz w:val="20"/>
                <w:szCs w:val="20"/>
              </w:rPr>
              <w:t xml:space="preserve">01  </w:t>
            </w:r>
            <w:r>
              <w:rPr>
                <w:rFonts w:ascii="宋体" w:hAnsi="宋体" w:eastAsia="宋体" w:cs="宋体"/>
                <w:spacing w:val="1"/>
                <w:sz w:val="20"/>
                <w:szCs w:val="20"/>
              </w:rPr>
              <w:t>日</w:t>
            </w:r>
          </w:p>
        </w:tc>
        <w:tc>
          <w:tcPr>
            <w:tcW w:w="1308" w:type="dxa"/>
            <w:vAlign w:val="top"/>
          </w:tcPr>
          <w:p w14:paraId="56CA4A9E">
            <w:pPr>
              <w:spacing w:before="158" w:line="194"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02:00</w:t>
            </w:r>
          </w:p>
        </w:tc>
        <w:tc>
          <w:tcPr>
            <w:tcW w:w="1451" w:type="dxa"/>
            <w:vAlign w:val="top"/>
          </w:tcPr>
          <w:p w14:paraId="5B81DF19">
            <w:pPr>
              <w:spacing w:before="158" w:line="194"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0.28</w:t>
            </w:r>
          </w:p>
        </w:tc>
        <w:tc>
          <w:tcPr>
            <w:tcW w:w="1435" w:type="dxa"/>
            <w:vAlign w:val="top"/>
          </w:tcPr>
          <w:p w14:paraId="508CF202">
            <w:pPr>
              <w:spacing w:before="158" w:line="194"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02:10</w:t>
            </w:r>
          </w:p>
        </w:tc>
        <w:tc>
          <w:tcPr>
            <w:tcW w:w="1816" w:type="dxa"/>
            <w:vAlign w:val="top"/>
          </w:tcPr>
          <w:p w14:paraId="225A59AE">
            <w:pPr>
              <w:spacing w:before="158" w:line="194"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0.34</w:t>
            </w:r>
          </w:p>
        </w:tc>
        <w:tc>
          <w:tcPr>
            <w:tcW w:w="118" w:type="dxa"/>
            <w:tcBorders>
              <w:top w:val="nil"/>
              <w:bottom w:val="nil"/>
              <w:right w:val="single" w:color="000000" w:sz="6" w:space="0"/>
            </w:tcBorders>
            <w:vAlign w:val="top"/>
          </w:tcPr>
          <w:p w14:paraId="45BCA38E">
            <w:pPr>
              <w:rPr>
                <w:rFonts w:ascii="Arial"/>
                <w:sz w:val="21"/>
              </w:rPr>
            </w:pPr>
          </w:p>
        </w:tc>
      </w:tr>
      <w:tr w14:paraId="263D4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717" w:type="dxa"/>
            <w:vMerge w:val="continue"/>
            <w:tcBorders>
              <w:top w:val="nil"/>
              <w:left w:val="single" w:color="000000" w:sz="6" w:space="0"/>
              <w:bottom w:val="nil"/>
            </w:tcBorders>
            <w:vAlign w:val="top"/>
          </w:tcPr>
          <w:p w14:paraId="307F6268">
            <w:pPr>
              <w:rPr>
                <w:rFonts w:ascii="Arial"/>
                <w:sz w:val="21"/>
              </w:rPr>
            </w:pPr>
          </w:p>
        </w:tc>
        <w:tc>
          <w:tcPr>
            <w:tcW w:w="119" w:type="dxa"/>
            <w:tcBorders>
              <w:top w:val="nil"/>
              <w:bottom w:val="nil"/>
            </w:tcBorders>
            <w:vAlign w:val="top"/>
          </w:tcPr>
          <w:p w14:paraId="665E2D5E">
            <w:pPr>
              <w:rPr>
                <w:rFonts w:ascii="Arial"/>
                <w:sz w:val="21"/>
              </w:rPr>
            </w:pPr>
          </w:p>
        </w:tc>
        <w:tc>
          <w:tcPr>
            <w:tcW w:w="2101" w:type="dxa"/>
            <w:vMerge w:val="continue"/>
            <w:tcBorders>
              <w:top w:val="nil"/>
              <w:bottom w:val="nil"/>
            </w:tcBorders>
            <w:vAlign w:val="top"/>
          </w:tcPr>
          <w:p w14:paraId="724C7547">
            <w:pPr>
              <w:rPr>
                <w:rFonts w:ascii="Arial"/>
                <w:sz w:val="21"/>
              </w:rPr>
            </w:pPr>
          </w:p>
        </w:tc>
        <w:tc>
          <w:tcPr>
            <w:tcW w:w="1308" w:type="dxa"/>
            <w:vAlign w:val="top"/>
          </w:tcPr>
          <w:p w14:paraId="64D256DE">
            <w:pPr>
              <w:spacing w:before="167" w:line="195"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08:00</w:t>
            </w:r>
          </w:p>
        </w:tc>
        <w:tc>
          <w:tcPr>
            <w:tcW w:w="1451" w:type="dxa"/>
            <w:vAlign w:val="top"/>
          </w:tcPr>
          <w:p w14:paraId="04ECB07A">
            <w:pPr>
              <w:spacing w:before="167"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0.28</w:t>
            </w:r>
          </w:p>
        </w:tc>
        <w:tc>
          <w:tcPr>
            <w:tcW w:w="1435" w:type="dxa"/>
            <w:vAlign w:val="top"/>
          </w:tcPr>
          <w:p w14:paraId="148B7E3D">
            <w:pPr>
              <w:spacing w:before="167"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08:11</w:t>
            </w:r>
          </w:p>
        </w:tc>
        <w:tc>
          <w:tcPr>
            <w:tcW w:w="1816" w:type="dxa"/>
            <w:vAlign w:val="top"/>
          </w:tcPr>
          <w:p w14:paraId="54FF952B">
            <w:pPr>
              <w:spacing w:before="167"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118" w:type="dxa"/>
            <w:tcBorders>
              <w:top w:val="nil"/>
              <w:bottom w:val="nil"/>
              <w:right w:val="single" w:color="000000" w:sz="6" w:space="0"/>
            </w:tcBorders>
            <w:vAlign w:val="top"/>
          </w:tcPr>
          <w:p w14:paraId="5197C284">
            <w:pPr>
              <w:rPr>
                <w:rFonts w:ascii="Arial"/>
                <w:sz w:val="21"/>
              </w:rPr>
            </w:pPr>
          </w:p>
        </w:tc>
      </w:tr>
      <w:tr w14:paraId="550DE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717" w:type="dxa"/>
            <w:vMerge w:val="continue"/>
            <w:tcBorders>
              <w:top w:val="nil"/>
              <w:left w:val="single" w:color="000000" w:sz="6" w:space="0"/>
              <w:bottom w:val="nil"/>
            </w:tcBorders>
            <w:vAlign w:val="top"/>
          </w:tcPr>
          <w:p w14:paraId="0896A683">
            <w:pPr>
              <w:rPr>
                <w:rFonts w:ascii="Arial"/>
                <w:sz w:val="21"/>
              </w:rPr>
            </w:pPr>
          </w:p>
        </w:tc>
        <w:tc>
          <w:tcPr>
            <w:tcW w:w="119" w:type="dxa"/>
            <w:tcBorders>
              <w:top w:val="nil"/>
              <w:bottom w:val="nil"/>
            </w:tcBorders>
            <w:vAlign w:val="top"/>
          </w:tcPr>
          <w:p w14:paraId="6707825E">
            <w:pPr>
              <w:rPr>
                <w:rFonts w:ascii="Arial"/>
                <w:sz w:val="21"/>
              </w:rPr>
            </w:pPr>
          </w:p>
        </w:tc>
        <w:tc>
          <w:tcPr>
            <w:tcW w:w="2101" w:type="dxa"/>
            <w:vMerge w:val="continue"/>
            <w:tcBorders>
              <w:top w:val="nil"/>
              <w:bottom w:val="nil"/>
            </w:tcBorders>
            <w:vAlign w:val="top"/>
          </w:tcPr>
          <w:p w14:paraId="4EE936AE">
            <w:pPr>
              <w:rPr>
                <w:rFonts w:ascii="Arial"/>
                <w:sz w:val="21"/>
              </w:rPr>
            </w:pPr>
          </w:p>
        </w:tc>
        <w:tc>
          <w:tcPr>
            <w:tcW w:w="1308" w:type="dxa"/>
            <w:vAlign w:val="top"/>
          </w:tcPr>
          <w:p w14:paraId="1BF1E833">
            <w:pPr>
              <w:spacing w:before="160" w:line="193" w:lineRule="auto"/>
              <w:ind w:left="43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14:00</w:t>
            </w:r>
          </w:p>
        </w:tc>
        <w:tc>
          <w:tcPr>
            <w:tcW w:w="1451" w:type="dxa"/>
            <w:vAlign w:val="top"/>
          </w:tcPr>
          <w:p w14:paraId="497F5428">
            <w:pPr>
              <w:spacing w:before="160" w:line="193"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0.30</w:t>
            </w:r>
          </w:p>
        </w:tc>
        <w:tc>
          <w:tcPr>
            <w:tcW w:w="1435" w:type="dxa"/>
            <w:vAlign w:val="top"/>
          </w:tcPr>
          <w:p w14:paraId="108BF4AC">
            <w:pPr>
              <w:spacing w:before="160" w:line="193" w:lineRule="auto"/>
              <w:ind w:left="50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14:13</w:t>
            </w:r>
          </w:p>
        </w:tc>
        <w:tc>
          <w:tcPr>
            <w:tcW w:w="1816" w:type="dxa"/>
            <w:vAlign w:val="top"/>
          </w:tcPr>
          <w:p w14:paraId="2D27E2DA">
            <w:pPr>
              <w:spacing w:before="160" w:line="193"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0.38</w:t>
            </w:r>
          </w:p>
        </w:tc>
        <w:tc>
          <w:tcPr>
            <w:tcW w:w="118" w:type="dxa"/>
            <w:tcBorders>
              <w:top w:val="nil"/>
              <w:bottom w:val="nil"/>
              <w:right w:val="single" w:color="000000" w:sz="6" w:space="0"/>
            </w:tcBorders>
            <w:vAlign w:val="top"/>
          </w:tcPr>
          <w:p w14:paraId="21812899">
            <w:pPr>
              <w:rPr>
                <w:rFonts w:ascii="Arial"/>
                <w:sz w:val="21"/>
              </w:rPr>
            </w:pPr>
          </w:p>
        </w:tc>
      </w:tr>
      <w:tr w14:paraId="1DD59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717" w:type="dxa"/>
            <w:vMerge w:val="continue"/>
            <w:tcBorders>
              <w:top w:val="nil"/>
              <w:left w:val="single" w:color="000000" w:sz="6" w:space="0"/>
              <w:bottom w:val="nil"/>
            </w:tcBorders>
            <w:vAlign w:val="top"/>
          </w:tcPr>
          <w:p w14:paraId="032A7E91">
            <w:pPr>
              <w:rPr>
                <w:rFonts w:ascii="Arial"/>
                <w:sz w:val="21"/>
              </w:rPr>
            </w:pPr>
          </w:p>
        </w:tc>
        <w:tc>
          <w:tcPr>
            <w:tcW w:w="119" w:type="dxa"/>
            <w:tcBorders>
              <w:top w:val="nil"/>
              <w:bottom w:val="nil"/>
            </w:tcBorders>
            <w:vAlign w:val="top"/>
          </w:tcPr>
          <w:p w14:paraId="61A80E21">
            <w:pPr>
              <w:rPr>
                <w:rFonts w:ascii="Arial"/>
                <w:sz w:val="21"/>
              </w:rPr>
            </w:pPr>
          </w:p>
        </w:tc>
        <w:tc>
          <w:tcPr>
            <w:tcW w:w="2101" w:type="dxa"/>
            <w:vMerge w:val="continue"/>
            <w:tcBorders>
              <w:top w:val="nil"/>
            </w:tcBorders>
            <w:vAlign w:val="top"/>
          </w:tcPr>
          <w:p w14:paraId="201841D1">
            <w:pPr>
              <w:rPr>
                <w:rFonts w:ascii="Arial"/>
                <w:sz w:val="21"/>
              </w:rPr>
            </w:pPr>
          </w:p>
        </w:tc>
        <w:tc>
          <w:tcPr>
            <w:tcW w:w="1308" w:type="dxa"/>
            <w:vAlign w:val="top"/>
          </w:tcPr>
          <w:p w14:paraId="520FD99E">
            <w:pPr>
              <w:spacing w:before="169" w:line="195" w:lineRule="auto"/>
              <w:ind w:left="4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20:00</w:t>
            </w:r>
          </w:p>
        </w:tc>
        <w:tc>
          <w:tcPr>
            <w:tcW w:w="1451" w:type="dxa"/>
            <w:vAlign w:val="top"/>
          </w:tcPr>
          <w:p w14:paraId="43529BEF">
            <w:pPr>
              <w:spacing w:before="169"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0.31</w:t>
            </w:r>
          </w:p>
        </w:tc>
        <w:tc>
          <w:tcPr>
            <w:tcW w:w="1435" w:type="dxa"/>
            <w:vAlign w:val="top"/>
          </w:tcPr>
          <w:p w14:paraId="31832C59">
            <w:pPr>
              <w:spacing w:before="169" w:line="195" w:lineRule="auto"/>
              <w:ind w:left="48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20:10</w:t>
            </w:r>
          </w:p>
        </w:tc>
        <w:tc>
          <w:tcPr>
            <w:tcW w:w="1816" w:type="dxa"/>
            <w:vAlign w:val="top"/>
          </w:tcPr>
          <w:p w14:paraId="7D2EE89E">
            <w:pPr>
              <w:spacing w:before="169"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0.42</w:t>
            </w:r>
          </w:p>
        </w:tc>
        <w:tc>
          <w:tcPr>
            <w:tcW w:w="118" w:type="dxa"/>
            <w:tcBorders>
              <w:top w:val="nil"/>
              <w:bottom w:val="nil"/>
              <w:right w:val="single" w:color="000000" w:sz="6" w:space="0"/>
            </w:tcBorders>
            <w:vAlign w:val="top"/>
          </w:tcPr>
          <w:p w14:paraId="1A7149F6">
            <w:pPr>
              <w:rPr>
                <w:rFonts w:ascii="Arial"/>
                <w:sz w:val="21"/>
              </w:rPr>
            </w:pPr>
          </w:p>
        </w:tc>
      </w:tr>
      <w:tr w14:paraId="40D3F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717" w:type="dxa"/>
            <w:vMerge w:val="continue"/>
            <w:tcBorders>
              <w:top w:val="nil"/>
              <w:left w:val="single" w:color="000000" w:sz="6" w:space="0"/>
              <w:bottom w:val="nil"/>
            </w:tcBorders>
            <w:vAlign w:val="top"/>
          </w:tcPr>
          <w:p w14:paraId="1ED4E571">
            <w:pPr>
              <w:rPr>
                <w:rFonts w:ascii="Arial"/>
                <w:sz w:val="21"/>
              </w:rPr>
            </w:pPr>
          </w:p>
        </w:tc>
        <w:tc>
          <w:tcPr>
            <w:tcW w:w="119" w:type="dxa"/>
            <w:tcBorders>
              <w:top w:val="nil"/>
              <w:bottom w:val="nil"/>
            </w:tcBorders>
            <w:vAlign w:val="top"/>
          </w:tcPr>
          <w:p w14:paraId="1409DCE2">
            <w:pPr>
              <w:rPr>
                <w:rFonts w:ascii="Arial"/>
                <w:sz w:val="21"/>
              </w:rPr>
            </w:pPr>
          </w:p>
        </w:tc>
        <w:tc>
          <w:tcPr>
            <w:tcW w:w="2101" w:type="dxa"/>
            <w:vMerge w:val="restart"/>
            <w:tcBorders>
              <w:bottom w:val="nil"/>
            </w:tcBorders>
            <w:vAlign w:val="top"/>
          </w:tcPr>
          <w:p w14:paraId="235AAA05">
            <w:pPr>
              <w:spacing w:before="306" w:line="228" w:lineRule="auto"/>
              <w:ind w:left="180"/>
              <w:rPr>
                <w:rFonts w:ascii="宋体" w:hAnsi="宋体" w:eastAsia="宋体" w:cs="宋体"/>
                <w:sz w:val="20"/>
                <w:szCs w:val="20"/>
              </w:rPr>
            </w:pPr>
            <w:r>
              <w:rPr>
                <w:rFonts w:ascii="Times New Roman" w:hAnsi="Times New Roman" w:eastAsia="Times New Roman" w:cs="Times New Roman"/>
                <w:spacing w:val="1"/>
                <w:sz w:val="20"/>
                <w:szCs w:val="20"/>
              </w:rPr>
              <w:t xml:space="preserve">2024 </w:t>
            </w:r>
            <w:r>
              <w:rPr>
                <w:rFonts w:ascii="宋体" w:hAnsi="宋体" w:eastAsia="宋体" w:cs="宋体"/>
                <w:spacing w:val="1"/>
                <w:sz w:val="20"/>
                <w:szCs w:val="20"/>
              </w:rPr>
              <w:t>年</w:t>
            </w:r>
            <w:r>
              <w:rPr>
                <w:rFonts w:ascii="宋体" w:hAnsi="宋体" w:eastAsia="宋体" w:cs="宋体"/>
                <w:spacing w:val="-27"/>
                <w:sz w:val="20"/>
                <w:szCs w:val="20"/>
              </w:rPr>
              <w:t xml:space="preserve"> </w:t>
            </w:r>
            <w:r>
              <w:rPr>
                <w:rFonts w:ascii="Times New Roman" w:hAnsi="Times New Roman" w:eastAsia="Times New Roman" w:cs="Times New Roman"/>
                <w:spacing w:val="1"/>
                <w:sz w:val="20"/>
                <w:szCs w:val="20"/>
              </w:rPr>
              <w:t>01</w:t>
            </w:r>
            <w:r>
              <w:rPr>
                <w:rFonts w:ascii="Times New Roman" w:hAnsi="Times New Roman" w:eastAsia="Times New Roman" w:cs="Times New Roman"/>
                <w:spacing w:val="15"/>
                <w:w w:val="101"/>
                <w:sz w:val="20"/>
                <w:szCs w:val="20"/>
              </w:rPr>
              <w:t xml:space="preserve"> </w:t>
            </w:r>
            <w:r>
              <w:rPr>
                <w:rFonts w:ascii="宋体" w:hAnsi="宋体" w:eastAsia="宋体" w:cs="宋体"/>
                <w:spacing w:val="1"/>
                <w:sz w:val="20"/>
                <w:szCs w:val="20"/>
              </w:rPr>
              <w:t>月</w:t>
            </w:r>
            <w:r>
              <w:rPr>
                <w:rFonts w:ascii="宋体" w:hAnsi="宋体" w:eastAsia="宋体" w:cs="宋体"/>
                <w:spacing w:val="-40"/>
                <w:sz w:val="20"/>
                <w:szCs w:val="20"/>
              </w:rPr>
              <w:t xml:space="preserve"> </w:t>
            </w:r>
            <w:r>
              <w:rPr>
                <w:rFonts w:ascii="Times New Roman" w:hAnsi="Times New Roman" w:eastAsia="Times New Roman" w:cs="Times New Roman"/>
                <w:spacing w:val="1"/>
                <w:sz w:val="20"/>
                <w:szCs w:val="20"/>
              </w:rPr>
              <w:t xml:space="preserve">02  </w:t>
            </w:r>
            <w:r>
              <w:rPr>
                <w:rFonts w:ascii="宋体" w:hAnsi="宋体" w:eastAsia="宋体" w:cs="宋体"/>
                <w:spacing w:val="1"/>
                <w:sz w:val="20"/>
                <w:szCs w:val="20"/>
              </w:rPr>
              <w:t>日</w:t>
            </w:r>
          </w:p>
        </w:tc>
        <w:tc>
          <w:tcPr>
            <w:tcW w:w="1308" w:type="dxa"/>
            <w:vAlign w:val="top"/>
          </w:tcPr>
          <w:p w14:paraId="45AD8384">
            <w:pPr>
              <w:spacing w:before="157" w:line="191"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02:00</w:t>
            </w:r>
          </w:p>
        </w:tc>
        <w:tc>
          <w:tcPr>
            <w:tcW w:w="1451" w:type="dxa"/>
            <w:vAlign w:val="top"/>
          </w:tcPr>
          <w:p w14:paraId="0B330B46">
            <w:pPr>
              <w:spacing w:before="157" w:line="191"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0.27</w:t>
            </w:r>
          </w:p>
        </w:tc>
        <w:tc>
          <w:tcPr>
            <w:tcW w:w="1435" w:type="dxa"/>
            <w:vAlign w:val="top"/>
          </w:tcPr>
          <w:p w14:paraId="40C7E107">
            <w:pPr>
              <w:spacing w:before="157" w:line="191"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02:10</w:t>
            </w:r>
          </w:p>
        </w:tc>
        <w:tc>
          <w:tcPr>
            <w:tcW w:w="1816" w:type="dxa"/>
            <w:vAlign w:val="top"/>
          </w:tcPr>
          <w:p w14:paraId="0DED4CFC">
            <w:pPr>
              <w:spacing w:before="157" w:line="191"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0.36</w:t>
            </w:r>
          </w:p>
        </w:tc>
        <w:tc>
          <w:tcPr>
            <w:tcW w:w="118" w:type="dxa"/>
            <w:tcBorders>
              <w:top w:val="nil"/>
              <w:bottom w:val="nil"/>
              <w:right w:val="single" w:color="000000" w:sz="6" w:space="0"/>
            </w:tcBorders>
            <w:vAlign w:val="top"/>
          </w:tcPr>
          <w:p w14:paraId="54975AE1">
            <w:pPr>
              <w:rPr>
                <w:rFonts w:ascii="Arial"/>
                <w:sz w:val="21"/>
              </w:rPr>
            </w:pPr>
          </w:p>
        </w:tc>
      </w:tr>
      <w:tr w14:paraId="4A91A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717" w:type="dxa"/>
            <w:vMerge w:val="continue"/>
            <w:tcBorders>
              <w:top w:val="nil"/>
              <w:left w:val="single" w:color="000000" w:sz="6" w:space="0"/>
              <w:bottom w:val="single" w:color="000000" w:sz="6" w:space="0"/>
            </w:tcBorders>
            <w:vAlign w:val="top"/>
          </w:tcPr>
          <w:p w14:paraId="28E574AB">
            <w:pPr>
              <w:rPr>
                <w:rFonts w:ascii="Arial"/>
                <w:sz w:val="21"/>
              </w:rPr>
            </w:pPr>
          </w:p>
        </w:tc>
        <w:tc>
          <w:tcPr>
            <w:tcW w:w="119" w:type="dxa"/>
            <w:tcBorders>
              <w:top w:val="nil"/>
              <w:bottom w:val="single" w:color="000000" w:sz="6" w:space="0"/>
            </w:tcBorders>
            <w:vAlign w:val="top"/>
          </w:tcPr>
          <w:p w14:paraId="78B1C02C">
            <w:pPr>
              <w:rPr>
                <w:rFonts w:ascii="Arial"/>
                <w:sz w:val="21"/>
              </w:rPr>
            </w:pPr>
          </w:p>
        </w:tc>
        <w:tc>
          <w:tcPr>
            <w:tcW w:w="2101" w:type="dxa"/>
            <w:vMerge w:val="continue"/>
            <w:tcBorders>
              <w:top w:val="nil"/>
              <w:bottom w:val="single" w:color="000000" w:sz="6" w:space="0"/>
            </w:tcBorders>
            <w:vAlign w:val="top"/>
          </w:tcPr>
          <w:p w14:paraId="39238E31">
            <w:pPr>
              <w:rPr>
                <w:rFonts w:ascii="Arial"/>
                <w:sz w:val="21"/>
              </w:rPr>
            </w:pPr>
          </w:p>
        </w:tc>
        <w:tc>
          <w:tcPr>
            <w:tcW w:w="1308" w:type="dxa"/>
            <w:tcBorders>
              <w:bottom w:val="single" w:color="000000" w:sz="6" w:space="0"/>
            </w:tcBorders>
            <w:vAlign w:val="top"/>
          </w:tcPr>
          <w:p w14:paraId="1835532A">
            <w:pPr>
              <w:spacing w:before="171" w:line="195"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08:00</w:t>
            </w:r>
          </w:p>
        </w:tc>
        <w:tc>
          <w:tcPr>
            <w:tcW w:w="1451" w:type="dxa"/>
            <w:tcBorders>
              <w:bottom w:val="single" w:color="000000" w:sz="6" w:space="0"/>
            </w:tcBorders>
            <w:vAlign w:val="top"/>
          </w:tcPr>
          <w:p w14:paraId="60DEBDFF">
            <w:pPr>
              <w:spacing w:before="171" w:line="195" w:lineRule="auto"/>
              <w:ind w:left="5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0.28</w:t>
            </w:r>
          </w:p>
        </w:tc>
        <w:tc>
          <w:tcPr>
            <w:tcW w:w="1435" w:type="dxa"/>
            <w:tcBorders>
              <w:bottom w:val="single" w:color="000000" w:sz="6" w:space="0"/>
            </w:tcBorders>
            <w:vAlign w:val="top"/>
          </w:tcPr>
          <w:p w14:paraId="42D79372">
            <w:pPr>
              <w:spacing w:before="171"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08:11</w:t>
            </w:r>
          </w:p>
        </w:tc>
        <w:tc>
          <w:tcPr>
            <w:tcW w:w="1816" w:type="dxa"/>
            <w:tcBorders>
              <w:bottom w:val="single" w:color="000000" w:sz="6" w:space="0"/>
            </w:tcBorders>
            <w:vAlign w:val="top"/>
          </w:tcPr>
          <w:p w14:paraId="1F4C52E9">
            <w:pPr>
              <w:spacing w:before="171" w:line="195" w:lineRule="auto"/>
              <w:ind w:left="7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0.38</w:t>
            </w:r>
          </w:p>
        </w:tc>
        <w:tc>
          <w:tcPr>
            <w:tcW w:w="118" w:type="dxa"/>
            <w:tcBorders>
              <w:top w:val="nil"/>
              <w:bottom w:val="single" w:color="000000" w:sz="6" w:space="0"/>
              <w:right w:val="single" w:color="000000" w:sz="6" w:space="0"/>
            </w:tcBorders>
            <w:vAlign w:val="top"/>
          </w:tcPr>
          <w:p w14:paraId="62E45870">
            <w:pPr>
              <w:rPr>
                <w:rFonts w:ascii="Arial"/>
                <w:sz w:val="21"/>
              </w:rPr>
            </w:pPr>
          </w:p>
        </w:tc>
      </w:tr>
    </w:tbl>
    <w:p w14:paraId="6E7C6DDB">
      <w:pPr>
        <w:pStyle w:val="2"/>
      </w:pPr>
    </w:p>
    <w:p w14:paraId="355AF389">
      <w:pPr>
        <w:sectPr>
          <w:footerReference r:id="rId79" w:type="default"/>
          <w:pgSz w:w="11907" w:h="16840"/>
          <w:pgMar w:top="400" w:right="1413" w:bottom="1103" w:left="1413" w:header="0" w:footer="887" w:gutter="0"/>
          <w:cols w:space="720" w:num="1"/>
        </w:sectPr>
      </w:pPr>
    </w:p>
    <w:p w14:paraId="47A424A9">
      <w:pPr>
        <w:spacing w:before="19"/>
      </w:pPr>
    </w:p>
    <w:p w14:paraId="1292BE79">
      <w:pPr>
        <w:spacing w:before="19"/>
      </w:pPr>
    </w:p>
    <w:p w14:paraId="7BE1E999">
      <w:pPr>
        <w:spacing w:before="19"/>
      </w:pPr>
    </w:p>
    <w:p w14:paraId="5ABBEBA4">
      <w:pPr>
        <w:spacing w:before="18"/>
      </w:pPr>
    </w:p>
    <w:p w14:paraId="54572B02">
      <w:pPr>
        <w:spacing w:before="18"/>
      </w:pPr>
    </w:p>
    <w:tbl>
      <w:tblPr>
        <w:tblStyle w:val="10"/>
        <w:tblW w:w="906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115"/>
        <w:gridCol w:w="1391"/>
        <w:gridCol w:w="711"/>
        <w:gridCol w:w="1308"/>
        <w:gridCol w:w="504"/>
        <w:gridCol w:w="946"/>
        <w:gridCol w:w="1190"/>
        <w:gridCol w:w="245"/>
        <w:gridCol w:w="1815"/>
        <w:gridCol w:w="123"/>
      </w:tblGrid>
      <w:tr w14:paraId="58F3B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717" w:type="dxa"/>
            <w:vMerge w:val="restart"/>
            <w:tcBorders>
              <w:top w:val="single" w:color="000000" w:sz="6" w:space="0"/>
              <w:left w:val="single" w:color="000000" w:sz="6" w:space="0"/>
              <w:bottom w:val="nil"/>
            </w:tcBorders>
            <w:vAlign w:val="top"/>
          </w:tcPr>
          <w:p w14:paraId="60C12262">
            <w:pPr>
              <w:rPr>
                <w:rFonts w:ascii="Arial"/>
                <w:sz w:val="21"/>
              </w:rPr>
            </w:pPr>
          </w:p>
        </w:tc>
        <w:tc>
          <w:tcPr>
            <w:tcW w:w="115" w:type="dxa"/>
            <w:tcBorders>
              <w:top w:val="single" w:color="000000" w:sz="6" w:space="0"/>
              <w:bottom w:val="nil"/>
            </w:tcBorders>
            <w:vAlign w:val="top"/>
          </w:tcPr>
          <w:p w14:paraId="3582C21E">
            <w:pPr>
              <w:rPr>
                <w:rFonts w:ascii="Arial"/>
                <w:sz w:val="21"/>
              </w:rPr>
            </w:pPr>
          </w:p>
        </w:tc>
        <w:tc>
          <w:tcPr>
            <w:tcW w:w="2102" w:type="dxa"/>
            <w:gridSpan w:val="2"/>
            <w:vMerge w:val="restart"/>
            <w:tcBorders>
              <w:top w:val="single" w:color="000000" w:sz="6" w:space="0"/>
              <w:bottom w:val="nil"/>
            </w:tcBorders>
            <w:vAlign w:val="top"/>
          </w:tcPr>
          <w:p w14:paraId="4E0A89C9">
            <w:pPr>
              <w:rPr>
                <w:rFonts w:ascii="Arial"/>
                <w:sz w:val="21"/>
              </w:rPr>
            </w:pPr>
          </w:p>
        </w:tc>
        <w:tc>
          <w:tcPr>
            <w:tcW w:w="1308" w:type="dxa"/>
            <w:tcBorders>
              <w:top w:val="single" w:color="000000" w:sz="6" w:space="0"/>
            </w:tcBorders>
            <w:vAlign w:val="top"/>
          </w:tcPr>
          <w:p w14:paraId="0DB40E8F">
            <w:pPr>
              <w:spacing w:before="159" w:line="195"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14:00</w:t>
            </w:r>
          </w:p>
        </w:tc>
        <w:tc>
          <w:tcPr>
            <w:tcW w:w="1450" w:type="dxa"/>
            <w:gridSpan w:val="2"/>
            <w:tcBorders>
              <w:top w:val="single" w:color="000000" w:sz="6" w:space="0"/>
            </w:tcBorders>
            <w:vAlign w:val="top"/>
          </w:tcPr>
          <w:p w14:paraId="1CCAE166">
            <w:pPr>
              <w:spacing w:before="159" w:line="195" w:lineRule="auto"/>
              <w:ind w:left="55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0.32</w:t>
            </w:r>
          </w:p>
        </w:tc>
        <w:tc>
          <w:tcPr>
            <w:tcW w:w="1435" w:type="dxa"/>
            <w:gridSpan w:val="2"/>
            <w:tcBorders>
              <w:top w:val="single" w:color="000000" w:sz="6" w:space="0"/>
            </w:tcBorders>
            <w:vAlign w:val="top"/>
          </w:tcPr>
          <w:p w14:paraId="7E1A8638">
            <w:pPr>
              <w:spacing w:before="159" w:line="195" w:lineRule="auto"/>
              <w:ind w:left="50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14:13</w:t>
            </w:r>
          </w:p>
        </w:tc>
        <w:tc>
          <w:tcPr>
            <w:tcW w:w="1815" w:type="dxa"/>
            <w:tcBorders>
              <w:top w:val="single" w:color="000000" w:sz="6" w:space="0"/>
            </w:tcBorders>
            <w:vAlign w:val="top"/>
          </w:tcPr>
          <w:p w14:paraId="3129C873">
            <w:pPr>
              <w:spacing w:before="159" w:line="195" w:lineRule="auto"/>
              <w:ind w:left="73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0.38</w:t>
            </w:r>
          </w:p>
        </w:tc>
        <w:tc>
          <w:tcPr>
            <w:tcW w:w="123" w:type="dxa"/>
            <w:tcBorders>
              <w:top w:val="single" w:color="000000" w:sz="6" w:space="0"/>
              <w:bottom w:val="nil"/>
              <w:right w:val="single" w:color="000000" w:sz="6" w:space="0"/>
            </w:tcBorders>
            <w:vAlign w:val="top"/>
          </w:tcPr>
          <w:p w14:paraId="46149E4E">
            <w:pPr>
              <w:rPr>
                <w:rFonts w:ascii="Arial"/>
                <w:sz w:val="21"/>
              </w:rPr>
            </w:pPr>
          </w:p>
        </w:tc>
      </w:tr>
      <w:tr w14:paraId="36DD9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717" w:type="dxa"/>
            <w:vMerge w:val="continue"/>
            <w:tcBorders>
              <w:top w:val="nil"/>
              <w:left w:val="single" w:color="000000" w:sz="6" w:space="0"/>
              <w:bottom w:val="nil"/>
            </w:tcBorders>
            <w:vAlign w:val="top"/>
          </w:tcPr>
          <w:p w14:paraId="6CB45B2A">
            <w:pPr>
              <w:rPr>
                <w:rFonts w:ascii="Arial"/>
                <w:sz w:val="21"/>
              </w:rPr>
            </w:pPr>
          </w:p>
        </w:tc>
        <w:tc>
          <w:tcPr>
            <w:tcW w:w="115" w:type="dxa"/>
            <w:tcBorders>
              <w:top w:val="nil"/>
              <w:bottom w:val="nil"/>
            </w:tcBorders>
            <w:vAlign w:val="top"/>
          </w:tcPr>
          <w:p w14:paraId="3E3C4032">
            <w:pPr>
              <w:rPr>
                <w:rFonts w:ascii="Arial"/>
                <w:sz w:val="21"/>
              </w:rPr>
            </w:pPr>
          </w:p>
        </w:tc>
        <w:tc>
          <w:tcPr>
            <w:tcW w:w="2102" w:type="dxa"/>
            <w:gridSpan w:val="2"/>
            <w:vMerge w:val="continue"/>
            <w:tcBorders>
              <w:top w:val="nil"/>
            </w:tcBorders>
            <w:vAlign w:val="top"/>
          </w:tcPr>
          <w:p w14:paraId="67FA9CA6">
            <w:pPr>
              <w:rPr>
                <w:rFonts w:ascii="Arial"/>
                <w:sz w:val="21"/>
              </w:rPr>
            </w:pPr>
          </w:p>
        </w:tc>
        <w:tc>
          <w:tcPr>
            <w:tcW w:w="1308" w:type="dxa"/>
            <w:vAlign w:val="top"/>
          </w:tcPr>
          <w:p w14:paraId="1A399B7B">
            <w:pPr>
              <w:spacing w:before="152" w:line="195"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20:00</w:t>
            </w:r>
          </w:p>
        </w:tc>
        <w:tc>
          <w:tcPr>
            <w:tcW w:w="1450" w:type="dxa"/>
            <w:gridSpan w:val="2"/>
            <w:vAlign w:val="top"/>
          </w:tcPr>
          <w:p w14:paraId="0758B70D">
            <w:pPr>
              <w:spacing w:before="152" w:line="195" w:lineRule="auto"/>
              <w:ind w:left="55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0.32</w:t>
            </w:r>
          </w:p>
        </w:tc>
        <w:tc>
          <w:tcPr>
            <w:tcW w:w="1435" w:type="dxa"/>
            <w:gridSpan w:val="2"/>
            <w:vAlign w:val="top"/>
          </w:tcPr>
          <w:p w14:paraId="59481CB9">
            <w:pPr>
              <w:spacing w:before="152" w:line="195" w:lineRule="auto"/>
              <w:ind w:left="4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20:10</w:t>
            </w:r>
          </w:p>
        </w:tc>
        <w:tc>
          <w:tcPr>
            <w:tcW w:w="1815" w:type="dxa"/>
            <w:vAlign w:val="top"/>
          </w:tcPr>
          <w:p w14:paraId="269E17D3">
            <w:pPr>
              <w:spacing w:before="152" w:line="195" w:lineRule="auto"/>
              <w:ind w:left="73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0.39</w:t>
            </w:r>
          </w:p>
        </w:tc>
        <w:tc>
          <w:tcPr>
            <w:tcW w:w="123" w:type="dxa"/>
            <w:tcBorders>
              <w:top w:val="nil"/>
              <w:bottom w:val="nil"/>
              <w:right w:val="single" w:color="000000" w:sz="6" w:space="0"/>
            </w:tcBorders>
            <w:vAlign w:val="top"/>
          </w:tcPr>
          <w:p w14:paraId="0315F116">
            <w:pPr>
              <w:rPr>
                <w:rFonts w:ascii="Arial"/>
                <w:sz w:val="21"/>
              </w:rPr>
            </w:pPr>
          </w:p>
        </w:tc>
      </w:tr>
      <w:tr w14:paraId="5F747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17" w:type="dxa"/>
            <w:vMerge w:val="continue"/>
            <w:tcBorders>
              <w:top w:val="nil"/>
              <w:left w:val="single" w:color="000000" w:sz="6" w:space="0"/>
              <w:bottom w:val="nil"/>
            </w:tcBorders>
            <w:vAlign w:val="top"/>
          </w:tcPr>
          <w:p w14:paraId="1C44C7C0">
            <w:pPr>
              <w:rPr>
                <w:rFonts w:ascii="Arial"/>
                <w:sz w:val="21"/>
              </w:rPr>
            </w:pPr>
          </w:p>
        </w:tc>
        <w:tc>
          <w:tcPr>
            <w:tcW w:w="115" w:type="dxa"/>
            <w:tcBorders>
              <w:top w:val="nil"/>
              <w:bottom w:val="nil"/>
            </w:tcBorders>
            <w:vAlign w:val="top"/>
          </w:tcPr>
          <w:p w14:paraId="4B540C5F">
            <w:pPr>
              <w:rPr>
                <w:rFonts w:ascii="Arial"/>
                <w:sz w:val="21"/>
              </w:rPr>
            </w:pPr>
          </w:p>
        </w:tc>
        <w:tc>
          <w:tcPr>
            <w:tcW w:w="3410" w:type="dxa"/>
            <w:gridSpan w:val="3"/>
            <w:vAlign w:val="top"/>
          </w:tcPr>
          <w:p w14:paraId="03EDD0A2">
            <w:pPr>
              <w:spacing w:before="109" w:line="227" w:lineRule="auto"/>
              <w:ind w:left="1291"/>
              <w:rPr>
                <w:rFonts w:ascii="宋体" w:hAnsi="宋体" w:eastAsia="宋体" w:cs="宋体"/>
                <w:sz w:val="20"/>
                <w:szCs w:val="20"/>
              </w:rPr>
            </w:pPr>
            <w:r>
              <w:rPr>
                <w:rFonts w:ascii="宋体" w:hAnsi="宋体" w:eastAsia="宋体" w:cs="宋体"/>
                <w:spacing w:val="7"/>
                <w:sz w:val="20"/>
                <w:szCs w:val="20"/>
              </w:rPr>
              <w:t>标准限值</w:t>
            </w:r>
          </w:p>
        </w:tc>
        <w:tc>
          <w:tcPr>
            <w:tcW w:w="1450" w:type="dxa"/>
            <w:gridSpan w:val="2"/>
            <w:vAlign w:val="top"/>
          </w:tcPr>
          <w:p w14:paraId="6C65CA9C">
            <w:pPr>
              <w:spacing w:before="144" w:line="195" w:lineRule="auto"/>
              <w:ind w:left="6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1435" w:type="dxa"/>
            <w:gridSpan w:val="2"/>
            <w:vAlign w:val="top"/>
          </w:tcPr>
          <w:p w14:paraId="111287A3">
            <w:pPr>
              <w:spacing w:before="109" w:line="227" w:lineRule="auto"/>
              <w:ind w:left="309"/>
              <w:rPr>
                <w:rFonts w:ascii="宋体" w:hAnsi="宋体" w:eastAsia="宋体" w:cs="宋体"/>
                <w:sz w:val="20"/>
                <w:szCs w:val="20"/>
              </w:rPr>
            </w:pPr>
            <w:r>
              <w:rPr>
                <w:rFonts w:ascii="宋体" w:hAnsi="宋体" w:eastAsia="宋体" w:cs="宋体"/>
                <w:spacing w:val="7"/>
                <w:sz w:val="20"/>
                <w:szCs w:val="20"/>
              </w:rPr>
              <w:t>标准限值</w:t>
            </w:r>
          </w:p>
        </w:tc>
        <w:tc>
          <w:tcPr>
            <w:tcW w:w="1815" w:type="dxa"/>
            <w:vAlign w:val="top"/>
          </w:tcPr>
          <w:p w14:paraId="68E68940">
            <w:pPr>
              <w:spacing w:before="144" w:line="195" w:lineRule="auto"/>
              <w:ind w:left="7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123" w:type="dxa"/>
            <w:tcBorders>
              <w:top w:val="nil"/>
              <w:bottom w:val="nil"/>
              <w:right w:val="single" w:color="000000" w:sz="6" w:space="0"/>
            </w:tcBorders>
            <w:vAlign w:val="top"/>
          </w:tcPr>
          <w:p w14:paraId="3C9667BA">
            <w:pPr>
              <w:rPr>
                <w:rFonts w:ascii="Arial"/>
                <w:sz w:val="21"/>
              </w:rPr>
            </w:pPr>
          </w:p>
        </w:tc>
      </w:tr>
      <w:tr w14:paraId="3309D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17" w:type="dxa"/>
            <w:vMerge w:val="continue"/>
            <w:tcBorders>
              <w:top w:val="nil"/>
              <w:left w:val="single" w:color="000000" w:sz="6" w:space="0"/>
              <w:bottom w:val="nil"/>
            </w:tcBorders>
            <w:vAlign w:val="top"/>
          </w:tcPr>
          <w:p w14:paraId="52FBED94">
            <w:pPr>
              <w:rPr>
                <w:rFonts w:ascii="Arial"/>
                <w:sz w:val="21"/>
              </w:rPr>
            </w:pPr>
          </w:p>
        </w:tc>
        <w:tc>
          <w:tcPr>
            <w:tcW w:w="115" w:type="dxa"/>
            <w:tcBorders>
              <w:top w:val="nil"/>
              <w:bottom w:val="nil"/>
            </w:tcBorders>
            <w:vAlign w:val="top"/>
          </w:tcPr>
          <w:p w14:paraId="1D538F2E">
            <w:pPr>
              <w:rPr>
                <w:rFonts w:ascii="Arial"/>
                <w:sz w:val="21"/>
              </w:rPr>
            </w:pPr>
          </w:p>
        </w:tc>
        <w:tc>
          <w:tcPr>
            <w:tcW w:w="3410" w:type="dxa"/>
            <w:gridSpan w:val="3"/>
            <w:vAlign w:val="top"/>
          </w:tcPr>
          <w:p w14:paraId="54DB6529">
            <w:pPr>
              <w:spacing w:before="109" w:line="227" w:lineRule="auto"/>
              <w:ind w:left="1289"/>
              <w:rPr>
                <w:rFonts w:ascii="宋体" w:hAnsi="宋体" w:eastAsia="宋体" w:cs="宋体"/>
                <w:sz w:val="20"/>
                <w:szCs w:val="20"/>
              </w:rPr>
            </w:pPr>
            <w:r>
              <w:rPr>
                <w:rFonts w:ascii="宋体" w:hAnsi="宋体" w:eastAsia="宋体" w:cs="宋体"/>
                <w:spacing w:val="7"/>
                <w:sz w:val="20"/>
                <w:szCs w:val="20"/>
              </w:rPr>
              <w:t>达标情况</w:t>
            </w:r>
          </w:p>
        </w:tc>
        <w:tc>
          <w:tcPr>
            <w:tcW w:w="1450" w:type="dxa"/>
            <w:gridSpan w:val="2"/>
            <w:vAlign w:val="top"/>
          </w:tcPr>
          <w:p w14:paraId="1DDCF8C5">
            <w:pPr>
              <w:spacing w:before="109" w:line="227" w:lineRule="auto"/>
              <w:ind w:left="524"/>
              <w:rPr>
                <w:rFonts w:ascii="宋体" w:hAnsi="宋体" w:eastAsia="宋体" w:cs="宋体"/>
                <w:sz w:val="20"/>
                <w:szCs w:val="20"/>
              </w:rPr>
            </w:pPr>
            <w:r>
              <w:rPr>
                <w:rFonts w:ascii="宋体" w:hAnsi="宋体" w:eastAsia="宋体" w:cs="宋体"/>
                <w:spacing w:val="5"/>
                <w:sz w:val="20"/>
                <w:szCs w:val="20"/>
              </w:rPr>
              <w:t>达标</w:t>
            </w:r>
          </w:p>
        </w:tc>
        <w:tc>
          <w:tcPr>
            <w:tcW w:w="1435" w:type="dxa"/>
            <w:gridSpan w:val="2"/>
            <w:vAlign w:val="top"/>
          </w:tcPr>
          <w:p w14:paraId="763217C6">
            <w:pPr>
              <w:spacing w:before="109" w:line="227" w:lineRule="auto"/>
              <w:ind w:left="307"/>
              <w:rPr>
                <w:rFonts w:ascii="宋体" w:hAnsi="宋体" w:eastAsia="宋体" w:cs="宋体"/>
                <w:sz w:val="20"/>
                <w:szCs w:val="20"/>
              </w:rPr>
            </w:pPr>
            <w:r>
              <w:rPr>
                <w:rFonts w:ascii="宋体" w:hAnsi="宋体" w:eastAsia="宋体" w:cs="宋体"/>
                <w:spacing w:val="7"/>
                <w:sz w:val="20"/>
                <w:szCs w:val="20"/>
              </w:rPr>
              <w:t>达标情况</w:t>
            </w:r>
          </w:p>
        </w:tc>
        <w:tc>
          <w:tcPr>
            <w:tcW w:w="1815" w:type="dxa"/>
            <w:vAlign w:val="top"/>
          </w:tcPr>
          <w:p w14:paraId="26C3B344">
            <w:pPr>
              <w:spacing w:before="109" w:line="227" w:lineRule="auto"/>
              <w:ind w:left="711"/>
              <w:rPr>
                <w:rFonts w:ascii="宋体" w:hAnsi="宋体" w:eastAsia="宋体" w:cs="宋体"/>
                <w:sz w:val="20"/>
                <w:szCs w:val="20"/>
              </w:rPr>
            </w:pPr>
            <w:r>
              <w:rPr>
                <w:rFonts w:ascii="宋体" w:hAnsi="宋体" w:eastAsia="宋体" w:cs="宋体"/>
                <w:spacing w:val="5"/>
                <w:sz w:val="20"/>
                <w:szCs w:val="20"/>
              </w:rPr>
              <w:t>达标</w:t>
            </w:r>
          </w:p>
        </w:tc>
        <w:tc>
          <w:tcPr>
            <w:tcW w:w="123" w:type="dxa"/>
            <w:tcBorders>
              <w:top w:val="nil"/>
              <w:bottom w:val="nil"/>
              <w:right w:val="single" w:color="000000" w:sz="6" w:space="0"/>
            </w:tcBorders>
            <w:vAlign w:val="top"/>
          </w:tcPr>
          <w:p w14:paraId="0C8AC9EC">
            <w:pPr>
              <w:rPr>
                <w:rFonts w:ascii="Arial"/>
                <w:sz w:val="21"/>
              </w:rPr>
            </w:pPr>
          </w:p>
        </w:tc>
      </w:tr>
      <w:tr w14:paraId="74EE9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717" w:type="dxa"/>
            <w:vMerge w:val="continue"/>
            <w:tcBorders>
              <w:top w:val="nil"/>
              <w:left w:val="single" w:color="000000" w:sz="6" w:space="0"/>
              <w:bottom w:val="nil"/>
            </w:tcBorders>
            <w:vAlign w:val="top"/>
          </w:tcPr>
          <w:p w14:paraId="28F280F3">
            <w:pPr>
              <w:rPr>
                <w:rFonts w:ascii="Arial"/>
                <w:sz w:val="21"/>
              </w:rPr>
            </w:pPr>
          </w:p>
        </w:tc>
        <w:tc>
          <w:tcPr>
            <w:tcW w:w="115" w:type="dxa"/>
            <w:tcBorders>
              <w:top w:val="nil"/>
              <w:bottom w:val="nil"/>
            </w:tcBorders>
            <w:vAlign w:val="top"/>
          </w:tcPr>
          <w:p w14:paraId="1A3B390B">
            <w:pPr>
              <w:rPr>
                <w:rFonts w:ascii="Arial"/>
                <w:sz w:val="21"/>
              </w:rPr>
            </w:pPr>
          </w:p>
        </w:tc>
        <w:tc>
          <w:tcPr>
            <w:tcW w:w="2102" w:type="dxa"/>
            <w:gridSpan w:val="2"/>
            <w:vAlign w:val="top"/>
          </w:tcPr>
          <w:p w14:paraId="42D9257F">
            <w:pPr>
              <w:spacing w:before="288" w:line="229" w:lineRule="auto"/>
              <w:ind w:left="848"/>
              <w:rPr>
                <w:rFonts w:ascii="宋体" w:hAnsi="宋体" w:eastAsia="宋体" w:cs="宋体"/>
                <w:sz w:val="20"/>
                <w:szCs w:val="20"/>
              </w:rPr>
            </w:pPr>
            <w:r>
              <w:rPr>
                <w:rFonts w:ascii="宋体" w:hAnsi="宋体" w:eastAsia="宋体" w:cs="宋体"/>
                <w:spacing w:val="3"/>
                <w:sz w:val="20"/>
                <w:szCs w:val="20"/>
              </w:rPr>
              <w:t>备注</w:t>
            </w:r>
          </w:p>
        </w:tc>
        <w:tc>
          <w:tcPr>
            <w:tcW w:w="6008" w:type="dxa"/>
            <w:gridSpan w:val="6"/>
            <w:vAlign w:val="top"/>
          </w:tcPr>
          <w:p w14:paraId="305EA6DB">
            <w:pPr>
              <w:spacing w:before="107" w:line="228" w:lineRule="auto"/>
              <w:ind w:left="114"/>
              <w:rPr>
                <w:rFonts w:ascii="Times New Roman" w:hAnsi="Times New Roman" w:eastAsia="Times New Roman" w:cs="Times New Roman"/>
                <w:sz w:val="20"/>
                <w:szCs w:val="20"/>
              </w:rPr>
            </w:pPr>
            <w:r>
              <w:rPr>
                <w:rFonts w:ascii="宋体" w:hAnsi="宋体" w:eastAsia="宋体" w:cs="宋体"/>
                <w:spacing w:val="10"/>
                <w:sz w:val="20"/>
                <w:szCs w:val="20"/>
              </w:rPr>
              <w:t>注：</w:t>
            </w:r>
            <w:r>
              <w:rPr>
                <w:rFonts w:ascii="Times New Roman" w:hAnsi="Times New Roman" w:eastAsia="Times New Roman" w:cs="Times New Roman"/>
                <w:spacing w:val="10"/>
                <w:sz w:val="20"/>
                <w:szCs w:val="20"/>
              </w:rPr>
              <w:t>1.</w:t>
            </w:r>
            <w:r>
              <w:rPr>
                <w:rFonts w:ascii="宋体" w:hAnsi="宋体" w:eastAsia="宋体" w:cs="宋体"/>
                <w:spacing w:val="10"/>
                <w:sz w:val="20"/>
                <w:szCs w:val="20"/>
              </w:rPr>
              <w:t>检测结果低于方法检出限时，该项检测结果以</w:t>
            </w:r>
            <w:r>
              <w:rPr>
                <w:rFonts w:ascii="Times New Roman" w:hAnsi="Times New Roman" w:eastAsia="Times New Roman" w:cs="Times New Roman"/>
                <w:spacing w:val="10"/>
                <w:sz w:val="20"/>
                <w:szCs w:val="20"/>
              </w:rPr>
              <w:t>“</w:t>
            </w:r>
            <w:r>
              <w:rPr>
                <w:rFonts w:ascii="宋体" w:hAnsi="宋体" w:eastAsia="宋体" w:cs="宋体"/>
                <w:spacing w:val="10"/>
                <w:sz w:val="20"/>
                <w:szCs w:val="20"/>
              </w:rPr>
              <w:t>＜检出限</w:t>
            </w:r>
            <w:r>
              <w:rPr>
                <w:rFonts w:ascii="Times New Roman" w:hAnsi="Times New Roman" w:eastAsia="Times New Roman" w:cs="Times New Roman"/>
                <w:spacing w:val="10"/>
                <w:sz w:val="20"/>
                <w:szCs w:val="20"/>
              </w:rPr>
              <w:t>”</w:t>
            </w:r>
          </w:p>
          <w:p w14:paraId="385E0693">
            <w:pPr>
              <w:spacing w:before="113" w:line="227" w:lineRule="auto"/>
              <w:ind w:left="2698"/>
              <w:rPr>
                <w:rFonts w:ascii="宋体" w:hAnsi="宋体" w:eastAsia="宋体" w:cs="宋体"/>
                <w:sz w:val="20"/>
                <w:szCs w:val="20"/>
              </w:rPr>
            </w:pPr>
            <w:r>
              <w:rPr>
                <w:rFonts w:ascii="宋体" w:hAnsi="宋体" w:eastAsia="宋体" w:cs="宋体"/>
                <w:spacing w:val="3"/>
                <w:sz w:val="20"/>
                <w:szCs w:val="20"/>
              </w:rPr>
              <w:t>表示；</w:t>
            </w:r>
          </w:p>
        </w:tc>
        <w:tc>
          <w:tcPr>
            <w:tcW w:w="123" w:type="dxa"/>
            <w:tcBorders>
              <w:top w:val="nil"/>
              <w:bottom w:val="nil"/>
              <w:right w:val="single" w:color="000000" w:sz="6" w:space="0"/>
            </w:tcBorders>
            <w:vAlign w:val="top"/>
          </w:tcPr>
          <w:p w14:paraId="7BAC5E8C">
            <w:pPr>
              <w:rPr>
                <w:rFonts w:ascii="Arial"/>
                <w:sz w:val="21"/>
              </w:rPr>
            </w:pPr>
          </w:p>
        </w:tc>
      </w:tr>
      <w:tr w14:paraId="12853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8" w:hRule="atLeast"/>
        </w:trPr>
        <w:tc>
          <w:tcPr>
            <w:tcW w:w="717" w:type="dxa"/>
            <w:vMerge w:val="continue"/>
            <w:tcBorders>
              <w:top w:val="nil"/>
              <w:left w:val="single" w:color="000000" w:sz="6" w:space="0"/>
              <w:bottom w:val="nil"/>
            </w:tcBorders>
            <w:vAlign w:val="top"/>
          </w:tcPr>
          <w:p w14:paraId="6F34B958">
            <w:pPr>
              <w:rPr>
                <w:rFonts w:ascii="Arial"/>
                <w:sz w:val="21"/>
              </w:rPr>
            </w:pPr>
          </w:p>
        </w:tc>
        <w:tc>
          <w:tcPr>
            <w:tcW w:w="8348" w:type="dxa"/>
            <w:gridSpan w:val="10"/>
            <w:tcBorders>
              <w:right w:val="single" w:color="000000" w:sz="6" w:space="0"/>
            </w:tcBorders>
            <w:vAlign w:val="top"/>
          </w:tcPr>
          <w:p w14:paraId="2EF32B46">
            <w:pPr>
              <w:spacing w:before="39" w:line="359" w:lineRule="auto"/>
              <w:ind w:left="108" w:right="103" w:firstLine="479"/>
              <w:rPr>
                <w:rFonts w:ascii="宋体" w:hAnsi="宋体" w:eastAsia="宋体" w:cs="宋体"/>
                <w:sz w:val="24"/>
                <w:szCs w:val="24"/>
              </w:rPr>
            </w:pPr>
            <w:r>
              <w:rPr>
                <w:rFonts w:ascii="宋体" w:hAnsi="宋体" w:eastAsia="宋体" w:cs="宋体"/>
                <w:spacing w:val="-1"/>
                <w:sz w:val="24"/>
                <w:szCs w:val="24"/>
              </w:rPr>
              <w:t>根据引用检测结果，项目区非甲烷总烃小时平均浓度能够达到《大</w:t>
            </w:r>
            <w:r>
              <w:rPr>
                <w:rFonts w:ascii="宋体" w:hAnsi="宋体" w:eastAsia="宋体" w:cs="宋体"/>
                <w:spacing w:val="-2"/>
                <w:sz w:val="24"/>
                <w:szCs w:val="24"/>
              </w:rPr>
              <w:t>气污染</w:t>
            </w:r>
            <w:r>
              <w:rPr>
                <w:rFonts w:ascii="宋体" w:hAnsi="宋体" w:eastAsia="宋体" w:cs="宋体"/>
                <w:spacing w:val="-1"/>
                <w:sz w:val="24"/>
                <w:szCs w:val="24"/>
              </w:rPr>
              <w:t>物综合排放标准详解》标准限值。</w:t>
            </w:r>
          </w:p>
          <w:p w14:paraId="53BF75E5">
            <w:pPr>
              <w:spacing w:line="219" w:lineRule="auto"/>
              <w:ind w:left="584"/>
              <w:rPr>
                <w:rFonts w:ascii="宋体" w:hAnsi="宋体" w:eastAsia="宋体" w:cs="宋体"/>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30"/>
                <w:sz w:val="24"/>
                <w:szCs w:val="24"/>
              </w:rPr>
              <w:t xml:space="preserve"> </w:t>
            </w:r>
            <w:r>
              <w:rPr>
                <w:rFonts w:ascii="宋体" w:hAnsi="宋体" w:eastAsia="宋体" w:cs="宋体"/>
                <w:b/>
                <w:bCs/>
                <w:spacing w:val="-5"/>
                <w:sz w:val="24"/>
                <w:szCs w:val="24"/>
              </w:rPr>
              <w:t>、地表水环境质量现状</w:t>
            </w:r>
          </w:p>
          <w:p w14:paraId="6108FA46">
            <w:pPr>
              <w:spacing w:before="178" w:line="360" w:lineRule="auto"/>
              <w:ind w:left="108" w:right="103" w:firstLine="483"/>
              <w:jc w:val="both"/>
              <w:rPr>
                <w:rFonts w:ascii="宋体" w:hAnsi="宋体" w:eastAsia="宋体" w:cs="宋体"/>
                <w:sz w:val="24"/>
                <w:szCs w:val="24"/>
              </w:rPr>
            </w:pPr>
            <w:r>
              <w:rPr>
                <w:rFonts w:ascii="宋体" w:hAnsi="宋体" w:eastAsia="宋体" w:cs="宋体"/>
                <w:spacing w:val="-4"/>
                <w:sz w:val="24"/>
                <w:szCs w:val="24"/>
              </w:rPr>
              <w:t>项目距离最近的地表水体为北侧</w:t>
            </w:r>
            <w:r>
              <w:rPr>
                <w:rFonts w:ascii="宋体" w:hAnsi="宋体" w:eastAsia="宋体" w:cs="宋体"/>
                <w:spacing w:val="-25"/>
                <w:sz w:val="24"/>
                <w:szCs w:val="24"/>
              </w:rPr>
              <w:t xml:space="preserve"> </w:t>
            </w:r>
            <w:r>
              <w:rPr>
                <w:rFonts w:ascii="Times New Roman" w:hAnsi="Times New Roman" w:eastAsia="Times New Roman" w:cs="Times New Roman"/>
                <w:spacing w:val="-4"/>
                <w:sz w:val="24"/>
                <w:szCs w:val="24"/>
              </w:rPr>
              <w:t xml:space="preserve">1135m </w:t>
            </w:r>
            <w:r>
              <w:rPr>
                <w:rFonts w:ascii="宋体" w:hAnsi="宋体" w:eastAsia="宋体" w:cs="宋体"/>
                <w:spacing w:val="-4"/>
                <w:sz w:val="24"/>
                <w:szCs w:val="24"/>
              </w:rPr>
              <w:t>处的谓所河，该河经暗河进入三月</w:t>
            </w:r>
            <w:r>
              <w:rPr>
                <w:rFonts w:ascii="宋体" w:hAnsi="宋体" w:eastAsia="宋体" w:cs="宋体"/>
                <w:spacing w:val="-1"/>
                <w:sz w:val="24"/>
                <w:szCs w:val="24"/>
              </w:rPr>
              <w:t>三水库再流入前进河最终汇入牛栏江，根据支流水质不低于干流水质的原则，</w:t>
            </w:r>
            <w:r>
              <w:rPr>
                <w:rFonts w:ascii="宋体" w:hAnsi="宋体" w:eastAsia="宋体" w:cs="宋体"/>
                <w:sz w:val="24"/>
                <w:szCs w:val="24"/>
              </w:rPr>
              <w:t>谓所河、三月三水库执行《地表水环境质量标准》</w:t>
            </w:r>
            <w:r>
              <w:rPr>
                <w:rFonts w:ascii="宋体" w:hAnsi="宋体" w:eastAsia="宋体" w:cs="宋体"/>
                <w:spacing w:val="-1"/>
                <w:sz w:val="24"/>
                <w:szCs w:val="24"/>
              </w:rPr>
              <w:t>（</w:t>
            </w:r>
            <w:r>
              <w:rPr>
                <w:rFonts w:ascii="Times New Roman" w:hAnsi="Times New Roman" w:eastAsia="Times New Roman" w:cs="Times New Roman"/>
                <w:spacing w:val="-1"/>
                <w:sz w:val="24"/>
                <w:szCs w:val="24"/>
              </w:rPr>
              <w:t>GB 3838-2002</w:t>
            </w:r>
            <w:r>
              <w:rPr>
                <w:rFonts w:ascii="宋体" w:hAnsi="宋体" w:eastAsia="宋体" w:cs="宋体"/>
                <w:spacing w:val="-1"/>
                <w:sz w:val="24"/>
                <w:szCs w:val="24"/>
              </w:rPr>
              <w:t>）</w:t>
            </w:r>
            <w:r>
              <w:rPr>
                <w:rFonts w:ascii="Times New Roman" w:hAnsi="Times New Roman" w:eastAsia="Times New Roman" w:cs="Times New Roman"/>
                <w:spacing w:val="-1"/>
                <w:sz w:val="24"/>
                <w:szCs w:val="24"/>
              </w:rPr>
              <w:t>Ⅲ</w:t>
            </w:r>
            <w:r>
              <w:rPr>
                <w:rFonts w:ascii="宋体" w:hAnsi="宋体" w:eastAsia="宋体" w:cs="宋体"/>
                <w:spacing w:val="-1"/>
                <w:sz w:val="24"/>
                <w:szCs w:val="24"/>
              </w:rPr>
              <w:t>类水质</w:t>
            </w:r>
            <w:r>
              <w:rPr>
                <w:rFonts w:ascii="宋体" w:hAnsi="宋体" w:eastAsia="宋体" w:cs="宋体"/>
                <w:spacing w:val="-4"/>
                <w:sz w:val="24"/>
                <w:szCs w:val="24"/>
              </w:rPr>
              <w:t>标准。</w:t>
            </w:r>
          </w:p>
          <w:p w14:paraId="3BCC9508">
            <w:pPr>
              <w:spacing w:before="1" w:line="358" w:lineRule="auto"/>
              <w:ind w:left="107" w:right="103" w:firstLine="480"/>
              <w:jc w:val="both"/>
              <w:rPr>
                <w:rFonts w:ascii="宋体" w:hAnsi="宋体" w:eastAsia="宋体" w:cs="宋体"/>
                <w:sz w:val="24"/>
                <w:szCs w:val="24"/>
              </w:rPr>
            </w:pPr>
            <w:r>
              <w:rPr>
                <w:rFonts w:ascii="宋体" w:hAnsi="宋体" w:eastAsia="宋体" w:cs="宋体"/>
                <w:spacing w:val="-1"/>
                <w:sz w:val="24"/>
                <w:szCs w:val="24"/>
              </w:rPr>
              <w:t>根据《寻甸产业园区金所片区工业废水依托城镇污水处理厂处理可</w:t>
            </w:r>
            <w:r>
              <w:rPr>
                <w:rFonts w:ascii="宋体" w:hAnsi="宋体" w:eastAsia="宋体" w:cs="宋体"/>
                <w:spacing w:val="-2"/>
                <w:sz w:val="24"/>
                <w:szCs w:val="24"/>
              </w:rPr>
              <w:t>行性评估报告》（</w:t>
            </w:r>
            <w:r>
              <w:rPr>
                <w:rFonts w:ascii="Times New Roman" w:hAnsi="Times New Roman" w:eastAsia="Times New Roman" w:cs="Times New Roman"/>
                <w:spacing w:val="-2"/>
                <w:sz w:val="24"/>
                <w:szCs w:val="24"/>
              </w:rPr>
              <w:t xml:space="preserve">2025 </w:t>
            </w:r>
            <w:r>
              <w:rPr>
                <w:rFonts w:ascii="宋体" w:hAnsi="宋体" w:eastAsia="宋体" w:cs="宋体"/>
                <w:spacing w:val="-2"/>
                <w:sz w:val="24"/>
                <w:szCs w:val="24"/>
              </w:rPr>
              <w:t>年</w:t>
            </w:r>
            <w:r>
              <w:rPr>
                <w:rFonts w:ascii="宋体" w:hAnsi="宋体" w:eastAsia="宋体" w:cs="宋体"/>
                <w:spacing w:val="-49"/>
                <w:sz w:val="24"/>
                <w:szCs w:val="24"/>
              </w:rPr>
              <w:t xml:space="preserve"> </w:t>
            </w:r>
            <w:r>
              <w:rPr>
                <w:rFonts w:ascii="Times New Roman" w:hAnsi="Times New Roman" w:eastAsia="Times New Roman" w:cs="Times New Roman"/>
                <w:spacing w:val="-2"/>
                <w:sz w:val="24"/>
                <w:szCs w:val="24"/>
              </w:rPr>
              <w:t>6</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月</w:t>
            </w:r>
            <w:r>
              <w:rPr>
                <w:rFonts w:ascii="宋体" w:hAnsi="宋体" w:eastAsia="宋体" w:cs="宋体"/>
                <w:spacing w:val="-25"/>
                <w:sz w:val="24"/>
                <w:szCs w:val="24"/>
              </w:rPr>
              <w:t>），</w:t>
            </w:r>
            <w:r>
              <w:rPr>
                <w:rFonts w:ascii="宋体" w:hAnsi="宋体" w:eastAsia="宋体" w:cs="宋体"/>
                <w:spacing w:val="-2"/>
                <w:sz w:val="24"/>
                <w:szCs w:val="24"/>
              </w:rPr>
              <w:t>三月三水库寻甸县设有常规市控监测断面，收集到</w:t>
            </w:r>
            <w:r>
              <w:rPr>
                <w:rFonts w:ascii="宋体" w:hAnsi="宋体" w:eastAsia="宋体" w:cs="宋体"/>
                <w:sz w:val="24"/>
                <w:szCs w:val="24"/>
              </w:rPr>
              <w:t>寻甸县环境监测站</w:t>
            </w:r>
            <w:r>
              <w:rPr>
                <w:rFonts w:ascii="宋体" w:hAnsi="宋体" w:eastAsia="宋体" w:cs="宋体"/>
                <w:spacing w:val="-55"/>
                <w:sz w:val="24"/>
                <w:szCs w:val="24"/>
              </w:rPr>
              <w:t xml:space="preserve"> </w:t>
            </w:r>
            <w:r>
              <w:rPr>
                <w:rFonts w:ascii="Times New Roman" w:hAnsi="Times New Roman" w:eastAsia="Times New Roman" w:cs="Times New Roman"/>
                <w:sz w:val="24"/>
                <w:szCs w:val="24"/>
              </w:rPr>
              <w:t xml:space="preserve">2024 </w:t>
            </w:r>
            <w:r>
              <w:rPr>
                <w:rFonts w:ascii="宋体" w:hAnsi="宋体" w:eastAsia="宋体" w:cs="宋体"/>
                <w:sz w:val="24"/>
                <w:szCs w:val="24"/>
              </w:rPr>
              <w:t>年三月三水库水质</w:t>
            </w:r>
            <w:r>
              <w:rPr>
                <w:rFonts w:ascii="宋体" w:hAnsi="宋体" w:eastAsia="宋体" w:cs="宋体"/>
                <w:spacing w:val="-1"/>
                <w:sz w:val="24"/>
                <w:szCs w:val="24"/>
              </w:rPr>
              <w:t>例行监测数据，监测统计结果见下</w:t>
            </w:r>
            <w:r>
              <w:rPr>
                <w:rFonts w:ascii="宋体" w:hAnsi="宋体" w:eastAsia="宋体" w:cs="宋体"/>
                <w:spacing w:val="-5"/>
                <w:sz w:val="24"/>
                <w:szCs w:val="24"/>
              </w:rPr>
              <w:t>表。</w:t>
            </w:r>
          </w:p>
          <w:p w14:paraId="09E349C0">
            <w:pPr>
              <w:spacing w:line="210" w:lineRule="auto"/>
              <w:ind w:left="1608"/>
              <w:rPr>
                <w:rFonts w:ascii="Times New Roman" w:hAnsi="Times New Roman" w:eastAsia="Times New Roman" w:cs="Times New Roman"/>
                <w:sz w:val="20"/>
                <w:szCs w:val="20"/>
              </w:rPr>
            </w:pPr>
            <w:r>
              <w:rPr>
                <w:rFonts w:ascii="宋体" w:hAnsi="宋体" w:eastAsia="宋体" w:cs="宋体"/>
                <w:b/>
                <w:bCs/>
                <w:spacing w:val="6"/>
                <w:sz w:val="20"/>
                <w:szCs w:val="20"/>
              </w:rPr>
              <w:t>表</w:t>
            </w:r>
            <w:r>
              <w:rPr>
                <w:rFonts w:ascii="宋体" w:hAnsi="宋体" w:eastAsia="宋体" w:cs="宋体"/>
                <w:spacing w:val="-41"/>
                <w:sz w:val="20"/>
                <w:szCs w:val="20"/>
              </w:rPr>
              <w:t xml:space="preserve"> </w:t>
            </w:r>
            <w:r>
              <w:rPr>
                <w:rFonts w:ascii="Times New Roman" w:hAnsi="Times New Roman" w:eastAsia="Times New Roman" w:cs="Times New Roman"/>
                <w:b/>
                <w:bCs/>
                <w:spacing w:val="6"/>
                <w:sz w:val="20"/>
                <w:szCs w:val="20"/>
              </w:rPr>
              <w:t xml:space="preserve">3-4    </w:t>
            </w:r>
            <w:r>
              <w:rPr>
                <w:rFonts w:ascii="宋体" w:hAnsi="宋体" w:eastAsia="宋体" w:cs="宋体"/>
                <w:b/>
                <w:bCs/>
                <w:spacing w:val="6"/>
                <w:sz w:val="20"/>
                <w:szCs w:val="20"/>
              </w:rPr>
              <w:t>三月三水库</w:t>
            </w:r>
            <w:r>
              <w:rPr>
                <w:rFonts w:ascii="宋体" w:hAnsi="宋体" w:eastAsia="宋体" w:cs="宋体"/>
                <w:spacing w:val="34"/>
                <w:sz w:val="20"/>
                <w:szCs w:val="20"/>
              </w:rPr>
              <w:t xml:space="preserve"> </w:t>
            </w:r>
            <w:r>
              <w:rPr>
                <w:rFonts w:ascii="宋体" w:hAnsi="宋体" w:eastAsia="宋体" w:cs="宋体"/>
                <w:b/>
                <w:bCs/>
                <w:spacing w:val="6"/>
                <w:sz w:val="20"/>
                <w:szCs w:val="20"/>
              </w:rPr>
              <w:t>：水环境现状评</w:t>
            </w:r>
            <w:r>
              <w:rPr>
                <w:rFonts w:ascii="宋体" w:hAnsi="宋体" w:eastAsia="宋体" w:cs="宋体"/>
                <w:b/>
                <w:bCs/>
                <w:spacing w:val="5"/>
                <w:sz w:val="20"/>
                <w:szCs w:val="20"/>
              </w:rPr>
              <w:t>价表</w:t>
            </w:r>
            <w:r>
              <w:rPr>
                <w:rFonts w:ascii="宋体" w:hAnsi="宋体" w:eastAsia="宋体" w:cs="宋体"/>
                <w:spacing w:val="5"/>
                <w:sz w:val="20"/>
                <w:szCs w:val="20"/>
              </w:rPr>
              <w:t xml:space="preserve">  </w:t>
            </w:r>
            <w:r>
              <w:rPr>
                <w:rFonts w:ascii="宋体" w:hAnsi="宋体" w:eastAsia="宋体" w:cs="宋体"/>
                <w:b/>
                <w:bCs/>
                <w:spacing w:val="5"/>
                <w:sz w:val="20"/>
                <w:szCs w:val="20"/>
              </w:rPr>
              <w:t>单位：</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5"/>
                <w:sz w:val="20"/>
                <w:szCs w:val="20"/>
              </w:rPr>
              <w:t>/L</w:t>
            </w:r>
          </w:p>
        </w:tc>
      </w:tr>
      <w:tr w14:paraId="6CE60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17" w:type="dxa"/>
            <w:vMerge w:val="continue"/>
            <w:tcBorders>
              <w:top w:val="nil"/>
              <w:left w:val="single" w:color="000000" w:sz="6" w:space="0"/>
              <w:bottom w:val="nil"/>
            </w:tcBorders>
            <w:vAlign w:val="top"/>
          </w:tcPr>
          <w:p w14:paraId="1BECD1CB">
            <w:pPr>
              <w:rPr>
                <w:rFonts w:ascii="Arial"/>
                <w:sz w:val="21"/>
              </w:rPr>
            </w:pPr>
          </w:p>
        </w:tc>
        <w:tc>
          <w:tcPr>
            <w:tcW w:w="115" w:type="dxa"/>
            <w:tcBorders>
              <w:top w:val="nil"/>
              <w:bottom w:val="nil"/>
            </w:tcBorders>
            <w:vAlign w:val="top"/>
          </w:tcPr>
          <w:p w14:paraId="01609D08">
            <w:pPr>
              <w:rPr>
                <w:rFonts w:ascii="Arial"/>
                <w:sz w:val="21"/>
              </w:rPr>
            </w:pPr>
          </w:p>
        </w:tc>
        <w:tc>
          <w:tcPr>
            <w:tcW w:w="1391" w:type="dxa"/>
            <w:tcBorders>
              <w:tl2br w:val="single" w:color="000000" w:sz="4" w:space="0"/>
            </w:tcBorders>
            <w:vAlign w:val="top"/>
          </w:tcPr>
          <w:p w14:paraId="73AF15E7">
            <w:pPr>
              <w:spacing w:before="37" w:line="357" w:lineRule="auto"/>
              <w:ind w:left="380" w:right="384" w:firstLine="104"/>
              <w:rPr>
                <w:rFonts w:ascii="宋体" w:hAnsi="宋体" w:eastAsia="宋体" w:cs="宋体"/>
                <w:sz w:val="20"/>
                <w:szCs w:val="20"/>
              </w:rPr>
            </w:pPr>
            <w:r>
              <w:rPr>
                <w:rFonts w:ascii="宋体" w:hAnsi="宋体" w:eastAsia="宋体" w:cs="宋体"/>
                <w:b/>
                <w:bCs/>
                <w:spacing w:val="3"/>
                <w:sz w:val="20"/>
                <w:szCs w:val="20"/>
              </w:rPr>
              <w:t>年度</w:t>
            </w:r>
            <w:r>
              <w:rPr>
                <w:rFonts w:ascii="宋体" w:hAnsi="宋体" w:eastAsia="宋体" w:cs="宋体"/>
                <w:b/>
                <w:bCs/>
                <w:spacing w:val="5"/>
                <w:sz w:val="20"/>
                <w:szCs w:val="20"/>
              </w:rPr>
              <w:t>污染物</w:t>
            </w:r>
          </w:p>
        </w:tc>
        <w:tc>
          <w:tcPr>
            <w:tcW w:w="2523" w:type="dxa"/>
            <w:gridSpan w:val="3"/>
            <w:vAlign w:val="top"/>
          </w:tcPr>
          <w:p w14:paraId="1528BA35">
            <w:pPr>
              <w:spacing w:before="285" w:line="195" w:lineRule="auto"/>
              <w:ind w:left="1050"/>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2024</w:t>
            </w:r>
          </w:p>
        </w:tc>
        <w:tc>
          <w:tcPr>
            <w:tcW w:w="2136" w:type="dxa"/>
            <w:gridSpan w:val="2"/>
            <w:vAlign w:val="top"/>
          </w:tcPr>
          <w:p w14:paraId="6162288A">
            <w:pPr>
              <w:spacing w:before="241" w:line="228" w:lineRule="auto"/>
              <w:ind w:left="634"/>
              <w:rPr>
                <w:rFonts w:ascii="宋体" w:hAnsi="宋体" w:eastAsia="宋体" w:cs="宋体"/>
                <w:sz w:val="20"/>
                <w:szCs w:val="20"/>
              </w:rPr>
            </w:pPr>
            <w:r>
              <w:rPr>
                <w:rFonts w:ascii="Times New Roman" w:hAnsi="Times New Roman" w:eastAsia="Times New Roman" w:cs="Times New Roman"/>
                <w:b/>
                <w:bCs/>
                <w:spacing w:val="8"/>
                <w:sz w:val="20"/>
                <w:szCs w:val="20"/>
              </w:rPr>
              <w:t>Ⅲ</w:t>
            </w:r>
            <w:r>
              <w:rPr>
                <w:rFonts w:ascii="宋体" w:hAnsi="宋体" w:eastAsia="宋体" w:cs="宋体"/>
                <w:b/>
                <w:bCs/>
                <w:spacing w:val="8"/>
                <w:sz w:val="20"/>
                <w:szCs w:val="20"/>
              </w:rPr>
              <w:t>类标准</w:t>
            </w:r>
          </w:p>
        </w:tc>
        <w:tc>
          <w:tcPr>
            <w:tcW w:w="2060" w:type="dxa"/>
            <w:gridSpan w:val="2"/>
            <w:vAlign w:val="top"/>
          </w:tcPr>
          <w:p w14:paraId="4AD8284B">
            <w:pPr>
              <w:spacing w:before="242" w:line="228" w:lineRule="auto"/>
              <w:ind w:left="620"/>
              <w:rPr>
                <w:rFonts w:ascii="宋体" w:hAnsi="宋体" w:eastAsia="宋体" w:cs="宋体"/>
                <w:sz w:val="20"/>
                <w:szCs w:val="20"/>
              </w:rPr>
            </w:pPr>
            <w:r>
              <w:rPr>
                <w:rFonts w:ascii="宋体" w:hAnsi="宋体" w:eastAsia="宋体" w:cs="宋体"/>
                <w:b/>
                <w:bCs/>
                <w:spacing w:val="6"/>
                <w:sz w:val="20"/>
                <w:szCs w:val="20"/>
              </w:rPr>
              <w:t>单项判定</w:t>
            </w:r>
          </w:p>
        </w:tc>
        <w:tc>
          <w:tcPr>
            <w:tcW w:w="123" w:type="dxa"/>
            <w:tcBorders>
              <w:top w:val="nil"/>
              <w:bottom w:val="nil"/>
              <w:right w:val="single" w:color="000000" w:sz="6" w:space="0"/>
            </w:tcBorders>
            <w:vAlign w:val="top"/>
          </w:tcPr>
          <w:p w14:paraId="1EE42AD3">
            <w:pPr>
              <w:rPr>
                <w:rFonts w:ascii="Arial"/>
                <w:sz w:val="21"/>
              </w:rPr>
            </w:pPr>
          </w:p>
        </w:tc>
      </w:tr>
      <w:tr w14:paraId="2202C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43B3A36C">
            <w:pPr>
              <w:rPr>
                <w:rFonts w:ascii="Arial"/>
                <w:sz w:val="21"/>
              </w:rPr>
            </w:pPr>
          </w:p>
        </w:tc>
        <w:tc>
          <w:tcPr>
            <w:tcW w:w="115" w:type="dxa"/>
            <w:tcBorders>
              <w:top w:val="nil"/>
              <w:bottom w:val="nil"/>
            </w:tcBorders>
            <w:vAlign w:val="top"/>
          </w:tcPr>
          <w:p w14:paraId="02F07F1A">
            <w:pPr>
              <w:rPr>
                <w:rFonts w:ascii="Arial"/>
                <w:sz w:val="21"/>
              </w:rPr>
            </w:pPr>
          </w:p>
        </w:tc>
        <w:tc>
          <w:tcPr>
            <w:tcW w:w="1391" w:type="dxa"/>
            <w:vAlign w:val="top"/>
          </w:tcPr>
          <w:p w14:paraId="06781FAC">
            <w:pPr>
              <w:spacing w:before="83" w:line="195" w:lineRule="auto"/>
              <w:ind w:left="39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CODcr</w:t>
            </w:r>
          </w:p>
        </w:tc>
        <w:tc>
          <w:tcPr>
            <w:tcW w:w="2523" w:type="dxa"/>
            <w:gridSpan w:val="3"/>
            <w:vAlign w:val="top"/>
          </w:tcPr>
          <w:p w14:paraId="3E3CDD13">
            <w:pPr>
              <w:spacing w:before="83" w:line="195" w:lineRule="auto"/>
              <w:ind w:left="107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22.6</w:t>
            </w:r>
          </w:p>
        </w:tc>
        <w:tc>
          <w:tcPr>
            <w:tcW w:w="2136" w:type="dxa"/>
            <w:gridSpan w:val="2"/>
            <w:vAlign w:val="top"/>
          </w:tcPr>
          <w:p w14:paraId="6E6210D2">
            <w:pPr>
              <w:spacing w:before="61" w:line="195" w:lineRule="auto"/>
              <w:ind w:left="9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2060" w:type="dxa"/>
            <w:gridSpan w:val="2"/>
            <w:vAlign w:val="top"/>
          </w:tcPr>
          <w:p w14:paraId="58A7FB10">
            <w:pPr>
              <w:spacing w:before="40" w:line="228" w:lineRule="auto"/>
              <w:ind w:left="829"/>
              <w:rPr>
                <w:rFonts w:ascii="宋体" w:hAnsi="宋体" w:eastAsia="宋体" w:cs="宋体"/>
                <w:sz w:val="20"/>
                <w:szCs w:val="20"/>
              </w:rPr>
            </w:pPr>
            <w:r>
              <w:rPr>
                <w:rFonts w:ascii="宋体" w:hAnsi="宋体" w:eastAsia="宋体" w:cs="宋体"/>
                <w:spacing w:val="5"/>
                <w:sz w:val="20"/>
                <w:szCs w:val="20"/>
              </w:rPr>
              <w:t>超标</w:t>
            </w:r>
          </w:p>
        </w:tc>
        <w:tc>
          <w:tcPr>
            <w:tcW w:w="123" w:type="dxa"/>
            <w:tcBorders>
              <w:top w:val="nil"/>
              <w:bottom w:val="nil"/>
              <w:right w:val="single" w:color="000000" w:sz="6" w:space="0"/>
            </w:tcBorders>
            <w:vAlign w:val="top"/>
          </w:tcPr>
          <w:p w14:paraId="30F7DA37">
            <w:pPr>
              <w:rPr>
                <w:rFonts w:ascii="Arial"/>
                <w:sz w:val="21"/>
              </w:rPr>
            </w:pPr>
          </w:p>
        </w:tc>
      </w:tr>
      <w:tr w14:paraId="0EF73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2B8BA1FF">
            <w:pPr>
              <w:rPr>
                <w:rFonts w:ascii="Arial"/>
                <w:sz w:val="21"/>
              </w:rPr>
            </w:pPr>
          </w:p>
        </w:tc>
        <w:tc>
          <w:tcPr>
            <w:tcW w:w="115" w:type="dxa"/>
            <w:tcBorders>
              <w:top w:val="nil"/>
              <w:bottom w:val="nil"/>
            </w:tcBorders>
            <w:vAlign w:val="top"/>
          </w:tcPr>
          <w:p w14:paraId="2BF84546">
            <w:pPr>
              <w:rPr>
                <w:rFonts w:ascii="Arial"/>
                <w:sz w:val="21"/>
              </w:rPr>
            </w:pPr>
          </w:p>
        </w:tc>
        <w:tc>
          <w:tcPr>
            <w:tcW w:w="1391" w:type="dxa"/>
            <w:vAlign w:val="top"/>
          </w:tcPr>
          <w:p w14:paraId="23FB7FE6">
            <w:pPr>
              <w:spacing w:before="82" w:line="195" w:lineRule="auto"/>
              <w:ind w:left="416"/>
              <w:rPr>
                <w:rFonts w:ascii="Times New Roman" w:hAnsi="Times New Roman" w:eastAsia="Times New Roman" w:cs="Times New Roman"/>
                <w:sz w:val="20"/>
                <w:szCs w:val="20"/>
              </w:rPr>
            </w:pPr>
            <w:r>
              <w:rPr>
                <w:rFonts w:ascii="Times New Roman" w:hAnsi="Times New Roman" w:eastAsia="Times New Roman" w:cs="Times New Roman"/>
                <w:sz w:val="20"/>
                <w:szCs w:val="20"/>
              </w:rPr>
              <w:t>BOD</w:t>
            </w:r>
            <w:r>
              <w:rPr>
                <w:rFonts w:ascii="Times New Roman" w:hAnsi="Times New Roman" w:eastAsia="Times New Roman" w:cs="Times New Roman"/>
                <w:spacing w:val="20"/>
                <w:sz w:val="20"/>
                <w:szCs w:val="20"/>
              </w:rPr>
              <w:t>5</w:t>
            </w:r>
          </w:p>
        </w:tc>
        <w:tc>
          <w:tcPr>
            <w:tcW w:w="2523" w:type="dxa"/>
            <w:gridSpan w:val="3"/>
            <w:vAlign w:val="top"/>
          </w:tcPr>
          <w:p w14:paraId="3C598C8D">
            <w:pPr>
              <w:spacing w:before="82" w:line="195" w:lineRule="auto"/>
              <w:ind w:left="108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3.38</w:t>
            </w:r>
          </w:p>
        </w:tc>
        <w:tc>
          <w:tcPr>
            <w:tcW w:w="2136" w:type="dxa"/>
            <w:gridSpan w:val="2"/>
            <w:vAlign w:val="top"/>
          </w:tcPr>
          <w:p w14:paraId="602D0A8F">
            <w:pPr>
              <w:spacing w:before="61" w:line="195" w:lineRule="auto"/>
              <w:ind w:left="10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060" w:type="dxa"/>
            <w:gridSpan w:val="2"/>
            <w:vAlign w:val="top"/>
          </w:tcPr>
          <w:p w14:paraId="52E5A3F9">
            <w:pPr>
              <w:spacing w:before="40" w:line="228" w:lineRule="auto"/>
              <w:ind w:left="829"/>
              <w:rPr>
                <w:rFonts w:ascii="宋体" w:hAnsi="宋体" w:eastAsia="宋体" w:cs="宋体"/>
                <w:sz w:val="20"/>
                <w:szCs w:val="20"/>
              </w:rPr>
            </w:pPr>
            <w:r>
              <w:rPr>
                <w:rFonts w:ascii="宋体" w:hAnsi="宋体" w:eastAsia="宋体" w:cs="宋体"/>
                <w:spacing w:val="5"/>
                <w:sz w:val="20"/>
                <w:szCs w:val="20"/>
              </w:rPr>
              <w:t>达标</w:t>
            </w:r>
          </w:p>
        </w:tc>
        <w:tc>
          <w:tcPr>
            <w:tcW w:w="123" w:type="dxa"/>
            <w:tcBorders>
              <w:top w:val="nil"/>
              <w:bottom w:val="nil"/>
              <w:right w:val="single" w:color="000000" w:sz="6" w:space="0"/>
            </w:tcBorders>
            <w:vAlign w:val="top"/>
          </w:tcPr>
          <w:p w14:paraId="4BA8CAAE">
            <w:pPr>
              <w:rPr>
                <w:rFonts w:ascii="Arial"/>
                <w:sz w:val="21"/>
              </w:rPr>
            </w:pPr>
          </w:p>
        </w:tc>
      </w:tr>
      <w:tr w14:paraId="57697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38CAB9E8">
            <w:pPr>
              <w:rPr>
                <w:rFonts w:ascii="Arial"/>
                <w:sz w:val="21"/>
              </w:rPr>
            </w:pPr>
          </w:p>
        </w:tc>
        <w:tc>
          <w:tcPr>
            <w:tcW w:w="115" w:type="dxa"/>
            <w:tcBorders>
              <w:top w:val="nil"/>
              <w:bottom w:val="nil"/>
            </w:tcBorders>
            <w:vAlign w:val="top"/>
          </w:tcPr>
          <w:p w14:paraId="2D51C133">
            <w:pPr>
              <w:rPr>
                <w:rFonts w:ascii="Arial"/>
                <w:sz w:val="21"/>
              </w:rPr>
            </w:pPr>
          </w:p>
        </w:tc>
        <w:tc>
          <w:tcPr>
            <w:tcW w:w="1391" w:type="dxa"/>
            <w:vAlign w:val="top"/>
          </w:tcPr>
          <w:p w14:paraId="4BDAAA42">
            <w:pPr>
              <w:spacing w:before="41" w:line="227" w:lineRule="auto"/>
              <w:ind w:left="483"/>
              <w:rPr>
                <w:rFonts w:ascii="宋体" w:hAnsi="宋体" w:eastAsia="宋体" w:cs="宋体"/>
                <w:sz w:val="20"/>
                <w:szCs w:val="20"/>
              </w:rPr>
            </w:pPr>
            <w:r>
              <w:rPr>
                <w:rFonts w:ascii="宋体" w:hAnsi="宋体" w:eastAsia="宋体" w:cs="宋体"/>
                <w:spacing w:val="4"/>
                <w:sz w:val="20"/>
                <w:szCs w:val="20"/>
              </w:rPr>
              <w:t>氨氮</w:t>
            </w:r>
          </w:p>
        </w:tc>
        <w:tc>
          <w:tcPr>
            <w:tcW w:w="2523" w:type="dxa"/>
            <w:gridSpan w:val="3"/>
            <w:vAlign w:val="top"/>
          </w:tcPr>
          <w:p w14:paraId="3E557095">
            <w:pPr>
              <w:spacing w:before="84" w:line="195" w:lineRule="auto"/>
              <w:ind w:left="10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0.18</w:t>
            </w:r>
          </w:p>
        </w:tc>
        <w:tc>
          <w:tcPr>
            <w:tcW w:w="2136" w:type="dxa"/>
            <w:gridSpan w:val="2"/>
            <w:vAlign w:val="top"/>
          </w:tcPr>
          <w:p w14:paraId="2A20933E">
            <w:pPr>
              <w:spacing w:before="63" w:line="195" w:lineRule="auto"/>
              <w:ind w:left="9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c>
          <w:tcPr>
            <w:tcW w:w="2060" w:type="dxa"/>
            <w:gridSpan w:val="2"/>
            <w:vAlign w:val="top"/>
          </w:tcPr>
          <w:p w14:paraId="5F87AD0B">
            <w:pPr>
              <w:spacing w:before="42" w:line="228" w:lineRule="auto"/>
              <w:ind w:left="829"/>
              <w:rPr>
                <w:rFonts w:ascii="宋体" w:hAnsi="宋体" w:eastAsia="宋体" w:cs="宋体"/>
                <w:sz w:val="20"/>
                <w:szCs w:val="20"/>
              </w:rPr>
            </w:pPr>
            <w:r>
              <w:rPr>
                <w:rFonts w:ascii="宋体" w:hAnsi="宋体" w:eastAsia="宋体" w:cs="宋体"/>
                <w:spacing w:val="5"/>
                <w:sz w:val="20"/>
                <w:szCs w:val="20"/>
              </w:rPr>
              <w:t>达标</w:t>
            </w:r>
          </w:p>
        </w:tc>
        <w:tc>
          <w:tcPr>
            <w:tcW w:w="123" w:type="dxa"/>
            <w:tcBorders>
              <w:top w:val="nil"/>
              <w:bottom w:val="nil"/>
              <w:right w:val="single" w:color="000000" w:sz="6" w:space="0"/>
            </w:tcBorders>
            <w:vAlign w:val="top"/>
          </w:tcPr>
          <w:p w14:paraId="0CC24FA5">
            <w:pPr>
              <w:rPr>
                <w:rFonts w:ascii="Arial"/>
                <w:sz w:val="21"/>
              </w:rPr>
            </w:pPr>
          </w:p>
        </w:tc>
      </w:tr>
      <w:tr w14:paraId="76B45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53D3D6AE">
            <w:pPr>
              <w:rPr>
                <w:rFonts w:ascii="Arial"/>
                <w:sz w:val="21"/>
              </w:rPr>
            </w:pPr>
          </w:p>
        </w:tc>
        <w:tc>
          <w:tcPr>
            <w:tcW w:w="115" w:type="dxa"/>
            <w:tcBorders>
              <w:top w:val="nil"/>
              <w:bottom w:val="nil"/>
            </w:tcBorders>
            <w:vAlign w:val="top"/>
          </w:tcPr>
          <w:p w14:paraId="308C9C53">
            <w:pPr>
              <w:rPr>
                <w:rFonts w:ascii="Arial"/>
                <w:sz w:val="21"/>
              </w:rPr>
            </w:pPr>
          </w:p>
        </w:tc>
        <w:tc>
          <w:tcPr>
            <w:tcW w:w="1391" w:type="dxa"/>
            <w:vAlign w:val="top"/>
          </w:tcPr>
          <w:p w14:paraId="065BDA2B">
            <w:pPr>
              <w:spacing w:before="41" w:line="228" w:lineRule="auto"/>
              <w:ind w:left="489"/>
              <w:rPr>
                <w:rFonts w:ascii="宋体" w:hAnsi="宋体" w:eastAsia="宋体" w:cs="宋体"/>
                <w:sz w:val="20"/>
                <w:szCs w:val="20"/>
              </w:rPr>
            </w:pPr>
            <w:r>
              <w:rPr>
                <w:rFonts w:ascii="宋体" w:hAnsi="宋体" w:eastAsia="宋体" w:cs="宋体"/>
                <w:spacing w:val="2"/>
                <w:sz w:val="20"/>
                <w:szCs w:val="20"/>
              </w:rPr>
              <w:t>总磷</w:t>
            </w:r>
          </w:p>
        </w:tc>
        <w:tc>
          <w:tcPr>
            <w:tcW w:w="2523" w:type="dxa"/>
            <w:gridSpan w:val="3"/>
            <w:vAlign w:val="top"/>
          </w:tcPr>
          <w:p w14:paraId="29CC39D2">
            <w:pPr>
              <w:spacing w:before="84" w:line="195" w:lineRule="auto"/>
              <w:ind w:left="107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4"/>
                <w:sz w:val="20"/>
                <w:szCs w:val="20"/>
              </w:rPr>
              <w:t>14</w:t>
            </w:r>
          </w:p>
        </w:tc>
        <w:tc>
          <w:tcPr>
            <w:tcW w:w="2136" w:type="dxa"/>
            <w:gridSpan w:val="2"/>
            <w:vAlign w:val="top"/>
          </w:tcPr>
          <w:p w14:paraId="0F9B637B">
            <w:pPr>
              <w:spacing w:before="62" w:line="195" w:lineRule="auto"/>
              <w:ind w:left="88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2060" w:type="dxa"/>
            <w:gridSpan w:val="2"/>
            <w:vAlign w:val="top"/>
          </w:tcPr>
          <w:p w14:paraId="1A582826">
            <w:pPr>
              <w:spacing w:before="41" w:line="228" w:lineRule="auto"/>
              <w:ind w:left="829"/>
              <w:rPr>
                <w:rFonts w:ascii="宋体" w:hAnsi="宋体" w:eastAsia="宋体" w:cs="宋体"/>
                <w:sz w:val="20"/>
                <w:szCs w:val="20"/>
              </w:rPr>
            </w:pPr>
            <w:r>
              <w:rPr>
                <w:rFonts w:ascii="宋体" w:hAnsi="宋体" w:eastAsia="宋体" w:cs="宋体"/>
                <w:spacing w:val="5"/>
                <w:sz w:val="20"/>
                <w:szCs w:val="20"/>
              </w:rPr>
              <w:t>超标</w:t>
            </w:r>
          </w:p>
        </w:tc>
        <w:tc>
          <w:tcPr>
            <w:tcW w:w="123" w:type="dxa"/>
            <w:tcBorders>
              <w:top w:val="nil"/>
              <w:bottom w:val="nil"/>
              <w:right w:val="single" w:color="000000" w:sz="6" w:space="0"/>
            </w:tcBorders>
            <w:vAlign w:val="top"/>
          </w:tcPr>
          <w:p w14:paraId="5F2899AF">
            <w:pPr>
              <w:rPr>
                <w:rFonts w:ascii="Arial"/>
                <w:sz w:val="21"/>
              </w:rPr>
            </w:pPr>
          </w:p>
        </w:tc>
      </w:tr>
      <w:tr w14:paraId="558A5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4BA3ABAD">
            <w:pPr>
              <w:rPr>
                <w:rFonts w:ascii="Arial"/>
                <w:sz w:val="21"/>
              </w:rPr>
            </w:pPr>
          </w:p>
        </w:tc>
        <w:tc>
          <w:tcPr>
            <w:tcW w:w="115" w:type="dxa"/>
            <w:tcBorders>
              <w:top w:val="nil"/>
              <w:bottom w:val="nil"/>
            </w:tcBorders>
            <w:vAlign w:val="top"/>
          </w:tcPr>
          <w:p w14:paraId="501CF435">
            <w:pPr>
              <w:rPr>
                <w:rFonts w:ascii="Arial"/>
                <w:sz w:val="21"/>
              </w:rPr>
            </w:pPr>
          </w:p>
        </w:tc>
        <w:tc>
          <w:tcPr>
            <w:tcW w:w="1391" w:type="dxa"/>
            <w:vAlign w:val="top"/>
          </w:tcPr>
          <w:p w14:paraId="31D703B4">
            <w:pPr>
              <w:spacing w:before="43" w:line="227" w:lineRule="auto"/>
              <w:ind w:left="489"/>
              <w:rPr>
                <w:rFonts w:ascii="宋体" w:hAnsi="宋体" w:eastAsia="宋体" w:cs="宋体"/>
                <w:sz w:val="20"/>
                <w:szCs w:val="20"/>
              </w:rPr>
            </w:pPr>
            <w:r>
              <w:rPr>
                <w:rFonts w:ascii="宋体" w:hAnsi="宋体" w:eastAsia="宋体" w:cs="宋体"/>
                <w:spacing w:val="2"/>
                <w:sz w:val="20"/>
                <w:szCs w:val="20"/>
              </w:rPr>
              <w:t>总氮</w:t>
            </w:r>
          </w:p>
        </w:tc>
        <w:tc>
          <w:tcPr>
            <w:tcW w:w="2523" w:type="dxa"/>
            <w:gridSpan w:val="3"/>
            <w:vAlign w:val="top"/>
          </w:tcPr>
          <w:p w14:paraId="775D0CAC">
            <w:pPr>
              <w:spacing w:before="84" w:line="195" w:lineRule="auto"/>
              <w:ind w:left="10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4.09</w:t>
            </w:r>
          </w:p>
        </w:tc>
        <w:tc>
          <w:tcPr>
            <w:tcW w:w="2136" w:type="dxa"/>
            <w:gridSpan w:val="2"/>
            <w:vAlign w:val="top"/>
          </w:tcPr>
          <w:p w14:paraId="2EC602F8">
            <w:pPr>
              <w:spacing w:before="62" w:line="195" w:lineRule="auto"/>
              <w:ind w:left="9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c>
          <w:tcPr>
            <w:tcW w:w="2060" w:type="dxa"/>
            <w:gridSpan w:val="2"/>
            <w:vAlign w:val="top"/>
          </w:tcPr>
          <w:p w14:paraId="30AEF7BD">
            <w:pPr>
              <w:spacing w:before="43" w:line="228" w:lineRule="auto"/>
              <w:ind w:left="829"/>
              <w:rPr>
                <w:rFonts w:ascii="宋体" w:hAnsi="宋体" w:eastAsia="宋体" w:cs="宋体"/>
                <w:sz w:val="20"/>
                <w:szCs w:val="20"/>
              </w:rPr>
            </w:pPr>
            <w:r>
              <w:rPr>
                <w:rFonts w:ascii="宋体" w:hAnsi="宋体" w:eastAsia="宋体" w:cs="宋体"/>
                <w:spacing w:val="5"/>
                <w:sz w:val="20"/>
                <w:szCs w:val="20"/>
              </w:rPr>
              <w:t>超标</w:t>
            </w:r>
          </w:p>
        </w:tc>
        <w:tc>
          <w:tcPr>
            <w:tcW w:w="123" w:type="dxa"/>
            <w:tcBorders>
              <w:top w:val="nil"/>
              <w:bottom w:val="nil"/>
              <w:right w:val="single" w:color="000000" w:sz="6" w:space="0"/>
            </w:tcBorders>
            <w:vAlign w:val="top"/>
          </w:tcPr>
          <w:p w14:paraId="1E271D6B">
            <w:pPr>
              <w:rPr>
                <w:rFonts w:ascii="Arial"/>
                <w:sz w:val="21"/>
              </w:rPr>
            </w:pPr>
          </w:p>
        </w:tc>
      </w:tr>
      <w:tr w14:paraId="384A2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17" w:type="dxa"/>
            <w:vMerge w:val="continue"/>
            <w:tcBorders>
              <w:top w:val="nil"/>
              <w:left w:val="single" w:color="000000" w:sz="6" w:space="0"/>
              <w:bottom w:val="nil"/>
            </w:tcBorders>
            <w:vAlign w:val="top"/>
          </w:tcPr>
          <w:p w14:paraId="2F1CDEE3">
            <w:pPr>
              <w:rPr>
                <w:rFonts w:ascii="Arial"/>
                <w:sz w:val="21"/>
              </w:rPr>
            </w:pPr>
          </w:p>
        </w:tc>
        <w:tc>
          <w:tcPr>
            <w:tcW w:w="115" w:type="dxa"/>
            <w:tcBorders>
              <w:top w:val="nil"/>
              <w:bottom w:val="nil"/>
            </w:tcBorders>
            <w:vAlign w:val="top"/>
          </w:tcPr>
          <w:p w14:paraId="56E9C80C">
            <w:pPr>
              <w:rPr>
                <w:rFonts w:ascii="Arial"/>
                <w:sz w:val="21"/>
              </w:rPr>
            </w:pPr>
          </w:p>
        </w:tc>
        <w:tc>
          <w:tcPr>
            <w:tcW w:w="1391" w:type="dxa"/>
            <w:vAlign w:val="top"/>
          </w:tcPr>
          <w:p w14:paraId="5B2C6791">
            <w:pPr>
              <w:spacing w:before="42" w:line="228" w:lineRule="auto"/>
              <w:ind w:left="381"/>
              <w:rPr>
                <w:rFonts w:ascii="宋体" w:hAnsi="宋体" w:eastAsia="宋体" w:cs="宋体"/>
                <w:sz w:val="20"/>
                <w:szCs w:val="20"/>
              </w:rPr>
            </w:pPr>
            <w:r>
              <w:rPr>
                <w:rFonts w:ascii="宋体" w:hAnsi="宋体" w:eastAsia="宋体" w:cs="宋体"/>
                <w:spacing w:val="6"/>
                <w:sz w:val="20"/>
                <w:szCs w:val="20"/>
              </w:rPr>
              <w:t>氟化物</w:t>
            </w:r>
          </w:p>
        </w:tc>
        <w:tc>
          <w:tcPr>
            <w:tcW w:w="2523" w:type="dxa"/>
            <w:gridSpan w:val="3"/>
            <w:vAlign w:val="top"/>
          </w:tcPr>
          <w:p w14:paraId="078508E0">
            <w:pPr>
              <w:spacing w:before="86" w:line="195" w:lineRule="auto"/>
              <w:ind w:left="10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0.73</w:t>
            </w:r>
          </w:p>
        </w:tc>
        <w:tc>
          <w:tcPr>
            <w:tcW w:w="2136" w:type="dxa"/>
            <w:gridSpan w:val="2"/>
            <w:vAlign w:val="top"/>
          </w:tcPr>
          <w:p w14:paraId="683D3E42">
            <w:pPr>
              <w:spacing w:before="62" w:line="195" w:lineRule="auto"/>
              <w:ind w:left="95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c>
          <w:tcPr>
            <w:tcW w:w="2060" w:type="dxa"/>
            <w:gridSpan w:val="2"/>
            <w:vAlign w:val="top"/>
          </w:tcPr>
          <w:p w14:paraId="2F964FB1">
            <w:pPr>
              <w:spacing w:before="43" w:line="228" w:lineRule="auto"/>
              <w:ind w:left="829"/>
              <w:rPr>
                <w:rFonts w:ascii="宋体" w:hAnsi="宋体" w:eastAsia="宋体" w:cs="宋体"/>
                <w:sz w:val="20"/>
                <w:szCs w:val="20"/>
              </w:rPr>
            </w:pPr>
            <w:r>
              <w:rPr>
                <w:rFonts w:ascii="宋体" w:hAnsi="宋体" w:eastAsia="宋体" w:cs="宋体"/>
                <w:spacing w:val="5"/>
                <w:sz w:val="20"/>
                <w:szCs w:val="20"/>
              </w:rPr>
              <w:t>达标</w:t>
            </w:r>
          </w:p>
        </w:tc>
        <w:tc>
          <w:tcPr>
            <w:tcW w:w="123" w:type="dxa"/>
            <w:tcBorders>
              <w:top w:val="nil"/>
              <w:bottom w:val="nil"/>
              <w:right w:val="single" w:color="000000" w:sz="6" w:space="0"/>
            </w:tcBorders>
            <w:vAlign w:val="top"/>
          </w:tcPr>
          <w:p w14:paraId="20894E08">
            <w:pPr>
              <w:rPr>
                <w:rFonts w:ascii="Arial"/>
                <w:sz w:val="21"/>
              </w:rPr>
            </w:pPr>
          </w:p>
        </w:tc>
      </w:tr>
      <w:tr w14:paraId="0F6562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7928B807">
            <w:pPr>
              <w:rPr>
                <w:rFonts w:ascii="Arial"/>
                <w:sz w:val="21"/>
              </w:rPr>
            </w:pPr>
          </w:p>
        </w:tc>
        <w:tc>
          <w:tcPr>
            <w:tcW w:w="115" w:type="dxa"/>
            <w:tcBorders>
              <w:top w:val="nil"/>
              <w:bottom w:val="nil"/>
            </w:tcBorders>
            <w:vAlign w:val="top"/>
          </w:tcPr>
          <w:p w14:paraId="7B5B8D87">
            <w:pPr>
              <w:rPr>
                <w:rFonts w:ascii="Arial"/>
                <w:sz w:val="21"/>
              </w:rPr>
            </w:pPr>
          </w:p>
        </w:tc>
        <w:tc>
          <w:tcPr>
            <w:tcW w:w="1391" w:type="dxa"/>
            <w:vAlign w:val="top"/>
          </w:tcPr>
          <w:p w14:paraId="6A2A61A8">
            <w:pPr>
              <w:spacing w:before="43" w:line="231" w:lineRule="auto"/>
              <w:ind w:left="587"/>
              <w:rPr>
                <w:rFonts w:ascii="宋体" w:hAnsi="宋体" w:eastAsia="宋体" w:cs="宋体"/>
                <w:sz w:val="20"/>
                <w:szCs w:val="20"/>
              </w:rPr>
            </w:pPr>
            <w:r>
              <w:rPr>
                <w:rFonts w:ascii="宋体" w:hAnsi="宋体" w:eastAsia="宋体" w:cs="宋体"/>
                <w:spacing w:val="2"/>
                <w:sz w:val="20"/>
                <w:szCs w:val="20"/>
              </w:rPr>
              <w:t>硒</w:t>
            </w:r>
          </w:p>
        </w:tc>
        <w:tc>
          <w:tcPr>
            <w:tcW w:w="2523" w:type="dxa"/>
            <w:gridSpan w:val="3"/>
            <w:vAlign w:val="top"/>
          </w:tcPr>
          <w:p w14:paraId="4147C42D">
            <w:pPr>
              <w:spacing w:before="65" w:line="195" w:lineRule="auto"/>
              <w:ind w:left="9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0.0004L</w:t>
            </w:r>
          </w:p>
        </w:tc>
        <w:tc>
          <w:tcPr>
            <w:tcW w:w="2136" w:type="dxa"/>
            <w:gridSpan w:val="2"/>
            <w:vAlign w:val="top"/>
          </w:tcPr>
          <w:p w14:paraId="0157A719">
            <w:pPr>
              <w:spacing w:before="65" w:line="195" w:lineRule="auto"/>
              <w:ind w:left="88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2060" w:type="dxa"/>
            <w:gridSpan w:val="2"/>
            <w:vAlign w:val="top"/>
          </w:tcPr>
          <w:p w14:paraId="08C3493D">
            <w:pPr>
              <w:spacing w:before="44" w:line="228" w:lineRule="auto"/>
              <w:ind w:left="829"/>
              <w:rPr>
                <w:rFonts w:ascii="宋体" w:hAnsi="宋体" w:eastAsia="宋体" w:cs="宋体"/>
                <w:sz w:val="20"/>
                <w:szCs w:val="20"/>
              </w:rPr>
            </w:pPr>
            <w:r>
              <w:rPr>
                <w:rFonts w:ascii="宋体" w:hAnsi="宋体" w:eastAsia="宋体" w:cs="宋体"/>
                <w:spacing w:val="5"/>
                <w:sz w:val="20"/>
                <w:szCs w:val="20"/>
              </w:rPr>
              <w:t>达标</w:t>
            </w:r>
          </w:p>
        </w:tc>
        <w:tc>
          <w:tcPr>
            <w:tcW w:w="123" w:type="dxa"/>
            <w:tcBorders>
              <w:top w:val="nil"/>
              <w:bottom w:val="nil"/>
              <w:right w:val="single" w:color="000000" w:sz="6" w:space="0"/>
            </w:tcBorders>
            <w:vAlign w:val="top"/>
          </w:tcPr>
          <w:p w14:paraId="03FBD78B">
            <w:pPr>
              <w:rPr>
                <w:rFonts w:ascii="Arial"/>
                <w:sz w:val="21"/>
              </w:rPr>
            </w:pPr>
          </w:p>
        </w:tc>
      </w:tr>
      <w:tr w14:paraId="72350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5812421D">
            <w:pPr>
              <w:rPr>
                <w:rFonts w:ascii="Arial"/>
                <w:sz w:val="21"/>
              </w:rPr>
            </w:pPr>
          </w:p>
        </w:tc>
        <w:tc>
          <w:tcPr>
            <w:tcW w:w="115" w:type="dxa"/>
            <w:tcBorders>
              <w:top w:val="nil"/>
              <w:bottom w:val="nil"/>
            </w:tcBorders>
            <w:vAlign w:val="top"/>
          </w:tcPr>
          <w:p w14:paraId="51081B1E">
            <w:pPr>
              <w:rPr>
                <w:rFonts w:ascii="Arial"/>
                <w:sz w:val="21"/>
              </w:rPr>
            </w:pPr>
          </w:p>
        </w:tc>
        <w:tc>
          <w:tcPr>
            <w:tcW w:w="1391" w:type="dxa"/>
            <w:vAlign w:val="top"/>
          </w:tcPr>
          <w:p w14:paraId="0AF3AAE8">
            <w:pPr>
              <w:spacing w:before="43" w:line="228" w:lineRule="auto"/>
              <w:ind w:left="588"/>
              <w:rPr>
                <w:rFonts w:ascii="宋体" w:hAnsi="宋体" w:eastAsia="宋体" w:cs="宋体"/>
                <w:sz w:val="20"/>
                <w:szCs w:val="20"/>
              </w:rPr>
            </w:pPr>
            <w:r>
              <w:rPr>
                <w:rFonts w:ascii="宋体" w:hAnsi="宋体" w:eastAsia="宋体" w:cs="宋体"/>
                <w:spacing w:val="1"/>
                <w:sz w:val="20"/>
                <w:szCs w:val="20"/>
              </w:rPr>
              <w:t>砷</w:t>
            </w:r>
          </w:p>
        </w:tc>
        <w:tc>
          <w:tcPr>
            <w:tcW w:w="2523" w:type="dxa"/>
            <w:gridSpan w:val="3"/>
            <w:vAlign w:val="top"/>
          </w:tcPr>
          <w:p w14:paraId="5693AF40">
            <w:pPr>
              <w:spacing w:before="64" w:line="195" w:lineRule="auto"/>
              <w:ind w:left="9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0.0029</w:t>
            </w:r>
          </w:p>
        </w:tc>
        <w:tc>
          <w:tcPr>
            <w:tcW w:w="2136" w:type="dxa"/>
            <w:gridSpan w:val="2"/>
            <w:vAlign w:val="top"/>
          </w:tcPr>
          <w:p w14:paraId="4C588E99">
            <w:pPr>
              <w:spacing w:before="64" w:line="195" w:lineRule="auto"/>
              <w:ind w:left="88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2060" w:type="dxa"/>
            <w:gridSpan w:val="2"/>
            <w:vAlign w:val="top"/>
          </w:tcPr>
          <w:p w14:paraId="7A7D4BD7">
            <w:pPr>
              <w:spacing w:before="43" w:line="228" w:lineRule="auto"/>
              <w:ind w:left="829"/>
              <w:rPr>
                <w:rFonts w:ascii="宋体" w:hAnsi="宋体" w:eastAsia="宋体" w:cs="宋体"/>
                <w:sz w:val="20"/>
                <w:szCs w:val="20"/>
              </w:rPr>
            </w:pPr>
            <w:r>
              <w:rPr>
                <w:rFonts w:ascii="宋体" w:hAnsi="宋体" w:eastAsia="宋体" w:cs="宋体"/>
                <w:spacing w:val="5"/>
                <w:sz w:val="20"/>
                <w:szCs w:val="20"/>
              </w:rPr>
              <w:t>达标</w:t>
            </w:r>
          </w:p>
        </w:tc>
        <w:tc>
          <w:tcPr>
            <w:tcW w:w="123" w:type="dxa"/>
            <w:tcBorders>
              <w:top w:val="nil"/>
              <w:bottom w:val="nil"/>
              <w:right w:val="single" w:color="000000" w:sz="6" w:space="0"/>
            </w:tcBorders>
            <w:vAlign w:val="top"/>
          </w:tcPr>
          <w:p w14:paraId="7107BD5E">
            <w:pPr>
              <w:rPr>
                <w:rFonts w:ascii="Arial"/>
                <w:sz w:val="21"/>
              </w:rPr>
            </w:pPr>
          </w:p>
        </w:tc>
      </w:tr>
      <w:tr w14:paraId="308FA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63D70B93">
            <w:pPr>
              <w:rPr>
                <w:rFonts w:ascii="Arial"/>
                <w:sz w:val="21"/>
              </w:rPr>
            </w:pPr>
          </w:p>
        </w:tc>
        <w:tc>
          <w:tcPr>
            <w:tcW w:w="115" w:type="dxa"/>
            <w:tcBorders>
              <w:top w:val="nil"/>
              <w:bottom w:val="nil"/>
            </w:tcBorders>
            <w:vAlign w:val="top"/>
          </w:tcPr>
          <w:p w14:paraId="72F25E00">
            <w:pPr>
              <w:rPr>
                <w:rFonts w:ascii="Arial"/>
                <w:sz w:val="21"/>
              </w:rPr>
            </w:pPr>
          </w:p>
        </w:tc>
        <w:tc>
          <w:tcPr>
            <w:tcW w:w="1391" w:type="dxa"/>
            <w:vAlign w:val="top"/>
          </w:tcPr>
          <w:p w14:paraId="736319CD">
            <w:pPr>
              <w:spacing w:before="45" w:line="228" w:lineRule="auto"/>
              <w:ind w:left="590"/>
              <w:rPr>
                <w:rFonts w:ascii="宋体" w:hAnsi="宋体" w:eastAsia="宋体" w:cs="宋体"/>
                <w:sz w:val="20"/>
                <w:szCs w:val="20"/>
              </w:rPr>
            </w:pPr>
            <w:r>
              <w:rPr>
                <w:rFonts w:ascii="宋体" w:hAnsi="宋体" w:eastAsia="宋体" w:cs="宋体"/>
                <w:sz w:val="20"/>
                <w:szCs w:val="20"/>
              </w:rPr>
              <w:t>汞</w:t>
            </w:r>
          </w:p>
        </w:tc>
        <w:tc>
          <w:tcPr>
            <w:tcW w:w="2523" w:type="dxa"/>
            <w:gridSpan w:val="3"/>
            <w:vAlign w:val="top"/>
          </w:tcPr>
          <w:p w14:paraId="7E07F09E">
            <w:pPr>
              <w:spacing w:before="66" w:line="195" w:lineRule="auto"/>
              <w:ind w:left="8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0.00004L</w:t>
            </w:r>
          </w:p>
        </w:tc>
        <w:tc>
          <w:tcPr>
            <w:tcW w:w="2136" w:type="dxa"/>
            <w:gridSpan w:val="2"/>
            <w:vAlign w:val="top"/>
          </w:tcPr>
          <w:p w14:paraId="0B6121D9">
            <w:pPr>
              <w:spacing w:before="66" w:line="195" w:lineRule="auto"/>
              <w:ind w:left="78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0.0001</w:t>
            </w:r>
          </w:p>
        </w:tc>
        <w:tc>
          <w:tcPr>
            <w:tcW w:w="2060" w:type="dxa"/>
            <w:gridSpan w:val="2"/>
            <w:vAlign w:val="top"/>
          </w:tcPr>
          <w:p w14:paraId="7CF12D60">
            <w:pPr>
              <w:spacing w:before="45" w:line="228" w:lineRule="auto"/>
              <w:ind w:left="829"/>
              <w:rPr>
                <w:rFonts w:ascii="宋体" w:hAnsi="宋体" w:eastAsia="宋体" w:cs="宋体"/>
                <w:sz w:val="20"/>
                <w:szCs w:val="20"/>
              </w:rPr>
            </w:pPr>
            <w:r>
              <w:rPr>
                <w:rFonts w:ascii="宋体" w:hAnsi="宋体" w:eastAsia="宋体" w:cs="宋体"/>
                <w:spacing w:val="5"/>
                <w:sz w:val="20"/>
                <w:szCs w:val="20"/>
              </w:rPr>
              <w:t>达标</w:t>
            </w:r>
          </w:p>
        </w:tc>
        <w:tc>
          <w:tcPr>
            <w:tcW w:w="123" w:type="dxa"/>
            <w:tcBorders>
              <w:top w:val="nil"/>
              <w:bottom w:val="nil"/>
              <w:right w:val="single" w:color="000000" w:sz="6" w:space="0"/>
            </w:tcBorders>
            <w:vAlign w:val="top"/>
          </w:tcPr>
          <w:p w14:paraId="7A7E9BB5">
            <w:pPr>
              <w:rPr>
                <w:rFonts w:ascii="Arial"/>
                <w:sz w:val="21"/>
              </w:rPr>
            </w:pPr>
          </w:p>
        </w:tc>
      </w:tr>
      <w:tr w14:paraId="51849A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717" w:type="dxa"/>
            <w:vMerge w:val="continue"/>
            <w:tcBorders>
              <w:top w:val="nil"/>
              <w:left w:val="single" w:color="000000" w:sz="6" w:space="0"/>
              <w:bottom w:val="single" w:color="000000" w:sz="6" w:space="0"/>
            </w:tcBorders>
            <w:vAlign w:val="top"/>
          </w:tcPr>
          <w:p w14:paraId="65CFAC19">
            <w:pPr>
              <w:rPr>
                <w:rFonts w:ascii="Arial"/>
                <w:sz w:val="21"/>
              </w:rPr>
            </w:pPr>
          </w:p>
        </w:tc>
        <w:tc>
          <w:tcPr>
            <w:tcW w:w="115" w:type="dxa"/>
            <w:tcBorders>
              <w:top w:val="nil"/>
              <w:bottom w:val="single" w:color="000000" w:sz="6" w:space="0"/>
            </w:tcBorders>
            <w:vAlign w:val="top"/>
          </w:tcPr>
          <w:p w14:paraId="3DF6C1CC">
            <w:pPr>
              <w:rPr>
                <w:rFonts w:ascii="Arial"/>
                <w:sz w:val="21"/>
              </w:rPr>
            </w:pPr>
          </w:p>
        </w:tc>
        <w:tc>
          <w:tcPr>
            <w:tcW w:w="1391" w:type="dxa"/>
            <w:tcBorders>
              <w:bottom w:val="single" w:color="000000" w:sz="6" w:space="0"/>
            </w:tcBorders>
            <w:vAlign w:val="top"/>
          </w:tcPr>
          <w:p w14:paraId="009A8A4F">
            <w:pPr>
              <w:spacing w:before="44" w:line="231" w:lineRule="auto"/>
              <w:ind w:left="587"/>
              <w:rPr>
                <w:rFonts w:ascii="宋体" w:hAnsi="宋体" w:eastAsia="宋体" w:cs="宋体"/>
                <w:sz w:val="20"/>
                <w:szCs w:val="20"/>
              </w:rPr>
            </w:pPr>
            <w:r>
              <w:rPr>
                <w:rFonts w:ascii="宋体" w:hAnsi="宋体" w:eastAsia="宋体" w:cs="宋体"/>
                <w:spacing w:val="2"/>
                <w:sz w:val="20"/>
                <w:szCs w:val="20"/>
              </w:rPr>
              <w:t>镉</w:t>
            </w:r>
          </w:p>
        </w:tc>
        <w:tc>
          <w:tcPr>
            <w:tcW w:w="2523" w:type="dxa"/>
            <w:gridSpan w:val="3"/>
            <w:tcBorders>
              <w:bottom w:val="single" w:color="000000" w:sz="6" w:space="0"/>
            </w:tcBorders>
            <w:vAlign w:val="top"/>
          </w:tcPr>
          <w:p w14:paraId="72FE0450">
            <w:pPr>
              <w:spacing w:before="66" w:line="195" w:lineRule="auto"/>
              <w:ind w:left="9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0.0001</w:t>
            </w:r>
          </w:p>
        </w:tc>
        <w:tc>
          <w:tcPr>
            <w:tcW w:w="2136" w:type="dxa"/>
            <w:gridSpan w:val="2"/>
            <w:tcBorders>
              <w:bottom w:val="single" w:color="000000" w:sz="6" w:space="0"/>
            </w:tcBorders>
            <w:vAlign w:val="top"/>
          </w:tcPr>
          <w:p w14:paraId="16554C23">
            <w:pPr>
              <w:spacing w:before="66" w:line="195" w:lineRule="auto"/>
              <w:ind w:left="83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0.005</w:t>
            </w:r>
          </w:p>
        </w:tc>
        <w:tc>
          <w:tcPr>
            <w:tcW w:w="2060" w:type="dxa"/>
            <w:gridSpan w:val="2"/>
            <w:tcBorders>
              <w:bottom w:val="single" w:color="000000" w:sz="6" w:space="0"/>
            </w:tcBorders>
            <w:vAlign w:val="top"/>
          </w:tcPr>
          <w:p w14:paraId="50CCCA2E">
            <w:pPr>
              <w:spacing w:before="45" w:line="228" w:lineRule="auto"/>
              <w:ind w:left="829"/>
              <w:rPr>
                <w:rFonts w:ascii="宋体" w:hAnsi="宋体" w:eastAsia="宋体" w:cs="宋体"/>
                <w:sz w:val="20"/>
                <w:szCs w:val="20"/>
              </w:rPr>
            </w:pPr>
            <w:r>
              <w:rPr>
                <w:rFonts w:ascii="宋体" w:hAnsi="宋体" w:eastAsia="宋体" w:cs="宋体"/>
                <w:spacing w:val="5"/>
                <w:sz w:val="20"/>
                <w:szCs w:val="20"/>
              </w:rPr>
              <w:t>达标</w:t>
            </w:r>
          </w:p>
        </w:tc>
        <w:tc>
          <w:tcPr>
            <w:tcW w:w="123" w:type="dxa"/>
            <w:tcBorders>
              <w:top w:val="nil"/>
              <w:bottom w:val="single" w:color="000000" w:sz="6" w:space="0"/>
              <w:right w:val="single" w:color="000000" w:sz="6" w:space="0"/>
            </w:tcBorders>
            <w:vAlign w:val="top"/>
          </w:tcPr>
          <w:p w14:paraId="565E2325">
            <w:pPr>
              <w:rPr>
                <w:rFonts w:ascii="Arial"/>
                <w:sz w:val="21"/>
              </w:rPr>
            </w:pPr>
          </w:p>
        </w:tc>
      </w:tr>
    </w:tbl>
    <w:p w14:paraId="48AC5346">
      <w:pPr>
        <w:pStyle w:val="2"/>
      </w:pPr>
    </w:p>
    <w:p w14:paraId="7E09D2CA">
      <w:pPr>
        <w:sectPr>
          <w:footerReference r:id="rId80" w:type="default"/>
          <w:pgSz w:w="11907" w:h="16840"/>
          <w:pgMar w:top="400" w:right="1413" w:bottom="1103" w:left="1413" w:header="0" w:footer="887" w:gutter="0"/>
          <w:cols w:space="720" w:num="1"/>
        </w:sectPr>
      </w:pPr>
    </w:p>
    <w:p w14:paraId="50F0D134">
      <w:pPr>
        <w:spacing w:before="19"/>
      </w:pPr>
    </w:p>
    <w:p w14:paraId="295091F2">
      <w:pPr>
        <w:spacing w:before="19"/>
      </w:pPr>
    </w:p>
    <w:p w14:paraId="3AC437D1">
      <w:pPr>
        <w:spacing w:before="19"/>
      </w:pPr>
    </w:p>
    <w:p w14:paraId="0140CAEC">
      <w:pPr>
        <w:spacing w:before="18"/>
      </w:pPr>
    </w:p>
    <w:p w14:paraId="1DBCE67F">
      <w:pPr>
        <w:spacing w:before="18"/>
      </w:pPr>
    </w:p>
    <w:tbl>
      <w:tblPr>
        <w:tblStyle w:val="10"/>
        <w:tblW w:w="906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114"/>
        <w:gridCol w:w="1391"/>
        <w:gridCol w:w="2523"/>
        <w:gridCol w:w="2136"/>
        <w:gridCol w:w="2060"/>
        <w:gridCol w:w="124"/>
      </w:tblGrid>
      <w:tr w14:paraId="19CB5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717" w:type="dxa"/>
            <w:vMerge w:val="restart"/>
            <w:tcBorders>
              <w:top w:val="single" w:color="000000" w:sz="6" w:space="0"/>
              <w:left w:val="single" w:color="000000" w:sz="6" w:space="0"/>
              <w:bottom w:val="nil"/>
            </w:tcBorders>
            <w:vAlign w:val="top"/>
          </w:tcPr>
          <w:p w14:paraId="534B3C76">
            <w:pPr>
              <w:rPr>
                <w:rFonts w:ascii="Arial"/>
                <w:sz w:val="21"/>
              </w:rPr>
            </w:pPr>
          </w:p>
        </w:tc>
        <w:tc>
          <w:tcPr>
            <w:tcW w:w="114" w:type="dxa"/>
            <w:tcBorders>
              <w:top w:val="single" w:color="000000" w:sz="6" w:space="0"/>
              <w:bottom w:val="nil"/>
            </w:tcBorders>
            <w:vAlign w:val="top"/>
          </w:tcPr>
          <w:p w14:paraId="09A8902D">
            <w:pPr>
              <w:rPr>
                <w:rFonts w:ascii="Arial"/>
                <w:sz w:val="21"/>
              </w:rPr>
            </w:pPr>
          </w:p>
        </w:tc>
        <w:tc>
          <w:tcPr>
            <w:tcW w:w="1391" w:type="dxa"/>
            <w:tcBorders>
              <w:top w:val="single" w:color="000000" w:sz="6" w:space="0"/>
            </w:tcBorders>
            <w:vAlign w:val="top"/>
          </w:tcPr>
          <w:p w14:paraId="03F5A744">
            <w:pPr>
              <w:spacing w:before="47" w:line="226" w:lineRule="auto"/>
              <w:ind w:left="383"/>
              <w:rPr>
                <w:rFonts w:ascii="宋体" w:hAnsi="宋体" w:eastAsia="宋体" w:cs="宋体"/>
                <w:sz w:val="20"/>
                <w:szCs w:val="20"/>
              </w:rPr>
            </w:pPr>
            <w:r>
              <w:rPr>
                <w:rFonts w:ascii="宋体" w:hAnsi="宋体" w:eastAsia="宋体" w:cs="宋体"/>
                <w:spacing w:val="6"/>
                <w:sz w:val="20"/>
                <w:szCs w:val="20"/>
              </w:rPr>
              <w:t>六价铬</w:t>
            </w:r>
          </w:p>
        </w:tc>
        <w:tc>
          <w:tcPr>
            <w:tcW w:w="2523" w:type="dxa"/>
            <w:tcBorders>
              <w:top w:val="single" w:color="000000" w:sz="6" w:space="0"/>
            </w:tcBorders>
            <w:vAlign w:val="top"/>
          </w:tcPr>
          <w:p w14:paraId="7ADC6796">
            <w:pPr>
              <w:spacing w:before="66" w:line="195" w:lineRule="auto"/>
              <w:ind w:left="9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0.004L</w:t>
            </w:r>
          </w:p>
        </w:tc>
        <w:tc>
          <w:tcPr>
            <w:tcW w:w="2136" w:type="dxa"/>
            <w:tcBorders>
              <w:top w:val="single" w:color="000000" w:sz="6" w:space="0"/>
            </w:tcBorders>
            <w:vAlign w:val="top"/>
          </w:tcPr>
          <w:p w14:paraId="023D51EF">
            <w:pPr>
              <w:spacing w:before="66" w:line="195" w:lineRule="auto"/>
              <w:ind w:left="89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2060" w:type="dxa"/>
            <w:tcBorders>
              <w:top w:val="single" w:color="000000" w:sz="6" w:space="0"/>
            </w:tcBorders>
            <w:vAlign w:val="top"/>
          </w:tcPr>
          <w:p w14:paraId="15A11746">
            <w:pPr>
              <w:spacing w:before="47" w:line="228" w:lineRule="auto"/>
              <w:ind w:left="830"/>
              <w:rPr>
                <w:rFonts w:ascii="宋体" w:hAnsi="宋体" w:eastAsia="宋体" w:cs="宋体"/>
                <w:sz w:val="20"/>
                <w:szCs w:val="20"/>
              </w:rPr>
            </w:pPr>
            <w:r>
              <w:rPr>
                <w:rFonts w:ascii="宋体" w:hAnsi="宋体" w:eastAsia="宋体" w:cs="宋体"/>
                <w:spacing w:val="5"/>
                <w:sz w:val="20"/>
                <w:szCs w:val="20"/>
              </w:rPr>
              <w:t>达标</w:t>
            </w:r>
          </w:p>
        </w:tc>
        <w:tc>
          <w:tcPr>
            <w:tcW w:w="124" w:type="dxa"/>
            <w:tcBorders>
              <w:top w:val="single" w:color="000000" w:sz="6" w:space="0"/>
              <w:bottom w:val="nil"/>
              <w:right w:val="single" w:color="000000" w:sz="6" w:space="0"/>
            </w:tcBorders>
            <w:vAlign w:val="top"/>
          </w:tcPr>
          <w:p w14:paraId="3815F6A0">
            <w:pPr>
              <w:rPr>
                <w:rFonts w:ascii="Arial"/>
                <w:sz w:val="21"/>
              </w:rPr>
            </w:pPr>
          </w:p>
        </w:tc>
      </w:tr>
      <w:tr w14:paraId="14A22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52C16D0F">
            <w:pPr>
              <w:rPr>
                <w:rFonts w:ascii="Arial"/>
                <w:sz w:val="21"/>
              </w:rPr>
            </w:pPr>
          </w:p>
        </w:tc>
        <w:tc>
          <w:tcPr>
            <w:tcW w:w="114" w:type="dxa"/>
            <w:tcBorders>
              <w:top w:val="nil"/>
              <w:bottom w:val="nil"/>
            </w:tcBorders>
            <w:vAlign w:val="top"/>
          </w:tcPr>
          <w:p w14:paraId="1E2D14BD">
            <w:pPr>
              <w:rPr>
                <w:rFonts w:ascii="Arial"/>
                <w:sz w:val="21"/>
              </w:rPr>
            </w:pPr>
          </w:p>
        </w:tc>
        <w:tc>
          <w:tcPr>
            <w:tcW w:w="1391" w:type="dxa"/>
            <w:vAlign w:val="top"/>
          </w:tcPr>
          <w:p w14:paraId="0CB6625A">
            <w:pPr>
              <w:spacing w:before="31" w:line="232" w:lineRule="auto"/>
              <w:ind w:left="590"/>
              <w:rPr>
                <w:rFonts w:ascii="宋体" w:hAnsi="宋体" w:eastAsia="宋体" w:cs="宋体"/>
                <w:sz w:val="20"/>
                <w:szCs w:val="20"/>
              </w:rPr>
            </w:pPr>
            <w:r>
              <w:rPr>
                <w:rFonts w:ascii="宋体" w:hAnsi="宋体" w:eastAsia="宋体" w:cs="宋体"/>
                <w:sz w:val="20"/>
                <w:szCs w:val="20"/>
              </w:rPr>
              <w:t>铅</w:t>
            </w:r>
          </w:p>
        </w:tc>
        <w:tc>
          <w:tcPr>
            <w:tcW w:w="2523" w:type="dxa"/>
            <w:vAlign w:val="top"/>
          </w:tcPr>
          <w:p w14:paraId="35837EB0">
            <w:pPr>
              <w:spacing w:before="53" w:line="195" w:lineRule="auto"/>
              <w:ind w:left="9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0.002L</w:t>
            </w:r>
          </w:p>
        </w:tc>
        <w:tc>
          <w:tcPr>
            <w:tcW w:w="2136" w:type="dxa"/>
            <w:vAlign w:val="top"/>
          </w:tcPr>
          <w:p w14:paraId="6073A980">
            <w:pPr>
              <w:spacing w:before="53" w:line="195" w:lineRule="auto"/>
              <w:ind w:left="89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2060" w:type="dxa"/>
            <w:vAlign w:val="top"/>
          </w:tcPr>
          <w:p w14:paraId="2B418D67">
            <w:pPr>
              <w:spacing w:before="32" w:line="228" w:lineRule="auto"/>
              <w:ind w:left="830"/>
              <w:rPr>
                <w:rFonts w:ascii="宋体" w:hAnsi="宋体" w:eastAsia="宋体" w:cs="宋体"/>
                <w:sz w:val="20"/>
                <w:szCs w:val="20"/>
              </w:rPr>
            </w:pPr>
            <w:r>
              <w:rPr>
                <w:rFonts w:ascii="宋体" w:hAnsi="宋体" w:eastAsia="宋体" w:cs="宋体"/>
                <w:spacing w:val="5"/>
                <w:sz w:val="20"/>
                <w:szCs w:val="20"/>
              </w:rPr>
              <w:t>达标</w:t>
            </w:r>
          </w:p>
        </w:tc>
        <w:tc>
          <w:tcPr>
            <w:tcW w:w="124" w:type="dxa"/>
            <w:tcBorders>
              <w:top w:val="nil"/>
              <w:bottom w:val="nil"/>
              <w:right w:val="single" w:color="000000" w:sz="6" w:space="0"/>
            </w:tcBorders>
            <w:vAlign w:val="top"/>
          </w:tcPr>
          <w:p w14:paraId="7FD7ECBB">
            <w:pPr>
              <w:rPr>
                <w:rFonts w:ascii="Arial"/>
                <w:sz w:val="21"/>
              </w:rPr>
            </w:pPr>
          </w:p>
        </w:tc>
      </w:tr>
      <w:tr w14:paraId="19445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1B74A1E9">
            <w:pPr>
              <w:rPr>
                <w:rFonts w:ascii="Arial"/>
                <w:sz w:val="21"/>
              </w:rPr>
            </w:pPr>
          </w:p>
        </w:tc>
        <w:tc>
          <w:tcPr>
            <w:tcW w:w="114" w:type="dxa"/>
            <w:tcBorders>
              <w:top w:val="nil"/>
              <w:bottom w:val="nil"/>
            </w:tcBorders>
            <w:vAlign w:val="top"/>
          </w:tcPr>
          <w:p w14:paraId="6773ACC9">
            <w:pPr>
              <w:rPr>
                <w:rFonts w:ascii="Arial"/>
                <w:sz w:val="21"/>
              </w:rPr>
            </w:pPr>
          </w:p>
        </w:tc>
        <w:tc>
          <w:tcPr>
            <w:tcW w:w="1391" w:type="dxa"/>
            <w:vAlign w:val="top"/>
          </w:tcPr>
          <w:p w14:paraId="2762C448">
            <w:pPr>
              <w:spacing w:before="30" w:line="228" w:lineRule="auto"/>
              <w:ind w:left="380"/>
              <w:rPr>
                <w:rFonts w:ascii="宋体" w:hAnsi="宋体" w:eastAsia="宋体" w:cs="宋体"/>
                <w:sz w:val="20"/>
                <w:szCs w:val="20"/>
              </w:rPr>
            </w:pPr>
            <w:r>
              <w:rPr>
                <w:rFonts w:ascii="宋体" w:hAnsi="宋体" w:eastAsia="宋体" w:cs="宋体"/>
                <w:spacing w:val="7"/>
                <w:sz w:val="20"/>
                <w:szCs w:val="20"/>
              </w:rPr>
              <w:t>氰化物</w:t>
            </w:r>
          </w:p>
        </w:tc>
        <w:tc>
          <w:tcPr>
            <w:tcW w:w="2523" w:type="dxa"/>
            <w:vAlign w:val="top"/>
          </w:tcPr>
          <w:p w14:paraId="54A833B3">
            <w:pPr>
              <w:spacing w:before="52" w:line="195" w:lineRule="auto"/>
              <w:ind w:left="9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0.004L</w:t>
            </w:r>
          </w:p>
        </w:tc>
        <w:tc>
          <w:tcPr>
            <w:tcW w:w="2136" w:type="dxa"/>
            <w:vAlign w:val="top"/>
          </w:tcPr>
          <w:p w14:paraId="7CA5D959">
            <w:pPr>
              <w:spacing w:before="52" w:line="195" w:lineRule="auto"/>
              <w:ind w:left="9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2060" w:type="dxa"/>
            <w:vAlign w:val="top"/>
          </w:tcPr>
          <w:p w14:paraId="311B315D">
            <w:pPr>
              <w:spacing w:before="31" w:line="228" w:lineRule="auto"/>
              <w:ind w:left="830"/>
              <w:rPr>
                <w:rFonts w:ascii="宋体" w:hAnsi="宋体" w:eastAsia="宋体" w:cs="宋体"/>
                <w:sz w:val="20"/>
                <w:szCs w:val="20"/>
              </w:rPr>
            </w:pPr>
            <w:r>
              <w:rPr>
                <w:rFonts w:ascii="宋体" w:hAnsi="宋体" w:eastAsia="宋体" w:cs="宋体"/>
                <w:spacing w:val="5"/>
                <w:sz w:val="20"/>
                <w:szCs w:val="20"/>
              </w:rPr>
              <w:t>达标</w:t>
            </w:r>
          </w:p>
        </w:tc>
        <w:tc>
          <w:tcPr>
            <w:tcW w:w="124" w:type="dxa"/>
            <w:tcBorders>
              <w:top w:val="nil"/>
              <w:bottom w:val="nil"/>
              <w:right w:val="single" w:color="000000" w:sz="6" w:space="0"/>
            </w:tcBorders>
            <w:vAlign w:val="top"/>
          </w:tcPr>
          <w:p w14:paraId="18A9ED22">
            <w:pPr>
              <w:rPr>
                <w:rFonts w:ascii="Arial"/>
                <w:sz w:val="21"/>
              </w:rPr>
            </w:pPr>
          </w:p>
        </w:tc>
      </w:tr>
      <w:tr w14:paraId="239E2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67B40CD2">
            <w:pPr>
              <w:rPr>
                <w:rFonts w:ascii="Arial"/>
                <w:sz w:val="21"/>
              </w:rPr>
            </w:pPr>
          </w:p>
        </w:tc>
        <w:tc>
          <w:tcPr>
            <w:tcW w:w="114" w:type="dxa"/>
            <w:tcBorders>
              <w:top w:val="nil"/>
              <w:bottom w:val="nil"/>
            </w:tcBorders>
            <w:vAlign w:val="top"/>
          </w:tcPr>
          <w:p w14:paraId="0C2AC538">
            <w:pPr>
              <w:rPr>
                <w:rFonts w:ascii="Arial"/>
                <w:sz w:val="21"/>
              </w:rPr>
            </w:pPr>
          </w:p>
        </w:tc>
        <w:tc>
          <w:tcPr>
            <w:tcW w:w="1391" w:type="dxa"/>
            <w:vAlign w:val="top"/>
          </w:tcPr>
          <w:p w14:paraId="64D1DE18">
            <w:pPr>
              <w:spacing w:before="33" w:line="228" w:lineRule="auto"/>
              <w:ind w:left="380"/>
              <w:rPr>
                <w:rFonts w:ascii="宋体" w:hAnsi="宋体" w:eastAsia="宋体" w:cs="宋体"/>
                <w:sz w:val="20"/>
                <w:szCs w:val="20"/>
              </w:rPr>
            </w:pPr>
            <w:r>
              <w:rPr>
                <w:rFonts w:ascii="宋体" w:hAnsi="宋体" w:eastAsia="宋体" w:cs="宋体"/>
                <w:spacing w:val="7"/>
                <w:sz w:val="20"/>
                <w:szCs w:val="20"/>
              </w:rPr>
              <w:t>挥发酚</w:t>
            </w:r>
          </w:p>
        </w:tc>
        <w:tc>
          <w:tcPr>
            <w:tcW w:w="2523" w:type="dxa"/>
            <w:vAlign w:val="top"/>
          </w:tcPr>
          <w:p w14:paraId="52DAA608">
            <w:pPr>
              <w:spacing w:before="52" w:line="195" w:lineRule="auto"/>
              <w:ind w:left="9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0.0003L</w:t>
            </w:r>
          </w:p>
        </w:tc>
        <w:tc>
          <w:tcPr>
            <w:tcW w:w="2136" w:type="dxa"/>
            <w:vAlign w:val="top"/>
          </w:tcPr>
          <w:p w14:paraId="62948AD1">
            <w:pPr>
              <w:spacing w:before="52" w:line="195" w:lineRule="auto"/>
              <w:ind w:left="83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0.005</w:t>
            </w:r>
          </w:p>
        </w:tc>
        <w:tc>
          <w:tcPr>
            <w:tcW w:w="2060" w:type="dxa"/>
            <w:vAlign w:val="top"/>
          </w:tcPr>
          <w:p w14:paraId="22FC6163">
            <w:pPr>
              <w:spacing w:before="33" w:line="228" w:lineRule="auto"/>
              <w:ind w:left="830"/>
              <w:rPr>
                <w:rFonts w:ascii="宋体" w:hAnsi="宋体" w:eastAsia="宋体" w:cs="宋体"/>
                <w:sz w:val="20"/>
                <w:szCs w:val="20"/>
              </w:rPr>
            </w:pPr>
            <w:r>
              <w:rPr>
                <w:rFonts w:ascii="宋体" w:hAnsi="宋体" w:eastAsia="宋体" w:cs="宋体"/>
                <w:spacing w:val="5"/>
                <w:sz w:val="20"/>
                <w:szCs w:val="20"/>
              </w:rPr>
              <w:t>达标</w:t>
            </w:r>
          </w:p>
        </w:tc>
        <w:tc>
          <w:tcPr>
            <w:tcW w:w="124" w:type="dxa"/>
            <w:tcBorders>
              <w:top w:val="nil"/>
              <w:bottom w:val="nil"/>
              <w:right w:val="single" w:color="000000" w:sz="6" w:space="0"/>
            </w:tcBorders>
            <w:vAlign w:val="top"/>
          </w:tcPr>
          <w:p w14:paraId="6F0011C9">
            <w:pPr>
              <w:rPr>
                <w:rFonts w:ascii="Arial"/>
                <w:sz w:val="21"/>
              </w:rPr>
            </w:pPr>
          </w:p>
        </w:tc>
      </w:tr>
      <w:tr w14:paraId="26026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6C113A4F">
            <w:pPr>
              <w:rPr>
                <w:rFonts w:ascii="Arial"/>
                <w:sz w:val="21"/>
              </w:rPr>
            </w:pPr>
          </w:p>
        </w:tc>
        <w:tc>
          <w:tcPr>
            <w:tcW w:w="114" w:type="dxa"/>
            <w:tcBorders>
              <w:top w:val="nil"/>
              <w:bottom w:val="nil"/>
            </w:tcBorders>
            <w:vAlign w:val="top"/>
          </w:tcPr>
          <w:p w14:paraId="25CDADED">
            <w:pPr>
              <w:rPr>
                <w:rFonts w:ascii="Arial"/>
                <w:sz w:val="21"/>
              </w:rPr>
            </w:pPr>
          </w:p>
        </w:tc>
        <w:tc>
          <w:tcPr>
            <w:tcW w:w="1391" w:type="dxa"/>
            <w:vAlign w:val="top"/>
          </w:tcPr>
          <w:p w14:paraId="618BFF59">
            <w:pPr>
              <w:spacing w:before="32" w:line="228" w:lineRule="auto"/>
              <w:ind w:left="382"/>
              <w:rPr>
                <w:rFonts w:ascii="宋体" w:hAnsi="宋体" w:eastAsia="宋体" w:cs="宋体"/>
                <w:sz w:val="20"/>
                <w:szCs w:val="20"/>
              </w:rPr>
            </w:pPr>
            <w:r>
              <w:rPr>
                <w:rFonts w:ascii="宋体" w:hAnsi="宋体" w:eastAsia="宋体" w:cs="宋体"/>
                <w:spacing w:val="6"/>
                <w:sz w:val="20"/>
                <w:szCs w:val="20"/>
              </w:rPr>
              <w:t>石油类</w:t>
            </w:r>
          </w:p>
        </w:tc>
        <w:tc>
          <w:tcPr>
            <w:tcW w:w="2523" w:type="dxa"/>
            <w:vAlign w:val="top"/>
          </w:tcPr>
          <w:p w14:paraId="06596EEC">
            <w:pPr>
              <w:spacing w:before="54" w:line="195" w:lineRule="auto"/>
              <w:ind w:left="10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0.01L</w:t>
            </w:r>
          </w:p>
        </w:tc>
        <w:tc>
          <w:tcPr>
            <w:tcW w:w="2136" w:type="dxa"/>
            <w:vAlign w:val="top"/>
          </w:tcPr>
          <w:p w14:paraId="2F826A41">
            <w:pPr>
              <w:spacing w:before="54" w:line="195" w:lineRule="auto"/>
              <w:ind w:left="89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2060" w:type="dxa"/>
            <w:vAlign w:val="top"/>
          </w:tcPr>
          <w:p w14:paraId="529E81AB">
            <w:pPr>
              <w:spacing w:before="33" w:line="228" w:lineRule="auto"/>
              <w:ind w:left="830"/>
              <w:rPr>
                <w:rFonts w:ascii="宋体" w:hAnsi="宋体" w:eastAsia="宋体" w:cs="宋体"/>
                <w:sz w:val="20"/>
                <w:szCs w:val="20"/>
              </w:rPr>
            </w:pPr>
            <w:r>
              <w:rPr>
                <w:rFonts w:ascii="宋体" w:hAnsi="宋体" w:eastAsia="宋体" w:cs="宋体"/>
                <w:spacing w:val="5"/>
                <w:sz w:val="20"/>
                <w:szCs w:val="20"/>
              </w:rPr>
              <w:t>达标</w:t>
            </w:r>
          </w:p>
        </w:tc>
        <w:tc>
          <w:tcPr>
            <w:tcW w:w="124" w:type="dxa"/>
            <w:tcBorders>
              <w:top w:val="nil"/>
              <w:bottom w:val="nil"/>
              <w:right w:val="single" w:color="000000" w:sz="6" w:space="0"/>
            </w:tcBorders>
            <w:vAlign w:val="top"/>
          </w:tcPr>
          <w:p w14:paraId="0941E7D3">
            <w:pPr>
              <w:rPr>
                <w:rFonts w:ascii="Arial"/>
                <w:sz w:val="21"/>
              </w:rPr>
            </w:pPr>
          </w:p>
        </w:tc>
      </w:tr>
      <w:tr w14:paraId="4D11E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3" w:hRule="atLeast"/>
        </w:trPr>
        <w:tc>
          <w:tcPr>
            <w:tcW w:w="717" w:type="dxa"/>
            <w:vMerge w:val="continue"/>
            <w:tcBorders>
              <w:top w:val="nil"/>
              <w:left w:val="single" w:color="000000" w:sz="6" w:space="0"/>
              <w:bottom w:val="single" w:color="000000" w:sz="6" w:space="0"/>
            </w:tcBorders>
            <w:vAlign w:val="top"/>
          </w:tcPr>
          <w:p w14:paraId="3176DF7E">
            <w:pPr>
              <w:rPr>
                <w:rFonts w:ascii="Arial"/>
                <w:sz w:val="21"/>
              </w:rPr>
            </w:pPr>
          </w:p>
        </w:tc>
        <w:tc>
          <w:tcPr>
            <w:tcW w:w="8348" w:type="dxa"/>
            <w:gridSpan w:val="6"/>
            <w:tcBorders>
              <w:bottom w:val="single" w:color="000000" w:sz="6" w:space="0"/>
              <w:right w:val="single" w:color="000000" w:sz="6" w:space="0"/>
            </w:tcBorders>
            <w:vAlign w:val="top"/>
          </w:tcPr>
          <w:p w14:paraId="23B89B5B">
            <w:pPr>
              <w:spacing w:before="38" w:line="359" w:lineRule="auto"/>
              <w:ind w:left="107" w:right="103" w:firstLine="483"/>
              <w:jc w:val="both"/>
              <w:rPr>
                <w:rFonts w:ascii="宋体" w:hAnsi="宋体" w:eastAsia="宋体" w:cs="宋体"/>
                <w:sz w:val="24"/>
                <w:szCs w:val="24"/>
              </w:rPr>
            </w:pPr>
            <w:r>
              <w:rPr>
                <w:rFonts w:ascii="宋体" w:hAnsi="宋体" w:eastAsia="宋体" w:cs="宋体"/>
                <w:spacing w:val="21"/>
                <w:sz w:val="24"/>
                <w:szCs w:val="24"/>
              </w:rPr>
              <w:t>从统计结果看</w:t>
            </w:r>
            <w:r>
              <w:rPr>
                <w:rFonts w:ascii="宋体" w:hAnsi="宋体" w:eastAsia="宋体" w:cs="宋体"/>
                <w:spacing w:val="-56"/>
                <w:sz w:val="24"/>
                <w:szCs w:val="24"/>
              </w:rPr>
              <w:t xml:space="preserve"> </w:t>
            </w:r>
            <w:r>
              <w:rPr>
                <w:rFonts w:ascii="宋体" w:hAnsi="宋体" w:eastAsia="宋体" w:cs="宋体"/>
                <w:spacing w:val="21"/>
                <w:sz w:val="24"/>
                <w:szCs w:val="24"/>
              </w:rPr>
              <w:t>，三月三水库水质不能达到《地表水环境质量标准》</w:t>
            </w:r>
            <w:r>
              <w:rPr>
                <w:rFonts w:ascii="宋体" w:hAnsi="宋体" w:eastAsia="宋体" w:cs="宋体"/>
                <w:sz w:val="24"/>
                <w:szCs w:val="24"/>
              </w:rPr>
              <w:t xml:space="preserve"> （</w:t>
            </w:r>
            <w:r>
              <w:rPr>
                <w:rFonts w:ascii="Times New Roman" w:hAnsi="Times New Roman" w:eastAsia="Times New Roman" w:cs="Times New Roman"/>
                <w:sz w:val="24"/>
                <w:szCs w:val="24"/>
              </w:rPr>
              <w:t>GB3838-2002</w:t>
            </w:r>
            <w:r>
              <w:rPr>
                <w:rFonts w:ascii="宋体" w:hAnsi="宋体" w:eastAsia="宋体" w:cs="宋体"/>
                <w:sz w:val="24"/>
                <w:szCs w:val="24"/>
              </w:rPr>
              <w:t>）</w:t>
            </w:r>
            <w:r>
              <w:rPr>
                <w:rFonts w:ascii="Times New Roman" w:hAnsi="Times New Roman" w:eastAsia="Times New Roman" w:cs="Times New Roman"/>
                <w:sz w:val="24"/>
                <w:szCs w:val="24"/>
              </w:rPr>
              <w:t xml:space="preserve">III </w:t>
            </w:r>
            <w:r>
              <w:rPr>
                <w:rFonts w:ascii="宋体" w:hAnsi="宋体" w:eastAsia="宋体" w:cs="宋体"/>
                <w:sz w:val="24"/>
                <w:szCs w:val="24"/>
              </w:rPr>
              <w:t>类标准要求。超标污染物主要为总氮、总磷、</w:t>
            </w:r>
            <w:r>
              <w:rPr>
                <w:rFonts w:ascii="Times New Roman" w:hAnsi="Times New Roman" w:eastAsia="Times New Roman" w:cs="Times New Roman"/>
                <w:sz w:val="24"/>
                <w:szCs w:val="24"/>
              </w:rPr>
              <w:t>CODcr</w:t>
            </w:r>
            <w:r>
              <w:rPr>
                <w:rFonts w:ascii="宋体" w:hAnsi="宋体" w:eastAsia="宋体" w:cs="宋体"/>
                <w:sz w:val="24"/>
                <w:szCs w:val="24"/>
              </w:rPr>
              <w:t>；重</w:t>
            </w:r>
            <w:r>
              <w:rPr>
                <w:rFonts w:ascii="宋体" w:hAnsi="宋体" w:eastAsia="宋体" w:cs="宋体"/>
                <w:spacing w:val="-1"/>
                <w:sz w:val="24"/>
                <w:szCs w:val="24"/>
              </w:rPr>
              <w:t>金属砷、汞、镉、铬、铅及其他污染物监测浓度均较低，大部分低于检出限。水质超标主要原因为周边部分生活污水直接排入三月三水库，导致水库的水质</w:t>
            </w:r>
            <w:r>
              <w:rPr>
                <w:rFonts w:ascii="宋体" w:hAnsi="宋体" w:eastAsia="宋体" w:cs="宋体"/>
                <w:spacing w:val="-3"/>
                <w:sz w:val="24"/>
                <w:szCs w:val="24"/>
              </w:rPr>
              <w:t>超标。</w:t>
            </w:r>
          </w:p>
          <w:p w14:paraId="51B5F3FA">
            <w:pPr>
              <w:spacing w:line="359" w:lineRule="auto"/>
              <w:ind w:left="107" w:right="103" w:firstLine="480"/>
              <w:jc w:val="both"/>
              <w:rPr>
                <w:rFonts w:ascii="宋体" w:hAnsi="宋体" w:eastAsia="宋体" w:cs="宋体"/>
                <w:sz w:val="24"/>
                <w:szCs w:val="24"/>
              </w:rPr>
            </w:pPr>
            <w:r>
              <w:rPr>
                <w:rFonts w:ascii="宋体" w:hAnsi="宋体" w:eastAsia="宋体" w:cs="宋体"/>
                <w:spacing w:val="1"/>
                <w:sz w:val="24"/>
                <w:szCs w:val="24"/>
              </w:rPr>
              <w:t>根据《昆明市和滇中产业新区水功能区划》（</w:t>
            </w:r>
            <w:r>
              <w:rPr>
                <w:rFonts w:ascii="Times New Roman" w:hAnsi="Times New Roman" w:eastAsia="Times New Roman" w:cs="Times New Roman"/>
                <w:spacing w:val="1"/>
                <w:sz w:val="24"/>
                <w:szCs w:val="24"/>
              </w:rPr>
              <w:t xml:space="preserve">2011-2030 </w:t>
            </w:r>
            <w:r>
              <w:rPr>
                <w:rFonts w:ascii="宋体" w:hAnsi="宋体" w:eastAsia="宋体" w:cs="宋体"/>
                <w:spacing w:val="1"/>
                <w:sz w:val="24"/>
                <w:szCs w:val="24"/>
              </w:rPr>
              <w:t>版</w:t>
            </w:r>
            <w:r>
              <w:rPr>
                <w:rFonts w:ascii="宋体" w:hAnsi="宋体" w:eastAsia="宋体" w:cs="宋体"/>
                <w:spacing w:val="15"/>
                <w:sz w:val="24"/>
                <w:szCs w:val="24"/>
              </w:rPr>
              <w:t>），</w:t>
            </w:r>
            <w:r>
              <w:rPr>
                <w:rFonts w:ascii="宋体" w:hAnsi="宋体" w:eastAsia="宋体" w:cs="宋体"/>
                <w:spacing w:val="1"/>
                <w:sz w:val="24"/>
                <w:szCs w:val="24"/>
              </w:rPr>
              <w:t>三月三水</w:t>
            </w:r>
            <w:r>
              <w:rPr>
                <w:rFonts w:ascii="宋体" w:hAnsi="宋体" w:eastAsia="宋体" w:cs="宋体"/>
                <w:spacing w:val="-3"/>
                <w:sz w:val="24"/>
                <w:szCs w:val="24"/>
              </w:rPr>
              <w:t>库至入牛栏江口为前进河寻甸农业用水区，现状水质为</w:t>
            </w:r>
            <w:r>
              <w:rPr>
                <w:rFonts w:ascii="Times New Roman" w:hAnsi="Times New Roman" w:eastAsia="Times New Roman" w:cs="Times New Roman"/>
                <w:spacing w:val="-3"/>
                <w:sz w:val="24"/>
                <w:szCs w:val="24"/>
              </w:rPr>
              <w:t>Ⅳ</w:t>
            </w:r>
            <w:r>
              <w:rPr>
                <w:rFonts w:ascii="宋体" w:hAnsi="宋体" w:eastAsia="宋体" w:cs="宋体"/>
                <w:spacing w:val="-3"/>
                <w:sz w:val="24"/>
                <w:szCs w:val="24"/>
              </w:rPr>
              <w:t>类，</w:t>
            </w:r>
            <w:r>
              <w:rPr>
                <w:rFonts w:ascii="Times New Roman" w:hAnsi="Times New Roman" w:eastAsia="Times New Roman" w:cs="Times New Roman"/>
                <w:spacing w:val="-3"/>
                <w:sz w:val="24"/>
                <w:szCs w:val="24"/>
              </w:rPr>
              <w:t xml:space="preserve">2030 </w:t>
            </w:r>
            <w:r>
              <w:rPr>
                <w:rFonts w:ascii="宋体" w:hAnsi="宋体" w:eastAsia="宋体" w:cs="宋体"/>
                <w:spacing w:val="-3"/>
                <w:sz w:val="24"/>
                <w:szCs w:val="24"/>
              </w:rPr>
              <w:t>年水质目标</w:t>
            </w:r>
            <w:r>
              <w:rPr>
                <w:rFonts w:ascii="宋体" w:hAnsi="宋体" w:eastAsia="宋体" w:cs="宋体"/>
                <w:spacing w:val="-8"/>
                <w:sz w:val="24"/>
                <w:szCs w:val="24"/>
              </w:rPr>
              <w:t>为</w:t>
            </w:r>
            <w:r>
              <w:rPr>
                <w:rFonts w:ascii="Times New Roman" w:hAnsi="Times New Roman" w:eastAsia="Times New Roman" w:cs="Times New Roman"/>
                <w:spacing w:val="-8"/>
                <w:sz w:val="24"/>
                <w:szCs w:val="24"/>
              </w:rPr>
              <w:t>Ⅲ</w:t>
            </w:r>
            <w:r>
              <w:rPr>
                <w:rFonts w:ascii="宋体" w:hAnsi="宋体" w:eastAsia="宋体" w:cs="宋体"/>
                <w:spacing w:val="-8"/>
                <w:sz w:val="24"/>
                <w:szCs w:val="24"/>
              </w:rPr>
              <w:t>类，执行《地表水环境质量标准》（</w:t>
            </w:r>
            <w:r>
              <w:rPr>
                <w:rFonts w:ascii="Times New Roman" w:hAnsi="Times New Roman" w:eastAsia="Times New Roman" w:cs="Times New Roman"/>
                <w:spacing w:val="-8"/>
                <w:sz w:val="24"/>
                <w:szCs w:val="24"/>
              </w:rPr>
              <w:t>GB 383</w:t>
            </w:r>
            <w:r>
              <w:rPr>
                <w:rFonts w:ascii="Times New Roman" w:hAnsi="Times New Roman" w:eastAsia="Times New Roman" w:cs="Times New Roman"/>
                <w:spacing w:val="-9"/>
                <w:sz w:val="24"/>
                <w:szCs w:val="24"/>
              </w:rPr>
              <w:t>8-2002</w:t>
            </w:r>
            <w:r>
              <w:rPr>
                <w:rFonts w:ascii="宋体" w:hAnsi="宋体" w:eastAsia="宋体" w:cs="宋体"/>
                <w:spacing w:val="-9"/>
                <w:sz w:val="24"/>
                <w:szCs w:val="24"/>
              </w:rPr>
              <w:t>）</w:t>
            </w:r>
            <w:r>
              <w:rPr>
                <w:rFonts w:ascii="Times New Roman" w:hAnsi="Times New Roman" w:eastAsia="Times New Roman" w:cs="Times New Roman"/>
                <w:spacing w:val="-9"/>
                <w:sz w:val="24"/>
                <w:szCs w:val="24"/>
              </w:rPr>
              <w:t>Ⅲ</w:t>
            </w:r>
            <w:r>
              <w:rPr>
                <w:rFonts w:ascii="宋体" w:hAnsi="宋体" w:eastAsia="宋体" w:cs="宋体"/>
                <w:spacing w:val="-9"/>
                <w:sz w:val="24"/>
                <w:szCs w:val="24"/>
              </w:rPr>
              <w:t>类水质标准。根据</w:t>
            </w:r>
            <w:r>
              <w:rPr>
                <w:rFonts w:ascii="Times New Roman" w:hAnsi="Times New Roman" w:eastAsia="Times New Roman" w:cs="Times New Roman"/>
                <w:spacing w:val="-9"/>
                <w:sz w:val="24"/>
                <w:szCs w:val="24"/>
              </w:rPr>
              <w:t>“</w:t>
            </w:r>
            <w:r>
              <w:rPr>
                <w:rFonts w:ascii="宋体" w:hAnsi="宋体" w:eastAsia="宋体" w:cs="宋体"/>
                <w:spacing w:val="-9"/>
                <w:sz w:val="24"/>
                <w:szCs w:val="24"/>
              </w:rPr>
              <w:t>寻</w:t>
            </w:r>
            <w:r>
              <w:rPr>
                <w:rFonts w:ascii="宋体" w:hAnsi="宋体" w:eastAsia="宋体" w:cs="宋体"/>
                <w:spacing w:val="-1"/>
                <w:sz w:val="24"/>
                <w:szCs w:val="24"/>
              </w:rPr>
              <w:t>甸县</w:t>
            </w:r>
            <w:r>
              <w:rPr>
                <w:rFonts w:ascii="宋体" w:hAnsi="宋体" w:eastAsia="宋体" w:cs="宋体"/>
                <w:spacing w:val="-43"/>
                <w:sz w:val="24"/>
                <w:szCs w:val="24"/>
              </w:rPr>
              <w:t xml:space="preserve"> </w:t>
            </w:r>
            <w:r>
              <w:rPr>
                <w:rFonts w:ascii="Times New Roman" w:hAnsi="Times New Roman" w:eastAsia="Times New Roman" w:cs="Times New Roman"/>
                <w:spacing w:val="-1"/>
                <w:sz w:val="24"/>
                <w:szCs w:val="24"/>
              </w:rPr>
              <w:t xml:space="preserve">2026 </w:t>
            </w:r>
            <w:r>
              <w:rPr>
                <w:rFonts w:ascii="宋体" w:hAnsi="宋体" w:eastAsia="宋体" w:cs="宋体"/>
                <w:spacing w:val="-1"/>
                <w:sz w:val="24"/>
                <w:szCs w:val="24"/>
              </w:rPr>
              <w:t>年第一季度环境质量公报</w:t>
            </w:r>
            <w:r>
              <w:rPr>
                <w:rFonts w:ascii="Times New Roman" w:hAnsi="Times New Roman" w:eastAsia="Times New Roman" w:cs="Times New Roman"/>
                <w:spacing w:val="-1"/>
                <w:sz w:val="24"/>
                <w:szCs w:val="24"/>
              </w:rPr>
              <w:t>”</w:t>
            </w:r>
            <w:r>
              <w:rPr>
                <w:rFonts w:ascii="宋体" w:hAnsi="宋体" w:eastAsia="宋体" w:cs="宋体"/>
                <w:spacing w:val="-1"/>
                <w:sz w:val="24"/>
                <w:szCs w:val="24"/>
              </w:rPr>
              <w:t>显示：前进河哦嘎电站断面水质达到《地</w:t>
            </w:r>
            <w:r>
              <w:rPr>
                <w:rFonts w:ascii="宋体" w:hAnsi="宋体" w:eastAsia="宋体" w:cs="宋体"/>
                <w:spacing w:val="1"/>
                <w:sz w:val="24"/>
                <w:szCs w:val="24"/>
              </w:rPr>
              <w:t>表水环境质量标准》（</w:t>
            </w:r>
            <w:r>
              <w:rPr>
                <w:rFonts w:ascii="Times New Roman" w:hAnsi="Times New Roman" w:eastAsia="Times New Roman" w:cs="Times New Roman"/>
                <w:sz w:val="24"/>
                <w:szCs w:val="24"/>
              </w:rPr>
              <w:t>GB</w:t>
            </w:r>
            <w:r>
              <w:rPr>
                <w:rFonts w:ascii="Times New Roman" w:hAnsi="Times New Roman" w:eastAsia="Times New Roman" w:cs="Times New Roman"/>
                <w:spacing w:val="1"/>
                <w:sz w:val="24"/>
                <w:szCs w:val="24"/>
              </w:rPr>
              <w:t>3838-2002</w:t>
            </w:r>
            <w:r>
              <w:rPr>
                <w:rFonts w:ascii="宋体" w:hAnsi="宋体" w:eastAsia="宋体" w:cs="宋体"/>
                <w:spacing w:val="1"/>
                <w:sz w:val="24"/>
                <w:szCs w:val="24"/>
              </w:rPr>
              <w:t>）</w:t>
            </w:r>
            <w:r>
              <w:rPr>
                <w:rFonts w:ascii="Times New Roman" w:hAnsi="Times New Roman" w:eastAsia="Times New Roman" w:cs="Times New Roman"/>
                <w:spacing w:val="1"/>
                <w:sz w:val="24"/>
                <w:szCs w:val="24"/>
              </w:rPr>
              <w:t>Ⅲ</w:t>
            </w:r>
            <w:r>
              <w:rPr>
                <w:rFonts w:ascii="宋体" w:hAnsi="宋体" w:eastAsia="宋体" w:cs="宋体"/>
                <w:spacing w:val="1"/>
                <w:sz w:val="24"/>
                <w:szCs w:val="24"/>
              </w:rPr>
              <w:t>类水质量标准，能够满足水质目标要</w:t>
            </w:r>
            <w:r>
              <w:rPr>
                <w:rFonts w:ascii="宋体" w:hAnsi="宋体" w:eastAsia="宋体" w:cs="宋体"/>
                <w:spacing w:val="-5"/>
                <w:sz w:val="24"/>
                <w:szCs w:val="24"/>
              </w:rPr>
              <w:t>求。</w:t>
            </w:r>
          </w:p>
          <w:p w14:paraId="7681E094">
            <w:pPr>
              <w:spacing w:line="219" w:lineRule="auto"/>
              <w:ind w:left="582"/>
              <w:rPr>
                <w:rFonts w:ascii="宋体" w:hAnsi="宋体" w:eastAsia="宋体" w:cs="宋体"/>
                <w:sz w:val="24"/>
                <w:szCs w:val="24"/>
              </w:rPr>
            </w:pPr>
            <w:r>
              <w:rPr>
                <w:rFonts w:ascii="Times New Roman" w:hAnsi="Times New Roman" w:eastAsia="Times New Roman" w:cs="Times New Roman"/>
                <w:b/>
                <w:bCs/>
                <w:spacing w:val="-5"/>
                <w:sz w:val="24"/>
                <w:szCs w:val="24"/>
              </w:rPr>
              <w:t>3</w:t>
            </w:r>
            <w:r>
              <w:rPr>
                <w:rFonts w:ascii="Times New Roman" w:hAnsi="Times New Roman" w:eastAsia="Times New Roman" w:cs="Times New Roman"/>
                <w:b/>
                <w:bCs/>
                <w:spacing w:val="-33"/>
                <w:sz w:val="24"/>
                <w:szCs w:val="24"/>
              </w:rPr>
              <w:t xml:space="preserve"> </w:t>
            </w:r>
            <w:r>
              <w:rPr>
                <w:rFonts w:ascii="宋体" w:hAnsi="宋体" w:eastAsia="宋体" w:cs="宋体"/>
                <w:b/>
                <w:bCs/>
                <w:spacing w:val="-5"/>
                <w:sz w:val="24"/>
                <w:szCs w:val="24"/>
              </w:rPr>
              <w:t>、声环境质量现状</w:t>
            </w:r>
          </w:p>
          <w:p w14:paraId="3C13A6A9">
            <w:pPr>
              <w:spacing w:before="181" w:line="359" w:lineRule="auto"/>
              <w:ind w:left="108" w:right="103" w:firstLine="483"/>
              <w:jc w:val="both"/>
              <w:rPr>
                <w:rFonts w:ascii="宋体" w:hAnsi="宋体" w:eastAsia="宋体" w:cs="宋体"/>
                <w:sz w:val="24"/>
                <w:szCs w:val="24"/>
              </w:rPr>
            </w:pPr>
            <w:r>
              <w:rPr>
                <w:rFonts w:ascii="宋体" w:hAnsi="宋体" w:eastAsia="宋体" w:cs="宋体"/>
                <w:spacing w:val="-1"/>
                <w:sz w:val="24"/>
                <w:szCs w:val="24"/>
              </w:rPr>
              <w:t>项目位于寻甸特色产业园区金所片区，根据《云南寻甸产</w:t>
            </w:r>
            <w:r>
              <w:rPr>
                <w:rFonts w:ascii="宋体" w:hAnsi="宋体" w:eastAsia="宋体" w:cs="宋体"/>
                <w:spacing w:val="-2"/>
                <w:sz w:val="24"/>
                <w:szCs w:val="24"/>
              </w:rPr>
              <w:t>业园区总体规划</w:t>
            </w:r>
            <w:r>
              <w:rPr>
                <w:rFonts w:ascii="宋体" w:hAnsi="宋体" w:eastAsia="宋体" w:cs="宋体"/>
                <w:spacing w:val="-3"/>
                <w:sz w:val="24"/>
                <w:szCs w:val="24"/>
              </w:rPr>
              <w:t>修编（</w:t>
            </w:r>
            <w:r>
              <w:rPr>
                <w:rFonts w:ascii="Times New Roman" w:hAnsi="Times New Roman" w:eastAsia="Times New Roman" w:cs="Times New Roman"/>
                <w:spacing w:val="-3"/>
                <w:sz w:val="24"/>
                <w:szCs w:val="24"/>
              </w:rPr>
              <w:t>2021-2035</w:t>
            </w:r>
            <w:r>
              <w:rPr>
                <w:rFonts w:ascii="宋体" w:hAnsi="宋体" w:eastAsia="宋体" w:cs="宋体"/>
                <w:spacing w:val="-3"/>
                <w:sz w:val="24"/>
                <w:szCs w:val="24"/>
              </w:rPr>
              <w:t>）环境影响报告书》，寻甸特色产业园区属于</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 xml:space="preserve">3 </w:t>
            </w:r>
            <w:r>
              <w:rPr>
                <w:rFonts w:ascii="宋体" w:hAnsi="宋体" w:eastAsia="宋体" w:cs="宋体"/>
                <w:spacing w:val="-3"/>
                <w:sz w:val="24"/>
                <w:szCs w:val="24"/>
              </w:rPr>
              <w:t>类</w:t>
            </w:r>
            <w:r>
              <w:rPr>
                <w:rFonts w:ascii="宋体" w:hAnsi="宋体" w:eastAsia="宋体" w:cs="宋体"/>
                <w:spacing w:val="-4"/>
                <w:sz w:val="24"/>
                <w:szCs w:val="24"/>
              </w:rPr>
              <w:t>声环境功能</w:t>
            </w:r>
            <w:r>
              <w:rPr>
                <w:rFonts w:ascii="宋体" w:hAnsi="宋体" w:eastAsia="宋体" w:cs="宋体"/>
                <w:sz w:val="24"/>
                <w:szCs w:val="24"/>
              </w:rPr>
              <w:t>区，执行《声环境质量标准》（</w:t>
            </w:r>
            <w:r>
              <w:rPr>
                <w:rFonts w:ascii="Times New Roman" w:hAnsi="Times New Roman" w:eastAsia="Times New Roman" w:cs="Times New Roman"/>
                <w:sz w:val="24"/>
                <w:szCs w:val="24"/>
              </w:rPr>
              <w:t>GB3096-200</w:t>
            </w:r>
            <w:r>
              <w:rPr>
                <w:rFonts w:ascii="Times New Roman" w:hAnsi="Times New Roman" w:eastAsia="Times New Roman" w:cs="Times New Roman"/>
                <w:spacing w:val="-1"/>
                <w:sz w:val="24"/>
                <w:szCs w:val="24"/>
              </w:rPr>
              <w:t>8</w:t>
            </w:r>
            <w:r>
              <w:rPr>
                <w:rFonts w:ascii="宋体" w:hAnsi="宋体" w:eastAsia="宋体" w:cs="宋体"/>
                <w:spacing w:val="-1"/>
                <w:sz w:val="24"/>
                <w:szCs w:val="24"/>
              </w:rPr>
              <w:t>）</w:t>
            </w:r>
            <w:r>
              <w:rPr>
                <w:rFonts w:ascii="Times New Roman" w:hAnsi="Times New Roman" w:eastAsia="Times New Roman" w:cs="Times New Roman"/>
                <w:spacing w:val="-1"/>
                <w:sz w:val="24"/>
                <w:szCs w:val="24"/>
              </w:rPr>
              <w:t xml:space="preserve">3 </w:t>
            </w:r>
            <w:r>
              <w:rPr>
                <w:rFonts w:ascii="宋体" w:hAnsi="宋体" w:eastAsia="宋体" w:cs="宋体"/>
                <w:spacing w:val="-1"/>
                <w:sz w:val="24"/>
                <w:szCs w:val="24"/>
              </w:rPr>
              <w:t>类区标准要求。</w:t>
            </w:r>
          </w:p>
          <w:p w14:paraId="6EA1879D">
            <w:pPr>
              <w:spacing w:before="3" w:line="359" w:lineRule="auto"/>
              <w:ind w:left="107" w:right="103" w:firstLine="480"/>
              <w:jc w:val="both"/>
              <w:rPr>
                <w:rFonts w:ascii="宋体" w:hAnsi="宋体" w:eastAsia="宋体" w:cs="宋体"/>
                <w:sz w:val="24"/>
                <w:szCs w:val="24"/>
              </w:rPr>
            </w:pPr>
            <w:r>
              <w:rPr>
                <w:rFonts w:ascii="宋体" w:hAnsi="宋体" w:eastAsia="宋体" w:cs="宋体"/>
                <w:spacing w:val="2"/>
                <w:sz w:val="24"/>
                <w:szCs w:val="24"/>
              </w:rPr>
              <w:t>根据《</w:t>
            </w: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年度昆明市生态环境状况公报》，</w:t>
            </w: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年，寻甸县区域环境</w:t>
            </w:r>
            <w:r>
              <w:rPr>
                <w:rFonts w:ascii="宋体" w:hAnsi="宋体" w:eastAsia="宋体" w:cs="宋体"/>
                <w:spacing w:val="-3"/>
                <w:sz w:val="24"/>
                <w:szCs w:val="24"/>
              </w:rPr>
              <w:t>昼间等效声级平均值为</w:t>
            </w:r>
            <w:r>
              <w:rPr>
                <w:rFonts w:ascii="宋体" w:hAnsi="宋体" w:eastAsia="宋体" w:cs="宋体"/>
                <w:spacing w:val="-43"/>
                <w:sz w:val="24"/>
                <w:szCs w:val="24"/>
              </w:rPr>
              <w:t xml:space="preserve"> </w:t>
            </w:r>
            <w:r>
              <w:rPr>
                <w:rFonts w:ascii="Times New Roman" w:hAnsi="Times New Roman" w:eastAsia="Times New Roman" w:cs="Times New Roman"/>
                <w:spacing w:val="-3"/>
                <w:sz w:val="24"/>
                <w:szCs w:val="24"/>
              </w:rPr>
              <w:t xml:space="preserve">46.3 </w:t>
            </w:r>
            <w:r>
              <w:rPr>
                <w:rFonts w:ascii="宋体" w:hAnsi="宋体" w:eastAsia="宋体" w:cs="宋体"/>
                <w:spacing w:val="-3"/>
                <w:sz w:val="24"/>
                <w:szCs w:val="24"/>
              </w:rPr>
              <w:t>分贝，寻甸县区域昼间环境噪声总体水平评价为一</w:t>
            </w:r>
            <w:r>
              <w:rPr>
                <w:rFonts w:ascii="宋体" w:hAnsi="宋体" w:eastAsia="宋体" w:cs="宋体"/>
                <w:spacing w:val="4"/>
                <w:sz w:val="24"/>
                <w:szCs w:val="24"/>
              </w:rPr>
              <w:t>级（好）。项目区声环境质量可满足《声环境质量标准》（</w:t>
            </w:r>
            <w:r>
              <w:rPr>
                <w:rFonts w:ascii="Times New Roman" w:hAnsi="Times New Roman" w:eastAsia="Times New Roman" w:cs="Times New Roman"/>
                <w:sz w:val="24"/>
                <w:szCs w:val="24"/>
              </w:rPr>
              <w:t>GB</w:t>
            </w:r>
            <w:r>
              <w:rPr>
                <w:rFonts w:ascii="Times New Roman" w:hAnsi="Times New Roman" w:eastAsia="Times New Roman" w:cs="Times New Roman"/>
                <w:spacing w:val="4"/>
                <w:sz w:val="24"/>
                <w:szCs w:val="24"/>
              </w:rPr>
              <w:t>3096-2008</w:t>
            </w:r>
            <w:r>
              <w:rPr>
                <w:rFonts w:ascii="宋体" w:hAnsi="宋体" w:eastAsia="宋体" w:cs="宋体"/>
                <w:spacing w:val="4"/>
                <w:sz w:val="24"/>
                <w:szCs w:val="24"/>
              </w:rPr>
              <w:t>）</w:t>
            </w:r>
            <w:r>
              <w:rPr>
                <w:rFonts w:ascii="Times New Roman" w:hAnsi="Times New Roman" w:eastAsia="Times New Roman" w:cs="Times New Roman"/>
                <w:spacing w:val="4"/>
                <w:sz w:val="24"/>
                <w:szCs w:val="24"/>
              </w:rPr>
              <w:t>3</w:t>
            </w:r>
            <w:r>
              <w:rPr>
                <w:rFonts w:ascii="宋体" w:hAnsi="宋体" w:eastAsia="宋体" w:cs="宋体"/>
                <w:spacing w:val="-2"/>
                <w:sz w:val="24"/>
                <w:szCs w:val="24"/>
              </w:rPr>
              <w:t>类区标准要求。</w:t>
            </w:r>
          </w:p>
          <w:p w14:paraId="5881F794">
            <w:pPr>
              <w:spacing w:before="3" w:line="358" w:lineRule="auto"/>
              <w:ind w:left="111" w:right="41" w:firstLine="476"/>
              <w:jc w:val="both"/>
              <w:rPr>
                <w:rFonts w:ascii="宋体" w:hAnsi="宋体" w:eastAsia="宋体" w:cs="宋体"/>
                <w:sz w:val="24"/>
                <w:szCs w:val="24"/>
              </w:rPr>
            </w:pPr>
            <w:r>
              <w:rPr>
                <w:rFonts w:ascii="宋体" w:hAnsi="宋体" w:eastAsia="宋体" w:cs="宋体"/>
                <w:spacing w:val="-7"/>
                <w:sz w:val="24"/>
                <w:szCs w:val="24"/>
              </w:rPr>
              <w:t>根据现场调查，项目周边为厂房、仓库、办公为主，无大型产噪工业企业，</w:t>
            </w:r>
            <w:r>
              <w:rPr>
                <w:rFonts w:ascii="宋体" w:hAnsi="宋体" w:eastAsia="宋体" w:cs="宋体"/>
                <w:spacing w:val="-4"/>
                <w:sz w:val="24"/>
                <w:szCs w:val="24"/>
              </w:rPr>
              <w:t>区域声环境质量较好，项目厂界周边</w:t>
            </w:r>
            <w:r>
              <w:rPr>
                <w:rFonts w:ascii="宋体" w:hAnsi="宋体" w:eastAsia="宋体" w:cs="宋体"/>
                <w:spacing w:val="-41"/>
                <w:sz w:val="24"/>
                <w:szCs w:val="24"/>
              </w:rPr>
              <w:t xml:space="preserve"> </w:t>
            </w:r>
            <w:r>
              <w:rPr>
                <w:rFonts w:ascii="Times New Roman" w:hAnsi="Times New Roman" w:eastAsia="Times New Roman" w:cs="Times New Roman"/>
                <w:spacing w:val="-4"/>
                <w:sz w:val="24"/>
                <w:szCs w:val="24"/>
              </w:rPr>
              <w:t>50m</w:t>
            </w:r>
            <w:r>
              <w:rPr>
                <w:rFonts w:ascii="Times New Roman" w:hAnsi="Times New Roman" w:eastAsia="Times New Roman" w:cs="Times New Roman"/>
                <w:spacing w:val="16"/>
                <w:sz w:val="24"/>
                <w:szCs w:val="24"/>
              </w:rPr>
              <w:t xml:space="preserve"> </w:t>
            </w:r>
            <w:r>
              <w:rPr>
                <w:rFonts w:ascii="宋体" w:hAnsi="宋体" w:eastAsia="宋体" w:cs="宋体"/>
                <w:spacing w:val="-4"/>
                <w:sz w:val="24"/>
                <w:szCs w:val="24"/>
              </w:rPr>
              <w:t>范围内无声环境保护目标，本次评价</w:t>
            </w:r>
            <w:r>
              <w:rPr>
                <w:rFonts w:ascii="宋体" w:hAnsi="宋体" w:eastAsia="宋体" w:cs="宋体"/>
                <w:spacing w:val="-2"/>
                <w:sz w:val="24"/>
                <w:szCs w:val="24"/>
              </w:rPr>
              <w:t>不进行声环境质量现状监测。</w:t>
            </w:r>
          </w:p>
          <w:p w14:paraId="4725A7DD">
            <w:pPr>
              <w:spacing w:line="219" w:lineRule="auto"/>
              <w:ind w:left="584"/>
              <w:rPr>
                <w:rFonts w:ascii="宋体" w:hAnsi="宋体" w:eastAsia="宋体" w:cs="宋体"/>
                <w:sz w:val="24"/>
                <w:szCs w:val="24"/>
              </w:rPr>
            </w:pPr>
            <w:r>
              <w:rPr>
                <w:rFonts w:ascii="Times New Roman" w:hAnsi="Times New Roman" w:eastAsia="Times New Roman" w:cs="Times New Roman"/>
                <w:b/>
                <w:bCs/>
                <w:spacing w:val="-6"/>
                <w:sz w:val="24"/>
                <w:szCs w:val="24"/>
              </w:rPr>
              <w:t>4</w:t>
            </w:r>
            <w:r>
              <w:rPr>
                <w:rFonts w:ascii="Times New Roman" w:hAnsi="Times New Roman" w:eastAsia="Times New Roman" w:cs="Times New Roman"/>
                <w:b/>
                <w:bCs/>
                <w:spacing w:val="-32"/>
                <w:sz w:val="24"/>
                <w:szCs w:val="24"/>
              </w:rPr>
              <w:t xml:space="preserve"> </w:t>
            </w:r>
            <w:r>
              <w:rPr>
                <w:rFonts w:ascii="宋体" w:hAnsi="宋体" w:eastAsia="宋体" w:cs="宋体"/>
                <w:b/>
                <w:bCs/>
                <w:spacing w:val="-6"/>
                <w:sz w:val="24"/>
                <w:szCs w:val="24"/>
              </w:rPr>
              <w:t>、生态环境现状</w:t>
            </w:r>
          </w:p>
        </w:tc>
      </w:tr>
    </w:tbl>
    <w:p w14:paraId="7D008992">
      <w:pPr>
        <w:pStyle w:val="2"/>
      </w:pPr>
    </w:p>
    <w:p w14:paraId="422B662E">
      <w:pPr>
        <w:sectPr>
          <w:footerReference r:id="rId81" w:type="default"/>
          <w:pgSz w:w="11907" w:h="16840"/>
          <w:pgMar w:top="400" w:right="1413" w:bottom="1100" w:left="1413" w:header="0" w:footer="887" w:gutter="0"/>
          <w:cols w:space="720" w:num="1"/>
        </w:sectPr>
      </w:pPr>
    </w:p>
    <w:p w14:paraId="1C145434">
      <w:pPr>
        <w:spacing w:before="19"/>
      </w:pPr>
    </w:p>
    <w:p w14:paraId="0A67A0DA">
      <w:pPr>
        <w:spacing w:before="19"/>
      </w:pPr>
    </w:p>
    <w:p w14:paraId="573F80EC">
      <w:pPr>
        <w:spacing w:before="19"/>
      </w:pPr>
    </w:p>
    <w:p w14:paraId="3C070CBC">
      <w:pPr>
        <w:spacing w:before="18"/>
      </w:pPr>
    </w:p>
    <w:p w14:paraId="5451F3FA">
      <w:pPr>
        <w:spacing w:before="18"/>
      </w:pPr>
    </w:p>
    <w:tbl>
      <w:tblPr>
        <w:tblStyle w:val="10"/>
        <w:tblW w:w="906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113"/>
        <w:gridCol w:w="436"/>
        <w:gridCol w:w="521"/>
        <w:gridCol w:w="1354"/>
        <w:gridCol w:w="1076"/>
        <w:gridCol w:w="681"/>
        <w:gridCol w:w="440"/>
        <w:gridCol w:w="825"/>
        <w:gridCol w:w="945"/>
        <w:gridCol w:w="1835"/>
        <w:gridCol w:w="122"/>
      </w:tblGrid>
      <w:tr w14:paraId="1A18B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2" w:hRule="atLeast"/>
        </w:trPr>
        <w:tc>
          <w:tcPr>
            <w:tcW w:w="717" w:type="dxa"/>
            <w:tcBorders>
              <w:top w:val="single" w:color="000000" w:sz="6" w:space="0"/>
              <w:left w:val="single" w:color="000000" w:sz="6" w:space="0"/>
            </w:tcBorders>
            <w:vAlign w:val="top"/>
          </w:tcPr>
          <w:p w14:paraId="3CB6AD54">
            <w:pPr>
              <w:rPr>
                <w:rFonts w:ascii="Arial"/>
                <w:sz w:val="21"/>
              </w:rPr>
            </w:pPr>
          </w:p>
        </w:tc>
        <w:tc>
          <w:tcPr>
            <w:tcW w:w="8348" w:type="dxa"/>
            <w:gridSpan w:val="11"/>
            <w:tcBorders>
              <w:top w:val="single" w:color="000000" w:sz="6" w:space="0"/>
              <w:right w:val="single" w:color="000000" w:sz="6" w:space="0"/>
            </w:tcBorders>
            <w:vAlign w:val="top"/>
          </w:tcPr>
          <w:p w14:paraId="79CD793D">
            <w:pPr>
              <w:spacing w:before="41" w:line="360" w:lineRule="auto"/>
              <w:ind w:left="110" w:right="103" w:firstLine="481"/>
              <w:jc w:val="both"/>
              <w:rPr>
                <w:rFonts w:ascii="宋体" w:hAnsi="宋体" w:eastAsia="宋体" w:cs="宋体"/>
                <w:sz w:val="24"/>
                <w:szCs w:val="24"/>
              </w:rPr>
            </w:pPr>
            <w:r>
              <w:rPr>
                <w:rFonts w:ascii="宋体" w:hAnsi="宋体" w:eastAsia="宋体" w:cs="宋体"/>
                <w:spacing w:val="-1"/>
                <w:sz w:val="24"/>
                <w:szCs w:val="24"/>
              </w:rPr>
              <w:t>项目在已建建筑内建设，项目区及周边已无原植被生存。</w:t>
            </w:r>
            <w:r>
              <w:rPr>
                <w:rFonts w:ascii="宋体" w:hAnsi="宋体" w:eastAsia="宋体" w:cs="宋体"/>
                <w:spacing w:val="-2"/>
                <w:sz w:val="24"/>
                <w:szCs w:val="24"/>
              </w:rPr>
              <w:t>经现场踏勘及调</w:t>
            </w:r>
            <w:r>
              <w:rPr>
                <w:rFonts w:ascii="宋体" w:hAnsi="宋体" w:eastAsia="宋体" w:cs="宋体"/>
                <w:spacing w:val="-1"/>
                <w:sz w:val="24"/>
                <w:szCs w:val="24"/>
              </w:rPr>
              <w:t>查，项目区域人类活动频繁，无濒危保护动植物及国家重点保护野生动</w:t>
            </w:r>
            <w:r>
              <w:rPr>
                <w:rFonts w:ascii="宋体" w:hAnsi="宋体" w:eastAsia="宋体" w:cs="宋体"/>
                <w:spacing w:val="-2"/>
                <w:sz w:val="24"/>
                <w:szCs w:val="24"/>
              </w:rPr>
              <w:t>植物，</w:t>
            </w:r>
            <w:r>
              <w:rPr>
                <w:rFonts w:ascii="宋体" w:hAnsi="宋体" w:eastAsia="宋体" w:cs="宋体"/>
                <w:spacing w:val="-1"/>
                <w:sz w:val="24"/>
                <w:szCs w:val="24"/>
              </w:rPr>
              <w:t>无国家级及省级保护的珍稀动、植物，不涉及风景名胜区、自然保护区</w:t>
            </w:r>
            <w:r>
              <w:rPr>
                <w:rFonts w:ascii="宋体" w:hAnsi="宋体" w:eastAsia="宋体" w:cs="宋体"/>
                <w:spacing w:val="-2"/>
                <w:sz w:val="24"/>
                <w:szCs w:val="24"/>
              </w:rPr>
              <w:t>、世界</w:t>
            </w:r>
            <w:r>
              <w:rPr>
                <w:rFonts w:ascii="宋体" w:hAnsi="宋体" w:eastAsia="宋体" w:cs="宋体"/>
                <w:spacing w:val="-1"/>
                <w:sz w:val="24"/>
                <w:szCs w:val="24"/>
              </w:rPr>
              <w:t>文化和自然遗产地、饮用水源保护区等环境敏感的区域。</w:t>
            </w:r>
          </w:p>
        </w:tc>
      </w:tr>
      <w:tr w14:paraId="3183CF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7" w:hRule="atLeast"/>
        </w:trPr>
        <w:tc>
          <w:tcPr>
            <w:tcW w:w="717" w:type="dxa"/>
            <w:vMerge w:val="restart"/>
            <w:tcBorders>
              <w:left w:val="single" w:color="000000" w:sz="6" w:space="0"/>
              <w:bottom w:val="nil"/>
            </w:tcBorders>
            <w:vAlign w:val="top"/>
          </w:tcPr>
          <w:p w14:paraId="0D3017DE">
            <w:pPr>
              <w:spacing w:line="251" w:lineRule="auto"/>
              <w:rPr>
                <w:rFonts w:ascii="Arial"/>
                <w:sz w:val="21"/>
              </w:rPr>
            </w:pPr>
          </w:p>
          <w:p w14:paraId="15D977AC">
            <w:pPr>
              <w:spacing w:line="251" w:lineRule="auto"/>
              <w:rPr>
                <w:rFonts w:ascii="Arial"/>
                <w:sz w:val="21"/>
              </w:rPr>
            </w:pPr>
          </w:p>
          <w:p w14:paraId="453A558E">
            <w:pPr>
              <w:spacing w:line="251" w:lineRule="auto"/>
              <w:rPr>
                <w:rFonts w:ascii="Arial"/>
                <w:sz w:val="21"/>
              </w:rPr>
            </w:pPr>
          </w:p>
          <w:p w14:paraId="226BB662">
            <w:pPr>
              <w:spacing w:line="251" w:lineRule="auto"/>
              <w:rPr>
                <w:rFonts w:ascii="Arial"/>
                <w:sz w:val="21"/>
              </w:rPr>
            </w:pPr>
          </w:p>
          <w:p w14:paraId="5CA78E25">
            <w:pPr>
              <w:spacing w:line="251" w:lineRule="auto"/>
              <w:rPr>
                <w:rFonts w:ascii="Arial"/>
                <w:sz w:val="21"/>
              </w:rPr>
            </w:pPr>
          </w:p>
          <w:p w14:paraId="4E7D0DC1">
            <w:pPr>
              <w:spacing w:line="251" w:lineRule="auto"/>
              <w:rPr>
                <w:rFonts w:ascii="Arial"/>
                <w:sz w:val="21"/>
              </w:rPr>
            </w:pPr>
          </w:p>
          <w:p w14:paraId="0C069B53">
            <w:pPr>
              <w:spacing w:line="251" w:lineRule="auto"/>
              <w:rPr>
                <w:rFonts w:ascii="Arial"/>
                <w:sz w:val="21"/>
              </w:rPr>
            </w:pPr>
          </w:p>
          <w:p w14:paraId="1AAD9CA9">
            <w:pPr>
              <w:spacing w:line="251" w:lineRule="auto"/>
              <w:rPr>
                <w:rFonts w:ascii="Arial"/>
                <w:sz w:val="21"/>
              </w:rPr>
            </w:pPr>
          </w:p>
          <w:p w14:paraId="56D8CD35">
            <w:pPr>
              <w:spacing w:line="251" w:lineRule="auto"/>
              <w:rPr>
                <w:rFonts w:ascii="Arial"/>
                <w:sz w:val="21"/>
              </w:rPr>
            </w:pPr>
          </w:p>
          <w:p w14:paraId="74D6BE84">
            <w:pPr>
              <w:spacing w:line="252" w:lineRule="auto"/>
              <w:rPr>
                <w:rFonts w:ascii="Arial"/>
                <w:sz w:val="21"/>
              </w:rPr>
            </w:pPr>
          </w:p>
          <w:p w14:paraId="50D97A63">
            <w:pPr>
              <w:spacing w:line="252" w:lineRule="auto"/>
              <w:rPr>
                <w:rFonts w:ascii="Arial"/>
                <w:sz w:val="21"/>
              </w:rPr>
            </w:pPr>
          </w:p>
          <w:p w14:paraId="492FB5F3">
            <w:pPr>
              <w:spacing w:line="252" w:lineRule="auto"/>
              <w:rPr>
                <w:rFonts w:ascii="Arial"/>
                <w:sz w:val="21"/>
              </w:rPr>
            </w:pPr>
          </w:p>
          <w:p w14:paraId="747BFDC4">
            <w:pPr>
              <w:spacing w:line="252" w:lineRule="auto"/>
              <w:rPr>
                <w:rFonts w:ascii="Arial"/>
                <w:sz w:val="21"/>
              </w:rPr>
            </w:pPr>
          </w:p>
          <w:p w14:paraId="4C78ABEC">
            <w:pPr>
              <w:spacing w:line="252" w:lineRule="auto"/>
              <w:rPr>
                <w:rFonts w:ascii="Arial"/>
                <w:sz w:val="21"/>
              </w:rPr>
            </w:pPr>
          </w:p>
          <w:p w14:paraId="24F6CC98">
            <w:pPr>
              <w:spacing w:line="252" w:lineRule="auto"/>
              <w:rPr>
                <w:rFonts w:ascii="Arial"/>
                <w:sz w:val="21"/>
              </w:rPr>
            </w:pPr>
          </w:p>
          <w:p w14:paraId="4ADFCEAD">
            <w:pPr>
              <w:spacing w:line="252" w:lineRule="auto"/>
              <w:rPr>
                <w:rFonts w:ascii="Arial"/>
                <w:sz w:val="21"/>
              </w:rPr>
            </w:pPr>
          </w:p>
          <w:p w14:paraId="017A934B">
            <w:pPr>
              <w:spacing w:line="252" w:lineRule="auto"/>
              <w:rPr>
                <w:rFonts w:ascii="Arial"/>
                <w:sz w:val="21"/>
              </w:rPr>
            </w:pPr>
          </w:p>
          <w:p w14:paraId="4ABE5170">
            <w:pPr>
              <w:spacing w:line="252" w:lineRule="auto"/>
              <w:rPr>
                <w:rFonts w:ascii="Arial"/>
                <w:sz w:val="21"/>
              </w:rPr>
            </w:pPr>
          </w:p>
          <w:p w14:paraId="534B7D5C">
            <w:pPr>
              <w:spacing w:before="78" w:line="361" w:lineRule="auto"/>
              <w:ind w:left="116" w:right="119"/>
              <w:jc w:val="both"/>
              <w:rPr>
                <w:rFonts w:ascii="宋体" w:hAnsi="宋体" w:eastAsia="宋体" w:cs="宋体"/>
                <w:sz w:val="24"/>
                <w:szCs w:val="24"/>
              </w:rPr>
            </w:pPr>
            <w:r>
              <w:rPr>
                <w:rFonts w:ascii="宋体" w:hAnsi="宋体" w:eastAsia="宋体" w:cs="宋体"/>
                <w:spacing w:val="-5"/>
                <w:sz w:val="24"/>
                <w:szCs w:val="24"/>
              </w:rPr>
              <w:t>环境</w:t>
            </w:r>
            <w:r>
              <w:rPr>
                <w:rFonts w:ascii="宋体" w:hAnsi="宋体" w:eastAsia="宋体" w:cs="宋体"/>
                <w:spacing w:val="-6"/>
                <w:sz w:val="24"/>
                <w:szCs w:val="24"/>
              </w:rPr>
              <w:t>保护目标</w:t>
            </w:r>
          </w:p>
        </w:tc>
        <w:tc>
          <w:tcPr>
            <w:tcW w:w="8348" w:type="dxa"/>
            <w:gridSpan w:val="11"/>
            <w:tcBorders>
              <w:right w:val="single" w:color="000000" w:sz="6" w:space="0"/>
            </w:tcBorders>
            <w:vAlign w:val="top"/>
          </w:tcPr>
          <w:p w14:paraId="2E147F8A">
            <w:pPr>
              <w:spacing w:before="39" w:line="359" w:lineRule="auto"/>
              <w:ind w:left="109" w:right="103" w:firstLine="479"/>
              <w:jc w:val="both"/>
              <w:rPr>
                <w:rFonts w:ascii="宋体" w:hAnsi="宋体" w:eastAsia="宋体" w:cs="宋体"/>
                <w:sz w:val="24"/>
                <w:szCs w:val="24"/>
              </w:rPr>
            </w:pPr>
            <w:r>
              <w:rPr>
                <w:rFonts w:ascii="宋体" w:hAnsi="宋体" w:eastAsia="宋体" w:cs="宋体"/>
                <w:spacing w:val="-1"/>
                <w:sz w:val="24"/>
                <w:szCs w:val="24"/>
              </w:rPr>
              <w:t>根据《关于印发＜建设项目环境影响报告表＞内容、格式及编制技</w:t>
            </w:r>
            <w:r>
              <w:rPr>
                <w:rFonts w:ascii="宋体" w:hAnsi="宋体" w:eastAsia="宋体" w:cs="宋体"/>
                <w:spacing w:val="-2"/>
                <w:sz w:val="24"/>
                <w:szCs w:val="24"/>
              </w:rPr>
              <w:t>术指南的通知》（环办环评〔</w:t>
            </w:r>
            <w:r>
              <w:rPr>
                <w:rFonts w:ascii="Times New Roman" w:hAnsi="Times New Roman" w:eastAsia="Times New Roman" w:cs="Times New Roman"/>
                <w:spacing w:val="-2"/>
                <w:sz w:val="24"/>
                <w:szCs w:val="24"/>
              </w:rPr>
              <w:t>2020</w:t>
            </w:r>
            <w:r>
              <w:rPr>
                <w:rFonts w:ascii="宋体" w:hAnsi="宋体" w:eastAsia="宋体" w:cs="宋体"/>
                <w:spacing w:val="-2"/>
                <w:sz w:val="24"/>
                <w:szCs w:val="24"/>
              </w:rPr>
              <w:t>〕</w:t>
            </w:r>
            <w:r>
              <w:rPr>
                <w:rFonts w:ascii="Times New Roman" w:hAnsi="Times New Roman" w:eastAsia="Times New Roman" w:cs="Times New Roman"/>
                <w:spacing w:val="-2"/>
                <w:sz w:val="24"/>
                <w:szCs w:val="24"/>
              </w:rPr>
              <w:t>33</w:t>
            </w:r>
            <w:r>
              <w:rPr>
                <w:rFonts w:ascii="Times New Roman" w:hAnsi="Times New Roman" w:eastAsia="Times New Roman" w:cs="Times New Roman"/>
                <w:spacing w:val="15"/>
                <w:w w:val="101"/>
                <w:sz w:val="24"/>
                <w:szCs w:val="24"/>
              </w:rPr>
              <w:t xml:space="preserve"> </w:t>
            </w:r>
            <w:r>
              <w:rPr>
                <w:rFonts w:ascii="宋体" w:hAnsi="宋体" w:eastAsia="宋体" w:cs="宋体"/>
                <w:spacing w:val="-2"/>
                <w:sz w:val="24"/>
                <w:szCs w:val="24"/>
              </w:rPr>
              <w:t>号</w:t>
            </w:r>
            <w:r>
              <w:rPr>
                <w:rFonts w:ascii="宋体" w:hAnsi="宋体" w:eastAsia="宋体" w:cs="宋体"/>
                <w:sz w:val="24"/>
                <w:szCs w:val="24"/>
              </w:rPr>
              <w:t>），</w:t>
            </w:r>
            <w:r>
              <w:rPr>
                <w:rFonts w:ascii="宋体" w:hAnsi="宋体" w:eastAsia="宋体" w:cs="宋体"/>
                <w:spacing w:val="-2"/>
                <w:sz w:val="24"/>
                <w:szCs w:val="24"/>
              </w:rPr>
              <w:t>厂界</w:t>
            </w:r>
            <w:r>
              <w:rPr>
                <w:rFonts w:ascii="宋体" w:hAnsi="宋体" w:eastAsia="宋体" w:cs="宋体"/>
                <w:spacing w:val="-49"/>
                <w:sz w:val="24"/>
                <w:szCs w:val="24"/>
              </w:rPr>
              <w:t xml:space="preserve"> </w:t>
            </w:r>
            <w:r>
              <w:rPr>
                <w:rFonts w:ascii="Times New Roman" w:hAnsi="Times New Roman" w:eastAsia="Times New Roman" w:cs="Times New Roman"/>
                <w:spacing w:val="-2"/>
                <w:sz w:val="24"/>
                <w:szCs w:val="24"/>
              </w:rPr>
              <w:t>500</w:t>
            </w:r>
            <w:r>
              <w:rPr>
                <w:rFonts w:ascii="Times New Roman" w:hAnsi="Times New Roman" w:eastAsia="Times New Roman" w:cs="Times New Roman"/>
                <w:spacing w:val="-3"/>
                <w:sz w:val="24"/>
                <w:szCs w:val="24"/>
              </w:rPr>
              <w:t>m</w:t>
            </w:r>
            <w:r>
              <w:rPr>
                <w:rFonts w:ascii="Times New Roman" w:hAnsi="Times New Roman" w:eastAsia="Times New Roman" w:cs="Times New Roman"/>
                <w:spacing w:val="16"/>
                <w:sz w:val="24"/>
                <w:szCs w:val="24"/>
              </w:rPr>
              <w:t xml:space="preserve"> </w:t>
            </w:r>
            <w:r>
              <w:rPr>
                <w:rFonts w:ascii="宋体" w:hAnsi="宋体" w:eastAsia="宋体" w:cs="宋体"/>
                <w:spacing w:val="-3"/>
                <w:sz w:val="24"/>
                <w:szCs w:val="24"/>
              </w:rPr>
              <w:t>范围内保护对象为自然保护</w:t>
            </w:r>
            <w:r>
              <w:rPr>
                <w:rFonts w:ascii="宋体" w:hAnsi="宋体" w:eastAsia="宋体" w:cs="宋体"/>
                <w:spacing w:val="-1"/>
                <w:sz w:val="24"/>
                <w:szCs w:val="24"/>
              </w:rPr>
              <w:t>区、风景名胜区、居住区、文化区和农村地区中人群较集中的区域等；声</w:t>
            </w:r>
            <w:r>
              <w:rPr>
                <w:rFonts w:ascii="宋体" w:hAnsi="宋体" w:eastAsia="宋体" w:cs="宋体"/>
                <w:spacing w:val="-2"/>
                <w:sz w:val="24"/>
                <w:szCs w:val="24"/>
              </w:rPr>
              <w:t>环境</w:t>
            </w:r>
            <w:r>
              <w:rPr>
                <w:rFonts w:ascii="宋体" w:hAnsi="宋体" w:eastAsia="宋体" w:cs="宋体"/>
                <w:spacing w:val="-1"/>
                <w:sz w:val="24"/>
                <w:szCs w:val="24"/>
              </w:rPr>
              <w:t>保护目标范围为厂界外</w:t>
            </w:r>
            <w:r>
              <w:rPr>
                <w:rFonts w:ascii="宋体" w:hAnsi="宋体" w:eastAsia="宋体" w:cs="宋体"/>
                <w:spacing w:val="-49"/>
                <w:sz w:val="24"/>
                <w:szCs w:val="24"/>
              </w:rPr>
              <w:t xml:space="preserve"> </w:t>
            </w:r>
            <w:r>
              <w:rPr>
                <w:rFonts w:ascii="Times New Roman" w:hAnsi="Times New Roman" w:eastAsia="Times New Roman" w:cs="Times New Roman"/>
                <w:spacing w:val="-1"/>
                <w:sz w:val="24"/>
                <w:szCs w:val="24"/>
              </w:rPr>
              <w:t>50m</w:t>
            </w:r>
            <w:r>
              <w:rPr>
                <w:rFonts w:ascii="Times New Roman" w:hAnsi="Times New Roman" w:eastAsia="Times New Roman" w:cs="Times New Roman"/>
                <w:spacing w:val="16"/>
                <w:sz w:val="24"/>
                <w:szCs w:val="24"/>
              </w:rPr>
              <w:t xml:space="preserve"> </w:t>
            </w:r>
            <w:r>
              <w:rPr>
                <w:rFonts w:ascii="宋体" w:hAnsi="宋体" w:eastAsia="宋体" w:cs="宋体"/>
                <w:spacing w:val="-1"/>
                <w:sz w:val="24"/>
                <w:szCs w:val="24"/>
              </w:rPr>
              <w:t>范围内；地下水环境</w:t>
            </w:r>
            <w:r>
              <w:rPr>
                <w:rFonts w:ascii="宋体" w:hAnsi="宋体" w:eastAsia="宋体" w:cs="宋体"/>
                <w:spacing w:val="-2"/>
                <w:sz w:val="24"/>
                <w:szCs w:val="24"/>
              </w:rPr>
              <w:t>保护目标范围为厂界外</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500m</w:t>
            </w:r>
            <w:r>
              <w:rPr>
                <w:rFonts w:ascii="宋体" w:hAnsi="宋体" w:eastAsia="宋体" w:cs="宋体"/>
                <w:spacing w:val="-6"/>
                <w:sz w:val="24"/>
                <w:szCs w:val="24"/>
              </w:rPr>
              <w:t>内。</w:t>
            </w:r>
          </w:p>
          <w:p w14:paraId="18F826AF">
            <w:pPr>
              <w:spacing w:line="358" w:lineRule="auto"/>
              <w:ind w:left="111" w:right="103" w:firstLine="477"/>
              <w:jc w:val="both"/>
              <w:rPr>
                <w:rFonts w:ascii="宋体" w:hAnsi="宋体" w:eastAsia="宋体" w:cs="宋体"/>
                <w:sz w:val="24"/>
                <w:szCs w:val="24"/>
              </w:rPr>
            </w:pPr>
            <w:r>
              <w:rPr>
                <w:rFonts w:ascii="宋体" w:hAnsi="宋体" w:eastAsia="宋体" w:cs="宋体"/>
                <w:sz w:val="24"/>
                <w:szCs w:val="24"/>
              </w:rPr>
              <w:t>根据现场调查，项目</w:t>
            </w:r>
            <w:r>
              <w:rPr>
                <w:rFonts w:ascii="宋体" w:hAnsi="宋体" w:eastAsia="宋体" w:cs="宋体"/>
                <w:spacing w:val="-46"/>
                <w:sz w:val="24"/>
                <w:szCs w:val="24"/>
              </w:rPr>
              <w:t xml:space="preserve"> </w:t>
            </w:r>
            <w:r>
              <w:rPr>
                <w:rFonts w:ascii="Times New Roman" w:hAnsi="Times New Roman" w:eastAsia="Times New Roman" w:cs="Times New Roman"/>
                <w:sz w:val="24"/>
                <w:szCs w:val="24"/>
              </w:rPr>
              <w:t>500m</w:t>
            </w:r>
            <w:r>
              <w:rPr>
                <w:rFonts w:ascii="Times New Roman" w:hAnsi="Times New Roman" w:eastAsia="Times New Roman" w:cs="Times New Roman"/>
                <w:spacing w:val="15"/>
                <w:w w:val="101"/>
                <w:sz w:val="24"/>
                <w:szCs w:val="24"/>
              </w:rPr>
              <w:t xml:space="preserve"> </w:t>
            </w:r>
            <w:r>
              <w:rPr>
                <w:rFonts w:ascii="宋体" w:hAnsi="宋体" w:eastAsia="宋体" w:cs="宋体"/>
                <w:sz w:val="24"/>
                <w:szCs w:val="24"/>
              </w:rPr>
              <w:t>范围内主要为企业、</w:t>
            </w:r>
            <w:r>
              <w:rPr>
                <w:rFonts w:ascii="宋体" w:hAnsi="宋体" w:eastAsia="宋体" w:cs="宋体"/>
                <w:spacing w:val="-1"/>
                <w:sz w:val="24"/>
                <w:szCs w:val="24"/>
              </w:rPr>
              <w:t>居住区，项目不涉及地下</w:t>
            </w:r>
            <w:r>
              <w:rPr>
                <w:rFonts w:ascii="宋体" w:hAnsi="宋体" w:eastAsia="宋体" w:cs="宋体"/>
                <w:spacing w:val="-2"/>
                <w:sz w:val="24"/>
                <w:szCs w:val="24"/>
              </w:rPr>
              <w:t>水集中式饮用水水源和热水、矿泉水、温泉等特殊地下水资源；</w:t>
            </w:r>
            <w:r>
              <w:rPr>
                <w:rFonts w:ascii="Times New Roman" w:hAnsi="Times New Roman" w:eastAsia="Times New Roman" w:cs="Times New Roman"/>
                <w:spacing w:val="-2"/>
                <w:sz w:val="24"/>
                <w:szCs w:val="24"/>
              </w:rPr>
              <w:t>50m</w:t>
            </w:r>
            <w:r>
              <w:rPr>
                <w:rFonts w:ascii="Times New Roman" w:hAnsi="Times New Roman" w:eastAsia="Times New Roman" w:cs="Times New Roman"/>
                <w:spacing w:val="26"/>
                <w:sz w:val="24"/>
                <w:szCs w:val="24"/>
              </w:rPr>
              <w:t xml:space="preserve"> </w:t>
            </w:r>
            <w:r>
              <w:rPr>
                <w:rFonts w:ascii="宋体" w:hAnsi="宋体" w:eastAsia="宋体" w:cs="宋体"/>
                <w:spacing w:val="-2"/>
                <w:sz w:val="24"/>
                <w:szCs w:val="24"/>
              </w:rPr>
              <w:t>范围内无</w:t>
            </w:r>
            <w:r>
              <w:rPr>
                <w:rFonts w:ascii="宋体" w:hAnsi="宋体" w:eastAsia="宋体" w:cs="宋体"/>
                <w:spacing w:val="-1"/>
                <w:sz w:val="24"/>
                <w:szCs w:val="24"/>
              </w:rPr>
              <w:t>声环境敏感目标，项目环境保护目标见表</w:t>
            </w:r>
            <w:r>
              <w:rPr>
                <w:rFonts w:ascii="宋体" w:hAnsi="宋体" w:eastAsia="宋体" w:cs="宋体"/>
                <w:spacing w:val="-50"/>
                <w:sz w:val="24"/>
                <w:szCs w:val="24"/>
              </w:rPr>
              <w:t xml:space="preserve"> </w:t>
            </w:r>
            <w:r>
              <w:rPr>
                <w:rFonts w:ascii="Times New Roman" w:hAnsi="Times New Roman" w:eastAsia="Times New Roman" w:cs="Times New Roman"/>
                <w:spacing w:val="-1"/>
                <w:sz w:val="24"/>
                <w:szCs w:val="24"/>
              </w:rPr>
              <w:t>3-</w:t>
            </w:r>
            <w:r>
              <w:rPr>
                <w:rFonts w:ascii="Times New Roman" w:hAnsi="Times New Roman" w:eastAsia="Times New Roman" w:cs="Times New Roman"/>
                <w:spacing w:val="-2"/>
                <w:sz w:val="24"/>
                <w:szCs w:val="24"/>
              </w:rPr>
              <w:t>5</w:t>
            </w:r>
            <w:r>
              <w:rPr>
                <w:rFonts w:ascii="宋体" w:hAnsi="宋体" w:eastAsia="宋体" w:cs="宋体"/>
                <w:spacing w:val="-2"/>
                <w:sz w:val="24"/>
                <w:szCs w:val="24"/>
              </w:rPr>
              <w:t>。</w:t>
            </w:r>
          </w:p>
          <w:p w14:paraId="72E64B7F">
            <w:pPr>
              <w:spacing w:line="209" w:lineRule="auto"/>
              <w:ind w:left="2849"/>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32"/>
                <w:sz w:val="20"/>
                <w:szCs w:val="20"/>
              </w:rPr>
              <w:t xml:space="preserve"> </w:t>
            </w:r>
            <w:r>
              <w:rPr>
                <w:rFonts w:ascii="Times New Roman" w:hAnsi="Times New Roman" w:eastAsia="Times New Roman" w:cs="Times New Roman"/>
                <w:b/>
                <w:bCs/>
                <w:spacing w:val="5"/>
                <w:sz w:val="20"/>
                <w:szCs w:val="20"/>
              </w:rPr>
              <w:t xml:space="preserve">3-5    </w:t>
            </w:r>
            <w:r>
              <w:rPr>
                <w:rFonts w:ascii="宋体" w:hAnsi="宋体" w:eastAsia="宋体" w:cs="宋体"/>
                <w:b/>
                <w:bCs/>
                <w:spacing w:val="5"/>
                <w:sz w:val="20"/>
                <w:szCs w:val="20"/>
              </w:rPr>
              <w:t>环境保护目标一览表</w:t>
            </w:r>
          </w:p>
        </w:tc>
      </w:tr>
      <w:tr w14:paraId="70DC3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717" w:type="dxa"/>
            <w:vMerge w:val="continue"/>
            <w:tcBorders>
              <w:top w:val="nil"/>
              <w:left w:val="single" w:color="000000" w:sz="6" w:space="0"/>
              <w:bottom w:val="nil"/>
            </w:tcBorders>
            <w:vAlign w:val="top"/>
          </w:tcPr>
          <w:p w14:paraId="3948CF89">
            <w:pPr>
              <w:rPr>
                <w:rFonts w:ascii="Arial"/>
                <w:sz w:val="21"/>
              </w:rPr>
            </w:pPr>
          </w:p>
        </w:tc>
        <w:tc>
          <w:tcPr>
            <w:tcW w:w="113" w:type="dxa"/>
            <w:tcBorders>
              <w:top w:val="nil"/>
              <w:bottom w:val="nil"/>
            </w:tcBorders>
            <w:vAlign w:val="top"/>
          </w:tcPr>
          <w:p w14:paraId="72B45E01">
            <w:pPr>
              <w:rPr>
                <w:rFonts w:ascii="Arial"/>
                <w:sz w:val="21"/>
              </w:rPr>
            </w:pPr>
          </w:p>
        </w:tc>
        <w:tc>
          <w:tcPr>
            <w:tcW w:w="436" w:type="dxa"/>
            <w:vMerge w:val="restart"/>
            <w:tcBorders>
              <w:bottom w:val="nil"/>
            </w:tcBorders>
            <w:textDirection w:val="tbRlV"/>
            <w:vAlign w:val="top"/>
          </w:tcPr>
          <w:p w14:paraId="5D7A5146">
            <w:pPr>
              <w:spacing w:before="118" w:line="216" w:lineRule="auto"/>
              <w:ind w:left="651"/>
              <w:rPr>
                <w:rFonts w:ascii="宋体" w:hAnsi="宋体" w:eastAsia="宋体" w:cs="宋体"/>
                <w:sz w:val="20"/>
                <w:szCs w:val="20"/>
              </w:rPr>
            </w:pPr>
            <w:r>
              <w:rPr>
                <w:rFonts w:ascii="宋体" w:hAnsi="宋体" w:eastAsia="宋体" w:cs="宋体"/>
                <w:spacing w:val="8"/>
                <w:sz w:val="20"/>
                <w:szCs w:val="20"/>
              </w:rPr>
              <w:t>类</w:t>
            </w:r>
            <w:r>
              <w:rPr>
                <w:rFonts w:ascii="宋体" w:hAnsi="宋体" w:eastAsia="宋体" w:cs="宋体"/>
                <w:spacing w:val="99"/>
                <w:sz w:val="20"/>
                <w:szCs w:val="20"/>
              </w:rPr>
              <w:t xml:space="preserve"> </w:t>
            </w:r>
            <w:r>
              <w:rPr>
                <w:rFonts w:ascii="宋体" w:hAnsi="宋体" w:eastAsia="宋体" w:cs="宋体"/>
                <w:spacing w:val="8"/>
                <w:sz w:val="20"/>
                <w:szCs w:val="20"/>
              </w:rPr>
              <w:t>别</w:t>
            </w:r>
          </w:p>
        </w:tc>
        <w:tc>
          <w:tcPr>
            <w:tcW w:w="521" w:type="dxa"/>
            <w:vMerge w:val="restart"/>
            <w:tcBorders>
              <w:bottom w:val="nil"/>
            </w:tcBorders>
            <w:textDirection w:val="tbRlV"/>
            <w:vAlign w:val="top"/>
          </w:tcPr>
          <w:p w14:paraId="265960BC">
            <w:pPr>
              <w:spacing w:before="159" w:line="207" w:lineRule="auto"/>
              <w:ind w:left="243"/>
              <w:rPr>
                <w:rFonts w:ascii="宋体" w:hAnsi="宋体" w:eastAsia="宋体" w:cs="宋体"/>
                <w:sz w:val="20"/>
                <w:szCs w:val="20"/>
              </w:rPr>
            </w:pPr>
            <w:r>
              <w:rPr>
                <w:rFonts w:ascii="宋体" w:hAnsi="宋体" w:eastAsia="宋体" w:cs="宋体"/>
                <w:spacing w:val="8"/>
                <w:sz w:val="20"/>
                <w:szCs w:val="20"/>
              </w:rPr>
              <w:t>保</w:t>
            </w:r>
            <w:r>
              <w:rPr>
                <w:rFonts w:ascii="宋体" w:hAnsi="宋体" w:eastAsia="宋体" w:cs="宋体"/>
                <w:spacing w:val="101"/>
                <w:sz w:val="20"/>
                <w:szCs w:val="20"/>
              </w:rPr>
              <w:t xml:space="preserve"> </w:t>
            </w:r>
            <w:r>
              <w:rPr>
                <w:rFonts w:ascii="宋体" w:hAnsi="宋体" w:eastAsia="宋体" w:cs="宋体"/>
                <w:spacing w:val="8"/>
                <w:sz w:val="20"/>
                <w:szCs w:val="20"/>
              </w:rPr>
              <w:t>护</w:t>
            </w:r>
            <w:r>
              <w:rPr>
                <w:rFonts w:ascii="宋体" w:hAnsi="宋体" w:eastAsia="宋体" w:cs="宋体"/>
                <w:spacing w:val="99"/>
                <w:sz w:val="20"/>
                <w:szCs w:val="20"/>
              </w:rPr>
              <w:t xml:space="preserve"> </w:t>
            </w:r>
            <w:r>
              <w:rPr>
                <w:rFonts w:ascii="宋体" w:hAnsi="宋体" w:eastAsia="宋体" w:cs="宋体"/>
                <w:spacing w:val="8"/>
                <w:position w:val="1"/>
                <w:sz w:val="20"/>
                <w:szCs w:val="20"/>
              </w:rPr>
              <w:t>目</w:t>
            </w:r>
            <w:r>
              <w:rPr>
                <w:rFonts w:ascii="宋体" w:hAnsi="宋体" w:eastAsia="宋体" w:cs="宋体"/>
                <w:spacing w:val="99"/>
                <w:position w:val="1"/>
                <w:sz w:val="20"/>
                <w:szCs w:val="20"/>
              </w:rPr>
              <w:t xml:space="preserve"> </w:t>
            </w:r>
            <w:r>
              <w:rPr>
                <w:rFonts w:ascii="宋体" w:hAnsi="宋体" w:eastAsia="宋体" w:cs="宋体"/>
                <w:spacing w:val="8"/>
                <w:sz w:val="20"/>
                <w:szCs w:val="20"/>
              </w:rPr>
              <w:t>标</w:t>
            </w:r>
          </w:p>
        </w:tc>
        <w:tc>
          <w:tcPr>
            <w:tcW w:w="3111" w:type="dxa"/>
            <w:gridSpan w:val="3"/>
            <w:vAlign w:val="top"/>
          </w:tcPr>
          <w:p w14:paraId="75BC1BCB">
            <w:pPr>
              <w:spacing w:before="39" w:line="228" w:lineRule="auto"/>
              <w:ind w:left="1246"/>
              <w:rPr>
                <w:rFonts w:ascii="宋体" w:hAnsi="宋体" w:eastAsia="宋体" w:cs="宋体"/>
                <w:sz w:val="20"/>
                <w:szCs w:val="20"/>
              </w:rPr>
            </w:pPr>
            <w:r>
              <w:rPr>
                <w:rFonts w:ascii="宋体" w:hAnsi="宋体" w:eastAsia="宋体" w:cs="宋体"/>
                <w:spacing w:val="6"/>
                <w:sz w:val="20"/>
                <w:szCs w:val="20"/>
              </w:rPr>
              <w:t>经纬度</w:t>
            </w:r>
          </w:p>
        </w:tc>
        <w:tc>
          <w:tcPr>
            <w:tcW w:w="440" w:type="dxa"/>
            <w:vMerge w:val="restart"/>
            <w:tcBorders>
              <w:bottom w:val="nil"/>
            </w:tcBorders>
            <w:textDirection w:val="tbRlV"/>
            <w:vAlign w:val="top"/>
          </w:tcPr>
          <w:p w14:paraId="0494CBB4">
            <w:pPr>
              <w:spacing w:before="112" w:line="217" w:lineRule="auto"/>
              <w:ind w:left="651"/>
              <w:rPr>
                <w:rFonts w:ascii="宋体" w:hAnsi="宋体" w:eastAsia="宋体" w:cs="宋体"/>
                <w:sz w:val="20"/>
                <w:szCs w:val="20"/>
              </w:rPr>
            </w:pPr>
            <w:r>
              <w:rPr>
                <w:rFonts w:ascii="宋体" w:hAnsi="宋体" w:eastAsia="宋体" w:cs="宋体"/>
                <w:spacing w:val="8"/>
                <w:sz w:val="20"/>
                <w:szCs w:val="20"/>
              </w:rPr>
              <w:t>方</w:t>
            </w:r>
            <w:r>
              <w:rPr>
                <w:rFonts w:ascii="宋体" w:hAnsi="宋体" w:eastAsia="宋体" w:cs="宋体"/>
                <w:spacing w:val="99"/>
                <w:sz w:val="20"/>
                <w:szCs w:val="20"/>
              </w:rPr>
              <w:t xml:space="preserve"> </w:t>
            </w:r>
            <w:r>
              <w:rPr>
                <w:rFonts w:ascii="宋体" w:hAnsi="宋体" w:eastAsia="宋体" w:cs="宋体"/>
                <w:spacing w:val="8"/>
                <w:sz w:val="20"/>
                <w:szCs w:val="20"/>
              </w:rPr>
              <w:t>位</w:t>
            </w:r>
          </w:p>
        </w:tc>
        <w:tc>
          <w:tcPr>
            <w:tcW w:w="825" w:type="dxa"/>
            <w:vMerge w:val="restart"/>
            <w:tcBorders>
              <w:bottom w:val="nil"/>
            </w:tcBorders>
            <w:vAlign w:val="top"/>
          </w:tcPr>
          <w:p w14:paraId="556D441D">
            <w:pPr>
              <w:spacing w:before="39" w:line="227" w:lineRule="auto"/>
              <w:ind w:left="215"/>
              <w:rPr>
                <w:rFonts w:ascii="宋体" w:hAnsi="宋体" w:eastAsia="宋体" w:cs="宋体"/>
                <w:sz w:val="20"/>
                <w:szCs w:val="20"/>
              </w:rPr>
            </w:pPr>
            <w:r>
              <w:rPr>
                <w:rFonts w:ascii="宋体" w:hAnsi="宋体" w:eastAsia="宋体" w:cs="宋体"/>
                <w:spacing w:val="2"/>
                <w:sz w:val="20"/>
                <w:szCs w:val="20"/>
              </w:rPr>
              <w:t>与本</w:t>
            </w:r>
          </w:p>
          <w:p w14:paraId="74AC0CA7">
            <w:pPr>
              <w:spacing w:before="162" w:line="228" w:lineRule="auto"/>
              <w:ind w:left="214"/>
              <w:rPr>
                <w:rFonts w:ascii="宋体" w:hAnsi="宋体" w:eastAsia="宋体" w:cs="宋体"/>
                <w:sz w:val="20"/>
                <w:szCs w:val="20"/>
              </w:rPr>
            </w:pPr>
            <w:r>
              <w:rPr>
                <w:rFonts w:ascii="宋体" w:hAnsi="宋体" w:eastAsia="宋体" w:cs="宋体"/>
                <w:spacing w:val="3"/>
                <w:sz w:val="20"/>
                <w:szCs w:val="20"/>
              </w:rPr>
              <w:t>项目</w:t>
            </w:r>
          </w:p>
          <w:p w14:paraId="44E8C97E">
            <w:pPr>
              <w:spacing w:before="160" w:line="230" w:lineRule="auto"/>
              <w:ind w:left="228"/>
              <w:rPr>
                <w:rFonts w:ascii="宋体" w:hAnsi="宋体" w:eastAsia="宋体" w:cs="宋体"/>
                <w:sz w:val="20"/>
                <w:szCs w:val="20"/>
              </w:rPr>
            </w:pPr>
            <w:r>
              <w:rPr>
                <w:rFonts w:ascii="宋体" w:hAnsi="宋体" w:eastAsia="宋体" w:cs="宋体"/>
                <w:spacing w:val="-4"/>
                <w:sz w:val="20"/>
                <w:szCs w:val="20"/>
              </w:rPr>
              <w:t>的相</w:t>
            </w:r>
          </w:p>
          <w:p w14:paraId="5AEA15BF">
            <w:pPr>
              <w:spacing w:before="158" w:line="357" w:lineRule="auto"/>
              <w:ind w:left="118" w:right="17" w:firstLine="91"/>
              <w:rPr>
                <w:rFonts w:ascii="宋体" w:hAnsi="宋体" w:eastAsia="宋体" w:cs="宋体"/>
                <w:sz w:val="20"/>
                <w:szCs w:val="20"/>
              </w:rPr>
            </w:pPr>
            <w:r>
              <w:rPr>
                <w:rFonts w:ascii="宋体" w:hAnsi="宋体" w:eastAsia="宋体" w:cs="宋体"/>
                <w:spacing w:val="5"/>
                <w:sz w:val="20"/>
                <w:szCs w:val="20"/>
              </w:rPr>
              <w:t>对距</w:t>
            </w:r>
            <w:r>
              <w:rPr>
                <w:rFonts w:ascii="宋体" w:hAnsi="宋体" w:eastAsia="宋体" w:cs="宋体"/>
                <w:sz w:val="20"/>
                <w:szCs w:val="20"/>
              </w:rPr>
              <w:t xml:space="preserve"> </w:t>
            </w:r>
            <w:r>
              <w:rPr>
                <w:rFonts w:ascii="宋体" w:hAnsi="宋体" w:eastAsia="宋体" w:cs="宋体"/>
                <w:spacing w:val="-19"/>
                <w:sz w:val="20"/>
                <w:szCs w:val="20"/>
              </w:rPr>
              <w:t>离（</w:t>
            </w:r>
            <w:r>
              <w:rPr>
                <w:rFonts w:ascii="Times New Roman" w:hAnsi="Times New Roman" w:eastAsia="Times New Roman" w:cs="Times New Roman"/>
                <w:spacing w:val="-19"/>
                <w:sz w:val="20"/>
                <w:szCs w:val="20"/>
              </w:rPr>
              <w:t>m</w:t>
            </w:r>
            <w:r>
              <w:rPr>
                <w:rFonts w:ascii="宋体" w:hAnsi="宋体" w:eastAsia="宋体" w:cs="宋体"/>
                <w:spacing w:val="-19"/>
                <w:sz w:val="20"/>
                <w:szCs w:val="20"/>
              </w:rPr>
              <w:t>）</w:t>
            </w:r>
          </w:p>
        </w:tc>
        <w:tc>
          <w:tcPr>
            <w:tcW w:w="945" w:type="dxa"/>
            <w:vMerge w:val="restart"/>
            <w:tcBorders>
              <w:bottom w:val="nil"/>
            </w:tcBorders>
            <w:vAlign w:val="top"/>
          </w:tcPr>
          <w:p w14:paraId="054FE197">
            <w:pPr>
              <w:spacing w:line="378" w:lineRule="auto"/>
              <w:rPr>
                <w:rFonts w:ascii="Arial"/>
                <w:sz w:val="21"/>
              </w:rPr>
            </w:pPr>
          </w:p>
          <w:p w14:paraId="7099336F">
            <w:pPr>
              <w:spacing w:before="65" w:line="378" w:lineRule="auto"/>
              <w:ind w:left="117" w:right="14" w:firstLine="49"/>
              <w:jc w:val="both"/>
              <w:rPr>
                <w:rFonts w:ascii="宋体" w:hAnsi="宋体" w:eastAsia="宋体" w:cs="宋体"/>
                <w:sz w:val="20"/>
                <w:szCs w:val="20"/>
              </w:rPr>
            </w:pPr>
            <w:r>
              <w:rPr>
                <w:rFonts w:ascii="宋体" w:hAnsi="宋体" w:eastAsia="宋体" w:cs="宋体"/>
                <w:spacing w:val="6"/>
                <w:sz w:val="20"/>
                <w:szCs w:val="20"/>
              </w:rPr>
              <w:t>保护对</w:t>
            </w:r>
            <w:r>
              <w:rPr>
                <w:rFonts w:ascii="宋体" w:hAnsi="宋体" w:eastAsia="宋体" w:cs="宋体"/>
                <w:spacing w:val="23"/>
                <w:sz w:val="20"/>
                <w:szCs w:val="20"/>
              </w:rPr>
              <w:t>象及人</w:t>
            </w:r>
            <w:r>
              <w:rPr>
                <w:rFonts w:ascii="宋体" w:hAnsi="宋体" w:eastAsia="宋体" w:cs="宋体"/>
                <w:spacing w:val="1"/>
                <w:sz w:val="20"/>
                <w:szCs w:val="20"/>
              </w:rPr>
              <w:t>数（人）</w:t>
            </w:r>
          </w:p>
        </w:tc>
        <w:tc>
          <w:tcPr>
            <w:tcW w:w="1835" w:type="dxa"/>
            <w:vMerge w:val="restart"/>
            <w:tcBorders>
              <w:bottom w:val="nil"/>
            </w:tcBorders>
            <w:vAlign w:val="top"/>
          </w:tcPr>
          <w:p w14:paraId="30627B87">
            <w:pPr>
              <w:spacing w:line="261" w:lineRule="auto"/>
              <w:rPr>
                <w:rFonts w:ascii="Arial"/>
                <w:sz w:val="21"/>
              </w:rPr>
            </w:pPr>
          </w:p>
          <w:p w14:paraId="77EE801E">
            <w:pPr>
              <w:spacing w:line="262" w:lineRule="auto"/>
              <w:rPr>
                <w:rFonts w:ascii="Arial"/>
                <w:sz w:val="21"/>
              </w:rPr>
            </w:pPr>
          </w:p>
          <w:p w14:paraId="4FDB49A9">
            <w:pPr>
              <w:spacing w:line="262" w:lineRule="auto"/>
              <w:rPr>
                <w:rFonts w:ascii="Arial"/>
                <w:sz w:val="21"/>
              </w:rPr>
            </w:pPr>
          </w:p>
          <w:p w14:paraId="6E1CBB58">
            <w:pPr>
              <w:spacing w:before="65" w:line="228" w:lineRule="auto"/>
              <w:ind w:left="508"/>
              <w:rPr>
                <w:rFonts w:ascii="宋体" w:hAnsi="宋体" w:eastAsia="宋体" w:cs="宋体"/>
                <w:sz w:val="20"/>
                <w:szCs w:val="20"/>
              </w:rPr>
            </w:pPr>
            <w:r>
              <w:rPr>
                <w:rFonts w:ascii="宋体" w:hAnsi="宋体" w:eastAsia="宋体" w:cs="宋体"/>
                <w:spacing w:val="7"/>
                <w:sz w:val="20"/>
                <w:szCs w:val="20"/>
              </w:rPr>
              <w:t>保护级别</w:t>
            </w:r>
          </w:p>
        </w:tc>
        <w:tc>
          <w:tcPr>
            <w:tcW w:w="122" w:type="dxa"/>
            <w:tcBorders>
              <w:top w:val="nil"/>
              <w:bottom w:val="nil"/>
              <w:right w:val="single" w:color="000000" w:sz="6" w:space="0"/>
            </w:tcBorders>
            <w:vAlign w:val="top"/>
          </w:tcPr>
          <w:p w14:paraId="4D81DE46">
            <w:pPr>
              <w:rPr>
                <w:rFonts w:ascii="Arial"/>
                <w:sz w:val="21"/>
              </w:rPr>
            </w:pPr>
          </w:p>
        </w:tc>
      </w:tr>
      <w:tr w14:paraId="6C5B7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1" w:hRule="atLeast"/>
        </w:trPr>
        <w:tc>
          <w:tcPr>
            <w:tcW w:w="717" w:type="dxa"/>
            <w:vMerge w:val="continue"/>
            <w:tcBorders>
              <w:top w:val="nil"/>
              <w:left w:val="single" w:color="000000" w:sz="6" w:space="0"/>
              <w:bottom w:val="nil"/>
            </w:tcBorders>
            <w:vAlign w:val="top"/>
          </w:tcPr>
          <w:p w14:paraId="2C1F1288">
            <w:pPr>
              <w:rPr>
                <w:rFonts w:ascii="Arial"/>
                <w:sz w:val="21"/>
              </w:rPr>
            </w:pPr>
          </w:p>
        </w:tc>
        <w:tc>
          <w:tcPr>
            <w:tcW w:w="113" w:type="dxa"/>
            <w:tcBorders>
              <w:top w:val="nil"/>
              <w:bottom w:val="nil"/>
            </w:tcBorders>
            <w:vAlign w:val="top"/>
          </w:tcPr>
          <w:p w14:paraId="4BC479E0">
            <w:pPr>
              <w:rPr>
                <w:rFonts w:ascii="Arial"/>
                <w:sz w:val="21"/>
              </w:rPr>
            </w:pPr>
          </w:p>
        </w:tc>
        <w:tc>
          <w:tcPr>
            <w:tcW w:w="436" w:type="dxa"/>
            <w:vMerge w:val="continue"/>
            <w:tcBorders>
              <w:top w:val="nil"/>
            </w:tcBorders>
            <w:textDirection w:val="tbRlV"/>
            <w:vAlign w:val="top"/>
          </w:tcPr>
          <w:p w14:paraId="5A10C5F9">
            <w:pPr>
              <w:rPr>
                <w:rFonts w:ascii="Arial"/>
                <w:sz w:val="21"/>
              </w:rPr>
            </w:pPr>
          </w:p>
        </w:tc>
        <w:tc>
          <w:tcPr>
            <w:tcW w:w="521" w:type="dxa"/>
            <w:vMerge w:val="continue"/>
            <w:tcBorders>
              <w:top w:val="nil"/>
            </w:tcBorders>
            <w:textDirection w:val="tbRlV"/>
            <w:vAlign w:val="top"/>
          </w:tcPr>
          <w:p w14:paraId="3C543049">
            <w:pPr>
              <w:rPr>
                <w:rFonts w:ascii="Arial"/>
                <w:sz w:val="21"/>
              </w:rPr>
            </w:pPr>
          </w:p>
        </w:tc>
        <w:tc>
          <w:tcPr>
            <w:tcW w:w="1354" w:type="dxa"/>
            <w:vAlign w:val="top"/>
          </w:tcPr>
          <w:p w14:paraId="1D3050CA">
            <w:pPr>
              <w:spacing w:line="295" w:lineRule="auto"/>
              <w:rPr>
                <w:rFonts w:ascii="Arial"/>
                <w:sz w:val="21"/>
              </w:rPr>
            </w:pPr>
          </w:p>
          <w:p w14:paraId="2FCB0079">
            <w:pPr>
              <w:spacing w:line="295" w:lineRule="auto"/>
              <w:rPr>
                <w:rFonts w:ascii="Arial"/>
                <w:sz w:val="21"/>
              </w:rPr>
            </w:pPr>
          </w:p>
          <w:p w14:paraId="4397CBD8">
            <w:pPr>
              <w:spacing w:before="65" w:line="228" w:lineRule="auto"/>
              <w:ind w:left="219"/>
              <w:rPr>
                <w:rFonts w:ascii="宋体" w:hAnsi="宋体" w:eastAsia="宋体" w:cs="宋体"/>
                <w:sz w:val="20"/>
                <w:szCs w:val="20"/>
              </w:rPr>
            </w:pPr>
            <w:r>
              <w:rPr>
                <w:rFonts w:ascii="宋体" w:hAnsi="宋体" w:eastAsia="宋体" w:cs="宋体"/>
                <w:sz w:val="20"/>
                <w:szCs w:val="20"/>
              </w:rPr>
              <w:t>经度</w:t>
            </w:r>
            <w:r>
              <w:rPr>
                <w:rFonts w:ascii="宋体" w:hAnsi="宋体" w:eastAsia="宋体" w:cs="宋体"/>
                <w:spacing w:val="21"/>
                <w:sz w:val="20"/>
                <w:szCs w:val="20"/>
              </w:rPr>
              <w:t xml:space="preserve"> </w:t>
            </w:r>
            <w:r>
              <w:rPr>
                <w:rFonts w:ascii="宋体" w:hAnsi="宋体" w:eastAsia="宋体" w:cs="宋体"/>
                <w:sz w:val="20"/>
                <w:szCs w:val="20"/>
              </w:rPr>
              <w:t>(</w:t>
            </w:r>
            <w:r>
              <w:rPr>
                <w:rFonts w:ascii="Times New Roman" w:hAnsi="Times New Roman" w:eastAsia="Times New Roman" w:cs="Times New Roman"/>
                <w:sz w:val="20"/>
                <w:szCs w:val="20"/>
              </w:rPr>
              <w:t>°</w:t>
            </w:r>
            <w:r>
              <w:rPr>
                <w:rFonts w:ascii="宋体" w:hAnsi="宋体" w:eastAsia="宋体" w:cs="宋体"/>
                <w:sz w:val="20"/>
                <w:szCs w:val="20"/>
              </w:rPr>
              <w:t>)</w:t>
            </w:r>
          </w:p>
        </w:tc>
        <w:tc>
          <w:tcPr>
            <w:tcW w:w="1076" w:type="dxa"/>
            <w:vAlign w:val="top"/>
          </w:tcPr>
          <w:p w14:paraId="1FBD6F3D">
            <w:pPr>
              <w:spacing w:line="295" w:lineRule="auto"/>
              <w:rPr>
                <w:rFonts w:ascii="Arial"/>
                <w:sz w:val="21"/>
              </w:rPr>
            </w:pPr>
          </w:p>
          <w:p w14:paraId="26F230FC">
            <w:pPr>
              <w:spacing w:line="295" w:lineRule="auto"/>
              <w:rPr>
                <w:rFonts w:ascii="Arial"/>
                <w:sz w:val="21"/>
              </w:rPr>
            </w:pPr>
          </w:p>
          <w:p w14:paraId="6DDADE86">
            <w:pPr>
              <w:spacing w:before="65" w:line="228" w:lineRule="auto"/>
              <w:ind w:left="112"/>
              <w:rPr>
                <w:rFonts w:ascii="宋体" w:hAnsi="宋体" w:eastAsia="宋体" w:cs="宋体"/>
                <w:sz w:val="20"/>
                <w:szCs w:val="20"/>
              </w:rPr>
            </w:pPr>
            <w:r>
              <w:rPr>
                <w:rFonts w:ascii="宋体" w:hAnsi="宋体" w:eastAsia="宋体" w:cs="宋体"/>
                <w:sz w:val="20"/>
                <w:szCs w:val="20"/>
              </w:rPr>
              <w:t>纬度</w:t>
            </w:r>
            <w:r>
              <w:rPr>
                <w:rFonts w:ascii="宋体" w:hAnsi="宋体" w:eastAsia="宋体" w:cs="宋体"/>
                <w:spacing w:val="22"/>
                <w:sz w:val="20"/>
                <w:szCs w:val="20"/>
              </w:rPr>
              <w:t xml:space="preserve"> </w:t>
            </w:r>
            <w:r>
              <w:rPr>
                <w:rFonts w:ascii="宋体" w:hAnsi="宋体" w:eastAsia="宋体" w:cs="宋体"/>
                <w:sz w:val="20"/>
                <w:szCs w:val="20"/>
              </w:rPr>
              <w:t>(</w:t>
            </w:r>
            <w:r>
              <w:rPr>
                <w:rFonts w:ascii="Times New Roman" w:hAnsi="Times New Roman" w:eastAsia="Times New Roman" w:cs="Times New Roman"/>
                <w:sz w:val="20"/>
                <w:szCs w:val="20"/>
              </w:rPr>
              <w:t>°</w:t>
            </w:r>
            <w:r>
              <w:rPr>
                <w:rFonts w:ascii="宋体" w:hAnsi="宋体" w:eastAsia="宋体" w:cs="宋体"/>
                <w:sz w:val="20"/>
                <w:szCs w:val="20"/>
              </w:rPr>
              <w:t>)</w:t>
            </w:r>
          </w:p>
        </w:tc>
        <w:tc>
          <w:tcPr>
            <w:tcW w:w="681" w:type="dxa"/>
            <w:vAlign w:val="top"/>
          </w:tcPr>
          <w:p w14:paraId="5C51DF50">
            <w:pPr>
              <w:spacing w:line="411" w:lineRule="auto"/>
              <w:rPr>
                <w:rFonts w:ascii="Arial"/>
                <w:sz w:val="21"/>
              </w:rPr>
            </w:pPr>
          </w:p>
          <w:p w14:paraId="642EC10D">
            <w:pPr>
              <w:spacing w:before="65" w:line="385" w:lineRule="auto"/>
              <w:ind w:left="194" w:right="129" w:hanging="52"/>
              <w:rPr>
                <w:rFonts w:ascii="Times New Roman" w:hAnsi="Times New Roman" w:eastAsia="Times New Roman" w:cs="Times New Roman"/>
                <w:sz w:val="20"/>
                <w:szCs w:val="20"/>
              </w:rPr>
            </w:pPr>
            <w:r>
              <w:rPr>
                <w:rFonts w:ascii="宋体" w:hAnsi="宋体" w:eastAsia="宋体" w:cs="宋体"/>
                <w:spacing w:val="2"/>
                <w:sz w:val="20"/>
                <w:szCs w:val="20"/>
              </w:rPr>
              <w:t>高程</w:t>
            </w:r>
            <w:r>
              <w:rPr>
                <w:rFonts w:ascii="Times New Roman" w:hAnsi="Times New Roman" w:eastAsia="Times New Roman" w:cs="Times New Roman"/>
                <w:spacing w:val="1"/>
                <w:sz w:val="20"/>
                <w:szCs w:val="20"/>
              </w:rPr>
              <w:t>(m)</w:t>
            </w:r>
          </w:p>
        </w:tc>
        <w:tc>
          <w:tcPr>
            <w:tcW w:w="440" w:type="dxa"/>
            <w:vMerge w:val="continue"/>
            <w:tcBorders>
              <w:top w:val="nil"/>
            </w:tcBorders>
            <w:textDirection w:val="tbRlV"/>
            <w:vAlign w:val="top"/>
          </w:tcPr>
          <w:p w14:paraId="4BEF048E">
            <w:pPr>
              <w:rPr>
                <w:rFonts w:ascii="Arial"/>
                <w:sz w:val="21"/>
              </w:rPr>
            </w:pPr>
          </w:p>
        </w:tc>
        <w:tc>
          <w:tcPr>
            <w:tcW w:w="825" w:type="dxa"/>
            <w:vMerge w:val="continue"/>
            <w:tcBorders>
              <w:top w:val="nil"/>
            </w:tcBorders>
            <w:vAlign w:val="top"/>
          </w:tcPr>
          <w:p w14:paraId="51D9B13C">
            <w:pPr>
              <w:rPr>
                <w:rFonts w:ascii="Arial"/>
                <w:sz w:val="21"/>
              </w:rPr>
            </w:pPr>
          </w:p>
        </w:tc>
        <w:tc>
          <w:tcPr>
            <w:tcW w:w="945" w:type="dxa"/>
            <w:vMerge w:val="continue"/>
            <w:tcBorders>
              <w:top w:val="nil"/>
            </w:tcBorders>
            <w:vAlign w:val="top"/>
          </w:tcPr>
          <w:p w14:paraId="25AF4308">
            <w:pPr>
              <w:rPr>
                <w:rFonts w:ascii="Arial"/>
                <w:sz w:val="21"/>
              </w:rPr>
            </w:pPr>
          </w:p>
        </w:tc>
        <w:tc>
          <w:tcPr>
            <w:tcW w:w="1835" w:type="dxa"/>
            <w:vMerge w:val="continue"/>
            <w:tcBorders>
              <w:top w:val="nil"/>
            </w:tcBorders>
            <w:vAlign w:val="top"/>
          </w:tcPr>
          <w:p w14:paraId="23E020D3">
            <w:pPr>
              <w:rPr>
                <w:rFonts w:ascii="Arial"/>
                <w:sz w:val="21"/>
              </w:rPr>
            </w:pPr>
          </w:p>
        </w:tc>
        <w:tc>
          <w:tcPr>
            <w:tcW w:w="122" w:type="dxa"/>
            <w:tcBorders>
              <w:top w:val="nil"/>
              <w:bottom w:val="nil"/>
              <w:right w:val="single" w:color="000000" w:sz="6" w:space="0"/>
            </w:tcBorders>
            <w:vAlign w:val="top"/>
          </w:tcPr>
          <w:p w14:paraId="1F2F7623">
            <w:pPr>
              <w:rPr>
                <w:rFonts w:ascii="Arial"/>
                <w:sz w:val="21"/>
              </w:rPr>
            </w:pPr>
          </w:p>
        </w:tc>
      </w:tr>
      <w:tr w14:paraId="4F664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3" w:hRule="atLeast"/>
        </w:trPr>
        <w:tc>
          <w:tcPr>
            <w:tcW w:w="717" w:type="dxa"/>
            <w:vMerge w:val="continue"/>
            <w:tcBorders>
              <w:top w:val="nil"/>
              <w:left w:val="single" w:color="000000" w:sz="6" w:space="0"/>
              <w:bottom w:val="nil"/>
            </w:tcBorders>
            <w:vAlign w:val="top"/>
          </w:tcPr>
          <w:p w14:paraId="549CE6BE">
            <w:pPr>
              <w:rPr>
                <w:rFonts w:ascii="Arial"/>
                <w:sz w:val="21"/>
              </w:rPr>
            </w:pPr>
          </w:p>
        </w:tc>
        <w:tc>
          <w:tcPr>
            <w:tcW w:w="113" w:type="dxa"/>
            <w:tcBorders>
              <w:top w:val="nil"/>
              <w:bottom w:val="nil"/>
            </w:tcBorders>
            <w:vAlign w:val="top"/>
          </w:tcPr>
          <w:p w14:paraId="71411E73">
            <w:pPr>
              <w:rPr>
                <w:rFonts w:ascii="Arial"/>
                <w:sz w:val="21"/>
              </w:rPr>
            </w:pPr>
          </w:p>
        </w:tc>
        <w:tc>
          <w:tcPr>
            <w:tcW w:w="436" w:type="dxa"/>
            <w:textDirection w:val="tbRlV"/>
            <w:vAlign w:val="top"/>
          </w:tcPr>
          <w:p w14:paraId="5DC871EA">
            <w:pPr>
              <w:spacing w:before="118" w:line="216" w:lineRule="auto"/>
              <w:ind w:left="448"/>
              <w:rPr>
                <w:rFonts w:ascii="宋体" w:hAnsi="宋体" w:eastAsia="宋体" w:cs="宋体"/>
                <w:sz w:val="20"/>
                <w:szCs w:val="20"/>
              </w:rPr>
            </w:pPr>
            <w:r>
              <w:rPr>
                <w:rFonts w:ascii="宋体" w:hAnsi="宋体" w:eastAsia="宋体" w:cs="宋体"/>
                <w:spacing w:val="8"/>
                <w:sz w:val="20"/>
                <w:szCs w:val="20"/>
              </w:rPr>
              <w:t>大</w:t>
            </w:r>
            <w:r>
              <w:rPr>
                <w:rFonts w:ascii="宋体" w:hAnsi="宋体" w:eastAsia="宋体" w:cs="宋体"/>
                <w:spacing w:val="101"/>
                <w:sz w:val="20"/>
                <w:szCs w:val="20"/>
              </w:rPr>
              <w:t xml:space="preserve"> </w:t>
            </w:r>
            <w:r>
              <w:rPr>
                <w:rFonts w:ascii="宋体" w:hAnsi="宋体" w:eastAsia="宋体" w:cs="宋体"/>
                <w:spacing w:val="8"/>
                <w:sz w:val="20"/>
                <w:szCs w:val="20"/>
              </w:rPr>
              <w:t>气</w:t>
            </w:r>
            <w:r>
              <w:rPr>
                <w:rFonts w:ascii="宋体" w:hAnsi="宋体" w:eastAsia="宋体" w:cs="宋体"/>
                <w:spacing w:val="99"/>
                <w:sz w:val="20"/>
                <w:szCs w:val="20"/>
              </w:rPr>
              <w:t xml:space="preserve"> </w:t>
            </w:r>
            <w:r>
              <w:rPr>
                <w:rFonts w:ascii="宋体" w:hAnsi="宋体" w:eastAsia="宋体" w:cs="宋体"/>
                <w:spacing w:val="8"/>
                <w:sz w:val="20"/>
                <w:szCs w:val="20"/>
              </w:rPr>
              <w:t>环</w:t>
            </w:r>
            <w:r>
              <w:rPr>
                <w:rFonts w:ascii="宋体" w:hAnsi="宋体" w:eastAsia="宋体" w:cs="宋体"/>
                <w:spacing w:val="99"/>
                <w:sz w:val="20"/>
                <w:szCs w:val="20"/>
              </w:rPr>
              <w:t xml:space="preserve"> </w:t>
            </w:r>
            <w:r>
              <w:rPr>
                <w:rFonts w:ascii="宋体" w:hAnsi="宋体" w:eastAsia="宋体" w:cs="宋体"/>
                <w:spacing w:val="8"/>
                <w:sz w:val="20"/>
                <w:szCs w:val="20"/>
              </w:rPr>
              <w:t>境</w:t>
            </w:r>
          </w:p>
        </w:tc>
        <w:tc>
          <w:tcPr>
            <w:tcW w:w="521" w:type="dxa"/>
            <w:vAlign w:val="top"/>
          </w:tcPr>
          <w:p w14:paraId="258D8357">
            <w:pPr>
              <w:spacing w:before="268" w:line="229" w:lineRule="auto"/>
              <w:ind w:left="156"/>
              <w:rPr>
                <w:rFonts w:ascii="宋体" w:hAnsi="宋体" w:eastAsia="宋体" w:cs="宋体"/>
                <w:sz w:val="20"/>
                <w:szCs w:val="20"/>
              </w:rPr>
            </w:pPr>
            <w:r>
              <w:rPr>
                <w:rFonts w:ascii="宋体" w:hAnsi="宋体" w:eastAsia="宋体" w:cs="宋体"/>
                <w:sz w:val="20"/>
                <w:szCs w:val="20"/>
              </w:rPr>
              <w:t>谓</w:t>
            </w:r>
          </w:p>
          <w:p w14:paraId="63746E2F">
            <w:pPr>
              <w:spacing w:before="160" w:line="228" w:lineRule="auto"/>
              <w:ind w:left="155"/>
              <w:rPr>
                <w:rFonts w:ascii="宋体" w:hAnsi="宋体" w:eastAsia="宋体" w:cs="宋体"/>
                <w:sz w:val="20"/>
                <w:szCs w:val="20"/>
              </w:rPr>
            </w:pPr>
            <w:r>
              <w:rPr>
                <w:rFonts w:ascii="宋体" w:hAnsi="宋体" w:eastAsia="宋体" w:cs="宋体"/>
                <w:sz w:val="20"/>
                <w:szCs w:val="20"/>
              </w:rPr>
              <w:t>所</w:t>
            </w:r>
          </w:p>
          <w:p w14:paraId="3E2FECD3">
            <w:pPr>
              <w:spacing w:before="160" w:line="228" w:lineRule="auto"/>
              <w:ind w:left="154"/>
              <w:rPr>
                <w:rFonts w:ascii="宋体" w:hAnsi="宋体" w:eastAsia="宋体" w:cs="宋体"/>
                <w:sz w:val="20"/>
                <w:szCs w:val="20"/>
              </w:rPr>
            </w:pPr>
            <w:r>
              <w:rPr>
                <w:rFonts w:ascii="宋体" w:hAnsi="宋体" w:eastAsia="宋体" w:cs="宋体"/>
                <w:spacing w:val="1"/>
                <w:sz w:val="20"/>
                <w:szCs w:val="20"/>
              </w:rPr>
              <w:t>散</w:t>
            </w:r>
          </w:p>
          <w:p w14:paraId="155819C9">
            <w:pPr>
              <w:spacing w:before="161" w:line="228" w:lineRule="auto"/>
              <w:ind w:left="182"/>
              <w:rPr>
                <w:rFonts w:ascii="宋体" w:hAnsi="宋体" w:eastAsia="宋体" w:cs="宋体"/>
                <w:sz w:val="20"/>
                <w:szCs w:val="20"/>
              </w:rPr>
            </w:pPr>
            <w:r>
              <w:rPr>
                <w:rFonts w:ascii="宋体" w:hAnsi="宋体" w:eastAsia="宋体" w:cs="宋体"/>
                <w:sz w:val="20"/>
                <w:szCs w:val="20"/>
              </w:rPr>
              <w:t>户</w:t>
            </w:r>
          </w:p>
          <w:p w14:paraId="148528E8">
            <w:pPr>
              <w:spacing w:before="182" w:line="195" w:lineRule="auto"/>
              <w:ind w:left="22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354" w:type="dxa"/>
            <w:vAlign w:val="top"/>
          </w:tcPr>
          <w:p w14:paraId="3048C85C">
            <w:pPr>
              <w:spacing w:line="260" w:lineRule="auto"/>
              <w:rPr>
                <w:rFonts w:ascii="Arial"/>
                <w:sz w:val="21"/>
              </w:rPr>
            </w:pPr>
          </w:p>
          <w:p w14:paraId="67407879">
            <w:pPr>
              <w:spacing w:line="260" w:lineRule="auto"/>
              <w:rPr>
                <w:rFonts w:ascii="Arial"/>
                <w:sz w:val="21"/>
              </w:rPr>
            </w:pPr>
          </w:p>
          <w:p w14:paraId="0C349D43">
            <w:pPr>
              <w:spacing w:line="260" w:lineRule="auto"/>
              <w:rPr>
                <w:rFonts w:ascii="Arial"/>
                <w:sz w:val="21"/>
              </w:rPr>
            </w:pPr>
          </w:p>
          <w:p w14:paraId="5D84CFB2">
            <w:pPr>
              <w:spacing w:line="261" w:lineRule="auto"/>
              <w:rPr>
                <w:rFonts w:ascii="Arial"/>
                <w:sz w:val="21"/>
              </w:rPr>
            </w:pPr>
          </w:p>
          <w:p w14:paraId="36F9655E">
            <w:pPr>
              <w:spacing w:before="58" w:line="195" w:lineRule="auto"/>
              <w:ind w:left="133"/>
              <w:rPr>
                <w:rFonts w:ascii="Times New Roman" w:hAnsi="Times New Roman" w:eastAsia="Times New Roman" w:cs="Times New Roman"/>
                <w:sz w:val="20"/>
                <w:szCs w:val="20"/>
              </w:rPr>
            </w:pPr>
            <w:r>
              <w:rPr>
                <w:rFonts w:ascii="Times New Roman" w:hAnsi="Times New Roman" w:eastAsia="Times New Roman" w:cs="Times New Roman"/>
                <w:sz w:val="20"/>
                <w:szCs w:val="20"/>
              </w:rPr>
              <w:t>103.</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z w:val="20"/>
                <w:szCs w:val="20"/>
              </w:rPr>
              <w:t>112485E</w:t>
            </w:r>
          </w:p>
        </w:tc>
        <w:tc>
          <w:tcPr>
            <w:tcW w:w="1076" w:type="dxa"/>
            <w:vAlign w:val="top"/>
          </w:tcPr>
          <w:p w14:paraId="69967961">
            <w:pPr>
              <w:spacing w:line="260" w:lineRule="auto"/>
              <w:rPr>
                <w:rFonts w:ascii="Arial"/>
                <w:sz w:val="21"/>
              </w:rPr>
            </w:pPr>
          </w:p>
          <w:p w14:paraId="2ACC7A30">
            <w:pPr>
              <w:spacing w:line="260" w:lineRule="auto"/>
              <w:rPr>
                <w:rFonts w:ascii="Arial"/>
                <w:sz w:val="21"/>
              </w:rPr>
            </w:pPr>
          </w:p>
          <w:p w14:paraId="1163DB59">
            <w:pPr>
              <w:spacing w:line="260" w:lineRule="auto"/>
              <w:rPr>
                <w:rFonts w:ascii="Arial"/>
                <w:sz w:val="21"/>
              </w:rPr>
            </w:pPr>
          </w:p>
          <w:p w14:paraId="308D64A0">
            <w:pPr>
              <w:spacing w:line="261" w:lineRule="auto"/>
              <w:rPr>
                <w:rFonts w:ascii="Arial"/>
                <w:sz w:val="21"/>
              </w:rPr>
            </w:pPr>
          </w:p>
          <w:p w14:paraId="6D9D2975">
            <w:pPr>
              <w:spacing w:before="58" w:line="195" w:lineRule="auto"/>
              <w:ind w:left="12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25.3404N</w:t>
            </w:r>
          </w:p>
        </w:tc>
        <w:tc>
          <w:tcPr>
            <w:tcW w:w="681" w:type="dxa"/>
            <w:vAlign w:val="top"/>
          </w:tcPr>
          <w:p w14:paraId="4D7DB2D0">
            <w:pPr>
              <w:spacing w:line="260" w:lineRule="auto"/>
              <w:rPr>
                <w:rFonts w:ascii="Arial"/>
                <w:sz w:val="21"/>
              </w:rPr>
            </w:pPr>
          </w:p>
          <w:p w14:paraId="0384C42A">
            <w:pPr>
              <w:spacing w:line="260" w:lineRule="auto"/>
              <w:rPr>
                <w:rFonts w:ascii="Arial"/>
                <w:sz w:val="21"/>
              </w:rPr>
            </w:pPr>
          </w:p>
          <w:p w14:paraId="5D194978">
            <w:pPr>
              <w:spacing w:line="260" w:lineRule="auto"/>
              <w:rPr>
                <w:rFonts w:ascii="Arial"/>
                <w:sz w:val="21"/>
              </w:rPr>
            </w:pPr>
          </w:p>
          <w:p w14:paraId="1202E76F">
            <w:pPr>
              <w:spacing w:line="261" w:lineRule="auto"/>
              <w:rPr>
                <w:rFonts w:ascii="Arial"/>
                <w:sz w:val="21"/>
              </w:rPr>
            </w:pPr>
          </w:p>
          <w:p w14:paraId="35C3952B">
            <w:pPr>
              <w:spacing w:before="58" w:line="195" w:lineRule="auto"/>
              <w:ind w:left="13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2012</w:t>
            </w:r>
          </w:p>
        </w:tc>
        <w:tc>
          <w:tcPr>
            <w:tcW w:w="440" w:type="dxa"/>
            <w:textDirection w:val="tbRlV"/>
            <w:vAlign w:val="top"/>
          </w:tcPr>
          <w:p w14:paraId="062E1FA0">
            <w:pPr>
              <w:spacing w:before="113" w:line="216" w:lineRule="auto"/>
              <w:ind w:left="856"/>
              <w:rPr>
                <w:rFonts w:ascii="宋体" w:hAnsi="宋体" w:eastAsia="宋体" w:cs="宋体"/>
                <w:sz w:val="20"/>
                <w:szCs w:val="20"/>
              </w:rPr>
            </w:pPr>
            <w:r>
              <w:rPr>
                <w:rFonts w:ascii="宋体" w:hAnsi="宋体" w:eastAsia="宋体" w:cs="宋体"/>
                <w:spacing w:val="8"/>
                <w:sz w:val="20"/>
                <w:szCs w:val="20"/>
              </w:rPr>
              <w:t>北</w:t>
            </w:r>
            <w:r>
              <w:rPr>
                <w:rFonts w:ascii="宋体" w:hAnsi="宋体" w:eastAsia="宋体" w:cs="宋体"/>
                <w:spacing w:val="99"/>
                <w:sz w:val="20"/>
                <w:szCs w:val="20"/>
              </w:rPr>
              <w:t xml:space="preserve"> </w:t>
            </w:r>
            <w:r>
              <w:rPr>
                <w:rFonts w:ascii="宋体" w:hAnsi="宋体" w:eastAsia="宋体" w:cs="宋体"/>
                <w:spacing w:val="8"/>
                <w:sz w:val="20"/>
                <w:szCs w:val="20"/>
              </w:rPr>
              <w:t>面</w:t>
            </w:r>
          </w:p>
        </w:tc>
        <w:tc>
          <w:tcPr>
            <w:tcW w:w="825" w:type="dxa"/>
            <w:vAlign w:val="top"/>
          </w:tcPr>
          <w:p w14:paraId="652B0A16">
            <w:pPr>
              <w:spacing w:line="260" w:lineRule="auto"/>
              <w:rPr>
                <w:rFonts w:ascii="Arial"/>
                <w:sz w:val="21"/>
              </w:rPr>
            </w:pPr>
          </w:p>
          <w:p w14:paraId="6747768D">
            <w:pPr>
              <w:spacing w:line="260" w:lineRule="auto"/>
              <w:rPr>
                <w:rFonts w:ascii="Arial"/>
                <w:sz w:val="21"/>
              </w:rPr>
            </w:pPr>
          </w:p>
          <w:p w14:paraId="28699F49">
            <w:pPr>
              <w:spacing w:line="260" w:lineRule="auto"/>
              <w:rPr>
                <w:rFonts w:ascii="Arial"/>
                <w:sz w:val="21"/>
              </w:rPr>
            </w:pPr>
          </w:p>
          <w:p w14:paraId="362125A4">
            <w:pPr>
              <w:spacing w:line="261" w:lineRule="auto"/>
              <w:rPr>
                <w:rFonts w:ascii="Arial"/>
                <w:sz w:val="21"/>
              </w:rPr>
            </w:pPr>
          </w:p>
          <w:p w14:paraId="7DC46A23">
            <w:pPr>
              <w:spacing w:before="58" w:line="195" w:lineRule="auto"/>
              <w:ind w:left="25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425</w:t>
            </w:r>
          </w:p>
        </w:tc>
        <w:tc>
          <w:tcPr>
            <w:tcW w:w="945" w:type="dxa"/>
            <w:vAlign w:val="top"/>
          </w:tcPr>
          <w:p w14:paraId="32A43AB2">
            <w:pPr>
              <w:spacing w:line="291" w:lineRule="auto"/>
              <w:rPr>
                <w:rFonts w:ascii="Arial"/>
                <w:sz w:val="21"/>
              </w:rPr>
            </w:pPr>
          </w:p>
          <w:p w14:paraId="4AB07B4D">
            <w:pPr>
              <w:spacing w:line="292" w:lineRule="auto"/>
              <w:rPr>
                <w:rFonts w:ascii="Arial"/>
                <w:sz w:val="21"/>
              </w:rPr>
            </w:pPr>
          </w:p>
          <w:p w14:paraId="19BF41F0">
            <w:pPr>
              <w:spacing w:before="65" w:line="227" w:lineRule="auto"/>
              <w:ind w:left="167"/>
              <w:rPr>
                <w:rFonts w:ascii="宋体" w:hAnsi="宋体" w:eastAsia="宋体" w:cs="宋体"/>
                <w:sz w:val="20"/>
                <w:szCs w:val="20"/>
              </w:rPr>
            </w:pPr>
            <w:r>
              <w:rPr>
                <w:rFonts w:ascii="宋体" w:hAnsi="宋体" w:eastAsia="宋体" w:cs="宋体"/>
                <w:spacing w:val="2"/>
                <w:sz w:val="20"/>
                <w:szCs w:val="20"/>
              </w:rPr>
              <w:t>村民，</w:t>
            </w:r>
          </w:p>
          <w:p w14:paraId="68D59BAC">
            <w:pPr>
              <w:spacing w:before="162" w:line="228" w:lineRule="auto"/>
              <w:ind w:left="121"/>
              <w:rPr>
                <w:rFonts w:ascii="Times New Roman" w:hAnsi="Times New Roman" w:eastAsia="Times New Roman" w:cs="Times New Roman"/>
                <w:sz w:val="20"/>
                <w:szCs w:val="20"/>
              </w:rPr>
            </w:pPr>
            <w:r>
              <w:rPr>
                <w:rFonts w:ascii="宋体" w:hAnsi="宋体" w:eastAsia="宋体" w:cs="宋体"/>
                <w:spacing w:val="-2"/>
                <w:sz w:val="20"/>
                <w:szCs w:val="20"/>
              </w:rPr>
              <w:t>约</w:t>
            </w:r>
            <w:r>
              <w:rPr>
                <w:rFonts w:ascii="宋体" w:hAnsi="宋体" w:eastAsia="宋体" w:cs="宋体"/>
                <w:spacing w:val="-60"/>
                <w:sz w:val="20"/>
                <w:szCs w:val="20"/>
              </w:rPr>
              <w:t xml:space="preserve"> </w:t>
            </w:r>
            <w:r>
              <w:rPr>
                <w:rFonts w:ascii="Times New Roman" w:hAnsi="Times New Roman" w:eastAsia="Times New Roman" w:cs="Times New Roman"/>
                <w:spacing w:val="-2"/>
                <w:sz w:val="20"/>
                <w:szCs w:val="20"/>
              </w:rPr>
              <w:t>2</w:t>
            </w:r>
            <w:r>
              <w:rPr>
                <w:rFonts w:ascii="Times New Roman" w:hAnsi="Times New Roman" w:eastAsia="Times New Roman" w:cs="Times New Roman"/>
                <w:spacing w:val="-6"/>
                <w:sz w:val="20"/>
                <w:szCs w:val="20"/>
              </w:rPr>
              <w:t xml:space="preserve"> </w:t>
            </w:r>
            <w:r>
              <w:rPr>
                <w:rFonts w:ascii="宋体" w:hAnsi="宋体" w:eastAsia="宋体" w:cs="宋体"/>
                <w:spacing w:val="-2"/>
                <w:sz w:val="20"/>
                <w:szCs w:val="20"/>
              </w:rPr>
              <w:t>户</w:t>
            </w:r>
            <w:r>
              <w:rPr>
                <w:rFonts w:ascii="宋体" w:hAnsi="宋体" w:eastAsia="宋体" w:cs="宋体"/>
                <w:spacing w:val="-57"/>
                <w:sz w:val="20"/>
                <w:szCs w:val="20"/>
              </w:rPr>
              <w:t xml:space="preserve"> </w:t>
            </w:r>
            <w:r>
              <w:rPr>
                <w:rFonts w:ascii="Times New Roman" w:hAnsi="Times New Roman" w:eastAsia="Times New Roman" w:cs="Times New Roman"/>
                <w:spacing w:val="-2"/>
                <w:sz w:val="20"/>
                <w:szCs w:val="20"/>
              </w:rPr>
              <w:t>7</w:t>
            </w:r>
          </w:p>
          <w:p w14:paraId="15CCE1E3">
            <w:pPr>
              <w:spacing w:before="160" w:line="231" w:lineRule="auto"/>
              <w:ind w:left="379"/>
              <w:rPr>
                <w:rFonts w:ascii="宋体" w:hAnsi="宋体" w:eastAsia="宋体" w:cs="宋体"/>
                <w:sz w:val="20"/>
                <w:szCs w:val="20"/>
              </w:rPr>
            </w:pPr>
            <w:r>
              <w:rPr>
                <w:rFonts w:ascii="宋体" w:hAnsi="宋体" w:eastAsia="宋体" w:cs="宋体"/>
                <w:sz w:val="20"/>
                <w:szCs w:val="20"/>
              </w:rPr>
              <w:t>人</w:t>
            </w:r>
          </w:p>
        </w:tc>
        <w:tc>
          <w:tcPr>
            <w:tcW w:w="1835" w:type="dxa"/>
            <w:vAlign w:val="top"/>
          </w:tcPr>
          <w:p w14:paraId="2D5F94D8">
            <w:pPr>
              <w:spacing w:before="40" w:line="230" w:lineRule="auto"/>
              <w:ind w:left="115"/>
              <w:rPr>
                <w:rFonts w:ascii="宋体" w:hAnsi="宋体" w:eastAsia="宋体" w:cs="宋体"/>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6"/>
                <w:sz w:val="20"/>
                <w:szCs w:val="20"/>
              </w:rPr>
              <w:t>3095-2026</w:t>
            </w:r>
            <w:r>
              <w:rPr>
                <w:rFonts w:ascii="宋体" w:hAnsi="宋体" w:eastAsia="宋体" w:cs="宋体"/>
                <w:spacing w:val="6"/>
                <w:sz w:val="20"/>
                <w:szCs w:val="20"/>
              </w:rPr>
              <w:t>《环</w:t>
            </w:r>
          </w:p>
          <w:p w14:paraId="0CBF5C01">
            <w:pPr>
              <w:spacing w:before="159" w:line="192" w:lineRule="auto"/>
              <w:ind w:left="117"/>
              <w:rPr>
                <w:rFonts w:ascii="宋体" w:hAnsi="宋体" w:eastAsia="宋体" w:cs="宋体"/>
                <w:sz w:val="20"/>
                <w:szCs w:val="20"/>
              </w:rPr>
            </w:pPr>
            <w:r>
              <w:rPr>
                <w:rFonts w:ascii="宋体" w:hAnsi="宋体" w:eastAsia="宋体" w:cs="宋体"/>
                <w:spacing w:val="7"/>
                <w:sz w:val="20"/>
                <w:szCs w:val="20"/>
              </w:rPr>
              <w:t>境空</w:t>
            </w:r>
            <w:r>
              <w:rPr>
                <w:rFonts w:ascii="微软雅黑" w:hAnsi="微软雅黑" w:eastAsia="微软雅黑" w:cs="微软雅黑"/>
                <w:spacing w:val="7"/>
                <w:sz w:val="20"/>
                <w:szCs w:val="20"/>
              </w:rPr>
              <w:t>气</w:t>
            </w:r>
            <w:r>
              <w:rPr>
                <w:rFonts w:ascii="宋体" w:hAnsi="宋体" w:eastAsia="宋体" w:cs="宋体"/>
                <w:spacing w:val="7"/>
                <w:sz w:val="20"/>
                <w:szCs w:val="20"/>
              </w:rPr>
              <w:t>质</w:t>
            </w:r>
            <w:r>
              <w:rPr>
                <w:rFonts w:ascii="微软雅黑" w:hAnsi="微软雅黑" w:eastAsia="微软雅黑" w:cs="微软雅黑"/>
                <w:spacing w:val="7"/>
                <w:sz w:val="20"/>
                <w:szCs w:val="20"/>
              </w:rPr>
              <w:t>量</w:t>
            </w:r>
            <w:r>
              <w:rPr>
                <w:rFonts w:ascii="宋体" w:hAnsi="宋体" w:eastAsia="宋体" w:cs="宋体"/>
                <w:spacing w:val="7"/>
                <w:sz w:val="20"/>
                <w:szCs w:val="20"/>
              </w:rPr>
              <w:t>标准》</w:t>
            </w:r>
          </w:p>
          <w:p w14:paraId="21385BC5">
            <w:pPr>
              <w:spacing w:before="132" w:line="228" w:lineRule="auto"/>
              <w:ind w:left="192"/>
              <w:rPr>
                <w:rFonts w:ascii="宋体" w:hAnsi="宋体" w:eastAsia="宋体" w:cs="宋体"/>
                <w:sz w:val="20"/>
                <w:szCs w:val="20"/>
              </w:rPr>
            </w:pPr>
            <w:r>
              <w:rPr>
                <w:rFonts w:ascii="宋体" w:hAnsi="宋体" w:eastAsia="宋体" w:cs="宋体"/>
                <w:sz w:val="20"/>
                <w:szCs w:val="20"/>
              </w:rPr>
              <w:t>表</w:t>
            </w:r>
            <w:r>
              <w:rPr>
                <w:rFonts w:ascii="宋体" w:hAnsi="宋体" w:eastAsia="宋体" w:cs="宋体"/>
                <w:spacing w:val="-22"/>
                <w:sz w:val="20"/>
                <w:szCs w:val="20"/>
              </w:rPr>
              <w:t xml:space="preserve"> </w:t>
            </w:r>
            <w:r>
              <w:rPr>
                <w:rFonts w:ascii="Times New Roman" w:hAnsi="Times New Roman" w:eastAsia="Times New Roman" w:cs="Times New Roman"/>
                <w:sz w:val="20"/>
                <w:szCs w:val="20"/>
              </w:rPr>
              <w:t>1</w:t>
            </w:r>
            <w:r>
              <w:rPr>
                <w:rFonts w:ascii="Times New Roman" w:hAnsi="Times New Roman" w:eastAsia="Times New Roman" w:cs="Times New Roman"/>
                <w:spacing w:val="32"/>
                <w:w w:val="101"/>
                <w:sz w:val="20"/>
                <w:szCs w:val="20"/>
              </w:rPr>
              <w:t xml:space="preserve"> </w:t>
            </w:r>
            <w:r>
              <w:rPr>
                <w:rFonts w:ascii="宋体" w:hAnsi="宋体" w:eastAsia="宋体" w:cs="宋体"/>
                <w:sz w:val="20"/>
                <w:szCs w:val="20"/>
              </w:rPr>
              <w:t>中过渡阶段</w:t>
            </w:r>
          </w:p>
          <w:p w14:paraId="6EEB5F74">
            <w:pPr>
              <w:spacing w:before="161" w:line="196" w:lineRule="auto"/>
              <w:ind w:left="210"/>
              <w:rPr>
                <w:rFonts w:ascii="宋体" w:hAnsi="宋体" w:eastAsia="宋体" w:cs="宋体"/>
                <w:sz w:val="20"/>
                <w:szCs w:val="20"/>
              </w:rPr>
            </w:pPr>
            <w:r>
              <w:rPr>
                <w:rFonts w:ascii="宋体" w:hAnsi="宋体" w:eastAsia="宋体" w:cs="宋体"/>
                <w:spacing w:val="6"/>
                <w:sz w:val="20"/>
                <w:szCs w:val="20"/>
              </w:rPr>
              <w:t>的</w:t>
            </w:r>
            <w:r>
              <w:rPr>
                <w:rFonts w:ascii="微软雅黑" w:hAnsi="微软雅黑" w:eastAsia="微软雅黑" w:cs="微软雅黑"/>
                <w:spacing w:val="6"/>
                <w:sz w:val="20"/>
                <w:szCs w:val="20"/>
              </w:rPr>
              <w:t>二</w:t>
            </w:r>
            <w:r>
              <w:rPr>
                <w:rFonts w:ascii="宋体" w:hAnsi="宋体" w:eastAsia="宋体" w:cs="宋体"/>
                <w:spacing w:val="6"/>
                <w:sz w:val="20"/>
                <w:szCs w:val="20"/>
              </w:rPr>
              <w:t>级浓度限值</w:t>
            </w:r>
          </w:p>
          <w:p w14:paraId="2276C95F">
            <w:pPr>
              <w:spacing w:before="129" w:line="197" w:lineRule="auto"/>
              <w:ind w:left="217"/>
              <w:rPr>
                <w:rFonts w:ascii="微软雅黑" w:hAnsi="微软雅黑" w:eastAsia="微软雅黑" w:cs="微软雅黑"/>
                <w:sz w:val="20"/>
                <w:szCs w:val="20"/>
              </w:rPr>
            </w:pPr>
            <w:r>
              <w:rPr>
                <w:rFonts w:ascii="宋体" w:hAnsi="宋体" w:eastAsia="宋体" w:cs="宋体"/>
                <w:spacing w:val="-1"/>
                <w:sz w:val="20"/>
                <w:szCs w:val="20"/>
              </w:rPr>
              <w:t>以及表</w:t>
            </w:r>
            <w:r>
              <w:rPr>
                <w:rFonts w:ascii="宋体" w:hAnsi="宋体" w:eastAsia="宋体" w:cs="宋体"/>
                <w:spacing w:val="-39"/>
                <w:sz w:val="20"/>
                <w:szCs w:val="20"/>
              </w:rPr>
              <w:t xml:space="preserve"> </w:t>
            </w:r>
            <w:r>
              <w:rPr>
                <w:rFonts w:ascii="Times New Roman" w:hAnsi="Times New Roman" w:eastAsia="Times New Roman" w:cs="Times New Roman"/>
                <w:spacing w:val="-1"/>
                <w:sz w:val="20"/>
                <w:szCs w:val="20"/>
              </w:rPr>
              <w:t>2</w:t>
            </w:r>
            <w:r>
              <w:rPr>
                <w:rFonts w:ascii="Times New Roman" w:hAnsi="Times New Roman" w:eastAsia="Times New Roman" w:cs="Times New Roman"/>
                <w:spacing w:val="32"/>
                <w:sz w:val="20"/>
                <w:szCs w:val="20"/>
              </w:rPr>
              <w:t xml:space="preserve"> </w:t>
            </w:r>
            <w:r>
              <w:rPr>
                <w:rFonts w:ascii="宋体" w:hAnsi="宋体" w:eastAsia="宋体" w:cs="宋体"/>
                <w:spacing w:val="-1"/>
                <w:sz w:val="20"/>
                <w:szCs w:val="20"/>
              </w:rPr>
              <w:t>中的</w:t>
            </w:r>
            <w:r>
              <w:rPr>
                <w:rFonts w:ascii="微软雅黑" w:hAnsi="微软雅黑" w:eastAsia="微软雅黑" w:cs="微软雅黑"/>
                <w:spacing w:val="-1"/>
                <w:sz w:val="20"/>
                <w:szCs w:val="20"/>
              </w:rPr>
              <w:t>二</w:t>
            </w:r>
          </w:p>
          <w:p w14:paraId="358F8852">
            <w:pPr>
              <w:spacing w:before="126" w:line="228" w:lineRule="auto"/>
              <w:ind w:left="408"/>
              <w:rPr>
                <w:rFonts w:ascii="宋体" w:hAnsi="宋体" w:eastAsia="宋体" w:cs="宋体"/>
                <w:sz w:val="20"/>
                <w:szCs w:val="20"/>
              </w:rPr>
            </w:pPr>
            <w:r>
              <w:rPr>
                <w:rFonts w:ascii="宋体" w:hAnsi="宋体" w:eastAsia="宋体" w:cs="宋体"/>
                <w:spacing w:val="7"/>
                <w:sz w:val="20"/>
                <w:szCs w:val="20"/>
              </w:rPr>
              <w:t>级浓度限值</w:t>
            </w:r>
          </w:p>
        </w:tc>
        <w:tc>
          <w:tcPr>
            <w:tcW w:w="122" w:type="dxa"/>
            <w:tcBorders>
              <w:top w:val="nil"/>
              <w:bottom w:val="nil"/>
              <w:right w:val="single" w:color="000000" w:sz="6" w:space="0"/>
            </w:tcBorders>
            <w:vAlign w:val="top"/>
          </w:tcPr>
          <w:p w14:paraId="514C6534">
            <w:pPr>
              <w:rPr>
                <w:rFonts w:ascii="Arial"/>
                <w:sz w:val="21"/>
              </w:rPr>
            </w:pPr>
          </w:p>
        </w:tc>
      </w:tr>
      <w:tr w14:paraId="0934E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717" w:type="dxa"/>
            <w:vMerge w:val="continue"/>
            <w:tcBorders>
              <w:top w:val="nil"/>
              <w:left w:val="single" w:color="000000" w:sz="6" w:space="0"/>
              <w:bottom w:val="nil"/>
            </w:tcBorders>
            <w:vAlign w:val="top"/>
          </w:tcPr>
          <w:p w14:paraId="0630B05F">
            <w:pPr>
              <w:rPr>
                <w:rFonts w:ascii="Arial"/>
                <w:sz w:val="21"/>
              </w:rPr>
            </w:pPr>
          </w:p>
        </w:tc>
        <w:tc>
          <w:tcPr>
            <w:tcW w:w="113" w:type="dxa"/>
            <w:tcBorders>
              <w:top w:val="nil"/>
              <w:bottom w:val="nil"/>
            </w:tcBorders>
            <w:vAlign w:val="top"/>
          </w:tcPr>
          <w:p w14:paraId="1629B28C">
            <w:pPr>
              <w:rPr>
                <w:rFonts w:ascii="Arial"/>
                <w:sz w:val="21"/>
              </w:rPr>
            </w:pPr>
          </w:p>
        </w:tc>
        <w:tc>
          <w:tcPr>
            <w:tcW w:w="436" w:type="dxa"/>
            <w:textDirection w:val="tbRlV"/>
            <w:vAlign w:val="top"/>
          </w:tcPr>
          <w:p w14:paraId="442D870E">
            <w:pPr>
              <w:spacing w:before="118" w:line="216" w:lineRule="auto"/>
              <w:ind w:left="248"/>
              <w:rPr>
                <w:rFonts w:ascii="宋体" w:hAnsi="宋体" w:eastAsia="宋体" w:cs="宋体"/>
                <w:sz w:val="20"/>
                <w:szCs w:val="20"/>
              </w:rPr>
            </w:pPr>
            <w:r>
              <w:rPr>
                <w:rFonts w:ascii="宋体" w:hAnsi="宋体" w:eastAsia="宋体" w:cs="宋体"/>
                <w:spacing w:val="8"/>
                <w:sz w:val="20"/>
                <w:szCs w:val="20"/>
              </w:rPr>
              <w:t>地</w:t>
            </w:r>
            <w:r>
              <w:rPr>
                <w:rFonts w:ascii="宋体" w:hAnsi="宋体" w:eastAsia="宋体" w:cs="宋体"/>
                <w:spacing w:val="100"/>
                <w:sz w:val="20"/>
                <w:szCs w:val="20"/>
              </w:rPr>
              <w:t xml:space="preserve"> </w:t>
            </w:r>
            <w:r>
              <w:rPr>
                <w:rFonts w:ascii="宋体" w:hAnsi="宋体" w:eastAsia="宋体" w:cs="宋体"/>
                <w:spacing w:val="8"/>
                <w:sz w:val="20"/>
                <w:szCs w:val="20"/>
              </w:rPr>
              <w:t>表</w:t>
            </w:r>
            <w:r>
              <w:rPr>
                <w:rFonts w:ascii="宋体" w:hAnsi="宋体" w:eastAsia="宋体" w:cs="宋体"/>
                <w:spacing w:val="99"/>
                <w:sz w:val="20"/>
                <w:szCs w:val="20"/>
              </w:rPr>
              <w:t xml:space="preserve"> </w:t>
            </w:r>
            <w:r>
              <w:rPr>
                <w:rFonts w:ascii="宋体" w:hAnsi="宋体" w:eastAsia="宋体" w:cs="宋体"/>
                <w:spacing w:val="8"/>
                <w:sz w:val="20"/>
                <w:szCs w:val="20"/>
              </w:rPr>
              <w:t>水</w:t>
            </w:r>
          </w:p>
        </w:tc>
        <w:tc>
          <w:tcPr>
            <w:tcW w:w="521" w:type="dxa"/>
            <w:textDirection w:val="tbRlV"/>
            <w:vAlign w:val="top"/>
          </w:tcPr>
          <w:p w14:paraId="678FF502">
            <w:pPr>
              <w:spacing w:before="159" w:line="217" w:lineRule="auto"/>
              <w:ind w:left="248"/>
              <w:rPr>
                <w:rFonts w:ascii="宋体" w:hAnsi="宋体" w:eastAsia="宋体" w:cs="宋体"/>
                <w:sz w:val="20"/>
                <w:szCs w:val="20"/>
              </w:rPr>
            </w:pPr>
            <w:r>
              <w:rPr>
                <w:rFonts w:ascii="宋体" w:hAnsi="宋体" w:eastAsia="宋体" w:cs="宋体"/>
                <w:spacing w:val="8"/>
                <w:sz w:val="20"/>
                <w:szCs w:val="20"/>
              </w:rPr>
              <w:t>谓</w:t>
            </w:r>
            <w:r>
              <w:rPr>
                <w:rFonts w:ascii="宋体" w:hAnsi="宋体" w:eastAsia="宋体" w:cs="宋体"/>
                <w:spacing w:val="100"/>
                <w:sz w:val="20"/>
                <w:szCs w:val="20"/>
              </w:rPr>
              <w:t xml:space="preserve"> </w:t>
            </w:r>
            <w:r>
              <w:rPr>
                <w:rFonts w:ascii="宋体" w:hAnsi="宋体" w:eastAsia="宋体" w:cs="宋体"/>
                <w:spacing w:val="8"/>
                <w:sz w:val="20"/>
                <w:szCs w:val="20"/>
              </w:rPr>
              <w:t>所</w:t>
            </w:r>
            <w:r>
              <w:rPr>
                <w:rFonts w:ascii="宋体" w:hAnsi="宋体" w:eastAsia="宋体" w:cs="宋体"/>
                <w:spacing w:val="99"/>
                <w:sz w:val="20"/>
                <w:szCs w:val="20"/>
              </w:rPr>
              <w:t xml:space="preserve"> </w:t>
            </w:r>
            <w:r>
              <w:rPr>
                <w:rFonts w:ascii="宋体" w:hAnsi="宋体" w:eastAsia="宋体" w:cs="宋体"/>
                <w:spacing w:val="8"/>
                <w:sz w:val="20"/>
                <w:szCs w:val="20"/>
              </w:rPr>
              <w:t>河</w:t>
            </w:r>
          </w:p>
        </w:tc>
        <w:tc>
          <w:tcPr>
            <w:tcW w:w="1354" w:type="dxa"/>
            <w:vAlign w:val="top"/>
          </w:tcPr>
          <w:p w14:paraId="1E6D2063">
            <w:pPr>
              <w:spacing w:line="317" w:lineRule="auto"/>
              <w:rPr>
                <w:rFonts w:ascii="Arial"/>
                <w:sz w:val="21"/>
              </w:rPr>
            </w:pPr>
          </w:p>
          <w:p w14:paraId="4737F3CA">
            <w:pPr>
              <w:spacing w:line="317" w:lineRule="auto"/>
              <w:rPr>
                <w:rFonts w:ascii="Arial"/>
                <w:sz w:val="21"/>
              </w:rPr>
            </w:pPr>
          </w:p>
          <w:p w14:paraId="2CA0F4A0">
            <w:pPr>
              <w:spacing w:before="58" w:line="199" w:lineRule="auto"/>
              <w:ind w:left="64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76" w:type="dxa"/>
            <w:vAlign w:val="top"/>
          </w:tcPr>
          <w:p w14:paraId="05AE4608">
            <w:pPr>
              <w:spacing w:line="317" w:lineRule="auto"/>
              <w:rPr>
                <w:rFonts w:ascii="Arial"/>
                <w:sz w:val="21"/>
              </w:rPr>
            </w:pPr>
          </w:p>
          <w:p w14:paraId="35E4EE7D">
            <w:pPr>
              <w:spacing w:line="317" w:lineRule="auto"/>
              <w:rPr>
                <w:rFonts w:ascii="Arial"/>
                <w:sz w:val="21"/>
              </w:rPr>
            </w:pPr>
          </w:p>
          <w:p w14:paraId="39B95D9F">
            <w:pPr>
              <w:spacing w:before="58" w:line="199" w:lineRule="auto"/>
              <w:ind w:left="5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81" w:type="dxa"/>
            <w:vAlign w:val="top"/>
          </w:tcPr>
          <w:p w14:paraId="41BC21BF">
            <w:pPr>
              <w:spacing w:line="319" w:lineRule="auto"/>
              <w:rPr>
                <w:rFonts w:ascii="Arial"/>
                <w:sz w:val="21"/>
              </w:rPr>
            </w:pPr>
          </w:p>
          <w:p w14:paraId="55862B07">
            <w:pPr>
              <w:spacing w:line="319" w:lineRule="auto"/>
              <w:rPr>
                <w:rFonts w:ascii="Arial"/>
                <w:sz w:val="21"/>
              </w:rPr>
            </w:pPr>
          </w:p>
          <w:p w14:paraId="1A86A0CA">
            <w:pPr>
              <w:spacing w:before="57" w:line="195" w:lineRule="auto"/>
              <w:ind w:left="13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2004</w:t>
            </w:r>
          </w:p>
        </w:tc>
        <w:tc>
          <w:tcPr>
            <w:tcW w:w="440" w:type="dxa"/>
            <w:vAlign w:val="top"/>
          </w:tcPr>
          <w:p w14:paraId="1466A155">
            <w:pPr>
              <w:spacing w:line="294" w:lineRule="auto"/>
              <w:rPr>
                <w:rFonts w:ascii="Arial"/>
                <w:sz w:val="21"/>
              </w:rPr>
            </w:pPr>
          </w:p>
          <w:p w14:paraId="023612C7">
            <w:pPr>
              <w:spacing w:line="294" w:lineRule="auto"/>
              <w:rPr>
                <w:rFonts w:ascii="Arial"/>
                <w:sz w:val="21"/>
              </w:rPr>
            </w:pPr>
          </w:p>
          <w:p w14:paraId="1F802E2B">
            <w:pPr>
              <w:spacing w:before="65" w:line="231" w:lineRule="auto"/>
              <w:ind w:left="124"/>
              <w:rPr>
                <w:rFonts w:ascii="宋体" w:hAnsi="宋体" w:eastAsia="宋体" w:cs="宋体"/>
                <w:sz w:val="20"/>
                <w:szCs w:val="20"/>
              </w:rPr>
            </w:pPr>
            <w:r>
              <w:rPr>
                <w:rFonts w:ascii="宋体" w:hAnsi="宋体" w:eastAsia="宋体" w:cs="宋体"/>
                <w:sz w:val="20"/>
                <w:szCs w:val="20"/>
              </w:rPr>
              <w:t>北</w:t>
            </w:r>
          </w:p>
        </w:tc>
        <w:tc>
          <w:tcPr>
            <w:tcW w:w="825" w:type="dxa"/>
            <w:vAlign w:val="top"/>
          </w:tcPr>
          <w:p w14:paraId="34F3AB07">
            <w:pPr>
              <w:spacing w:line="319" w:lineRule="auto"/>
              <w:rPr>
                <w:rFonts w:ascii="Arial"/>
                <w:sz w:val="21"/>
              </w:rPr>
            </w:pPr>
          </w:p>
          <w:p w14:paraId="523D0815">
            <w:pPr>
              <w:spacing w:line="319" w:lineRule="auto"/>
              <w:rPr>
                <w:rFonts w:ascii="Arial"/>
                <w:sz w:val="21"/>
              </w:rPr>
            </w:pPr>
          </w:p>
          <w:p w14:paraId="6EB95E32">
            <w:pPr>
              <w:spacing w:before="57"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1135</w:t>
            </w:r>
          </w:p>
        </w:tc>
        <w:tc>
          <w:tcPr>
            <w:tcW w:w="945" w:type="dxa"/>
            <w:vAlign w:val="top"/>
          </w:tcPr>
          <w:p w14:paraId="4A6B58EE">
            <w:pPr>
              <w:spacing w:before="247" w:line="378" w:lineRule="auto"/>
              <w:ind w:left="165" w:right="152" w:firstLine="2"/>
              <w:jc w:val="both"/>
              <w:rPr>
                <w:rFonts w:ascii="宋体" w:hAnsi="宋体" w:eastAsia="宋体" w:cs="宋体"/>
                <w:sz w:val="20"/>
                <w:szCs w:val="20"/>
              </w:rPr>
            </w:pPr>
            <w:r>
              <w:rPr>
                <w:rFonts w:ascii="宋体" w:hAnsi="宋体" w:eastAsia="宋体" w:cs="宋体"/>
                <w:spacing w:val="6"/>
                <w:sz w:val="20"/>
                <w:szCs w:val="20"/>
              </w:rPr>
              <w:t>主要功</w:t>
            </w:r>
            <w:r>
              <w:rPr>
                <w:rFonts w:ascii="宋体" w:hAnsi="宋体" w:eastAsia="宋体" w:cs="宋体"/>
                <w:spacing w:val="7"/>
                <w:sz w:val="20"/>
                <w:szCs w:val="20"/>
              </w:rPr>
              <w:t>能为农业用水</w:t>
            </w:r>
          </w:p>
        </w:tc>
        <w:tc>
          <w:tcPr>
            <w:tcW w:w="1835" w:type="dxa"/>
            <w:vAlign w:val="top"/>
          </w:tcPr>
          <w:p w14:paraId="7E6CCD58">
            <w:pPr>
              <w:spacing w:before="44" w:line="228" w:lineRule="auto"/>
              <w:ind w:left="198"/>
              <w:rPr>
                <w:rFonts w:ascii="宋体" w:hAnsi="宋体" w:eastAsia="宋体" w:cs="宋体"/>
                <w:sz w:val="20"/>
                <w:szCs w:val="20"/>
              </w:rPr>
            </w:pPr>
            <w:r>
              <w:rPr>
                <w:rFonts w:ascii="宋体" w:hAnsi="宋体" w:eastAsia="宋体" w:cs="宋体"/>
                <w:spacing w:val="7"/>
                <w:sz w:val="20"/>
                <w:szCs w:val="20"/>
              </w:rPr>
              <w:t>《地表水环境质</w:t>
            </w:r>
          </w:p>
          <w:p w14:paraId="5A147187">
            <w:pPr>
              <w:spacing w:before="161" w:line="228" w:lineRule="auto"/>
              <w:ind w:left="507"/>
              <w:rPr>
                <w:rFonts w:ascii="宋体" w:hAnsi="宋体" w:eastAsia="宋体" w:cs="宋体"/>
                <w:sz w:val="20"/>
                <w:szCs w:val="20"/>
              </w:rPr>
            </w:pPr>
            <w:r>
              <w:rPr>
                <w:rFonts w:ascii="宋体" w:hAnsi="宋体" w:eastAsia="宋体" w:cs="宋体"/>
                <w:spacing w:val="5"/>
                <w:sz w:val="20"/>
                <w:szCs w:val="20"/>
              </w:rPr>
              <w:t>量标准》</w:t>
            </w:r>
          </w:p>
          <w:p w14:paraId="63C5C06F">
            <w:pPr>
              <w:spacing w:before="160"/>
              <w:ind w:left="126"/>
              <w:rPr>
                <w:rFonts w:ascii="宋体" w:hAnsi="宋体" w:eastAsia="宋体" w:cs="宋体"/>
                <w:sz w:val="20"/>
                <w:szCs w:val="20"/>
              </w:rPr>
            </w:pPr>
            <w:r>
              <w:rPr>
                <w:rFonts w:ascii="宋体" w:hAnsi="宋体" w:eastAsia="宋体" w:cs="宋体"/>
                <w:spacing w:val="4"/>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4"/>
                <w:sz w:val="20"/>
                <w:szCs w:val="20"/>
              </w:rPr>
              <w:t>3838-2002</w:t>
            </w:r>
            <w:r>
              <w:rPr>
                <w:rFonts w:ascii="宋体" w:hAnsi="宋体" w:eastAsia="宋体" w:cs="宋体"/>
                <w:spacing w:val="4"/>
                <w:sz w:val="20"/>
                <w:szCs w:val="20"/>
              </w:rPr>
              <w:t>）</w:t>
            </w:r>
          </w:p>
          <w:p w14:paraId="66448E6E">
            <w:pPr>
              <w:spacing w:before="147" w:line="228" w:lineRule="auto"/>
              <w:ind w:left="321"/>
              <w:rPr>
                <w:rFonts w:ascii="宋体" w:hAnsi="宋体" w:eastAsia="宋体" w:cs="宋体"/>
                <w:sz w:val="20"/>
                <w:szCs w:val="20"/>
              </w:rPr>
            </w:pPr>
            <w:r>
              <w:rPr>
                <w:rFonts w:ascii="宋体" w:hAnsi="宋体" w:eastAsia="宋体" w:cs="宋体"/>
                <w:spacing w:val="5"/>
                <w:sz w:val="20"/>
                <w:szCs w:val="20"/>
              </w:rPr>
              <w:t>中的</w:t>
            </w:r>
            <w:r>
              <w:rPr>
                <w:rFonts w:ascii="Times New Roman" w:hAnsi="Times New Roman" w:eastAsia="Times New Roman" w:cs="Times New Roman"/>
                <w:spacing w:val="5"/>
                <w:sz w:val="20"/>
                <w:szCs w:val="20"/>
              </w:rPr>
              <w:t>Ⅲ</w:t>
            </w:r>
            <w:r>
              <w:rPr>
                <w:rFonts w:ascii="宋体" w:hAnsi="宋体" w:eastAsia="宋体" w:cs="宋体"/>
                <w:spacing w:val="5"/>
                <w:sz w:val="20"/>
                <w:szCs w:val="20"/>
              </w:rPr>
              <w:t>类水质</w:t>
            </w:r>
          </w:p>
        </w:tc>
        <w:tc>
          <w:tcPr>
            <w:tcW w:w="122" w:type="dxa"/>
            <w:tcBorders>
              <w:top w:val="nil"/>
              <w:bottom w:val="nil"/>
              <w:right w:val="single" w:color="000000" w:sz="6" w:space="0"/>
            </w:tcBorders>
            <w:vAlign w:val="top"/>
          </w:tcPr>
          <w:p w14:paraId="2A3CF460">
            <w:pPr>
              <w:rPr>
                <w:rFonts w:ascii="Arial"/>
                <w:sz w:val="21"/>
              </w:rPr>
            </w:pPr>
          </w:p>
        </w:tc>
      </w:tr>
      <w:tr w14:paraId="0FDF1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717" w:type="dxa"/>
            <w:vMerge w:val="continue"/>
            <w:tcBorders>
              <w:top w:val="nil"/>
              <w:left w:val="single" w:color="000000" w:sz="6" w:space="0"/>
              <w:bottom w:val="single" w:color="000000" w:sz="6" w:space="0"/>
            </w:tcBorders>
            <w:vAlign w:val="top"/>
          </w:tcPr>
          <w:p w14:paraId="3E48F34B">
            <w:pPr>
              <w:rPr>
                <w:rFonts w:ascii="Arial"/>
                <w:sz w:val="21"/>
              </w:rPr>
            </w:pPr>
          </w:p>
        </w:tc>
        <w:tc>
          <w:tcPr>
            <w:tcW w:w="113" w:type="dxa"/>
            <w:tcBorders>
              <w:top w:val="nil"/>
              <w:bottom w:val="single" w:color="000000" w:sz="6" w:space="0"/>
            </w:tcBorders>
            <w:vAlign w:val="top"/>
          </w:tcPr>
          <w:p w14:paraId="11026652">
            <w:pPr>
              <w:rPr>
                <w:rFonts w:ascii="Arial"/>
                <w:sz w:val="21"/>
              </w:rPr>
            </w:pPr>
          </w:p>
        </w:tc>
        <w:tc>
          <w:tcPr>
            <w:tcW w:w="436" w:type="dxa"/>
            <w:tcBorders>
              <w:bottom w:val="single" w:color="000000" w:sz="6" w:space="0"/>
            </w:tcBorders>
            <w:vAlign w:val="top"/>
          </w:tcPr>
          <w:p w14:paraId="39CED915">
            <w:pPr>
              <w:spacing w:before="46" w:line="237" w:lineRule="auto"/>
              <w:ind w:left="111"/>
              <w:rPr>
                <w:rFonts w:ascii="宋体" w:hAnsi="宋体" w:eastAsia="宋体" w:cs="宋体"/>
                <w:sz w:val="20"/>
                <w:szCs w:val="20"/>
              </w:rPr>
            </w:pPr>
            <w:r>
              <w:rPr>
                <w:rFonts w:ascii="宋体" w:hAnsi="宋体" w:eastAsia="宋体" w:cs="宋体"/>
                <w:sz w:val="20"/>
                <w:szCs w:val="20"/>
              </w:rPr>
              <w:t>地</w:t>
            </w:r>
          </w:p>
        </w:tc>
        <w:tc>
          <w:tcPr>
            <w:tcW w:w="7677" w:type="dxa"/>
            <w:gridSpan w:val="8"/>
            <w:tcBorders>
              <w:bottom w:val="single" w:color="000000" w:sz="6" w:space="0"/>
            </w:tcBorders>
            <w:vAlign w:val="top"/>
          </w:tcPr>
          <w:p w14:paraId="4EF7E5EA">
            <w:pPr>
              <w:spacing w:before="46" w:line="228" w:lineRule="auto"/>
              <w:ind w:left="110"/>
              <w:rPr>
                <w:rFonts w:ascii="宋体" w:hAnsi="宋体" w:eastAsia="宋体" w:cs="宋体"/>
                <w:sz w:val="20"/>
                <w:szCs w:val="20"/>
              </w:rPr>
            </w:pPr>
            <w:r>
              <w:rPr>
                <w:rFonts w:ascii="宋体" w:hAnsi="宋体" w:eastAsia="宋体" w:cs="宋体"/>
                <w:spacing w:val="7"/>
                <w:sz w:val="20"/>
                <w:szCs w:val="20"/>
              </w:rPr>
              <w:t>厂界外</w:t>
            </w:r>
            <w:r>
              <w:rPr>
                <w:rFonts w:ascii="宋体" w:hAnsi="宋体" w:eastAsia="宋体" w:cs="宋体"/>
                <w:spacing w:val="-22"/>
                <w:sz w:val="20"/>
                <w:szCs w:val="20"/>
              </w:rPr>
              <w:t xml:space="preserve"> </w:t>
            </w:r>
            <w:r>
              <w:rPr>
                <w:rFonts w:ascii="Times New Roman" w:hAnsi="Times New Roman" w:eastAsia="Times New Roman" w:cs="Times New Roman"/>
                <w:spacing w:val="7"/>
                <w:sz w:val="20"/>
                <w:szCs w:val="20"/>
              </w:rPr>
              <w:t>500m</w:t>
            </w:r>
            <w:r>
              <w:rPr>
                <w:rFonts w:ascii="Times New Roman" w:hAnsi="Times New Roman" w:eastAsia="Times New Roman" w:cs="Times New Roman"/>
                <w:spacing w:val="17"/>
                <w:sz w:val="20"/>
                <w:szCs w:val="20"/>
              </w:rPr>
              <w:t xml:space="preserve"> </w:t>
            </w:r>
            <w:r>
              <w:rPr>
                <w:rFonts w:ascii="宋体" w:hAnsi="宋体" w:eastAsia="宋体" w:cs="宋体"/>
                <w:spacing w:val="7"/>
                <w:sz w:val="20"/>
                <w:szCs w:val="20"/>
              </w:rPr>
              <w:t>范围内无地下水集中式饮用水源和热水、矿泉水、温泉等特殊地下水</w:t>
            </w:r>
          </w:p>
        </w:tc>
        <w:tc>
          <w:tcPr>
            <w:tcW w:w="122" w:type="dxa"/>
            <w:tcBorders>
              <w:top w:val="nil"/>
              <w:bottom w:val="single" w:color="000000" w:sz="6" w:space="0"/>
              <w:right w:val="single" w:color="000000" w:sz="6" w:space="0"/>
            </w:tcBorders>
            <w:vAlign w:val="top"/>
          </w:tcPr>
          <w:p w14:paraId="26F6B832">
            <w:pPr>
              <w:rPr>
                <w:rFonts w:ascii="Arial"/>
                <w:sz w:val="21"/>
              </w:rPr>
            </w:pPr>
          </w:p>
        </w:tc>
      </w:tr>
    </w:tbl>
    <w:p w14:paraId="13313805">
      <w:pPr>
        <w:pStyle w:val="2"/>
      </w:pPr>
    </w:p>
    <w:p w14:paraId="498743E2">
      <w:pPr>
        <w:sectPr>
          <w:footerReference r:id="rId82" w:type="default"/>
          <w:pgSz w:w="11907" w:h="16840"/>
          <w:pgMar w:top="400" w:right="1413" w:bottom="1103" w:left="1413" w:header="0" w:footer="887" w:gutter="0"/>
          <w:cols w:space="720" w:num="1"/>
        </w:sectPr>
      </w:pPr>
    </w:p>
    <w:p w14:paraId="34E09CE6">
      <w:pPr>
        <w:spacing w:before="19"/>
      </w:pPr>
    </w:p>
    <w:p w14:paraId="64ABE656">
      <w:pPr>
        <w:spacing w:before="19"/>
      </w:pPr>
    </w:p>
    <w:p w14:paraId="117E4038">
      <w:pPr>
        <w:spacing w:before="19"/>
      </w:pPr>
    </w:p>
    <w:p w14:paraId="4D3EB8FD">
      <w:pPr>
        <w:spacing w:before="18"/>
      </w:pPr>
    </w:p>
    <w:p w14:paraId="6AE32866">
      <w:pPr>
        <w:spacing w:before="18"/>
      </w:pPr>
    </w:p>
    <w:tbl>
      <w:tblPr>
        <w:tblStyle w:val="10"/>
        <w:tblW w:w="906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113"/>
        <w:gridCol w:w="436"/>
        <w:gridCol w:w="950"/>
        <w:gridCol w:w="842"/>
        <w:gridCol w:w="476"/>
        <w:gridCol w:w="165"/>
        <w:gridCol w:w="1305"/>
        <w:gridCol w:w="1350"/>
        <w:gridCol w:w="2587"/>
        <w:gridCol w:w="124"/>
      </w:tblGrid>
      <w:tr w14:paraId="66EB6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717" w:type="dxa"/>
            <w:vMerge w:val="restart"/>
            <w:tcBorders>
              <w:top w:val="single" w:color="000000" w:sz="6" w:space="0"/>
              <w:left w:val="single" w:color="000000" w:sz="6" w:space="0"/>
              <w:bottom w:val="nil"/>
            </w:tcBorders>
            <w:vAlign w:val="top"/>
          </w:tcPr>
          <w:p w14:paraId="18706A94">
            <w:pPr>
              <w:rPr>
                <w:rFonts w:ascii="Arial"/>
                <w:sz w:val="21"/>
              </w:rPr>
            </w:pPr>
          </w:p>
        </w:tc>
        <w:tc>
          <w:tcPr>
            <w:tcW w:w="113" w:type="dxa"/>
            <w:tcBorders>
              <w:top w:val="single" w:color="000000" w:sz="6" w:space="0"/>
              <w:bottom w:val="nil"/>
            </w:tcBorders>
            <w:vAlign w:val="top"/>
          </w:tcPr>
          <w:p w14:paraId="2A0DE8A3">
            <w:pPr>
              <w:rPr>
                <w:rFonts w:ascii="Arial"/>
                <w:sz w:val="21"/>
              </w:rPr>
            </w:pPr>
          </w:p>
        </w:tc>
        <w:tc>
          <w:tcPr>
            <w:tcW w:w="436" w:type="dxa"/>
            <w:tcBorders>
              <w:top w:val="single" w:color="000000" w:sz="6" w:space="0"/>
            </w:tcBorders>
            <w:textDirection w:val="tbRlV"/>
            <w:vAlign w:val="top"/>
          </w:tcPr>
          <w:p w14:paraId="2813DCBA">
            <w:pPr>
              <w:spacing w:before="118" w:line="213" w:lineRule="auto"/>
              <w:ind w:left="37"/>
              <w:rPr>
                <w:rFonts w:ascii="宋体" w:hAnsi="宋体" w:eastAsia="宋体" w:cs="宋体"/>
                <w:sz w:val="20"/>
                <w:szCs w:val="20"/>
              </w:rPr>
            </w:pPr>
            <w:r>
              <w:rPr>
                <w:rFonts w:ascii="宋体" w:hAnsi="宋体" w:eastAsia="宋体" w:cs="宋体"/>
                <w:spacing w:val="8"/>
                <w:sz w:val="20"/>
                <w:szCs w:val="20"/>
              </w:rPr>
              <w:t>下</w:t>
            </w:r>
            <w:r>
              <w:rPr>
                <w:rFonts w:ascii="宋体" w:hAnsi="宋体" w:eastAsia="宋体" w:cs="宋体"/>
                <w:spacing w:val="99"/>
                <w:sz w:val="20"/>
                <w:szCs w:val="20"/>
              </w:rPr>
              <w:t xml:space="preserve"> </w:t>
            </w:r>
            <w:r>
              <w:rPr>
                <w:rFonts w:ascii="宋体" w:hAnsi="宋体" w:eastAsia="宋体" w:cs="宋体"/>
                <w:spacing w:val="8"/>
                <w:sz w:val="20"/>
                <w:szCs w:val="20"/>
              </w:rPr>
              <w:t>水</w:t>
            </w:r>
          </w:p>
        </w:tc>
        <w:tc>
          <w:tcPr>
            <w:tcW w:w="7675" w:type="dxa"/>
            <w:gridSpan w:val="7"/>
            <w:tcBorders>
              <w:top w:val="single" w:color="000000" w:sz="6" w:space="0"/>
            </w:tcBorders>
            <w:vAlign w:val="top"/>
          </w:tcPr>
          <w:p w14:paraId="2C4F1339">
            <w:pPr>
              <w:spacing w:before="37" w:line="228" w:lineRule="auto"/>
              <w:ind w:left="3425"/>
              <w:rPr>
                <w:rFonts w:ascii="宋体" w:hAnsi="宋体" w:eastAsia="宋体" w:cs="宋体"/>
                <w:sz w:val="20"/>
                <w:szCs w:val="20"/>
              </w:rPr>
            </w:pPr>
            <w:r>
              <w:rPr>
                <w:rFonts w:ascii="宋体" w:hAnsi="宋体" w:eastAsia="宋体" w:cs="宋体"/>
                <w:spacing w:val="7"/>
                <w:sz w:val="20"/>
                <w:szCs w:val="20"/>
              </w:rPr>
              <w:t>敏感目标</w:t>
            </w:r>
          </w:p>
        </w:tc>
        <w:tc>
          <w:tcPr>
            <w:tcW w:w="124" w:type="dxa"/>
            <w:tcBorders>
              <w:top w:val="single" w:color="000000" w:sz="6" w:space="0"/>
              <w:bottom w:val="nil"/>
              <w:right w:val="single" w:color="000000" w:sz="6" w:space="0"/>
            </w:tcBorders>
            <w:vAlign w:val="top"/>
          </w:tcPr>
          <w:p w14:paraId="1AE7E7DB">
            <w:pPr>
              <w:rPr>
                <w:rFonts w:ascii="Arial"/>
                <w:sz w:val="21"/>
              </w:rPr>
            </w:pPr>
          </w:p>
        </w:tc>
      </w:tr>
      <w:tr w14:paraId="0F67A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717" w:type="dxa"/>
            <w:vMerge w:val="continue"/>
            <w:tcBorders>
              <w:top w:val="nil"/>
              <w:left w:val="single" w:color="000000" w:sz="6" w:space="0"/>
            </w:tcBorders>
            <w:vAlign w:val="top"/>
          </w:tcPr>
          <w:p w14:paraId="76B58E91">
            <w:pPr>
              <w:rPr>
                <w:rFonts w:ascii="Arial"/>
                <w:sz w:val="21"/>
              </w:rPr>
            </w:pPr>
          </w:p>
        </w:tc>
        <w:tc>
          <w:tcPr>
            <w:tcW w:w="8348" w:type="dxa"/>
            <w:gridSpan w:val="10"/>
            <w:tcBorders>
              <w:right w:val="single" w:color="000000" w:sz="6" w:space="0"/>
            </w:tcBorders>
            <w:vAlign w:val="top"/>
          </w:tcPr>
          <w:p w14:paraId="7B221242">
            <w:pPr>
              <w:rPr>
                <w:rFonts w:ascii="Arial"/>
                <w:sz w:val="21"/>
              </w:rPr>
            </w:pPr>
          </w:p>
        </w:tc>
      </w:tr>
      <w:tr w14:paraId="7AB51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1" w:hRule="atLeast"/>
        </w:trPr>
        <w:tc>
          <w:tcPr>
            <w:tcW w:w="717" w:type="dxa"/>
            <w:vMerge w:val="restart"/>
            <w:tcBorders>
              <w:left w:val="single" w:color="000000" w:sz="6" w:space="0"/>
              <w:bottom w:val="nil"/>
            </w:tcBorders>
            <w:vAlign w:val="top"/>
          </w:tcPr>
          <w:p w14:paraId="6020653B">
            <w:pPr>
              <w:spacing w:line="252" w:lineRule="auto"/>
              <w:rPr>
                <w:rFonts w:ascii="Arial"/>
                <w:sz w:val="21"/>
              </w:rPr>
            </w:pPr>
          </w:p>
          <w:p w14:paraId="5C1ED279">
            <w:pPr>
              <w:spacing w:line="252" w:lineRule="auto"/>
              <w:rPr>
                <w:rFonts w:ascii="Arial"/>
                <w:sz w:val="21"/>
              </w:rPr>
            </w:pPr>
          </w:p>
          <w:p w14:paraId="0B2C948B">
            <w:pPr>
              <w:spacing w:line="252" w:lineRule="auto"/>
              <w:rPr>
                <w:rFonts w:ascii="Arial"/>
                <w:sz w:val="21"/>
              </w:rPr>
            </w:pPr>
          </w:p>
          <w:p w14:paraId="04D71F2D">
            <w:pPr>
              <w:spacing w:line="252" w:lineRule="auto"/>
              <w:rPr>
                <w:rFonts w:ascii="Arial"/>
                <w:sz w:val="21"/>
              </w:rPr>
            </w:pPr>
          </w:p>
          <w:p w14:paraId="76503CA0">
            <w:pPr>
              <w:spacing w:line="252" w:lineRule="auto"/>
              <w:rPr>
                <w:rFonts w:ascii="Arial"/>
                <w:sz w:val="21"/>
              </w:rPr>
            </w:pPr>
          </w:p>
          <w:p w14:paraId="61A7C728">
            <w:pPr>
              <w:spacing w:line="252" w:lineRule="auto"/>
              <w:rPr>
                <w:rFonts w:ascii="Arial"/>
                <w:sz w:val="21"/>
              </w:rPr>
            </w:pPr>
          </w:p>
          <w:p w14:paraId="0147F485">
            <w:pPr>
              <w:spacing w:line="252" w:lineRule="auto"/>
              <w:rPr>
                <w:rFonts w:ascii="Arial"/>
                <w:sz w:val="21"/>
              </w:rPr>
            </w:pPr>
          </w:p>
          <w:p w14:paraId="0CD47B66">
            <w:pPr>
              <w:spacing w:line="252" w:lineRule="auto"/>
              <w:rPr>
                <w:rFonts w:ascii="Arial"/>
                <w:sz w:val="21"/>
              </w:rPr>
            </w:pPr>
          </w:p>
          <w:p w14:paraId="28BA950E">
            <w:pPr>
              <w:spacing w:line="252" w:lineRule="auto"/>
              <w:rPr>
                <w:rFonts w:ascii="Arial"/>
                <w:sz w:val="21"/>
              </w:rPr>
            </w:pPr>
          </w:p>
          <w:p w14:paraId="02714446">
            <w:pPr>
              <w:spacing w:line="252" w:lineRule="auto"/>
              <w:rPr>
                <w:rFonts w:ascii="Arial"/>
                <w:sz w:val="21"/>
              </w:rPr>
            </w:pPr>
          </w:p>
          <w:p w14:paraId="3ED5FADB">
            <w:pPr>
              <w:spacing w:line="252" w:lineRule="auto"/>
              <w:rPr>
                <w:rFonts w:ascii="Arial"/>
                <w:sz w:val="21"/>
              </w:rPr>
            </w:pPr>
          </w:p>
          <w:p w14:paraId="3DDBA743">
            <w:pPr>
              <w:spacing w:line="252" w:lineRule="auto"/>
              <w:rPr>
                <w:rFonts w:ascii="Arial"/>
                <w:sz w:val="21"/>
              </w:rPr>
            </w:pPr>
          </w:p>
          <w:p w14:paraId="2D2A7C90">
            <w:pPr>
              <w:spacing w:line="252" w:lineRule="auto"/>
              <w:rPr>
                <w:rFonts w:ascii="Arial"/>
                <w:sz w:val="21"/>
              </w:rPr>
            </w:pPr>
          </w:p>
          <w:p w14:paraId="1E40DB3D">
            <w:pPr>
              <w:spacing w:line="252" w:lineRule="auto"/>
              <w:rPr>
                <w:rFonts w:ascii="Arial"/>
                <w:sz w:val="21"/>
              </w:rPr>
            </w:pPr>
          </w:p>
          <w:p w14:paraId="13CF1512">
            <w:pPr>
              <w:spacing w:line="252" w:lineRule="auto"/>
              <w:rPr>
                <w:rFonts w:ascii="Arial"/>
                <w:sz w:val="21"/>
              </w:rPr>
            </w:pPr>
          </w:p>
          <w:p w14:paraId="15FE515E">
            <w:pPr>
              <w:spacing w:line="252" w:lineRule="auto"/>
              <w:rPr>
                <w:rFonts w:ascii="Arial"/>
                <w:sz w:val="21"/>
              </w:rPr>
            </w:pPr>
          </w:p>
          <w:p w14:paraId="45D58501">
            <w:pPr>
              <w:spacing w:line="252" w:lineRule="auto"/>
              <w:rPr>
                <w:rFonts w:ascii="Arial"/>
                <w:sz w:val="21"/>
              </w:rPr>
            </w:pPr>
          </w:p>
          <w:p w14:paraId="69917D2E">
            <w:pPr>
              <w:spacing w:line="253" w:lineRule="auto"/>
              <w:rPr>
                <w:rFonts w:ascii="Arial"/>
                <w:sz w:val="21"/>
              </w:rPr>
            </w:pPr>
          </w:p>
          <w:p w14:paraId="0AD71B87">
            <w:pPr>
              <w:spacing w:line="253" w:lineRule="auto"/>
              <w:rPr>
                <w:rFonts w:ascii="Arial"/>
                <w:sz w:val="21"/>
              </w:rPr>
            </w:pPr>
          </w:p>
          <w:p w14:paraId="0128279F">
            <w:pPr>
              <w:spacing w:before="78" w:line="361" w:lineRule="auto"/>
              <w:ind w:left="116" w:right="119" w:firstLine="2"/>
              <w:jc w:val="both"/>
              <w:rPr>
                <w:rFonts w:ascii="宋体" w:hAnsi="宋体" w:eastAsia="宋体" w:cs="宋体"/>
                <w:sz w:val="24"/>
                <w:szCs w:val="24"/>
              </w:rPr>
            </w:pPr>
            <w:r>
              <w:rPr>
                <w:rFonts w:ascii="宋体" w:hAnsi="宋体" w:eastAsia="宋体" w:cs="宋体"/>
                <w:spacing w:val="-6"/>
                <w:sz w:val="24"/>
                <w:szCs w:val="24"/>
              </w:rPr>
              <w:t>污染</w:t>
            </w:r>
            <w:r>
              <w:rPr>
                <w:rFonts w:ascii="宋体" w:hAnsi="宋体" w:eastAsia="宋体" w:cs="宋体"/>
                <w:spacing w:val="-5"/>
                <w:sz w:val="24"/>
                <w:szCs w:val="24"/>
              </w:rPr>
              <w:t>排放控制标准</w:t>
            </w:r>
          </w:p>
        </w:tc>
        <w:tc>
          <w:tcPr>
            <w:tcW w:w="8348" w:type="dxa"/>
            <w:gridSpan w:val="10"/>
            <w:tcBorders>
              <w:right w:val="single" w:color="000000" w:sz="6" w:space="0"/>
            </w:tcBorders>
            <w:vAlign w:val="top"/>
          </w:tcPr>
          <w:p w14:paraId="3D7A2940">
            <w:pPr>
              <w:spacing w:before="37" w:line="220" w:lineRule="auto"/>
              <w:ind w:left="587"/>
              <w:rPr>
                <w:rFonts w:ascii="宋体" w:hAnsi="宋体" w:eastAsia="宋体" w:cs="宋体"/>
                <w:sz w:val="24"/>
                <w:szCs w:val="24"/>
              </w:rPr>
            </w:pPr>
            <w:r>
              <w:rPr>
                <w:rFonts w:ascii="宋体" w:hAnsi="宋体" w:eastAsia="宋体" w:cs="宋体"/>
                <w:b/>
                <w:bCs/>
                <w:spacing w:val="-5"/>
                <w:sz w:val="24"/>
                <w:szCs w:val="24"/>
              </w:rPr>
              <w:t>施工期</w:t>
            </w:r>
          </w:p>
          <w:p w14:paraId="19B8AD03">
            <w:pPr>
              <w:spacing w:before="179" w:line="219" w:lineRule="auto"/>
              <w:ind w:left="594"/>
              <w:rPr>
                <w:rFonts w:ascii="宋体" w:hAnsi="宋体" w:eastAsia="宋体" w:cs="宋体"/>
                <w:sz w:val="24"/>
                <w:szCs w:val="24"/>
              </w:rPr>
            </w:pPr>
            <w:r>
              <w:rPr>
                <w:rFonts w:ascii="Times New Roman" w:hAnsi="Times New Roman" w:eastAsia="Times New Roman" w:cs="Times New Roman"/>
                <w:b/>
                <w:bCs/>
                <w:spacing w:val="-12"/>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b/>
                <w:bCs/>
                <w:spacing w:val="-12"/>
                <w:sz w:val="24"/>
                <w:szCs w:val="24"/>
              </w:rPr>
              <w:t>、废水</w:t>
            </w:r>
          </w:p>
          <w:p w14:paraId="76E25B8B">
            <w:pPr>
              <w:spacing w:before="181" w:line="357" w:lineRule="auto"/>
              <w:ind w:left="110" w:right="103" w:firstLine="477"/>
              <w:jc w:val="both"/>
              <w:rPr>
                <w:rFonts w:ascii="宋体" w:hAnsi="宋体" w:eastAsia="宋体" w:cs="宋体"/>
                <w:sz w:val="24"/>
                <w:szCs w:val="24"/>
              </w:rPr>
            </w:pPr>
            <w:r>
              <w:rPr>
                <w:rFonts w:ascii="宋体" w:hAnsi="宋体" w:eastAsia="宋体" w:cs="宋体"/>
                <w:spacing w:val="2"/>
                <w:sz w:val="24"/>
                <w:szCs w:val="24"/>
              </w:rPr>
              <w:t>施工期废水主要为施工人员生活污水，依托现有的化粪池</w:t>
            </w:r>
            <w:r>
              <w:rPr>
                <w:rFonts w:ascii="Times New Roman" w:hAnsi="Times New Roman" w:eastAsia="Times New Roman" w:cs="Times New Roman"/>
                <w:spacing w:val="2"/>
                <w:sz w:val="24"/>
                <w:szCs w:val="24"/>
              </w:rPr>
              <w:t>+</w:t>
            </w:r>
            <w:r>
              <w:rPr>
                <w:rFonts w:ascii="宋体" w:hAnsi="宋体" w:eastAsia="宋体" w:cs="宋体"/>
                <w:spacing w:val="2"/>
                <w:sz w:val="24"/>
                <w:szCs w:val="24"/>
              </w:rPr>
              <w:t>一体化污水处</w:t>
            </w:r>
            <w:r>
              <w:rPr>
                <w:rFonts w:ascii="宋体" w:hAnsi="宋体" w:eastAsia="宋体" w:cs="宋体"/>
                <w:sz w:val="24"/>
                <w:szCs w:val="24"/>
              </w:rPr>
              <w:t>理设施处理后达到《城市污水再生利用城市杂用水水质》</w:t>
            </w:r>
            <w:r>
              <w:rPr>
                <w:rFonts w:ascii="Times New Roman" w:hAnsi="Times New Roman" w:eastAsia="Times New Roman" w:cs="Times New Roman"/>
                <w:sz w:val="24"/>
                <w:szCs w:val="24"/>
              </w:rPr>
              <w:t>(GB/T18920-2020)</w:t>
            </w:r>
            <w:r>
              <w:rPr>
                <w:rFonts w:ascii="宋体" w:hAnsi="宋体" w:eastAsia="宋体" w:cs="宋体"/>
                <w:sz w:val="24"/>
                <w:szCs w:val="24"/>
              </w:rPr>
              <w:t>标准，晴天回用作为绿化浇灌，雨天储存于蓄水</w:t>
            </w:r>
            <w:r>
              <w:rPr>
                <w:rFonts w:ascii="宋体" w:hAnsi="宋体" w:eastAsia="宋体" w:cs="宋体"/>
                <w:spacing w:val="-1"/>
                <w:sz w:val="24"/>
                <w:szCs w:val="24"/>
              </w:rPr>
              <w:t>池中待晴天再回用绿化浇灌。</w:t>
            </w:r>
          </w:p>
          <w:p w14:paraId="525A959C">
            <w:pPr>
              <w:spacing w:before="8" w:line="220" w:lineRule="auto"/>
              <w:ind w:left="584"/>
              <w:rPr>
                <w:rFonts w:ascii="宋体" w:hAnsi="宋体" w:eastAsia="宋体" w:cs="宋体"/>
                <w:sz w:val="24"/>
                <w:szCs w:val="24"/>
              </w:rPr>
            </w:pPr>
            <w:r>
              <w:rPr>
                <w:rFonts w:ascii="Times New Roman" w:hAnsi="Times New Roman" w:eastAsia="Times New Roman" w:cs="Times New Roman"/>
                <w:b/>
                <w:bCs/>
                <w:spacing w:val="-10"/>
                <w:sz w:val="24"/>
                <w:szCs w:val="24"/>
              </w:rPr>
              <w:t>2</w:t>
            </w:r>
            <w:r>
              <w:rPr>
                <w:rFonts w:ascii="Times New Roman" w:hAnsi="Times New Roman" w:eastAsia="Times New Roman" w:cs="Times New Roman"/>
                <w:b/>
                <w:bCs/>
                <w:spacing w:val="-32"/>
                <w:sz w:val="24"/>
                <w:szCs w:val="24"/>
              </w:rPr>
              <w:t xml:space="preserve"> </w:t>
            </w:r>
            <w:r>
              <w:rPr>
                <w:rFonts w:ascii="宋体" w:hAnsi="宋体" w:eastAsia="宋体" w:cs="宋体"/>
                <w:b/>
                <w:bCs/>
                <w:spacing w:val="-10"/>
                <w:sz w:val="24"/>
                <w:szCs w:val="24"/>
              </w:rPr>
              <w:t>、废气</w:t>
            </w:r>
          </w:p>
          <w:p w14:paraId="2D298149">
            <w:pPr>
              <w:spacing w:before="182" w:line="219" w:lineRule="auto"/>
              <w:ind w:left="587"/>
              <w:rPr>
                <w:rFonts w:ascii="宋体" w:hAnsi="宋体" w:eastAsia="宋体" w:cs="宋体"/>
                <w:sz w:val="24"/>
                <w:szCs w:val="24"/>
              </w:rPr>
            </w:pPr>
            <w:r>
              <w:rPr>
                <w:rFonts w:ascii="宋体" w:hAnsi="宋体" w:eastAsia="宋体" w:cs="宋体"/>
                <w:spacing w:val="-1"/>
                <w:sz w:val="24"/>
                <w:szCs w:val="24"/>
              </w:rPr>
              <w:t>施工期废气执行《大气污染物综合排放标准》（</w:t>
            </w:r>
            <w:r>
              <w:rPr>
                <w:rFonts w:ascii="Times New Roman" w:hAnsi="Times New Roman" w:eastAsia="Times New Roman" w:cs="Times New Roman"/>
                <w:spacing w:val="-1"/>
                <w:sz w:val="24"/>
                <w:szCs w:val="24"/>
              </w:rPr>
              <w:t>GB16297-</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2"/>
                <w:sz w:val="24"/>
                <w:szCs w:val="24"/>
              </w:rPr>
              <w:t>996</w:t>
            </w:r>
            <w:r>
              <w:rPr>
                <w:rFonts w:ascii="宋体" w:hAnsi="宋体" w:eastAsia="宋体" w:cs="宋体"/>
                <w:spacing w:val="-2"/>
                <w:sz w:val="24"/>
                <w:szCs w:val="24"/>
              </w:rPr>
              <w:t>）。</w:t>
            </w:r>
          </w:p>
          <w:p w14:paraId="72F4CF64">
            <w:pPr>
              <w:spacing w:before="176" w:line="214" w:lineRule="auto"/>
              <w:ind w:left="2611"/>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31"/>
                <w:sz w:val="20"/>
                <w:szCs w:val="20"/>
              </w:rPr>
              <w:t xml:space="preserve"> </w:t>
            </w:r>
            <w:r>
              <w:rPr>
                <w:rFonts w:ascii="Times New Roman" w:hAnsi="Times New Roman" w:eastAsia="Times New Roman" w:cs="Times New Roman"/>
                <w:b/>
                <w:bCs/>
                <w:spacing w:val="5"/>
                <w:sz w:val="20"/>
                <w:szCs w:val="20"/>
              </w:rPr>
              <w:t xml:space="preserve">3- 6    </w:t>
            </w:r>
            <w:r>
              <w:rPr>
                <w:rFonts w:ascii="宋体" w:hAnsi="宋体" w:eastAsia="宋体" w:cs="宋体"/>
                <w:b/>
                <w:bCs/>
                <w:spacing w:val="5"/>
                <w:sz w:val="20"/>
                <w:szCs w:val="20"/>
              </w:rPr>
              <w:t>大气污染物综合排放标准</w:t>
            </w:r>
          </w:p>
        </w:tc>
      </w:tr>
      <w:tr w14:paraId="027AF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17" w:type="dxa"/>
            <w:vMerge w:val="continue"/>
            <w:tcBorders>
              <w:top w:val="nil"/>
              <w:left w:val="single" w:color="000000" w:sz="6" w:space="0"/>
              <w:bottom w:val="nil"/>
            </w:tcBorders>
            <w:vAlign w:val="top"/>
          </w:tcPr>
          <w:p w14:paraId="769E069B">
            <w:pPr>
              <w:rPr>
                <w:rFonts w:ascii="Arial"/>
                <w:sz w:val="21"/>
              </w:rPr>
            </w:pPr>
          </w:p>
        </w:tc>
        <w:tc>
          <w:tcPr>
            <w:tcW w:w="113" w:type="dxa"/>
            <w:tcBorders>
              <w:top w:val="nil"/>
              <w:bottom w:val="nil"/>
            </w:tcBorders>
            <w:vAlign w:val="top"/>
          </w:tcPr>
          <w:p w14:paraId="57AF5B36">
            <w:pPr>
              <w:rPr>
                <w:rFonts w:ascii="Arial"/>
                <w:sz w:val="21"/>
              </w:rPr>
            </w:pPr>
          </w:p>
        </w:tc>
        <w:tc>
          <w:tcPr>
            <w:tcW w:w="2228" w:type="dxa"/>
            <w:gridSpan w:val="3"/>
            <w:vMerge w:val="restart"/>
            <w:tcBorders>
              <w:bottom w:val="nil"/>
            </w:tcBorders>
            <w:vAlign w:val="top"/>
          </w:tcPr>
          <w:p w14:paraId="62397607">
            <w:pPr>
              <w:spacing w:before="245" w:line="228" w:lineRule="auto"/>
              <w:ind w:left="802"/>
              <w:rPr>
                <w:rFonts w:ascii="宋体" w:hAnsi="宋体" w:eastAsia="宋体" w:cs="宋体"/>
                <w:sz w:val="20"/>
                <w:szCs w:val="20"/>
              </w:rPr>
            </w:pPr>
            <w:r>
              <w:rPr>
                <w:rFonts w:ascii="宋体" w:hAnsi="宋体" w:eastAsia="宋体" w:cs="宋体"/>
                <w:b/>
                <w:bCs/>
                <w:spacing w:val="5"/>
                <w:sz w:val="20"/>
                <w:szCs w:val="20"/>
              </w:rPr>
              <w:t>污染物</w:t>
            </w:r>
          </w:p>
        </w:tc>
        <w:tc>
          <w:tcPr>
            <w:tcW w:w="5883" w:type="dxa"/>
            <w:gridSpan w:val="5"/>
            <w:vAlign w:val="top"/>
          </w:tcPr>
          <w:p w14:paraId="4712A3B3">
            <w:pPr>
              <w:spacing w:before="36" w:line="228" w:lineRule="auto"/>
              <w:ind w:left="1792"/>
              <w:rPr>
                <w:rFonts w:ascii="宋体" w:hAnsi="宋体" w:eastAsia="宋体" w:cs="宋体"/>
                <w:sz w:val="20"/>
                <w:szCs w:val="20"/>
              </w:rPr>
            </w:pPr>
            <w:r>
              <w:rPr>
                <w:rFonts w:ascii="宋体" w:hAnsi="宋体" w:eastAsia="宋体" w:cs="宋体"/>
                <w:b/>
                <w:bCs/>
                <w:spacing w:val="7"/>
                <w:sz w:val="20"/>
                <w:szCs w:val="20"/>
              </w:rPr>
              <w:t>无组织排放监控浓度限值</w:t>
            </w:r>
          </w:p>
        </w:tc>
        <w:tc>
          <w:tcPr>
            <w:tcW w:w="124" w:type="dxa"/>
            <w:tcBorders>
              <w:top w:val="nil"/>
              <w:bottom w:val="nil"/>
              <w:right w:val="single" w:color="000000" w:sz="6" w:space="0"/>
            </w:tcBorders>
            <w:vAlign w:val="top"/>
          </w:tcPr>
          <w:p w14:paraId="0C93F45C">
            <w:pPr>
              <w:rPr>
                <w:rFonts w:ascii="Arial"/>
                <w:sz w:val="21"/>
              </w:rPr>
            </w:pPr>
          </w:p>
        </w:tc>
      </w:tr>
      <w:tr w14:paraId="55CE3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717" w:type="dxa"/>
            <w:vMerge w:val="continue"/>
            <w:tcBorders>
              <w:top w:val="nil"/>
              <w:left w:val="single" w:color="000000" w:sz="6" w:space="0"/>
              <w:bottom w:val="nil"/>
            </w:tcBorders>
            <w:vAlign w:val="top"/>
          </w:tcPr>
          <w:p w14:paraId="7962652C">
            <w:pPr>
              <w:rPr>
                <w:rFonts w:ascii="Arial"/>
                <w:sz w:val="21"/>
              </w:rPr>
            </w:pPr>
          </w:p>
        </w:tc>
        <w:tc>
          <w:tcPr>
            <w:tcW w:w="113" w:type="dxa"/>
            <w:tcBorders>
              <w:top w:val="nil"/>
              <w:bottom w:val="nil"/>
            </w:tcBorders>
            <w:vAlign w:val="top"/>
          </w:tcPr>
          <w:p w14:paraId="6888DE03">
            <w:pPr>
              <w:rPr>
                <w:rFonts w:ascii="Arial"/>
                <w:sz w:val="21"/>
              </w:rPr>
            </w:pPr>
          </w:p>
        </w:tc>
        <w:tc>
          <w:tcPr>
            <w:tcW w:w="2228" w:type="dxa"/>
            <w:gridSpan w:val="3"/>
            <w:vMerge w:val="continue"/>
            <w:tcBorders>
              <w:top w:val="nil"/>
            </w:tcBorders>
            <w:vAlign w:val="top"/>
          </w:tcPr>
          <w:p w14:paraId="4B3A42E7">
            <w:pPr>
              <w:rPr>
                <w:rFonts w:ascii="Arial"/>
                <w:sz w:val="21"/>
              </w:rPr>
            </w:pPr>
          </w:p>
        </w:tc>
        <w:tc>
          <w:tcPr>
            <w:tcW w:w="3296" w:type="dxa"/>
            <w:gridSpan w:val="4"/>
            <w:vAlign w:val="top"/>
          </w:tcPr>
          <w:p w14:paraId="75F92DEA">
            <w:pPr>
              <w:spacing w:before="37" w:line="228" w:lineRule="auto"/>
              <w:ind w:left="1337"/>
              <w:rPr>
                <w:rFonts w:ascii="宋体" w:hAnsi="宋体" w:eastAsia="宋体" w:cs="宋体"/>
                <w:sz w:val="20"/>
                <w:szCs w:val="20"/>
              </w:rPr>
            </w:pPr>
            <w:r>
              <w:rPr>
                <w:rFonts w:ascii="宋体" w:hAnsi="宋体" w:eastAsia="宋体" w:cs="宋体"/>
                <w:b/>
                <w:bCs/>
                <w:spacing w:val="5"/>
                <w:sz w:val="20"/>
                <w:szCs w:val="20"/>
              </w:rPr>
              <w:t>监控点</w:t>
            </w:r>
          </w:p>
        </w:tc>
        <w:tc>
          <w:tcPr>
            <w:tcW w:w="2587" w:type="dxa"/>
            <w:vAlign w:val="top"/>
          </w:tcPr>
          <w:p w14:paraId="5CE30E73">
            <w:pPr>
              <w:spacing w:before="37" w:line="221" w:lineRule="auto"/>
              <w:ind w:left="592"/>
              <w:rPr>
                <w:rFonts w:ascii="宋体" w:hAnsi="宋体" w:eastAsia="宋体" w:cs="宋体"/>
                <w:sz w:val="20"/>
                <w:szCs w:val="20"/>
              </w:rPr>
            </w:pPr>
            <w:r>
              <w:rPr>
                <w:rFonts w:ascii="宋体" w:hAnsi="宋体" w:eastAsia="宋体" w:cs="宋体"/>
                <w:b/>
                <w:bCs/>
                <w:spacing w:val="6"/>
                <w:sz w:val="20"/>
                <w:szCs w:val="20"/>
              </w:rPr>
              <w:t>浓度（</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6"/>
                <w:sz w:val="20"/>
                <w:szCs w:val="20"/>
              </w:rPr>
              <w:t>/m</w:t>
            </w:r>
            <w:r>
              <w:rPr>
                <w:rFonts w:ascii="Times New Roman" w:hAnsi="Times New Roman" w:eastAsia="Times New Roman" w:cs="Times New Roman"/>
                <w:b/>
                <w:bCs/>
                <w:spacing w:val="6"/>
                <w:sz w:val="13"/>
                <w:szCs w:val="13"/>
              </w:rPr>
              <w:t>3</w:t>
            </w:r>
            <w:r>
              <w:rPr>
                <w:rFonts w:ascii="宋体" w:hAnsi="宋体" w:eastAsia="宋体" w:cs="宋体"/>
                <w:b/>
                <w:bCs/>
                <w:spacing w:val="6"/>
                <w:sz w:val="20"/>
                <w:szCs w:val="20"/>
              </w:rPr>
              <w:t>）</w:t>
            </w:r>
          </w:p>
        </w:tc>
        <w:tc>
          <w:tcPr>
            <w:tcW w:w="124" w:type="dxa"/>
            <w:tcBorders>
              <w:top w:val="nil"/>
              <w:bottom w:val="nil"/>
              <w:right w:val="single" w:color="000000" w:sz="6" w:space="0"/>
            </w:tcBorders>
            <w:vAlign w:val="top"/>
          </w:tcPr>
          <w:p w14:paraId="443E2160">
            <w:pPr>
              <w:rPr>
                <w:rFonts w:ascii="Arial"/>
                <w:sz w:val="21"/>
              </w:rPr>
            </w:pPr>
          </w:p>
        </w:tc>
      </w:tr>
      <w:tr w14:paraId="3C99C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17" w:type="dxa"/>
            <w:vMerge w:val="continue"/>
            <w:tcBorders>
              <w:top w:val="nil"/>
              <w:left w:val="single" w:color="000000" w:sz="6" w:space="0"/>
              <w:bottom w:val="nil"/>
            </w:tcBorders>
            <w:vAlign w:val="top"/>
          </w:tcPr>
          <w:p w14:paraId="7BB365B1">
            <w:pPr>
              <w:rPr>
                <w:rFonts w:ascii="Arial"/>
                <w:sz w:val="21"/>
              </w:rPr>
            </w:pPr>
          </w:p>
        </w:tc>
        <w:tc>
          <w:tcPr>
            <w:tcW w:w="113" w:type="dxa"/>
            <w:tcBorders>
              <w:top w:val="nil"/>
              <w:bottom w:val="nil"/>
            </w:tcBorders>
            <w:vAlign w:val="top"/>
          </w:tcPr>
          <w:p w14:paraId="2853B1B9">
            <w:pPr>
              <w:rPr>
                <w:rFonts w:ascii="Arial"/>
                <w:sz w:val="21"/>
              </w:rPr>
            </w:pPr>
          </w:p>
        </w:tc>
        <w:tc>
          <w:tcPr>
            <w:tcW w:w="2228" w:type="dxa"/>
            <w:gridSpan w:val="3"/>
            <w:vAlign w:val="top"/>
          </w:tcPr>
          <w:p w14:paraId="2E1B50C0">
            <w:pPr>
              <w:spacing w:before="37" w:line="228" w:lineRule="auto"/>
              <w:ind w:left="799"/>
              <w:rPr>
                <w:rFonts w:ascii="宋体" w:hAnsi="宋体" w:eastAsia="宋体" w:cs="宋体"/>
                <w:sz w:val="20"/>
                <w:szCs w:val="20"/>
              </w:rPr>
            </w:pPr>
            <w:r>
              <w:rPr>
                <w:rFonts w:ascii="宋体" w:hAnsi="宋体" w:eastAsia="宋体" w:cs="宋体"/>
                <w:spacing w:val="7"/>
                <w:sz w:val="20"/>
                <w:szCs w:val="20"/>
              </w:rPr>
              <w:t>颗粒物</w:t>
            </w:r>
          </w:p>
        </w:tc>
        <w:tc>
          <w:tcPr>
            <w:tcW w:w="3296" w:type="dxa"/>
            <w:gridSpan w:val="4"/>
            <w:vAlign w:val="top"/>
          </w:tcPr>
          <w:p w14:paraId="7A4CE44C">
            <w:pPr>
              <w:spacing w:before="36" w:line="228" w:lineRule="auto"/>
              <w:ind w:left="814"/>
              <w:rPr>
                <w:rFonts w:ascii="宋体" w:hAnsi="宋体" w:eastAsia="宋体" w:cs="宋体"/>
                <w:sz w:val="20"/>
                <w:szCs w:val="20"/>
              </w:rPr>
            </w:pPr>
            <w:r>
              <w:rPr>
                <w:rFonts w:ascii="宋体" w:hAnsi="宋体" w:eastAsia="宋体" w:cs="宋体"/>
                <w:spacing w:val="8"/>
                <w:sz w:val="20"/>
                <w:szCs w:val="20"/>
              </w:rPr>
              <w:t>周界外浓度最高点</w:t>
            </w:r>
          </w:p>
        </w:tc>
        <w:tc>
          <w:tcPr>
            <w:tcW w:w="2587" w:type="dxa"/>
            <w:vAlign w:val="top"/>
          </w:tcPr>
          <w:p w14:paraId="7582D9D9">
            <w:pPr>
              <w:spacing w:before="80" w:line="195" w:lineRule="auto"/>
              <w:ind w:left="118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c>
          <w:tcPr>
            <w:tcW w:w="124" w:type="dxa"/>
            <w:tcBorders>
              <w:top w:val="nil"/>
              <w:bottom w:val="nil"/>
              <w:right w:val="single" w:color="000000" w:sz="6" w:space="0"/>
            </w:tcBorders>
            <w:vAlign w:val="top"/>
          </w:tcPr>
          <w:p w14:paraId="13AC7113">
            <w:pPr>
              <w:rPr>
                <w:rFonts w:ascii="Arial"/>
                <w:sz w:val="21"/>
              </w:rPr>
            </w:pPr>
          </w:p>
        </w:tc>
      </w:tr>
      <w:tr w14:paraId="1EB06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6" w:hRule="atLeast"/>
        </w:trPr>
        <w:tc>
          <w:tcPr>
            <w:tcW w:w="717" w:type="dxa"/>
            <w:vMerge w:val="continue"/>
            <w:tcBorders>
              <w:top w:val="nil"/>
              <w:left w:val="single" w:color="000000" w:sz="6" w:space="0"/>
              <w:bottom w:val="nil"/>
            </w:tcBorders>
            <w:vAlign w:val="top"/>
          </w:tcPr>
          <w:p w14:paraId="2DBEC0F5">
            <w:pPr>
              <w:rPr>
                <w:rFonts w:ascii="Arial"/>
                <w:sz w:val="21"/>
              </w:rPr>
            </w:pPr>
          </w:p>
        </w:tc>
        <w:tc>
          <w:tcPr>
            <w:tcW w:w="8348" w:type="dxa"/>
            <w:gridSpan w:val="10"/>
            <w:tcBorders>
              <w:right w:val="single" w:color="000000" w:sz="6" w:space="0"/>
            </w:tcBorders>
            <w:vAlign w:val="top"/>
          </w:tcPr>
          <w:p w14:paraId="1C1ECF40">
            <w:pPr>
              <w:spacing w:before="42" w:line="220" w:lineRule="auto"/>
              <w:ind w:left="582"/>
              <w:rPr>
                <w:rFonts w:ascii="宋体" w:hAnsi="宋体" w:eastAsia="宋体" w:cs="宋体"/>
                <w:sz w:val="24"/>
                <w:szCs w:val="24"/>
              </w:rPr>
            </w:pPr>
            <w:r>
              <w:rPr>
                <w:rFonts w:ascii="Times New Roman" w:hAnsi="Times New Roman" w:eastAsia="Times New Roman" w:cs="Times New Roman"/>
                <w:b/>
                <w:bCs/>
                <w:spacing w:val="-9"/>
                <w:sz w:val="24"/>
                <w:szCs w:val="24"/>
              </w:rPr>
              <w:t>3</w:t>
            </w:r>
            <w:r>
              <w:rPr>
                <w:rFonts w:ascii="Times New Roman" w:hAnsi="Times New Roman" w:eastAsia="Times New Roman" w:cs="Times New Roman"/>
                <w:b/>
                <w:bCs/>
                <w:spacing w:val="-34"/>
                <w:sz w:val="24"/>
                <w:szCs w:val="24"/>
              </w:rPr>
              <w:t xml:space="preserve"> </w:t>
            </w:r>
            <w:r>
              <w:rPr>
                <w:rFonts w:ascii="宋体" w:hAnsi="宋体" w:eastAsia="宋体" w:cs="宋体"/>
                <w:b/>
                <w:bCs/>
                <w:spacing w:val="-9"/>
                <w:sz w:val="24"/>
                <w:szCs w:val="24"/>
              </w:rPr>
              <w:t>、噪声</w:t>
            </w:r>
          </w:p>
          <w:p w14:paraId="074F49C0">
            <w:pPr>
              <w:spacing w:before="180" w:line="358" w:lineRule="auto"/>
              <w:ind w:left="119" w:right="117" w:firstLine="467"/>
              <w:rPr>
                <w:rFonts w:ascii="宋体" w:hAnsi="宋体" w:eastAsia="宋体" w:cs="宋体"/>
                <w:sz w:val="24"/>
                <w:szCs w:val="24"/>
              </w:rPr>
            </w:pPr>
            <w:r>
              <w:rPr>
                <w:rFonts w:ascii="宋体" w:hAnsi="宋体" w:eastAsia="宋体" w:cs="宋体"/>
                <w:spacing w:val="-10"/>
                <w:sz w:val="24"/>
                <w:szCs w:val="24"/>
              </w:rPr>
              <w:t>施</w:t>
            </w:r>
            <w:r>
              <w:rPr>
                <w:rFonts w:ascii="宋体" w:hAnsi="宋体" w:eastAsia="宋体" w:cs="宋体"/>
                <w:spacing w:val="-50"/>
                <w:sz w:val="24"/>
                <w:szCs w:val="24"/>
              </w:rPr>
              <w:t xml:space="preserve"> </w:t>
            </w:r>
            <w:r>
              <w:rPr>
                <w:rFonts w:ascii="宋体" w:hAnsi="宋体" w:eastAsia="宋体" w:cs="宋体"/>
                <w:spacing w:val="-10"/>
                <w:sz w:val="24"/>
                <w:szCs w:val="24"/>
              </w:rPr>
              <w:t>工</w:t>
            </w:r>
            <w:r>
              <w:rPr>
                <w:rFonts w:ascii="宋体" w:hAnsi="宋体" w:eastAsia="宋体" w:cs="宋体"/>
                <w:spacing w:val="-53"/>
                <w:sz w:val="24"/>
                <w:szCs w:val="24"/>
              </w:rPr>
              <w:t xml:space="preserve"> </w:t>
            </w:r>
            <w:r>
              <w:rPr>
                <w:rFonts w:ascii="宋体" w:hAnsi="宋体" w:eastAsia="宋体" w:cs="宋体"/>
                <w:spacing w:val="-10"/>
                <w:sz w:val="24"/>
                <w:szCs w:val="24"/>
              </w:rPr>
              <w:t>期</w:t>
            </w:r>
            <w:r>
              <w:rPr>
                <w:rFonts w:ascii="宋体" w:hAnsi="宋体" w:eastAsia="宋体" w:cs="宋体"/>
                <w:spacing w:val="-54"/>
                <w:sz w:val="24"/>
                <w:szCs w:val="24"/>
              </w:rPr>
              <w:t xml:space="preserve"> </w:t>
            </w:r>
            <w:r>
              <w:rPr>
                <w:rFonts w:ascii="宋体" w:hAnsi="宋体" w:eastAsia="宋体" w:cs="宋体"/>
                <w:spacing w:val="-10"/>
                <w:sz w:val="24"/>
                <w:szCs w:val="24"/>
              </w:rPr>
              <w:t>施</w:t>
            </w:r>
            <w:r>
              <w:rPr>
                <w:rFonts w:ascii="宋体" w:hAnsi="宋体" w:eastAsia="宋体" w:cs="宋体"/>
                <w:spacing w:val="-53"/>
                <w:sz w:val="24"/>
                <w:szCs w:val="24"/>
              </w:rPr>
              <w:t xml:space="preserve"> </w:t>
            </w:r>
            <w:r>
              <w:rPr>
                <w:rFonts w:ascii="宋体" w:hAnsi="宋体" w:eastAsia="宋体" w:cs="宋体"/>
                <w:spacing w:val="-10"/>
                <w:sz w:val="24"/>
                <w:szCs w:val="24"/>
              </w:rPr>
              <w:t>工</w:t>
            </w:r>
            <w:r>
              <w:rPr>
                <w:rFonts w:ascii="宋体" w:hAnsi="宋体" w:eastAsia="宋体" w:cs="宋体"/>
                <w:spacing w:val="-54"/>
                <w:sz w:val="24"/>
                <w:szCs w:val="24"/>
              </w:rPr>
              <w:t xml:space="preserve"> </w:t>
            </w:r>
            <w:r>
              <w:rPr>
                <w:rFonts w:ascii="宋体" w:hAnsi="宋体" w:eastAsia="宋体" w:cs="宋体"/>
                <w:spacing w:val="-10"/>
                <w:sz w:val="24"/>
                <w:szCs w:val="24"/>
              </w:rPr>
              <w:t>机</w:t>
            </w:r>
            <w:r>
              <w:rPr>
                <w:rFonts w:ascii="宋体" w:hAnsi="宋体" w:eastAsia="宋体" w:cs="宋体"/>
                <w:spacing w:val="-54"/>
                <w:sz w:val="24"/>
                <w:szCs w:val="24"/>
              </w:rPr>
              <w:t xml:space="preserve"> </w:t>
            </w:r>
            <w:r>
              <w:rPr>
                <w:rFonts w:ascii="宋体" w:hAnsi="宋体" w:eastAsia="宋体" w:cs="宋体"/>
                <w:spacing w:val="-10"/>
                <w:sz w:val="24"/>
                <w:szCs w:val="24"/>
              </w:rPr>
              <w:t>械</w:t>
            </w:r>
            <w:r>
              <w:rPr>
                <w:rFonts w:ascii="宋体" w:hAnsi="宋体" w:eastAsia="宋体" w:cs="宋体"/>
                <w:spacing w:val="-35"/>
                <w:sz w:val="24"/>
                <w:szCs w:val="24"/>
              </w:rPr>
              <w:t xml:space="preserve"> </w:t>
            </w:r>
            <w:r>
              <w:rPr>
                <w:rFonts w:ascii="宋体" w:hAnsi="宋体" w:eastAsia="宋体" w:cs="宋体"/>
                <w:spacing w:val="-10"/>
                <w:sz w:val="24"/>
                <w:szCs w:val="24"/>
              </w:rPr>
              <w:t>的</w:t>
            </w:r>
            <w:r>
              <w:rPr>
                <w:rFonts w:ascii="宋体" w:hAnsi="宋体" w:eastAsia="宋体" w:cs="宋体"/>
                <w:spacing w:val="-53"/>
                <w:sz w:val="24"/>
                <w:szCs w:val="24"/>
              </w:rPr>
              <w:t xml:space="preserve"> </w:t>
            </w:r>
            <w:r>
              <w:rPr>
                <w:rFonts w:ascii="宋体" w:hAnsi="宋体" w:eastAsia="宋体" w:cs="宋体"/>
                <w:spacing w:val="-10"/>
                <w:sz w:val="24"/>
                <w:szCs w:val="24"/>
              </w:rPr>
              <w:t>环</w:t>
            </w:r>
            <w:r>
              <w:rPr>
                <w:rFonts w:ascii="宋体" w:hAnsi="宋体" w:eastAsia="宋体" w:cs="宋体"/>
                <w:spacing w:val="-55"/>
                <w:sz w:val="24"/>
                <w:szCs w:val="24"/>
              </w:rPr>
              <w:t xml:space="preserve"> </w:t>
            </w:r>
            <w:r>
              <w:rPr>
                <w:rFonts w:ascii="宋体" w:hAnsi="宋体" w:eastAsia="宋体" w:cs="宋体"/>
                <w:spacing w:val="-10"/>
                <w:sz w:val="24"/>
                <w:szCs w:val="24"/>
              </w:rPr>
              <w:t>境</w:t>
            </w:r>
            <w:r>
              <w:rPr>
                <w:rFonts w:ascii="宋体" w:hAnsi="宋体" w:eastAsia="宋体" w:cs="宋体"/>
                <w:spacing w:val="-42"/>
                <w:sz w:val="24"/>
                <w:szCs w:val="24"/>
              </w:rPr>
              <w:t xml:space="preserve"> </w:t>
            </w:r>
            <w:r>
              <w:rPr>
                <w:rFonts w:ascii="宋体" w:hAnsi="宋体" w:eastAsia="宋体" w:cs="宋体"/>
                <w:spacing w:val="-10"/>
                <w:sz w:val="24"/>
                <w:szCs w:val="24"/>
              </w:rPr>
              <w:t>噪</w:t>
            </w:r>
            <w:r>
              <w:rPr>
                <w:rFonts w:ascii="宋体" w:hAnsi="宋体" w:eastAsia="宋体" w:cs="宋体"/>
                <w:spacing w:val="-48"/>
                <w:sz w:val="24"/>
                <w:szCs w:val="24"/>
              </w:rPr>
              <w:t xml:space="preserve"> </w:t>
            </w:r>
            <w:r>
              <w:rPr>
                <w:rFonts w:ascii="宋体" w:hAnsi="宋体" w:eastAsia="宋体" w:cs="宋体"/>
                <w:spacing w:val="-10"/>
                <w:sz w:val="24"/>
                <w:szCs w:val="24"/>
              </w:rPr>
              <w:t>声</w:t>
            </w:r>
            <w:r>
              <w:rPr>
                <w:rFonts w:ascii="宋体" w:hAnsi="宋体" w:eastAsia="宋体" w:cs="宋体"/>
                <w:spacing w:val="-55"/>
                <w:sz w:val="24"/>
                <w:szCs w:val="24"/>
              </w:rPr>
              <w:t xml:space="preserve"> </w:t>
            </w:r>
            <w:r>
              <w:rPr>
                <w:rFonts w:ascii="宋体" w:hAnsi="宋体" w:eastAsia="宋体" w:cs="宋体"/>
                <w:spacing w:val="-10"/>
                <w:sz w:val="24"/>
                <w:szCs w:val="24"/>
              </w:rPr>
              <w:t>执</w:t>
            </w:r>
            <w:r>
              <w:rPr>
                <w:rFonts w:ascii="宋体" w:hAnsi="宋体" w:eastAsia="宋体" w:cs="宋体"/>
                <w:spacing w:val="-50"/>
                <w:sz w:val="24"/>
                <w:szCs w:val="24"/>
              </w:rPr>
              <w:t xml:space="preserve"> </w:t>
            </w:r>
            <w:r>
              <w:rPr>
                <w:rFonts w:ascii="宋体" w:hAnsi="宋体" w:eastAsia="宋体" w:cs="宋体"/>
                <w:spacing w:val="-10"/>
                <w:sz w:val="24"/>
                <w:szCs w:val="24"/>
              </w:rPr>
              <w:t>行</w:t>
            </w:r>
            <w:r>
              <w:rPr>
                <w:rFonts w:ascii="宋体" w:hAnsi="宋体" w:eastAsia="宋体" w:cs="宋体"/>
                <w:spacing w:val="-64"/>
                <w:sz w:val="24"/>
                <w:szCs w:val="24"/>
              </w:rPr>
              <w:t xml:space="preserve"> </w:t>
            </w:r>
            <w:r>
              <w:rPr>
                <w:rFonts w:ascii="宋体" w:hAnsi="宋体" w:eastAsia="宋体" w:cs="宋体"/>
                <w:spacing w:val="-10"/>
                <w:sz w:val="24"/>
                <w:szCs w:val="24"/>
              </w:rPr>
              <w:t>《</w:t>
            </w:r>
            <w:r>
              <w:rPr>
                <w:rFonts w:ascii="宋体" w:hAnsi="宋体" w:eastAsia="宋体" w:cs="宋体"/>
                <w:spacing w:val="-27"/>
                <w:sz w:val="24"/>
                <w:szCs w:val="24"/>
              </w:rPr>
              <w:t xml:space="preserve"> </w:t>
            </w:r>
            <w:r>
              <w:rPr>
                <w:rFonts w:ascii="宋体" w:hAnsi="宋体" w:eastAsia="宋体" w:cs="宋体"/>
                <w:spacing w:val="-10"/>
                <w:sz w:val="24"/>
                <w:szCs w:val="24"/>
              </w:rPr>
              <w:t>建</w:t>
            </w:r>
            <w:r>
              <w:rPr>
                <w:rFonts w:ascii="宋体" w:hAnsi="宋体" w:eastAsia="宋体" w:cs="宋体"/>
                <w:spacing w:val="-51"/>
                <w:sz w:val="24"/>
                <w:szCs w:val="24"/>
              </w:rPr>
              <w:t xml:space="preserve"> </w:t>
            </w:r>
            <w:r>
              <w:rPr>
                <w:rFonts w:ascii="宋体" w:hAnsi="宋体" w:eastAsia="宋体" w:cs="宋体"/>
                <w:spacing w:val="-10"/>
                <w:sz w:val="24"/>
                <w:szCs w:val="24"/>
              </w:rPr>
              <w:t>筑</w:t>
            </w:r>
            <w:r>
              <w:rPr>
                <w:rFonts w:ascii="宋体" w:hAnsi="宋体" w:eastAsia="宋体" w:cs="宋体"/>
                <w:spacing w:val="-57"/>
                <w:sz w:val="24"/>
                <w:szCs w:val="24"/>
              </w:rPr>
              <w:t xml:space="preserve"> </w:t>
            </w:r>
            <w:r>
              <w:rPr>
                <w:rFonts w:ascii="宋体" w:hAnsi="宋体" w:eastAsia="宋体" w:cs="宋体"/>
                <w:spacing w:val="-10"/>
                <w:sz w:val="24"/>
                <w:szCs w:val="24"/>
              </w:rPr>
              <w:t>施工</w:t>
            </w:r>
            <w:r>
              <w:rPr>
                <w:rFonts w:ascii="宋体" w:hAnsi="宋体" w:eastAsia="宋体" w:cs="宋体"/>
                <w:spacing w:val="-44"/>
                <w:sz w:val="24"/>
                <w:szCs w:val="24"/>
              </w:rPr>
              <w:t xml:space="preserve"> </w:t>
            </w:r>
            <w:r>
              <w:rPr>
                <w:rFonts w:ascii="宋体" w:hAnsi="宋体" w:eastAsia="宋体" w:cs="宋体"/>
                <w:spacing w:val="-10"/>
                <w:sz w:val="24"/>
                <w:szCs w:val="24"/>
              </w:rPr>
              <w:t>噪</w:t>
            </w:r>
            <w:r>
              <w:rPr>
                <w:rFonts w:ascii="宋体" w:hAnsi="宋体" w:eastAsia="宋体" w:cs="宋体"/>
                <w:spacing w:val="-48"/>
                <w:sz w:val="24"/>
                <w:szCs w:val="24"/>
              </w:rPr>
              <w:t xml:space="preserve"> </w:t>
            </w:r>
            <w:r>
              <w:rPr>
                <w:rFonts w:ascii="宋体" w:hAnsi="宋体" w:eastAsia="宋体" w:cs="宋体"/>
                <w:spacing w:val="-10"/>
                <w:sz w:val="24"/>
                <w:szCs w:val="24"/>
              </w:rPr>
              <w:t>声</w:t>
            </w:r>
            <w:r>
              <w:rPr>
                <w:rFonts w:ascii="宋体" w:hAnsi="宋体" w:eastAsia="宋体" w:cs="宋体"/>
                <w:spacing w:val="-53"/>
                <w:sz w:val="24"/>
                <w:szCs w:val="24"/>
              </w:rPr>
              <w:t xml:space="preserve"> </w:t>
            </w:r>
            <w:r>
              <w:rPr>
                <w:rFonts w:ascii="宋体" w:hAnsi="宋体" w:eastAsia="宋体" w:cs="宋体"/>
                <w:spacing w:val="-11"/>
                <w:sz w:val="24"/>
                <w:szCs w:val="24"/>
              </w:rPr>
              <w:t>排</w:t>
            </w:r>
            <w:r>
              <w:rPr>
                <w:rFonts w:ascii="宋体" w:hAnsi="宋体" w:eastAsia="宋体" w:cs="宋体"/>
                <w:spacing w:val="-56"/>
                <w:sz w:val="24"/>
                <w:szCs w:val="24"/>
              </w:rPr>
              <w:t xml:space="preserve"> </w:t>
            </w:r>
            <w:r>
              <w:rPr>
                <w:rFonts w:ascii="宋体" w:hAnsi="宋体" w:eastAsia="宋体" w:cs="宋体"/>
                <w:spacing w:val="-11"/>
                <w:sz w:val="24"/>
                <w:szCs w:val="24"/>
              </w:rPr>
              <w:t>放</w:t>
            </w:r>
            <w:r>
              <w:rPr>
                <w:rFonts w:ascii="宋体" w:hAnsi="宋体" w:eastAsia="宋体" w:cs="宋体"/>
                <w:spacing w:val="-52"/>
                <w:sz w:val="24"/>
                <w:szCs w:val="24"/>
              </w:rPr>
              <w:t xml:space="preserve"> </w:t>
            </w:r>
            <w:r>
              <w:rPr>
                <w:rFonts w:ascii="宋体" w:hAnsi="宋体" w:eastAsia="宋体" w:cs="宋体"/>
                <w:spacing w:val="-11"/>
                <w:sz w:val="24"/>
                <w:szCs w:val="24"/>
              </w:rPr>
              <w:t>标</w:t>
            </w:r>
            <w:r>
              <w:rPr>
                <w:rFonts w:ascii="宋体" w:hAnsi="宋体" w:eastAsia="宋体" w:cs="宋体"/>
                <w:spacing w:val="-53"/>
                <w:sz w:val="24"/>
                <w:szCs w:val="24"/>
              </w:rPr>
              <w:t xml:space="preserve"> </w:t>
            </w:r>
            <w:r>
              <w:rPr>
                <w:rFonts w:ascii="宋体" w:hAnsi="宋体" w:eastAsia="宋体" w:cs="宋体"/>
                <w:spacing w:val="-11"/>
                <w:sz w:val="24"/>
                <w:szCs w:val="24"/>
              </w:rPr>
              <w:t>准</w:t>
            </w:r>
            <w:r>
              <w:rPr>
                <w:rFonts w:ascii="宋体" w:hAnsi="宋体" w:eastAsia="宋体" w:cs="宋体"/>
                <w:spacing w:val="-62"/>
                <w:sz w:val="24"/>
                <w:szCs w:val="24"/>
              </w:rPr>
              <w:t xml:space="preserve"> </w:t>
            </w:r>
            <w:r>
              <w:rPr>
                <w:rFonts w:ascii="宋体" w:hAnsi="宋体" w:eastAsia="宋体" w:cs="宋体"/>
                <w:spacing w:val="-11"/>
                <w:sz w:val="24"/>
                <w:szCs w:val="24"/>
              </w:rPr>
              <w:t>》</w:t>
            </w:r>
            <w:r>
              <w:rPr>
                <w:rFonts w:ascii="宋体" w:hAnsi="宋体" w:eastAsia="宋体" w:cs="宋体"/>
                <w:sz w:val="24"/>
                <w:szCs w:val="24"/>
              </w:rPr>
              <w:t xml:space="preserve"> </w:t>
            </w:r>
            <w:r>
              <w:rPr>
                <w:rFonts w:ascii="宋体" w:hAnsi="宋体" w:eastAsia="宋体" w:cs="宋体"/>
                <w:spacing w:val="-2"/>
                <w:sz w:val="24"/>
                <w:szCs w:val="24"/>
              </w:rPr>
              <w:t>（</w:t>
            </w:r>
            <w:r>
              <w:rPr>
                <w:rFonts w:ascii="Times New Roman" w:hAnsi="Times New Roman" w:eastAsia="Times New Roman" w:cs="Times New Roman"/>
                <w:spacing w:val="-2"/>
                <w:sz w:val="24"/>
                <w:szCs w:val="24"/>
              </w:rPr>
              <w:t>GB12523-2025</w:t>
            </w:r>
            <w:r>
              <w:rPr>
                <w:rFonts w:ascii="宋体" w:hAnsi="宋体" w:eastAsia="宋体" w:cs="宋体"/>
                <w:spacing w:val="-2"/>
                <w:sz w:val="24"/>
                <w:szCs w:val="24"/>
              </w:rPr>
              <w:t>）。</w:t>
            </w:r>
          </w:p>
          <w:p w14:paraId="40A72662">
            <w:pPr>
              <w:spacing w:line="209" w:lineRule="auto"/>
              <w:ind w:left="1327"/>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29"/>
                <w:sz w:val="20"/>
                <w:szCs w:val="20"/>
              </w:rPr>
              <w:t xml:space="preserve"> </w:t>
            </w:r>
            <w:r>
              <w:rPr>
                <w:rFonts w:ascii="Times New Roman" w:hAnsi="Times New Roman" w:eastAsia="Times New Roman" w:cs="Times New Roman"/>
                <w:b/>
                <w:bCs/>
                <w:spacing w:val="6"/>
                <w:sz w:val="20"/>
                <w:szCs w:val="20"/>
              </w:rPr>
              <w:t xml:space="preserve">3-7      </w:t>
            </w:r>
            <w:r>
              <w:rPr>
                <w:rFonts w:ascii="宋体" w:hAnsi="宋体" w:eastAsia="宋体" w:cs="宋体"/>
                <w:b/>
                <w:bCs/>
                <w:spacing w:val="6"/>
                <w:sz w:val="20"/>
                <w:szCs w:val="20"/>
              </w:rPr>
              <w:t>建筑施工厂界环境噪声排放标准</w:t>
            </w:r>
            <w:r>
              <w:rPr>
                <w:rFonts w:ascii="宋体" w:hAnsi="宋体" w:eastAsia="宋体" w:cs="宋体"/>
                <w:spacing w:val="6"/>
                <w:sz w:val="20"/>
                <w:szCs w:val="20"/>
              </w:rPr>
              <w:t xml:space="preserve">    </w:t>
            </w:r>
            <w:r>
              <w:rPr>
                <w:rFonts w:ascii="宋体" w:hAnsi="宋体" w:eastAsia="宋体" w:cs="宋体"/>
                <w:b/>
                <w:bCs/>
                <w:spacing w:val="6"/>
                <w:sz w:val="20"/>
                <w:szCs w:val="20"/>
              </w:rPr>
              <w:t>单位：</w:t>
            </w:r>
            <w:r>
              <w:rPr>
                <w:rFonts w:ascii="Times New Roman" w:hAnsi="Times New Roman" w:eastAsia="Times New Roman" w:cs="Times New Roman"/>
                <w:b/>
                <w:bCs/>
                <w:sz w:val="20"/>
                <w:szCs w:val="20"/>
              </w:rPr>
              <w:t>dB</w:t>
            </w:r>
            <w:r>
              <w:rPr>
                <w:rFonts w:ascii="宋体" w:hAnsi="宋体" w:eastAsia="宋体" w:cs="宋体"/>
                <w:b/>
                <w:bCs/>
                <w:spacing w:val="6"/>
                <w:sz w:val="20"/>
                <w:szCs w:val="20"/>
              </w:rPr>
              <w:t>（</w:t>
            </w:r>
            <w:r>
              <w:rPr>
                <w:rFonts w:ascii="Times New Roman" w:hAnsi="Times New Roman" w:eastAsia="Times New Roman" w:cs="Times New Roman"/>
                <w:b/>
                <w:bCs/>
                <w:spacing w:val="6"/>
                <w:sz w:val="20"/>
                <w:szCs w:val="20"/>
              </w:rPr>
              <w:t>A</w:t>
            </w:r>
            <w:r>
              <w:rPr>
                <w:rFonts w:ascii="宋体" w:hAnsi="宋体" w:eastAsia="宋体" w:cs="宋体"/>
                <w:b/>
                <w:bCs/>
                <w:spacing w:val="6"/>
                <w:sz w:val="20"/>
                <w:szCs w:val="20"/>
              </w:rPr>
              <w:t>）</w:t>
            </w:r>
          </w:p>
        </w:tc>
      </w:tr>
      <w:tr w14:paraId="2A853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48528132">
            <w:pPr>
              <w:rPr>
                <w:rFonts w:ascii="Arial"/>
                <w:sz w:val="21"/>
              </w:rPr>
            </w:pPr>
          </w:p>
        </w:tc>
        <w:tc>
          <w:tcPr>
            <w:tcW w:w="113" w:type="dxa"/>
            <w:tcBorders>
              <w:top w:val="nil"/>
              <w:bottom w:val="nil"/>
            </w:tcBorders>
            <w:vAlign w:val="top"/>
          </w:tcPr>
          <w:p w14:paraId="1202DA55">
            <w:pPr>
              <w:rPr>
                <w:rFonts w:ascii="Arial"/>
                <w:sz w:val="21"/>
              </w:rPr>
            </w:pPr>
          </w:p>
        </w:tc>
        <w:tc>
          <w:tcPr>
            <w:tcW w:w="1386" w:type="dxa"/>
            <w:gridSpan w:val="2"/>
            <w:vAlign w:val="top"/>
          </w:tcPr>
          <w:p w14:paraId="1DDA4EDF">
            <w:pPr>
              <w:spacing w:before="38" w:line="231" w:lineRule="auto"/>
              <w:ind w:left="482"/>
              <w:rPr>
                <w:rFonts w:ascii="宋体" w:hAnsi="宋体" w:eastAsia="宋体" w:cs="宋体"/>
                <w:sz w:val="20"/>
                <w:szCs w:val="20"/>
              </w:rPr>
            </w:pPr>
            <w:r>
              <w:rPr>
                <w:rFonts w:ascii="宋体" w:hAnsi="宋体" w:eastAsia="宋体" w:cs="宋体"/>
                <w:b/>
                <w:bCs/>
                <w:spacing w:val="4"/>
                <w:sz w:val="20"/>
                <w:szCs w:val="20"/>
              </w:rPr>
              <w:t>昼间</w:t>
            </w:r>
          </w:p>
        </w:tc>
        <w:tc>
          <w:tcPr>
            <w:tcW w:w="1483" w:type="dxa"/>
            <w:gridSpan w:val="3"/>
            <w:vAlign w:val="top"/>
          </w:tcPr>
          <w:p w14:paraId="2326C86A">
            <w:pPr>
              <w:spacing w:before="38" w:line="228" w:lineRule="auto"/>
              <w:ind w:left="536"/>
              <w:rPr>
                <w:rFonts w:ascii="宋体" w:hAnsi="宋体" w:eastAsia="宋体" w:cs="宋体"/>
                <w:sz w:val="20"/>
                <w:szCs w:val="20"/>
              </w:rPr>
            </w:pPr>
            <w:r>
              <w:rPr>
                <w:rFonts w:ascii="宋体" w:hAnsi="宋体" w:eastAsia="宋体" w:cs="宋体"/>
                <w:b/>
                <w:bCs/>
                <w:spacing w:val="2"/>
                <w:sz w:val="20"/>
                <w:szCs w:val="20"/>
              </w:rPr>
              <w:t>夜间</w:t>
            </w:r>
          </w:p>
        </w:tc>
        <w:tc>
          <w:tcPr>
            <w:tcW w:w="5242" w:type="dxa"/>
            <w:gridSpan w:val="3"/>
            <w:vAlign w:val="top"/>
          </w:tcPr>
          <w:p w14:paraId="39FE9B1C">
            <w:pPr>
              <w:spacing w:before="39" w:line="228" w:lineRule="auto"/>
              <w:ind w:left="2420"/>
              <w:rPr>
                <w:rFonts w:ascii="宋体" w:hAnsi="宋体" w:eastAsia="宋体" w:cs="宋体"/>
                <w:sz w:val="20"/>
                <w:szCs w:val="20"/>
              </w:rPr>
            </w:pPr>
            <w:r>
              <w:rPr>
                <w:rFonts w:ascii="宋体" w:hAnsi="宋体" w:eastAsia="宋体" w:cs="宋体"/>
                <w:b/>
                <w:bCs/>
                <w:spacing w:val="3"/>
                <w:sz w:val="20"/>
                <w:szCs w:val="20"/>
              </w:rPr>
              <w:t>标准</w:t>
            </w:r>
          </w:p>
        </w:tc>
        <w:tc>
          <w:tcPr>
            <w:tcW w:w="124" w:type="dxa"/>
            <w:tcBorders>
              <w:top w:val="nil"/>
              <w:bottom w:val="nil"/>
              <w:right w:val="single" w:color="000000" w:sz="6" w:space="0"/>
            </w:tcBorders>
            <w:vAlign w:val="top"/>
          </w:tcPr>
          <w:p w14:paraId="15CC562E">
            <w:pPr>
              <w:rPr>
                <w:rFonts w:ascii="Arial"/>
                <w:sz w:val="21"/>
              </w:rPr>
            </w:pPr>
          </w:p>
        </w:tc>
      </w:tr>
      <w:tr w14:paraId="0D974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17" w:type="dxa"/>
            <w:vMerge w:val="continue"/>
            <w:tcBorders>
              <w:top w:val="nil"/>
              <w:left w:val="single" w:color="000000" w:sz="6" w:space="0"/>
              <w:bottom w:val="nil"/>
            </w:tcBorders>
            <w:vAlign w:val="top"/>
          </w:tcPr>
          <w:p w14:paraId="5A8D0612">
            <w:pPr>
              <w:rPr>
                <w:rFonts w:ascii="Arial"/>
                <w:sz w:val="21"/>
              </w:rPr>
            </w:pPr>
          </w:p>
        </w:tc>
        <w:tc>
          <w:tcPr>
            <w:tcW w:w="113" w:type="dxa"/>
            <w:tcBorders>
              <w:top w:val="nil"/>
              <w:bottom w:val="nil"/>
            </w:tcBorders>
            <w:vAlign w:val="top"/>
          </w:tcPr>
          <w:p w14:paraId="6DEC01B0">
            <w:pPr>
              <w:rPr>
                <w:rFonts w:ascii="Arial"/>
                <w:sz w:val="21"/>
              </w:rPr>
            </w:pPr>
          </w:p>
        </w:tc>
        <w:tc>
          <w:tcPr>
            <w:tcW w:w="1386" w:type="dxa"/>
            <w:gridSpan w:val="2"/>
            <w:vAlign w:val="top"/>
          </w:tcPr>
          <w:p w14:paraId="1181BD85">
            <w:pPr>
              <w:spacing w:before="84" w:line="195" w:lineRule="auto"/>
              <w:ind w:left="58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1483" w:type="dxa"/>
            <w:gridSpan w:val="3"/>
            <w:vAlign w:val="top"/>
          </w:tcPr>
          <w:p w14:paraId="6AA7627D">
            <w:pPr>
              <w:spacing w:before="87" w:line="192" w:lineRule="auto"/>
              <w:ind w:left="642"/>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5242" w:type="dxa"/>
            <w:gridSpan w:val="3"/>
            <w:vAlign w:val="top"/>
          </w:tcPr>
          <w:p w14:paraId="73D37955">
            <w:pPr>
              <w:spacing w:before="41" w:line="228" w:lineRule="auto"/>
              <w:ind w:left="511"/>
              <w:rPr>
                <w:rFonts w:ascii="宋体" w:hAnsi="宋体" w:eastAsia="宋体" w:cs="宋体"/>
                <w:sz w:val="20"/>
                <w:szCs w:val="20"/>
              </w:rPr>
            </w:pPr>
            <w:r>
              <w:rPr>
                <w:rFonts w:ascii="宋体" w:hAnsi="宋体" w:eastAsia="宋体" w:cs="宋体"/>
                <w:spacing w:val="7"/>
                <w:sz w:val="20"/>
                <w:szCs w:val="20"/>
              </w:rPr>
              <w:t>《建筑施工噪声排放标准》（</w:t>
            </w:r>
            <w:r>
              <w:rPr>
                <w:rFonts w:ascii="Times New Roman" w:hAnsi="Times New Roman" w:eastAsia="Times New Roman" w:cs="Times New Roman"/>
                <w:sz w:val="20"/>
                <w:szCs w:val="20"/>
              </w:rPr>
              <w:t>GB</w:t>
            </w:r>
            <w:r>
              <w:rPr>
                <w:rFonts w:ascii="Times New Roman" w:hAnsi="Times New Roman" w:eastAsia="Times New Roman" w:cs="Times New Roman"/>
                <w:spacing w:val="7"/>
                <w:sz w:val="20"/>
                <w:szCs w:val="20"/>
              </w:rPr>
              <w:t>12523-2025</w:t>
            </w:r>
            <w:r>
              <w:rPr>
                <w:rFonts w:ascii="宋体" w:hAnsi="宋体" w:eastAsia="宋体" w:cs="宋体"/>
                <w:spacing w:val="7"/>
                <w:sz w:val="20"/>
                <w:szCs w:val="20"/>
              </w:rPr>
              <w:t>）</w:t>
            </w:r>
          </w:p>
        </w:tc>
        <w:tc>
          <w:tcPr>
            <w:tcW w:w="124" w:type="dxa"/>
            <w:tcBorders>
              <w:top w:val="nil"/>
              <w:bottom w:val="nil"/>
              <w:right w:val="single" w:color="000000" w:sz="6" w:space="0"/>
            </w:tcBorders>
            <w:vAlign w:val="top"/>
          </w:tcPr>
          <w:p w14:paraId="2CCA5FE0">
            <w:pPr>
              <w:rPr>
                <w:rFonts w:ascii="Arial"/>
                <w:sz w:val="21"/>
              </w:rPr>
            </w:pPr>
          </w:p>
        </w:tc>
      </w:tr>
      <w:tr w14:paraId="038B0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9" w:hRule="atLeast"/>
        </w:trPr>
        <w:tc>
          <w:tcPr>
            <w:tcW w:w="717" w:type="dxa"/>
            <w:vMerge w:val="continue"/>
            <w:tcBorders>
              <w:top w:val="nil"/>
              <w:left w:val="single" w:color="000000" w:sz="6" w:space="0"/>
              <w:bottom w:val="nil"/>
            </w:tcBorders>
            <w:vAlign w:val="top"/>
          </w:tcPr>
          <w:p w14:paraId="3FE5A073">
            <w:pPr>
              <w:rPr>
                <w:rFonts w:ascii="Arial"/>
                <w:sz w:val="21"/>
              </w:rPr>
            </w:pPr>
          </w:p>
        </w:tc>
        <w:tc>
          <w:tcPr>
            <w:tcW w:w="8348" w:type="dxa"/>
            <w:gridSpan w:val="10"/>
            <w:tcBorders>
              <w:right w:val="single" w:color="000000" w:sz="6" w:space="0"/>
            </w:tcBorders>
            <w:vAlign w:val="top"/>
          </w:tcPr>
          <w:p w14:paraId="52090C32">
            <w:pPr>
              <w:spacing w:before="46" w:line="220" w:lineRule="auto"/>
              <w:ind w:left="591"/>
              <w:rPr>
                <w:rFonts w:ascii="宋体" w:hAnsi="宋体" w:eastAsia="宋体" w:cs="宋体"/>
                <w:sz w:val="24"/>
                <w:szCs w:val="24"/>
              </w:rPr>
            </w:pPr>
            <w:r>
              <w:rPr>
                <w:rFonts w:ascii="宋体" w:hAnsi="宋体" w:eastAsia="宋体" w:cs="宋体"/>
                <w:b/>
                <w:bCs/>
                <w:spacing w:val="-4"/>
                <w:sz w:val="24"/>
                <w:szCs w:val="24"/>
              </w:rPr>
              <w:t>二、运营期：</w:t>
            </w:r>
          </w:p>
          <w:p w14:paraId="2D748B00">
            <w:pPr>
              <w:spacing w:before="179" w:line="219" w:lineRule="auto"/>
              <w:ind w:left="594"/>
              <w:rPr>
                <w:rFonts w:ascii="宋体" w:hAnsi="宋体" w:eastAsia="宋体" w:cs="宋体"/>
                <w:sz w:val="24"/>
                <w:szCs w:val="24"/>
              </w:rPr>
            </w:pPr>
            <w:r>
              <w:rPr>
                <w:rFonts w:ascii="Times New Roman" w:hAnsi="Times New Roman" w:eastAsia="Times New Roman" w:cs="Times New Roman"/>
                <w:b/>
                <w:bCs/>
                <w:spacing w:val="-12"/>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b/>
                <w:bCs/>
                <w:spacing w:val="-12"/>
                <w:sz w:val="24"/>
                <w:szCs w:val="24"/>
              </w:rPr>
              <w:t>、废水</w:t>
            </w:r>
          </w:p>
          <w:p w14:paraId="51119529">
            <w:pPr>
              <w:spacing w:before="184" w:line="356" w:lineRule="auto"/>
              <w:ind w:left="111" w:right="23" w:firstLine="478"/>
              <w:jc w:val="both"/>
              <w:rPr>
                <w:rFonts w:ascii="宋体" w:hAnsi="宋体" w:eastAsia="宋体" w:cs="宋体"/>
                <w:sz w:val="24"/>
                <w:szCs w:val="24"/>
              </w:rPr>
            </w:pPr>
            <w:r>
              <w:rPr>
                <w:rFonts w:ascii="宋体" w:hAnsi="宋体" w:eastAsia="宋体" w:cs="宋体"/>
                <w:spacing w:val="2"/>
                <w:sz w:val="24"/>
                <w:szCs w:val="24"/>
              </w:rPr>
              <w:t>本项目废水主要为生活污水，依托现有的化粪池</w:t>
            </w:r>
            <w:r>
              <w:rPr>
                <w:rFonts w:ascii="Times New Roman" w:hAnsi="Times New Roman" w:eastAsia="Times New Roman" w:cs="Times New Roman"/>
                <w:spacing w:val="2"/>
                <w:sz w:val="24"/>
                <w:szCs w:val="24"/>
              </w:rPr>
              <w:t>+</w:t>
            </w:r>
            <w:r>
              <w:rPr>
                <w:rFonts w:ascii="宋体" w:hAnsi="宋体" w:eastAsia="宋体" w:cs="宋体"/>
                <w:spacing w:val="2"/>
                <w:sz w:val="24"/>
                <w:szCs w:val="24"/>
              </w:rPr>
              <w:t>一体化污水处理设施处</w:t>
            </w:r>
            <w:r>
              <w:rPr>
                <w:rFonts w:ascii="宋体" w:hAnsi="宋体" w:eastAsia="宋体" w:cs="宋体"/>
                <w:sz w:val="24"/>
                <w:szCs w:val="24"/>
              </w:rPr>
              <w:t>理后达到《城市污水再生利用城市杂用水水质》</w:t>
            </w:r>
            <w:r>
              <w:rPr>
                <w:rFonts w:ascii="Times New Roman" w:hAnsi="Times New Roman" w:eastAsia="Times New Roman" w:cs="Times New Roman"/>
                <w:sz w:val="24"/>
                <w:szCs w:val="24"/>
              </w:rPr>
              <w:t>(GB/T18920-2020)</w:t>
            </w:r>
            <w:r>
              <w:rPr>
                <w:rFonts w:ascii="宋体" w:hAnsi="宋体" w:eastAsia="宋体" w:cs="宋体"/>
                <w:sz w:val="24"/>
                <w:szCs w:val="24"/>
              </w:rPr>
              <w:t>标准，晴天</w:t>
            </w:r>
            <w:r>
              <w:rPr>
                <w:rFonts w:ascii="宋体" w:hAnsi="宋体" w:eastAsia="宋体" w:cs="宋体"/>
                <w:spacing w:val="-6"/>
                <w:sz w:val="24"/>
                <w:szCs w:val="24"/>
              </w:rPr>
              <w:t>回用作为绿化浇灌，雨天储存于蓄水池中待晴天再回用绿化浇灌。无废水外排。</w:t>
            </w:r>
          </w:p>
          <w:p w14:paraId="31E465A8">
            <w:pPr>
              <w:spacing w:before="7" w:line="205" w:lineRule="auto"/>
              <w:ind w:left="2004"/>
              <w:rPr>
                <w:rFonts w:ascii="宋体" w:hAnsi="宋体" w:eastAsia="宋体" w:cs="宋体"/>
                <w:sz w:val="20"/>
                <w:szCs w:val="20"/>
              </w:rPr>
            </w:pPr>
            <w:r>
              <w:rPr>
                <w:rFonts w:ascii="宋体" w:hAnsi="宋体" w:eastAsia="宋体" w:cs="宋体"/>
                <w:b/>
                <w:bCs/>
                <w:spacing w:val="7"/>
                <w:sz w:val="20"/>
                <w:szCs w:val="20"/>
              </w:rPr>
              <w:t>表</w:t>
            </w:r>
            <w:r>
              <w:rPr>
                <w:rFonts w:ascii="宋体" w:hAnsi="宋体" w:eastAsia="宋体" w:cs="宋体"/>
                <w:spacing w:val="-41"/>
                <w:sz w:val="20"/>
                <w:szCs w:val="20"/>
              </w:rPr>
              <w:t xml:space="preserve"> </w:t>
            </w:r>
            <w:r>
              <w:rPr>
                <w:rFonts w:ascii="Times New Roman" w:hAnsi="Times New Roman" w:eastAsia="Times New Roman" w:cs="Times New Roman"/>
                <w:b/>
                <w:bCs/>
                <w:spacing w:val="7"/>
                <w:sz w:val="20"/>
                <w:szCs w:val="20"/>
              </w:rPr>
              <w:t xml:space="preserve">3-8    </w:t>
            </w:r>
            <w:r>
              <w:rPr>
                <w:rFonts w:ascii="宋体" w:hAnsi="宋体" w:eastAsia="宋体" w:cs="宋体"/>
                <w:b/>
                <w:bCs/>
                <w:spacing w:val="7"/>
                <w:sz w:val="20"/>
                <w:szCs w:val="20"/>
              </w:rPr>
              <w:t>《城市污水再生利用城市</w:t>
            </w:r>
            <w:r>
              <w:rPr>
                <w:rFonts w:ascii="宋体" w:hAnsi="宋体" w:eastAsia="宋体" w:cs="宋体"/>
                <w:b/>
                <w:bCs/>
                <w:spacing w:val="6"/>
                <w:sz w:val="20"/>
                <w:szCs w:val="20"/>
              </w:rPr>
              <w:t>杂用水水质》标准</w:t>
            </w:r>
          </w:p>
        </w:tc>
      </w:tr>
      <w:tr w14:paraId="3AD38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17" w:type="dxa"/>
            <w:vMerge w:val="continue"/>
            <w:tcBorders>
              <w:top w:val="nil"/>
              <w:left w:val="single" w:color="000000" w:sz="6" w:space="0"/>
              <w:bottom w:val="nil"/>
            </w:tcBorders>
            <w:vAlign w:val="top"/>
          </w:tcPr>
          <w:p w14:paraId="05600606">
            <w:pPr>
              <w:rPr>
                <w:rFonts w:ascii="Arial"/>
                <w:sz w:val="21"/>
              </w:rPr>
            </w:pPr>
          </w:p>
        </w:tc>
        <w:tc>
          <w:tcPr>
            <w:tcW w:w="113" w:type="dxa"/>
            <w:tcBorders>
              <w:top w:val="nil"/>
              <w:bottom w:val="nil"/>
            </w:tcBorders>
            <w:vAlign w:val="top"/>
          </w:tcPr>
          <w:p w14:paraId="6B40E1AA">
            <w:pPr>
              <w:rPr>
                <w:rFonts w:ascii="Arial"/>
                <w:sz w:val="21"/>
              </w:rPr>
            </w:pPr>
          </w:p>
        </w:tc>
        <w:tc>
          <w:tcPr>
            <w:tcW w:w="2704" w:type="dxa"/>
            <w:gridSpan w:val="4"/>
            <w:vAlign w:val="top"/>
          </w:tcPr>
          <w:p w14:paraId="135EEDA2">
            <w:pPr>
              <w:spacing w:before="248" w:line="228" w:lineRule="auto"/>
              <w:ind w:left="1146"/>
              <w:rPr>
                <w:rFonts w:ascii="宋体" w:hAnsi="宋体" w:eastAsia="宋体" w:cs="宋体"/>
                <w:sz w:val="20"/>
                <w:szCs w:val="20"/>
              </w:rPr>
            </w:pPr>
            <w:r>
              <w:rPr>
                <w:rFonts w:ascii="宋体" w:hAnsi="宋体" w:eastAsia="宋体" w:cs="宋体"/>
                <w:b/>
                <w:bCs/>
                <w:spacing w:val="2"/>
                <w:sz w:val="20"/>
                <w:szCs w:val="20"/>
              </w:rPr>
              <w:t>项目</w:t>
            </w:r>
          </w:p>
        </w:tc>
        <w:tc>
          <w:tcPr>
            <w:tcW w:w="1470" w:type="dxa"/>
            <w:gridSpan w:val="2"/>
            <w:vAlign w:val="top"/>
          </w:tcPr>
          <w:p w14:paraId="39D3E45A">
            <w:pPr>
              <w:spacing w:before="248" w:line="228" w:lineRule="auto"/>
              <w:ind w:left="529"/>
              <w:rPr>
                <w:rFonts w:ascii="宋体" w:hAnsi="宋体" w:eastAsia="宋体" w:cs="宋体"/>
                <w:sz w:val="20"/>
                <w:szCs w:val="20"/>
              </w:rPr>
            </w:pPr>
            <w:r>
              <w:rPr>
                <w:rFonts w:ascii="宋体" w:hAnsi="宋体" w:eastAsia="宋体" w:cs="宋体"/>
                <w:b/>
                <w:bCs/>
                <w:spacing w:val="3"/>
                <w:sz w:val="20"/>
                <w:szCs w:val="20"/>
              </w:rPr>
              <w:t>单位</w:t>
            </w:r>
          </w:p>
        </w:tc>
        <w:tc>
          <w:tcPr>
            <w:tcW w:w="3937" w:type="dxa"/>
            <w:gridSpan w:val="2"/>
            <w:vAlign w:val="top"/>
          </w:tcPr>
          <w:p w14:paraId="70158FA8">
            <w:pPr>
              <w:spacing w:before="44" w:line="354" w:lineRule="auto"/>
              <w:ind w:left="516" w:right="186" w:hanging="326"/>
              <w:rPr>
                <w:rFonts w:ascii="宋体" w:hAnsi="宋体" w:eastAsia="宋体" w:cs="宋体"/>
                <w:sz w:val="20"/>
                <w:szCs w:val="20"/>
              </w:rPr>
            </w:pPr>
            <w:r>
              <w:rPr>
                <w:rFonts w:ascii="宋体" w:hAnsi="宋体" w:eastAsia="宋体" w:cs="宋体"/>
                <w:b/>
                <w:bCs/>
                <w:spacing w:val="6"/>
                <w:sz w:val="20"/>
                <w:szCs w:val="20"/>
              </w:rPr>
              <w:t>《城市污水再生利用城市杂用水水质》</w:t>
            </w:r>
            <w:r>
              <w:rPr>
                <w:rFonts w:ascii="宋体" w:hAnsi="宋体" w:eastAsia="宋体" w:cs="宋体"/>
                <w:spacing w:val="15"/>
                <w:sz w:val="20"/>
                <w:szCs w:val="20"/>
              </w:rPr>
              <w:t xml:space="preserve"> </w:t>
            </w:r>
            <w:r>
              <w:rPr>
                <w:rFonts w:ascii="Times New Roman" w:hAnsi="Times New Roman" w:eastAsia="Times New Roman" w:cs="Times New Roman"/>
                <w:b/>
                <w:bCs/>
                <w:spacing w:val="5"/>
                <w:sz w:val="20"/>
                <w:szCs w:val="20"/>
              </w:rPr>
              <w:t>(</w:t>
            </w:r>
            <w:r>
              <w:rPr>
                <w:rFonts w:ascii="Times New Roman" w:hAnsi="Times New Roman" w:eastAsia="Times New Roman" w:cs="Times New Roman"/>
                <w:b/>
                <w:bCs/>
                <w:sz w:val="20"/>
                <w:szCs w:val="20"/>
              </w:rPr>
              <w:t>GB</w:t>
            </w:r>
            <w:r>
              <w:rPr>
                <w:rFonts w:ascii="Times New Roman" w:hAnsi="Times New Roman" w:eastAsia="Times New Roman" w:cs="Times New Roman"/>
                <w:b/>
                <w:bCs/>
                <w:spacing w:val="5"/>
                <w:sz w:val="20"/>
                <w:szCs w:val="20"/>
              </w:rPr>
              <w:t>/T18920-2020)</w:t>
            </w:r>
            <w:r>
              <w:rPr>
                <w:rFonts w:ascii="宋体" w:hAnsi="宋体" w:eastAsia="宋体" w:cs="宋体"/>
                <w:b/>
                <w:bCs/>
                <w:spacing w:val="5"/>
                <w:sz w:val="20"/>
                <w:szCs w:val="20"/>
              </w:rPr>
              <w:t>城市绿化标准</w:t>
            </w:r>
          </w:p>
        </w:tc>
        <w:tc>
          <w:tcPr>
            <w:tcW w:w="124" w:type="dxa"/>
            <w:tcBorders>
              <w:top w:val="nil"/>
              <w:bottom w:val="nil"/>
              <w:right w:val="single" w:color="000000" w:sz="6" w:space="0"/>
            </w:tcBorders>
            <w:vAlign w:val="top"/>
          </w:tcPr>
          <w:p w14:paraId="4F4A194B">
            <w:pPr>
              <w:rPr>
                <w:rFonts w:ascii="Arial"/>
                <w:sz w:val="21"/>
              </w:rPr>
            </w:pPr>
          </w:p>
        </w:tc>
      </w:tr>
      <w:tr w14:paraId="069D3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719822B7">
            <w:pPr>
              <w:rPr>
                <w:rFonts w:ascii="Arial"/>
                <w:sz w:val="21"/>
              </w:rPr>
            </w:pPr>
          </w:p>
        </w:tc>
        <w:tc>
          <w:tcPr>
            <w:tcW w:w="113" w:type="dxa"/>
            <w:tcBorders>
              <w:top w:val="nil"/>
              <w:bottom w:val="nil"/>
            </w:tcBorders>
            <w:vAlign w:val="top"/>
          </w:tcPr>
          <w:p w14:paraId="7C6A63B3">
            <w:pPr>
              <w:rPr>
                <w:rFonts w:ascii="Arial"/>
                <w:sz w:val="21"/>
              </w:rPr>
            </w:pPr>
          </w:p>
        </w:tc>
        <w:tc>
          <w:tcPr>
            <w:tcW w:w="2704" w:type="dxa"/>
            <w:gridSpan w:val="4"/>
            <w:vAlign w:val="top"/>
          </w:tcPr>
          <w:p w14:paraId="6B7F4533">
            <w:pPr>
              <w:spacing w:before="91" w:line="194" w:lineRule="auto"/>
              <w:ind w:left="1216"/>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pH</w:t>
            </w:r>
          </w:p>
        </w:tc>
        <w:tc>
          <w:tcPr>
            <w:tcW w:w="1470" w:type="dxa"/>
            <w:gridSpan w:val="2"/>
            <w:vAlign w:val="top"/>
          </w:tcPr>
          <w:p w14:paraId="5C71CD10">
            <w:pPr>
              <w:spacing w:before="45" w:line="197" w:lineRule="auto"/>
              <w:ind w:left="426"/>
              <w:rPr>
                <w:rFonts w:ascii="宋体" w:hAnsi="宋体" w:eastAsia="宋体" w:cs="宋体"/>
                <w:sz w:val="20"/>
                <w:szCs w:val="20"/>
              </w:rPr>
            </w:pPr>
            <w:r>
              <w:rPr>
                <w:rFonts w:ascii="宋体" w:hAnsi="宋体" w:eastAsia="宋体" w:cs="宋体"/>
                <w:spacing w:val="6"/>
                <w:sz w:val="20"/>
                <w:szCs w:val="20"/>
              </w:rPr>
              <w:t>无</w:t>
            </w:r>
            <w:r>
              <w:rPr>
                <w:rFonts w:ascii="微软雅黑" w:hAnsi="微软雅黑" w:eastAsia="微软雅黑" w:cs="微软雅黑"/>
                <w:spacing w:val="6"/>
                <w:sz w:val="20"/>
                <w:szCs w:val="20"/>
              </w:rPr>
              <w:t>量</w:t>
            </w:r>
            <w:r>
              <w:rPr>
                <w:rFonts w:ascii="宋体" w:hAnsi="宋体" w:eastAsia="宋体" w:cs="宋体"/>
                <w:spacing w:val="6"/>
                <w:sz w:val="20"/>
                <w:szCs w:val="20"/>
              </w:rPr>
              <w:t>纲</w:t>
            </w:r>
          </w:p>
        </w:tc>
        <w:tc>
          <w:tcPr>
            <w:tcW w:w="3937" w:type="dxa"/>
            <w:gridSpan w:val="2"/>
            <w:vAlign w:val="top"/>
          </w:tcPr>
          <w:p w14:paraId="2D553FD1">
            <w:pPr>
              <w:spacing w:before="88" w:line="195" w:lineRule="auto"/>
              <w:ind w:left="1837"/>
              <w:rPr>
                <w:rFonts w:ascii="Times New Roman" w:hAnsi="Times New Roman" w:eastAsia="Times New Roman" w:cs="Times New Roman"/>
                <w:sz w:val="20"/>
                <w:szCs w:val="20"/>
              </w:rPr>
            </w:pPr>
            <w:r>
              <w:rPr>
                <w:rFonts w:ascii="Times New Roman" w:hAnsi="Times New Roman" w:eastAsia="Times New Roman" w:cs="Times New Roman"/>
                <w:sz w:val="20"/>
                <w:szCs w:val="20"/>
              </w:rPr>
              <w:t>6-9</w:t>
            </w:r>
          </w:p>
        </w:tc>
        <w:tc>
          <w:tcPr>
            <w:tcW w:w="124" w:type="dxa"/>
            <w:tcBorders>
              <w:top w:val="nil"/>
              <w:bottom w:val="nil"/>
              <w:right w:val="single" w:color="000000" w:sz="6" w:space="0"/>
            </w:tcBorders>
            <w:vAlign w:val="top"/>
          </w:tcPr>
          <w:p w14:paraId="068F32E2">
            <w:pPr>
              <w:rPr>
                <w:rFonts w:ascii="Arial"/>
                <w:sz w:val="21"/>
              </w:rPr>
            </w:pPr>
          </w:p>
        </w:tc>
      </w:tr>
      <w:tr w14:paraId="143D9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717" w:type="dxa"/>
            <w:vMerge w:val="continue"/>
            <w:tcBorders>
              <w:top w:val="nil"/>
              <w:left w:val="single" w:color="000000" w:sz="6" w:space="0"/>
              <w:bottom w:val="single" w:color="000000" w:sz="6" w:space="0"/>
            </w:tcBorders>
            <w:vAlign w:val="top"/>
          </w:tcPr>
          <w:p w14:paraId="22A44D3C">
            <w:pPr>
              <w:rPr>
                <w:rFonts w:ascii="Arial"/>
                <w:sz w:val="21"/>
              </w:rPr>
            </w:pPr>
          </w:p>
        </w:tc>
        <w:tc>
          <w:tcPr>
            <w:tcW w:w="113" w:type="dxa"/>
            <w:tcBorders>
              <w:top w:val="nil"/>
              <w:bottom w:val="single" w:color="000000" w:sz="6" w:space="0"/>
            </w:tcBorders>
            <w:vAlign w:val="top"/>
          </w:tcPr>
          <w:p w14:paraId="4ECCC26D">
            <w:pPr>
              <w:rPr>
                <w:rFonts w:ascii="Arial"/>
                <w:sz w:val="21"/>
              </w:rPr>
            </w:pPr>
          </w:p>
        </w:tc>
        <w:tc>
          <w:tcPr>
            <w:tcW w:w="2704" w:type="dxa"/>
            <w:gridSpan w:val="4"/>
            <w:tcBorders>
              <w:bottom w:val="single" w:color="000000" w:sz="6" w:space="0"/>
            </w:tcBorders>
            <w:vAlign w:val="top"/>
          </w:tcPr>
          <w:p w14:paraId="4B9C7244">
            <w:pPr>
              <w:spacing w:before="45" w:line="228" w:lineRule="auto"/>
              <w:ind w:left="1146"/>
              <w:rPr>
                <w:rFonts w:ascii="宋体" w:hAnsi="宋体" w:eastAsia="宋体" w:cs="宋体"/>
                <w:sz w:val="20"/>
                <w:szCs w:val="20"/>
              </w:rPr>
            </w:pPr>
            <w:r>
              <w:rPr>
                <w:rFonts w:ascii="宋体" w:hAnsi="宋体" w:eastAsia="宋体" w:cs="宋体"/>
                <w:spacing w:val="3"/>
                <w:sz w:val="20"/>
                <w:szCs w:val="20"/>
              </w:rPr>
              <w:t>色度</w:t>
            </w:r>
          </w:p>
        </w:tc>
        <w:tc>
          <w:tcPr>
            <w:tcW w:w="1470" w:type="dxa"/>
            <w:gridSpan w:val="2"/>
            <w:tcBorders>
              <w:bottom w:val="single" w:color="000000" w:sz="6" w:space="0"/>
            </w:tcBorders>
            <w:vAlign w:val="top"/>
          </w:tcPr>
          <w:p w14:paraId="3D244057">
            <w:pPr>
              <w:spacing w:before="45" w:line="228" w:lineRule="auto"/>
              <w:ind w:left="321"/>
              <w:rPr>
                <w:rFonts w:ascii="宋体" w:hAnsi="宋体" w:eastAsia="宋体" w:cs="宋体"/>
                <w:sz w:val="20"/>
                <w:szCs w:val="20"/>
              </w:rPr>
            </w:pPr>
            <w:r>
              <w:rPr>
                <w:rFonts w:ascii="宋体" w:hAnsi="宋体" w:eastAsia="宋体" w:cs="宋体"/>
                <w:spacing w:val="6"/>
                <w:sz w:val="20"/>
                <w:szCs w:val="20"/>
              </w:rPr>
              <w:t>色度单位</w:t>
            </w:r>
          </w:p>
        </w:tc>
        <w:tc>
          <w:tcPr>
            <w:tcW w:w="3937" w:type="dxa"/>
            <w:gridSpan w:val="2"/>
            <w:tcBorders>
              <w:bottom w:val="single" w:color="000000" w:sz="6" w:space="0"/>
            </w:tcBorders>
            <w:vAlign w:val="top"/>
          </w:tcPr>
          <w:p w14:paraId="626C498D">
            <w:pPr>
              <w:spacing w:before="45" w:line="265" w:lineRule="exact"/>
              <w:ind w:left="1781"/>
              <w:rPr>
                <w:rFonts w:ascii="Times New Roman" w:hAnsi="Times New Roman" w:eastAsia="Times New Roman" w:cs="Times New Roman"/>
                <w:sz w:val="20"/>
                <w:szCs w:val="20"/>
              </w:rPr>
            </w:pPr>
            <w:r>
              <w:rPr>
                <w:rFonts w:ascii="宋体" w:hAnsi="宋体" w:eastAsia="宋体" w:cs="宋体"/>
                <w:spacing w:val="-2"/>
                <w:position w:val="1"/>
                <w:sz w:val="20"/>
                <w:szCs w:val="20"/>
              </w:rPr>
              <w:t>≤</w:t>
            </w:r>
            <w:r>
              <w:rPr>
                <w:rFonts w:ascii="Times New Roman" w:hAnsi="Times New Roman" w:eastAsia="Times New Roman" w:cs="Times New Roman"/>
                <w:spacing w:val="-2"/>
                <w:position w:val="1"/>
                <w:sz w:val="20"/>
                <w:szCs w:val="20"/>
              </w:rPr>
              <w:t>30</w:t>
            </w:r>
          </w:p>
        </w:tc>
        <w:tc>
          <w:tcPr>
            <w:tcW w:w="124" w:type="dxa"/>
            <w:tcBorders>
              <w:top w:val="nil"/>
              <w:bottom w:val="single" w:color="000000" w:sz="6" w:space="0"/>
              <w:right w:val="single" w:color="000000" w:sz="6" w:space="0"/>
            </w:tcBorders>
            <w:vAlign w:val="top"/>
          </w:tcPr>
          <w:p w14:paraId="2B4FD509">
            <w:pPr>
              <w:rPr>
                <w:rFonts w:ascii="Arial"/>
                <w:sz w:val="21"/>
              </w:rPr>
            </w:pPr>
          </w:p>
        </w:tc>
      </w:tr>
    </w:tbl>
    <w:p w14:paraId="393F667D">
      <w:pPr>
        <w:pStyle w:val="2"/>
      </w:pPr>
    </w:p>
    <w:p w14:paraId="71C6294A">
      <w:pPr>
        <w:sectPr>
          <w:footerReference r:id="rId83" w:type="default"/>
          <w:pgSz w:w="11907" w:h="16840"/>
          <w:pgMar w:top="400" w:right="1413" w:bottom="1100" w:left="1413" w:header="0" w:footer="887" w:gutter="0"/>
          <w:cols w:space="720" w:num="1"/>
        </w:sectPr>
      </w:pPr>
    </w:p>
    <w:p w14:paraId="2313EF57">
      <w:pPr>
        <w:spacing w:before="19"/>
      </w:pPr>
    </w:p>
    <w:p w14:paraId="03CA6392">
      <w:pPr>
        <w:spacing w:before="19"/>
      </w:pPr>
    </w:p>
    <w:p w14:paraId="3111473F">
      <w:pPr>
        <w:spacing w:before="19"/>
      </w:pPr>
    </w:p>
    <w:p w14:paraId="0E9A7FC6">
      <w:pPr>
        <w:spacing w:before="18"/>
      </w:pPr>
    </w:p>
    <w:p w14:paraId="32AAFE1D">
      <w:pPr>
        <w:spacing w:before="18"/>
      </w:pPr>
    </w:p>
    <w:tbl>
      <w:tblPr>
        <w:tblStyle w:val="10"/>
        <w:tblW w:w="906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113"/>
        <w:gridCol w:w="1339"/>
        <w:gridCol w:w="355"/>
        <w:gridCol w:w="1009"/>
        <w:gridCol w:w="279"/>
        <w:gridCol w:w="659"/>
        <w:gridCol w:w="532"/>
        <w:gridCol w:w="579"/>
        <w:gridCol w:w="701"/>
        <w:gridCol w:w="782"/>
        <w:gridCol w:w="1875"/>
        <w:gridCol w:w="125"/>
      </w:tblGrid>
      <w:tr w14:paraId="5A89EB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17" w:type="dxa"/>
            <w:vMerge w:val="restart"/>
            <w:tcBorders>
              <w:top w:val="single" w:color="000000" w:sz="6" w:space="0"/>
              <w:left w:val="single" w:color="000000" w:sz="6" w:space="0"/>
              <w:bottom w:val="nil"/>
            </w:tcBorders>
            <w:vAlign w:val="top"/>
          </w:tcPr>
          <w:p w14:paraId="7540AFD5">
            <w:pPr>
              <w:rPr>
                <w:rFonts w:ascii="Arial"/>
                <w:sz w:val="21"/>
              </w:rPr>
            </w:pPr>
          </w:p>
        </w:tc>
        <w:tc>
          <w:tcPr>
            <w:tcW w:w="113" w:type="dxa"/>
            <w:tcBorders>
              <w:top w:val="single" w:color="000000" w:sz="6" w:space="0"/>
              <w:bottom w:val="nil"/>
            </w:tcBorders>
            <w:vAlign w:val="top"/>
          </w:tcPr>
          <w:p w14:paraId="649F4E2E">
            <w:pPr>
              <w:rPr>
                <w:rFonts w:ascii="Arial"/>
                <w:sz w:val="21"/>
              </w:rPr>
            </w:pPr>
          </w:p>
        </w:tc>
        <w:tc>
          <w:tcPr>
            <w:tcW w:w="2703" w:type="dxa"/>
            <w:gridSpan w:val="3"/>
            <w:tcBorders>
              <w:top w:val="single" w:color="000000" w:sz="6" w:space="0"/>
            </w:tcBorders>
            <w:vAlign w:val="top"/>
          </w:tcPr>
          <w:p w14:paraId="4C1D36CB">
            <w:pPr>
              <w:spacing w:before="37" w:line="228" w:lineRule="auto"/>
              <w:ind w:left="1259"/>
              <w:rPr>
                <w:rFonts w:ascii="宋体" w:hAnsi="宋体" w:eastAsia="宋体" w:cs="宋体"/>
                <w:sz w:val="20"/>
                <w:szCs w:val="20"/>
              </w:rPr>
            </w:pPr>
            <w:r>
              <w:rPr>
                <w:rFonts w:ascii="宋体" w:hAnsi="宋体" w:eastAsia="宋体" w:cs="宋体"/>
                <w:sz w:val="20"/>
                <w:szCs w:val="20"/>
              </w:rPr>
              <w:t>嗅</w:t>
            </w:r>
          </w:p>
        </w:tc>
        <w:tc>
          <w:tcPr>
            <w:tcW w:w="1470" w:type="dxa"/>
            <w:gridSpan w:val="3"/>
            <w:tcBorders>
              <w:top w:val="single" w:color="000000" w:sz="6" w:space="0"/>
            </w:tcBorders>
            <w:vAlign w:val="top"/>
          </w:tcPr>
          <w:p w14:paraId="5638B80A">
            <w:pPr>
              <w:spacing w:before="74" w:line="199" w:lineRule="auto"/>
              <w:ind w:left="7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937" w:type="dxa"/>
            <w:gridSpan w:val="4"/>
            <w:tcBorders>
              <w:top w:val="single" w:color="000000" w:sz="6" w:space="0"/>
            </w:tcBorders>
            <w:vAlign w:val="top"/>
          </w:tcPr>
          <w:p w14:paraId="333609BB">
            <w:pPr>
              <w:spacing w:before="37" w:line="228" w:lineRule="auto"/>
              <w:ind w:left="1558"/>
              <w:rPr>
                <w:rFonts w:ascii="宋体" w:hAnsi="宋体" w:eastAsia="宋体" w:cs="宋体"/>
                <w:sz w:val="20"/>
                <w:szCs w:val="20"/>
              </w:rPr>
            </w:pPr>
            <w:r>
              <w:rPr>
                <w:rFonts w:ascii="宋体" w:hAnsi="宋体" w:eastAsia="宋体" w:cs="宋体"/>
                <w:spacing w:val="6"/>
                <w:sz w:val="20"/>
                <w:szCs w:val="20"/>
              </w:rPr>
              <w:t>无不快感</w:t>
            </w:r>
          </w:p>
        </w:tc>
        <w:tc>
          <w:tcPr>
            <w:tcW w:w="125" w:type="dxa"/>
            <w:tcBorders>
              <w:top w:val="single" w:color="000000" w:sz="6" w:space="0"/>
              <w:bottom w:val="nil"/>
              <w:right w:val="single" w:color="000000" w:sz="6" w:space="0"/>
            </w:tcBorders>
            <w:vAlign w:val="top"/>
          </w:tcPr>
          <w:p w14:paraId="3FA23FF1">
            <w:pPr>
              <w:rPr>
                <w:rFonts w:ascii="Arial"/>
                <w:sz w:val="21"/>
              </w:rPr>
            </w:pPr>
          </w:p>
        </w:tc>
      </w:tr>
      <w:tr w14:paraId="31DB5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0C21BD6B">
            <w:pPr>
              <w:rPr>
                <w:rFonts w:ascii="Arial"/>
                <w:sz w:val="21"/>
              </w:rPr>
            </w:pPr>
          </w:p>
        </w:tc>
        <w:tc>
          <w:tcPr>
            <w:tcW w:w="113" w:type="dxa"/>
            <w:tcBorders>
              <w:top w:val="nil"/>
              <w:bottom w:val="nil"/>
            </w:tcBorders>
            <w:vAlign w:val="top"/>
          </w:tcPr>
          <w:p w14:paraId="4579239E">
            <w:pPr>
              <w:rPr>
                <w:rFonts w:ascii="Arial"/>
                <w:sz w:val="21"/>
              </w:rPr>
            </w:pPr>
          </w:p>
        </w:tc>
        <w:tc>
          <w:tcPr>
            <w:tcW w:w="2703" w:type="dxa"/>
            <w:gridSpan w:val="3"/>
            <w:vAlign w:val="top"/>
          </w:tcPr>
          <w:p w14:paraId="6C87E430">
            <w:pPr>
              <w:spacing w:before="32" w:line="228" w:lineRule="auto"/>
              <w:ind w:left="1146"/>
              <w:rPr>
                <w:rFonts w:ascii="宋体" w:hAnsi="宋体" w:eastAsia="宋体" w:cs="宋体"/>
                <w:sz w:val="20"/>
                <w:szCs w:val="20"/>
              </w:rPr>
            </w:pPr>
            <w:r>
              <w:rPr>
                <w:rFonts w:ascii="宋体" w:hAnsi="宋体" w:eastAsia="宋体" w:cs="宋体"/>
                <w:spacing w:val="3"/>
                <w:sz w:val="20"/>
                <w:szCs w:val="20"/>
              </w:rPr>
              <w:t>浊度</w:t>
            </w:r>
          </w:p>
        </w:tc>
        <w:tc>
          <w:tcPr>
            <w:tcW w:w="1470" w:type="dxa"/>
            <w:gridSpan w:val="3"/>
            <w:vAlign w:val="top"/>
          </w:tcPr>
          <w:p w14:paraId="2CDD2B26">
            <w:pPr>
              <w:spacing w:before="78" w:line="192" w:lineRule="auto"/>
              <w:ind w:left="51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NTU</w:t>
            </w:r>
          </w:p>
        </w:tc>
        <w:tc>
          <w:tcPr>
            <w:tcW w:w="3937" w:type="dxa"/>
            <w:gridSpan w:val="4"/>
            <w:vAlign w:val="top"/>
          </w:tcPr>
          <w:p w14:paraId="34BE818C">
            <w:pPr>
              <w:spacing w:before="32" w:line="264" w:lineRule="exact"/>
              <w:ind w:left="1782"/>
              <w:rPr>
                <w:rFonts w:ascii="Times New Roman" w:hAnsi="Times New Roman" w:eastAsia="Times New Roman" w:cs="Times New Roman"/>
                <w:sz w:val="20"/>
                <w:szCs w:val="20"/>
              </w:rPr>
            </w:pPr>
            <w:r>
              <w:rPr>
                <w:rFonts w:ascii="宋体" w:hAnsi="宋体" w:eastAsia="宋体" w:cs="宋体"/>
                <w:spacing w:val="-2"/>
                <w:position w:val="1"/>
                <w:sz w:val="20"/>
                <w:szCs w:val="20"/>
              </w:rPr>
              <w:t>≤</w:t>
            </w:r>
            <w:r>
              <w:rPr>
                <w:rFonts w:ascii="Times New Roman" w:hAnsi="Times New Roman" w:eastAsia="Times New Roman" w:cs="Times New Roman"/>
                <w:spacing w:val="-2"/>
                <w:position w:val="1"/>
                <w:sz w:val="20"/>
                <w:szCs w:val="20"/>
              </w:rPr>
              <w:t>10</w:t>
            </w:r>
          </w:p>
        </w:tc>
        <w:tc>
          <w:tcPr>
            <w:tcW w:w="125" w:type="dxa"/>
            <w:tcBorders>
              <w:top w:val="nil"/>
              <w:bottom w:val="nil"/>
              <w:right w:val="single" w:color="000000" w:sz="6" w:space="0"/>
            </w:tcBorders>
            <w:vAlign w:val="top"/>
          </w:tcPr>
          <w:p w14:paraId="2B882C20">
            <w:pPr>
              <w:rPr>
                <w:rFonts w:ascii="Arial"/>
                <w:sz w:val="21"/>
              </w:rPr>
            </w:pPr>
          </w:p>
        </w:tc>
      </w:tr>
      <w:tr w14:paraId="669BC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20D1234A">
            <w:pPr>
              <w:rPr>
                <w:rFonts w:ascii="Arial"/>
                <w:sz w:val="21"/>
              </w:rPr>
            </w:pPr>
          </w:p>
        </w:tc>
        <w:tc>
          <w:tcPr>
            <w:tcW w:w="113" w:type="dxa"/>
            <w:tcBorders>
              <w:top w:val="nil"/>
              <w:bottom w:val="nil"/>
            </w:tcBorders>
            <w:vAlign w:val="top"/>
          </w:tcPr>
          <w:p w14:paraId="00926D8D">
            <w:pPr>
              <w:rPr>
                <w:rFonts w:ascii="Arial"/>
                <w:sz w:val="21"/>
              </w:rPr>
            </w:pPr>
          </w:p>
        </w:tc>
        <w:tc>
          <w:tcPr>
            <w:tcW w:w="2703" w:type="dxa"/>
            <w:gridSpan w:val="3"/>
            <w:vAlign w:val="top"/>
          </w:tcPr>
          <w:p w14:paraId="021A83C5">
            <w:pPr>
              <w:spacing w:before="77" w:line="199" w:lineRule="auto"/>
              <w:ind w:left="1046"/>
              <w:rPr>
                <w:rFonts w:ascii="Times New Roman" w:hAnsi="Times New Roman" w:eastAsia="Times New Roman" w:cs="Times New Roman"/>
                <w:sz w:val="20"/>
                <w:szCs w:val="20"/>
              </w:rPr>
            </w:pPr>
            <w:r>
              <w:rPr>
                <w:rFonts w:ascii="Times New Roman" w:hAnsi="Times New Roman" w:eastAsia="Times New Roman" w:cs="Times New Roman"/>
                <w:sz w:val="20"/>
                <w:szCs w:val="20"/>
              </w:rPr>
              <w:t>NH</w:t>
            </w:r>
            <w:r>
              <w:rPr>
                <w:rFonts w:ascii="Times New Roman" w:hAnsi="Times New Roman" w:eastAsia="Times New Roman" w:cs="Times New Roman"/>
                <w:spacing w:val="9"/>
                <w:position w:val="-1"/>
                <w:sz w:val="13"/>
                <w:szCs w:val="13"/>
              </w:rPr>
              <w:t>3</w:t>
            </w:r>
            <w:r>
              <w:rPr>
                <w:rFonts w:ascii="Times New Roman" w:hAnsi="Times New Roman" w:eastAsia="Times New Roman" w:cs="Times New Roman"/>
                <w:spacing w:val="9"/>
                <w:sz w:val="20"/>
                <w:szCs w:val="20"/>
              </w:rPr>
              <w:t>-N</w:t>
            </w:r>
          </w:p>
        </w:tc>
        <w:tc>
          <w:tcPr>
            <w:tcW w:w="1470" w:type="dxa"/>
            <w:gridSpan w:val="3"/>
            <w:vAlign w:val="top"/>
          </w:tcPr>
          <w:p w14:paraId="76F92DA9">
            <w:pPr>
              <w:spacing w:before="70" w:line="201" w:lineRule="auto"/>
              <w:ind w:left="505"/>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pacing w:val="9"/>
                <w:sz w:val="20"/>
                <w:szCs w:val="20"/>
              </w:rPr>
              <w:t>/L</w:t>
            </w:r>
          </w:p>
        </w:tc>
        <w:tc>
          <w:tcPr>
            <w:tcW w:w="3937" w:type="dxa"/>
            <w:gridSpan w:val="4"/>
            <w:vAlign w:val="top"/>
          </w:tcPr>
          <w:p w14:paraId="2438DC9F">
            <w:pPr>
              <w:spacing w:before="31" w:line="265" w:lineRule="exact"/>
              <w:ind w:left="1835"/>
              <w:rPr>
                <w:rFonts w:ascii="Times New Roman" w:hAnsi="Times New Roman" w:eastAsia="Times New Roman" w:cs="Times New Roman"/>
                <w:sz w:val="20"/>
                <w:szCs w:val="20"/>
              </w:rPr>
            </w:pPr>
            <w:r>
              <w:rPr>
                <w:rFonts w:ascii="宋体" w:hAnsi="宋体" w:eastAsia="宋体" w:cs="宋体"/>
                <w:spacing w:val="-5"/>
                <w:position w:val="1"/>
                <w:sz w:val="20"/>
                <w:szCs w:val="20"/>
              </w:rPr>
              <w:t>≤</w:t>
            </w:r>
            <w:r>
              <w:rPr>
                <w:rFonts w:ascii="Times New Roman" w:hAnsi="Times New Roman" w:eastAsia="Times New Roman" w:cs="Times New Roman"/>
                <w:spacing w:val="-5"/>
                <w:position w:val="1"/>
                <w:sz w:val="20"/>
                <w:szCs w:val="20"/>
              </w:rPr>
              <w:t>8</w:t>
            </w:r>
          </w:p>
        </w:tc>
        <w:tc>
          <w:tcPr>
            <w:tcW w:w="125" w:type="dxa"/>
            <w:tcBorders>
              <w:top w:val="nil"/>
              <w:bottom w:val="nil"/>
              <w:right w:val="single" w:color="000000" w:sz="6" w:space="0"/>
            </w:tcBorders>
            <w:vAlign w:val="top"/>
          </w:tcPr>
          <w:p w14:paraId="34B37088">
            <w:pPr>
              <w:rPr>
                <w:rFonts w:ascii="Arial"/>
                <w:sz w:val="21"/>
              </w:rPr>
            </w:pPr>
          </w:p>
        </w:tc>
      </w:tr>
      <w:tr w14:paraId="10E49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12366EC7">
            <w:pPr>
              <w:rPr>
                <w:rFonts w:ascii="Arial"/>
                <w:sz w:val="21"/>
              </w:rPr>
            </w:pPr>
          </w:p>
        </w:tc>
        <w:tc>
          <w:tcPr>
            <w:tcW w:w="113" w:type="dxa"/>
            <w:tcBorders>
              <w:top w:val="nil"/>
              <w:bottom w:val="nil"/>
            </w:tcBorders>
            <w:vAlign w:val="top"/>
          </w:tcPr>
          <w:p w14:paraId="729DD08B">
            <w:pPr>
              <w:rPr>
                <w:rFonts w:ascii="Arial"/>
                <w:sz w:val="21"/>
              </w:rPr>
            </w:pPr>
          </w:p>
        </w:tc>
        <w:tc>
          <w:tcPr>
            <w:tcW w:w="2703" w:type="dxa"/>
            <w:gridSpan w:val="3"/>
            <w:vAlign w:val="top"/>
          </w:tcPr>
          <w:p w14:paraId="23FD9997">
            <w:pPr>
              <w:spacing w:before="31" w:line="227" w:lineRule="auto"/>
              <w:ind w:left="531"/>
              <w:rPr>
                <w:rFonts w:ascii="宋体" w:hAnsi="宋体" w:eastAsia="宋体" w:cs="宋体"/>
                <w:sz w:val="20"/>
                <w:szCs w:val="20"/>
              </w:rPr>
            </w:pPr>
            <w:r>
              <w:rPr>
                <w:rFonts w:ascii="宋体" w:hAnsi="宋体" w:eastAsia="宋体" w:cs="宋体"/>
                <w:spacing w:val="6"/>
                <w:sz w:val="20"/>
                <w:szCs w:val="20"/>
              </w:rPr>
              <w:t>阴离子表面活性剂</w:t>
            </w:r>
          </w:p>
        </w:tc>
        <w:tc>
          <w:tcPr>
            <w:tcW w:w="1470" w:type="dxa"/>
            <w:gridSpan w:val="3"/>
            <w:vAlign w:val="top"/>
          </w:tcPr>
          <w:p w14:paraId="5DB0D7C0">
            <w:pPr>
              <w:spacing w:before="70" w:line="201" w:lineRule="auto"/>
              <w:ind w:left="505"/>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pacing w:val="9"/>
                <w:sz w:val="20"/>
                <w:szCs w:val="20"/>
              </w:rPr>
              <w:t>/L</w:t>
            </w:r>
          </w:p>
        </w:tc>
        <w:tc>
          <w:tcPr>
            <w:tcW w:w="3937" w:type="dxa"/>
            <w:gridSpan w:val="4"/>
            <w:vAlign w:val="top"/>
          </w:tcPr>
          <w:p w14:paraId="64146A41">
            <w:pPr>
              <w:spacing w:before="31" w:line="264" w:lineRule="exact"/>
              <w:ind w:left="1756"/>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0.5</w:t>
            </w:r>
          </w:p>
        </w:tc>
        <w:tc>
          <w:tcPr>
            <w:tcW w:w="125" w:type="dxa"/>
            <w:tcBorders>
              <w:top w:val="nil"/>
              <w:bottom w:val="nil"/>
              <w:right w:val="single" w:color="000000" w:sz="6" w:space="0"/>
            </w:tcBorders>
            <w:vAlign w:val="top"/>
          </w:tcPr>
          <w:p w14:paraId="68386FFE">
            <w:pPr>
              <w:rPr>
                <w:rFonts w:ascii="Arial"/>
                <w:sz w:val="21"/>
              </w:rPr>
            </w:pPr>
          </w:p>
        </w:tc>
      </w:tr>
      <w:tr w14:paraId="32959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201ABE20">
            <w:pPr>
              <w:rPr>
                <w:rFonts w:ascii="Arial"/>
                <w:sz w:val="21"/>
              </w:rPr>
            </w:pPr>
          </w:p>
        </w:tc>
        <w:tc>
          <w:tcPr>
            <w:tcW w:w="113" w:type="dxa"/>
            <w:tcBorders>
              <w:top w:val="nil"/>
              <w:bottom w:val="nil"/>
            </w:tcBorders>
            <w:vAlign w:val="top"/>
          </w:tcPr>
          <w:p w14:paraId="35AD6029">
            <w:pPr>
              <w:rPr>
                <w:rFonts w:ascii="Arial"/>
                <w:sz w:val="21"/>
              </w:rPr>
            </w:pPr>
          </w:p>
        </w:tc>
        <w:tc>
          <w:tcPr>
            <w:tcW w:w="2703" w:type="dxa"/>
            <w:gridSpan w:val="3"/>
            <w:vAlign w:val="top"/>
          </w:tcPr>
          <w:p w14:paraId="73E8187B">
            <w:pPr>
              <w:spacing w:before="33" w:line="196" w:lineRule="auto"/>
              <w:ind w:left="726"/>
              <w:rPr>
                <w:rFonts w:ascii="宋体" w:hAnsi="宋体" w:eastAsia="宋体" w:cs="宋体"/>
                <w:sz w:val="20"/>
                <w:szCs w:val="20"/>
              </w:rPr>
            </w:pPr>
            <w:r>
              <w:rPr>
                <w:rFonts w:ascii="宋体" w:hAnsi="宋体" w:eastAsia="宋体" w:cs="宋体"/>
                <w:spacing w:val="7"/>
                <w:sz w:val="20"/>
                <w:szCs w:val="20"/>
              </w:rPr>
              <w:t>溶解性</w:t>
            </w:r>
            <w:r>
              <w:rPr>
                <w:rFonts w:ascii="微软雅黑" w:hAnsi="微软雅黑" w:eastAsia="微软雅黑" w:cs="微软雅黑"/>
                <w:spacing w:val="7"/>
                <w:sz w:val="20"/>
                <w:szCs w:val="20"/>
              </w:rPr>
              <w:t>总</w:t>
            </w:r>
            <w:r>
              <w:rPr>
                <w:rFonts w:ascii="宋体" w:hAnsi="宋体" w:eastAsia="宋体" w:cs="宋体"/>
                <w:spacing w:val="7"/>
                <w:sz w:val="20"/>
                <w:szCs w:val="20"/>
              </w:rPr>
              <w:t>固体</w:t>
            </w:r>
          </w:p>
        </w:tc>
        <w:tc>
          <w:tcPr>
            <w:tcW w:w="1470" w:type="dxa"/>
            <w:gridSpan w:val="3"/>
            <w:vAlign w:val="top"/>
          </w:tcPr>
          <w:p w14:paraId="06BABAA2">
            <w:pPr>
              <w:spacing w:before="72" w:line="201" w:lineRule="auto"/>
              <w:ind w:left="505"/>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pacing w:val="9"/>
                <w:sz w:val="20"/>
                <w:szCs w:val="20"/>
              </w:rPr>
              <w:t>/L</w:t>
            </w:r>
          </w:p>
        </w:tc>
        <w:tc>
          <w:tcPr>
            <w:tcW w:w="3937" w:type="dxa"/>
            <w:gridSpan w:val="4"/>
            <w:vAlign w:val="top"/>
          </w:tcPr>
          <w:p w14:paraId="6088FB27">
            <w:pPr>
              <w:spacing w:before="33" w:line="264" w:lineRule="exact"/>
              <w:ind w:left="1677"/>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1000</w:t>
            </w:r>
          </w:p>
        </w:tc>
        <w:tc>
          <w:tcPr>
            <w:tcW w:w="125" w:type="dxa"/>
            <w:tcBorders>
              <w:top w:val="nil"/>
              <w:bottom w:val="nil"/>
              <w:right w:val="single" w:color="000000" w:sz="6" w:space="0"/>
            </w:tcBorders>
            <w:vAlign w:val="top"/>
          </w:tcPr>
          <w:p w14:paraId="1CB071D7">
            <w:pPr>
              <w:rPr>
                <w:rFonts w:ascii="Arial"/>
                <w:sz w:val="21"/>
              </w:rPr>
            </w:pPr>
          </w:p>
        </w:tc>
      </w:tr>
      <w:tr w14:paraId="0DC90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6B929BFD">
            <w:pPr>
              <w:rPr>
                <w:rFonts w:ascii="Arial"/>
                <w:sz w:val="21"/>
              </w:rPr>
            </w:pPr>
          </w:p>
        </w:tc>
        <w:tc>
          <w:tcPr>
            <w:tcW w:w="113" w:type="dxa"/>
            <w:tcBorders>
              <w:top w:val="nil"/>
              <w:bottom w:val="nil"/>
            </w:tcBorders>
            <w:vAlign w:val="top"/>
          </w:tcPr>
          <w:p w14:paraId="776B87B6">
            <w:pPr>
              <w:rPr>
                <w:rFonts w:ascii="Arial"/>
                <w:sz w:val="21"/>
              </w:rPr>
            </w:pPr>
          </w:p>
        </w:tc>
        <w:tc>
          <w:tcPr>
            <w:tcW w:w="2703" w:type="dxa"/>
            <w:gridSpan w:val="3"/>
            <w:vAlign w:val="top"/>
          </w:tcPr>
          <w:p w14:paraId="3A8DC30F">
            <w:pPr>
              <w:spacing w:before="76" w:line="202" w:lineRule="auto"/>
              <w:ind w:left="1093"/>
              <w:rPr>
                <w:rFonts w:ascii="Times New Roman" w:hAnsi="Times New Roman" w:eastAsia="Times New Roman" w:cs="Times New Roman"/>
                <w:sz w:val="13"/>
                <w:szCs w:val="13"/>
              </w:rPr>
            </w:pPr>
            <w:r>
              <w:rPr>
                <w:rFonts w:ascii="Times New Roman" w:hAnsi="Times New Roman" w:eastAsia="Times New Roman" w:cs="Times New Roman"/>
                <w:sz w:val="20"/>
                <w:szCs w:val="20"/>
              </w:rPr>
              <w:t>BOD</w:t>
            </w:r>
            <w:r>
              <w:rPr>
                <w:rFonts w:ascii="Times New Roman" w:hAnsi="Times New Roman" w:eastAsia="Times New Roman" w:cs="Times New Roman"/>
                <w:spacing w:val="19"/>
                <w:position w:val="-1"/>
                <w:sz w:val="13"/>
                <w:szCs w:val="13"/>
              </w:rPr>
              <w:t>5</w:t>
            </w:r>
          </w:p>
        </w:tc>
        <w:tc>
          <w:tcPr>
            <w:tcW w:w="1470" w:type="dxa"/>
            <w:gridSpan w:val="3"/>
            <w:vAlign w:val="top"/>
          </w:tcPr>
          <w:p w14:paraId="2CBF2DA7">
            <w:pPr>
              <w:spacing w:before="72" w:line="201" w:lineRule="auto"/>
              <w:ind w:left="505"/>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pacing w:val="9"/>
                <w:sz w:val="20"/>
                <w:szCs w:val="20"/>
              </w:rPr>
              <w:t>/L</w:t>
            </w:r>
          </w:p>
        </w:tc>
        <w:tc>
          <w:tcPr>
            <w:tcW w:w="3937" w:type="dxa"/>
            <w:gridSpan w:val="4"/>
            <w:vAlign w:val="top"/>
          </w:tcPr>
          <w:p w14:paraId="411451D1">
            <w:pPr>
              <w:spacing w:before="32" w:line="265" w:lineRule="exact"/>
              <w:ind w:left="1782"/>
              <w:rPr>
                <w:rFonts w:ascii="Times New Roman" w:hAnsi="Times New Roman" w:eastAsia="Times New Roman" w:cs="Times New Roman"/>
                <w:sz w:val="20"/>
                <w:szCs w:val="20"/>
              </w:rPr>
            </w:pPr>
            <w:r>
              <w:rPr>
                <w:rFonts w:ascii="宋体" w:hAnsi="宋体" w:eastAsia="宋体" w:cs="宋体"/>
                <w:spacing w:val="-2"/>
                <w:position w:val="1"/>
                <w:sz w:val="20"/>
                <w:szCs w:val="20"/>
              </w:rPr>
              <w:t>≤</w:t>
            </w:r>
            <w:r>
              <w:rPr>
                <w:rFonts w:ascii="Times New Roman" w:hAnsi="Times New Roman" w:eastAsia="Times New Roman" w:cs="Times New Roman"/>
                <w:spacing w:val="-2"/>
                <w:position w:val="1"/>
                <w:sz w:val="20"/>
                <w:szCs w:val="20"/>
              </w:rPr>
              <w:t>10</w:t>
            </w:r>
          </w:p>
        </w:tc>
        <w:tc>
          <w:tcPr>
            <w:tcW w:w="125" w:type="dxa"/>
            <w:tcBorders>
              <w:top w:val="nil"/>
              <w:bottom w:val="nil"/>
              <w:right w:val="single" w:color="000000" w:sz="6" w:space="0"/>
            </w:tcBorders>
            <w:vAlign w:val="top"/>
          </w:tcPr>
          <w:p w14:paraId="17B3FFD8">
            <w:pPr>
              <w:rPr>
                <w:rFonts w:ascii="Arial"/>
                <w:sz w:val="21"/>
              </w:rPr>
            </w:pPr>
          </w:p>
        </w:tc>
      </w:tr>
      <w:tr w14:paraId="04661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717" w:type="dxa"/>
            <w:vMerge w:val="continue"/>
            <w:tcBorders>
              <w:top w:val="nil"/>
              <w:left w:val="single" w:color="000000" w:sz="6" w:space="0"/>
              <w:bottom w:val="nil"/>
            </w:tcBorders>
            <w:vAlign w:val="top"/>
          </w:tcPr>
          <w:p w14:paraId="2CAEA184">
            <w:pPr>
              <w:rPr>
                <w:rFonts w:ascii="Arial"/>
                <w:sz w:val="21"/>
              </w:rPr>
            </w:pPr>
          </w:p>
        </w:tc>
        <w:tc>
          <w:tcPr>
            <w:tcW w:w="113" w:type="dxa"/>
            <w:tcBorders>
              <w:top w:val="nil"/>
              <w:bottom w:val="nil"/>
            </w:tcBorders>
            <w:vAlign w:val="top"/>
          </w:tcPr>
          <w:p w14:paraId="672E92AF">
            <w:pPr>
              <w:rPr>
                <w:rFonts w:ascii="Arial"/>
                <w:sz w:val="21"/>
              </w:rPr>
            </w:pPr>
          </w:p>
        </w:tc>
        <w:tc>
          <w:tcPr>
            <w:tcW w:w="2703" w:type="dxa"/>
            <w:gridSpan w:val="3"/>
            <w:vAlign w:val="top"/>
          </w:tcPr>
          <w:p w14:paraId="22888402">
            <w:pPr>
              <w:spacing w:before="34" w:line="227" w:lineRule="auto"/>
              <w:ind w:left="1040"/>
              <w:rPr>
                <w:rFonts w:ascii="宋体" w:hAnsi="宋体" w:eastAsia="宋体" w:cs="宋体"/>
                <w:sz w:val="20"/>
                <w:szCs w:val="20"/>
              </w:rPr>
            </w:pPr>
            <w:r>
              <w:rPr>
                <w:rFonts w:ascii="宋体" w:hAnsi="宋体" w:eastAsia="宋体" w:cs="宋体"/>
                <w:spacing w:val="6"/>
                <w:sz w:val="20"/>
                <w:szCs w:val="20"/>
              </w:rPr>
              <w:t>溶解氧</w:t>
            </w:r>
          </w:p>
        </w:tc>
        <w:tc>
          <w:tcPr>
            <w:tcW w:w="1470" w:type="dxa"/>
            <w:gridSpan w:val="3"/>
            <w:vAlign w:val="top"/>
          </w:tcPr>
          <w:p w14:paraId="18CD2530">
            <w:pPr>
              <w:spacing w:before="74" w:line="201" w:lineRule="auto"/>
              <w:ind w:left="505"/>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pacing w:val="9"/>
                <w:sz w:val="20"/>
                <w:szCs w:val="20"/>
              </w:rPr>
              <w:t>/L</w:t>
            </w:r>
          </w:p>
        </w:tc>
        <w:tc>
          <w:tcPr>
            <w:tcW w:w="3937" w:type="dxa"/>
            <w:gridSpan w:val="4"/>
            <w:vAlign w:val="top"/>
          </w:tcPr>
          <w:p w14:paraId="2B4C00B0">
            <w:pPr>
              <w:spacing w:before="34" w:line="267" w:lineRule="exact"/>
              <w:ind w:left="1841"/>
              <w:rPr>
                <w:rFonts w:ascii="Times New Roman" w:hAnsi="Times New Roman" w:eastAsia="Times New Roman" w:cs="Times New Roman"/>
                <w:sz w:val="20"/>
                <w:szCs w:val="20"/>
              </w:rPr>
            </w:pPr>
            <w:r>
              <w:rPr>
                <w:rFonts w:ascii="宋体" w:hAnsi="宋体" w:eastAsia="宋体" w:cs="宋体"/>
                <w:spacing w:val="-8"/>
                <w:position w:val="1"/>
                <w:sz w:val="20"/>
                <w:szCs w:val="20"/>
              </w:rPr>
              <w:t>≥</w:t>
            </w:r>
            <w:r>
              <w:rPr>
                <w:rFonts w:ascii="Times New Roman" w:hAnsi="Times New Roman" w:eastAsia="Times New Roman" w:cs="Times New Roman"/>
                <w:spacing w:val="-8"/>
                <w:position w:val="1"/>
                <w:sz w:val="20"/>
                <w:szCs w:val="20"/>
              </w:rPr>
              <w:t>2</w:t>
            </w:r>
          </w:p>
        </w:tc>
        <w:tc>
          <w:tcPr>
            <w:tcW w:w="125" w:type="dxa"/>
            <w:tcBorders>
              <w:top w:val="nil"/>
              <w:bottom w:val="nil"/>
              <w:right w:val="single" w:color="000000" w:sz="6" w:space="0"/>
            </w:tcBorders>
            <w:vAlign w:val="top"/>
          </w:tcPr>
          <w:p w14:paraId="320AD382">
            <w:pPr>
              <w:rPr>
                <w:rFonts w:ascii="Arial"/>
                <w:sz w:val="21"/>
              </w:rPr>
            </w:pPr>
          </w:p>
        </w:tc>
      </w:tr>
      <w:tr w14:paraId="47264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17" w:type="dxa"/>
            <w:vMerge w:val="continue"/>
            <w:tcBorders>
              <w:top w:val="nil"/>
              <w:left w:val="single" w:color="000000" w:sz="6" w:space="0"/>
              <w:bottom w:val="nil"/>
            </w:tcBorders>
            <w:vAlign w:val="top"/>
          </w:tcPr>
          <w:p w14:paraId="42E09A83">
            <w:pPr>
              <w:rPr>
                <w:rFonts w:ascii="Arial"/>
                <w:sz w:val="21"/>
              </w:rPr>
            </w:pPr>
          </w:p>
        </w:tc>
        <w:tc>
          <w:tcPr>
            <w:tcW w:w="113" w:type="dxa"/>
            <w:tcBorders>
              <w:top w:val="nil"/>
              <w:bottom w:val="nil"/>
            </w:tcBorders>
            <w:vAlign w:val="top"/>
          </w:tcPr>
          <w:p w14:paraId="21602704">
            <w:pPr>
              <w:rPr>
                <w:rFonts w:ascii="Arial"/>
                <w:sz w:val="21"/>
              </w:rPr>
            </w:pPr>
          </w:p>
        </w:tc>
        <w:tc>
          <w:tcPr>
            <w:tcW w:w="2703" w:type="dxa"/>
            <w:gridSpan w:val="3"/>
            <w:vAlign w:val="top"/>
          </w:tcPr>
          <w:p w14:paraId="084CFE40">
            <w:pPr>
              <w:spacing w:before="33" w:line="196" w:lineRule="auto"/>
              <w:ind w:left="1157"/>
              <w:rPr>
                <w:rFonts w:ascii="宋体" w:hAnsi="宋体" w:eastAsia="宋体" w:cs="宋体"/>
                <w:sz w:val="20"/>
                <w:szCs w:val="20"/>
              </w:rPr>
            </w:pPr>
            <w:r>
              <w:rPr>
                <w:rFonts w:ascii="微软雅黑" w:hAnsi="微软雅黑" w:eastAsia="微软雅黑" w:cs="微软雅黑"/>
                <w:spacing w:val="-1"/>
                <w:sz w:val="20"/>
                <w:szCs w:val="20"/>
              </w:rPr>
              <w:t>总</w:t>
            </w:r>
            <w:r>
              <w:rPr>
                <w:rFonts w:ascii="宋体" w:hAnsi="宋体" w:eastAsia="宋体" w:cs="宋体"/>
                <w:spacing w:val="-1"/>
                <w:sz w:val="20"/>
                <w:szCs w:val="20"/>
              </w:rPr>
              <w:t>氯</w:t>
            </w:r>
          </w:p>
        </w:tc>
        <w:tc>
          <w:tcPr>
            <w:tcW w:w="1470" w:type="dxa"/>
            <w:gridSpan w:val="3"/>
            <w:vAlign w:val="top"/>
          </w:tcPr>
          <w:p w14:paraId="1B405885">
            <w:pPr>
              <w:spacing w:before="72" w:line="201" w:lineRule="auto"/>
              <w:ind w:left="505"/>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pacing w:val="9"/>
                <w:sz w:val="20"/>
                <w:szCs w:val="20"/>
              </w:rPr>
              <w:t>/L</w:t>
            </w:r>
          </w:p>
        </w:tc>
        <w:tc>
          <w:tcPr>
            <w:tcW w:w="3937" w:type="dxa"/>
            <w:gridSpan w:val="4"/>
            <w:vAlign w:val="top"/>
          </w:tcPr>
          <w:p w14:paraId="31C7FF71">
            <w:pPr>
              <w:spacing w:before="33" w:line="264" w:lineRule="exact"/>
              <w:ind w:left="1756"/>
              <w:rPr>
                <w:rFonts w:ascii="Times New Roman" w:hAnsi="Times New Roman" w:eastAsia="Times New Roman" w:cs="Times New Roman"/>
                <w:sz w:val="20"/>
                <w:szCs w:val="20"/>
              </w:rPr>
            </w:pPr>
            <w:r>
              <w:rPr>
                <w:rFonts w:ascii="宋体" w:hAnsi="宋体" w:eastAsia="宋体" w:cs="宋体"/>
                <w:spacing w:val="-1"/>
                <w:position w:val="1"/>
                <w:sz w:val="20"/>
                <w:szCs w:val="20"/>
              </w:rPr>
              <w:t>≤</w:t>
            </w:r>
            <w:r>
              <w:rPr>
                <w:rFonts w:ascii="Times New Roman" w:hAnsi="Times New Roman" w:eastAsia="Times New Roman" w:cs="Times New Roman"/>
                <w:spacing w:val="-1"/>
                <w:position w:val="1"/>
                <w:sz w:val="20"/>
                <w:szCs w:val="20"/>
              </w:rPr>
              <w:t>1.0</w:t>
            </w:r>
          </w:p>
        </w:tc>
        <w:tc>
          <w:tcPr>
            <w:tcW w:w="125" w:type="dxa"/>
            <w:tcBorders>
              <w:top w:val="nil"/>
              <w:bottom w:val="nil"/>
              <w:right w:val="single" w:color="000000" w:sz="6" w:space="0"/>
            </w:tcBorders>
            <w:vAlign w:val="top"/>
          </w:tcPr>
          <w:p w14:paraId="4FB48566">
            <w:pPr>
              <w:rPr>
                <w:rFonts w:ascii="Arial"/>
                <w:sz w:val="21"/>
              </w:rPr>
            </w:pPr>
          </w:p>
        </w:tc>
      </w:tr>
      <w:tr w14:paraId="385A3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6F7F5599">
            <w:pPr>
              <w:rPr>
                <w:rFonts w:ascii="Arial"/>
                <w:sz w:val="21"/>
              </w:rPr>
            </w:pPr>
          </w:p>
        </w:tc>
        <w:tc>
          <w:tcPr>
            <w:tcW w:w="113" w:type="dxa"/>
            <w:tcBorders>
              <w:top w:val="nil"/>
              <w:bottom w:val="nil"/>
            </w:tcBorders>
            <w:vAlign w:val="top"/>
          </w:tcPr>
          <w:p w14:paraId="441ACC21">
            <w:pPr>
              <w:rPr>
                <w:rFonts w:ascii="Arial"/>
                <w:sz w:val="21"/>
              </w:rPr>
            </w:pPr>
          </w:p>
        </w:tc>
        <w:tc>
          <w:tcPr>
            <w:tcW w:w="2703" w:type="dxa"/>
            <w:gridSpan w:val="3"/>
            <w:vAlign w:val="top"/>
          </w:tcPr>
          <w:p w14:paraId="7E11B310">
            <w:pPr>
              <w:spacing w:before="36" w:line="228" w:lineRule="auto"/>
              <w:ind w:left="726"/>
              <w:rPr>
                <w:rFonts w:ascii="宋体" w:hAnsi="宋体" w:eastAsia="宋体" w:cs="宋体"/>
                <w:sz w:val="20"/>
                <w:szCs w:val="20"/>
              </w:rPr>
            </w:pPr>
            <w:r>
              <w:rPr>
                <w:rFonts w:ascii="宋体" w:hAnsi="宋体" w:eastAsia="宋体" w:cs="宋体"/>
                <w:spacing w:val="7"/>
                <w:sz w:val="20"/>
                <w:szCs w:val="20"/>
              </w:rPr>
              <w:t>大肠埃希氏菌</w:t>
            </w:r>
          </w:p>
        </w:tc>
        <w:tc>
          <w:tcPr>
            <w:tcW w:w="1470" w:type="dxa"/>
            <w:gridSpan w:val="3"/>
            <w:vAlign w:val="top"/>
          </w:tcPr>
          <w:p w14:paraId="61A3EE3B">
            <w:pPr>
              <w:spacing w:before="73" w:line="199"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MPN</w:t>
            </w:r>
            <w:r>
              <w:rPr>
                <w:rFonts w:ascii="Times New Roman" w:hAnsi="Times New Roman" w:eastAsia="Times New Roman" w:cs="Times New Roman"/>
                <w:spacing w:val="12"/>
                <w:sz w:val="20"/>
                <w:szCs w:val="20"/>
              </w:rPr>
              <w:t>/100</w:t>
            </w:r>
            <w:r>
              <w:rPr>
                <w:rFonts w:ascii="Times New Roman" w:hAnsi="Times New Roman" w:eastAsia="Times New Roman" w:cs="Times New Roman"/>
                <w:sz w:val="20"/>
                <w:szCs w:val="20"/>
              </w:rPr>
              <w:t>mL</w:t>
            </w:r>
          </w:p>
        </w:tc>
        <w:tc>
          <w:tcPr>
            <w:tcW w:w="3937" w:type="dxa"/>
            <w:gridSpan w:val="4"/>
            <w:vAlign w:val="top"/>
          </w:tcPr>
          <w:p w14:paraId="0E362E4C">
            <w:pPr>
              <w:spacing w:before="36" w:line="228" w:lineRule="auto"/>
              <w:ind w:left="1875"/>
              <w:rPr>
                <w:rFonts w:ascii="宋体" w:hAnsi="宋体" w:eastAsia="宋体" w:cs="宋体"/>
                <w:sz w:val="20"/>
                <w:szCs w:val="20"/>
              </w:rPr>
            </w:pPr>
            <w:r>
              <w:rPr>
                <w:rFonts w:ascii="宋体" w:hAnsi="宋体" w:eastAsia="宋体" w:cs="宋体"/>
                <w:sz w:val="20"/>
                <w:szCs w:val="20"/>
              </w:rPr>
              <w:t>无</w:t>
            </w:r>
          </w:p>
        </w:tc>
        <w:tc>
          <w:tcPr>
            <w:tcW w:w="125" w:type="dxa"/>
            <w:tcBorders>
              <w:top w:val="nil"/>
              <w:bottom w:val="nil"/>
              <w:right w:val="single" w:color="000000" w:sz="6" w:space="0"/>
            </w:tcBorders>
            <w:vAlign w:val="top"/>
          </w:tcPr>
          <w:p w14:paraId="2F715F35">
            <w:pPr>
              <w:rPr>
                <w:rFonts w:ascii="Arial"/>
                <w:sz w:val="21"/>
              </w:rPr>
            </w:pPr>
          </w:p>
        </w:tc>
      </w:tr>
      <w:tr w14:paraId="3B7AE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8" w:hRule="atLeast"/>
        </w:trPr>
        <w:tc>
          <w:tcPr>
            <w:tcW w:w="717" w:type="dxa"/>
            <w:vMerge w:val="continue"/>
            <w:tcBorders>
              <w:top w:val="nil"/>
              <w:left w:val="single" w:color="000000" w:sz="6" w:space="0"/>
              <w:bottom w:val="nil"/>
            </w:tcBorders>
            <w:vAlign w:val="top"/>
          </w:tcPr>
          <w:p w14:paraId="31517E9C">
            <w:pPr>
              <w:rPr>
                <w:rFonts w:ascii="Arial"/>
                <w:sz w:val="21"/>
              </w:rPr>
            </w:pPr>
          </w:p>
        </w:tc>
        <w:tc>
          <w:tcPr>
            <w:tcW w:w="8348" w:type="dxa"/>
            <w:gridSpan w:val="12"/>
            <w:tcBorders>
              <w:right w:val="single" w:color="000000" w:sz="6" w:space="0"/>
            </w:tcBorders>
            <w:vAlign w:val="top"/>
          </w:tcPr>
          <w:p w14:paraId="2B1C824A">
            <w:pPr>
              <w:spacing w:before="40" w:line="220" w:lineRule="auto"/>
              <w:ind w:left="584"/>
              <w:rPr>
                <w:rFonts w:ascii="宋体" w:hAnsi="宋体" w:eastAsia="宋体" w:cs="宋体"/>
                <w:sz w:val="24"/>
                <w:szCs w:val="24"/>
              </w:rPr>
            </w:pPr>
            <w:r>
              <w:rPr>
                <w:rFonts w:ascii="Times New Roman" w:hAnsi="Times New Roman" w:eastAsia="Times New Roman" w:cs="Times New Roman"/>
                <w:b/>
                <w:bCs/>
                <w:spacing w:val="-10"/>
                <w:sz w:val="24"/>
                <w:szCs w:val="24"/>
              </w:rPr>
              <w:t>2</w:t>
            </w:r>
            <w:r>
              <w:rPr>
                <w:rFonts w:ascii="Times New Roman" w:hAnsi="Times New Roman" w:eastAsia="Times New Roman" w:cs="Times New Roman"/>
                <w:b/>
                <w:bCs/>
                <w:spacing w:val="-32"/>
                <w:sz w:val="24"/>
                <w:szCs w:val="24"/>
              </w:rPr>
              <w:t xml:space="preserve"> </w:t>
            </w:r>
            <w:r>
              <w:rPr>
                <w:rFonts w:ascii="宋体" w:hAnsi="宋体" w:eastAsia="宋体" w:cs="宋体"/>
                <w:b/>
                <w:bCs/>
                <w:spacing w:val="-10"/>
                <w:sz w:val="24"/>
                <w:szCs w:val="24"/>
              </w:rPr>
              <w:t>、废气</w:t>
            </w:r>
          </w:p>
          <w:p w14:paraId="7E1BDF53">
            <w:pPr>
              <w:spacing w:before="177" w:line="359" w:lineRule="auto"/>
              <w:ind w:left="107" w:right="4" w:firstLine="481"/>
              <w:jc w:val="both"/>
              <w:rPr>
                <w:rFonts w:ascii="宋体" w:hAnsi="宋体" w:eastAsia="宋体" w:cs="宋体"/>
                <w:sz w:val="24"/>
                <w:szCs w:val="24"/>
              </w:rPr>
            </w:pPr>
            <w:r>
              <w:rPr>
                <w:rFonts w:ascii="宋体" w:hAnsi="宋体" w:eastAsia="宋体" w:cs="宋体"/>
                <w:spacing w:val="3"/>
                <w:sz w:val="24"/>
                <w:szCs w:val="24"/>
              </w:rPr>
              <w:t>本项目使用</w:t>
            </w:r>
            <w:r>
              <w:rPr>
                <w:rFonts w:ascii="Times New Roman" w:hAnsi="Times New Roman" w:eastAsia="Times New Roman" w:cs="Times New Roman"/>
                <w:sz w:val="24"/>
                <w:szCs w:val="24"/>
              </w:rPr>
              <w:t>PP</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为原料，生产塑料筐，生产废气（颗粒物、非甲烷总烃）</w:t>
            </w:r>
            <w:r>
              <w:rPr>
                <w:rFonts w:ascii="宋体" w:hAnsi="宋体" w:eastAsia="宋体" w:cs="宋体"/>
                <w:sz w:val="24"/>
                <w:szCs w:val="24"/>
              </w:rPr>
              <w:t>经集气罩收集</w:t>
            </w:r>
            <w:r>
              <w:rPr>
                <w:rFonts w:ascii="Times New Roman" w:hAnsi="Times New Roman" w:eastAsia="Times New Roman" w:cs="Times New Roman"/>
                <w:sz w:val="24"/>
                <w:szCs w:val="24"/>
              </w:rPr>
              <w:t>+</w:t>
            </w:r>
            <w:r>
              <w:rPr>
                <w:rFonts w:ascii="宋体" w:hAnsi="宋体" w:eastAsia="宋体" w:cs="宋体"/>
                <w:sz w:val="24"/>
                <w:szCs w:val="24"/>
              </w:rPr>
              <w:t>三级活性炭吸附处理后通过</w:t>
            </w:r>
            <w:r>
              <w:rPr>
                <w:rFonts w:ascii="宋体" w:hAnsi="宋体" w:eastAsia="宋体" w:cs="宋体"/>
                <w:spacing w:val="-30"/>
                <w:sz w:val="24"/>
                <w:szCs w:val="24"/>
              </w:rPr>
              <w:t xml:space="preserve"> </w:t>
            </w:r>
            <w:r>
              <w:rPr>
                <w:rFonts w:ascii="Times New Roman" w:hAnsi="Times New Roman" w:eastAsia="Times New Roman" w:cs="Times New Roman"/>
                <w:sz w:val="24"/>
                <w:szCs w:val="24"/>
              </w:rPr>
              <w:t xml:space="preserve">15m </w:t>
            </w:r>
            <w:r>
              <w:rPr>
                <w:rFonts w:ascii="宋体" w:hAnsi="宋体" w:eastAsia="宋体" w:cs="宋体"/>
                <w:sz w:val="24"/>
                <w:szCs w:val="24"/>
              </w:rPr>
              <w:t>排气</w:t>
            </w:r>
            <w:r>
              <w:rPr>
                <w:rFonts w:ascii="宋体" w:hAnsi="宋体" w:eastAsia="宋体" w:cs="宋体"/>
                <w:spacing w:val="-1"/>
                <w:sz w:val="24"/>
                <w:szCs w:val="24"/>
              </w:rPr>
              <w:t>筒（</w:t>
            </w:r>
            <w:r>
              <w:rPr>
                <w:rFonts w:ascii="Times New Roman" w:hAnsi="Times New Roman" w:eastAsia="Times New Roman" w:cs="Times New Roman"/>
                <w:spacing w:val="-1"/>
                <w:sz w:val="24"/>
                <w:szCs w:val="24"/>
              </w:rPr>
              <w:t>DA005</w:t>
            </w:r>
            <w:r>
              <w:rPr>
                <w:rFonts w:ascii="宋体" w:hAnsi="宋体" w:eastAsia="宋体" w:cs="宋体"/>
                <w:spacing w:val="-1"/>
                <w:sz w:val="24"/>
                <w:szCs w:val="24"/>
              </w:rPr>
              <w:t>）排放，废气</w:t>
            </w:r>
            <w:r>
              <w:rPr>
                <w:rFonts w:ascii="宋体" w:hAnsi="宋体" w:eastAsia="宋体" w:cs="宋体"/>
                <w:spacing w:val="-2"/>
                <w:sz w:val="24"/>
                <w:szCs w:val="24"/>
              </w:rPr>
              <w:t>执行《合成树脂工业污染物排放标准》（</w:t>
            </w:r>
            <w:r>
              <w:rPr>
                <w:rFonts w:ascii="Times New Roman" w:hAnsi="Times New Roman" w:eastAsia="Times New Roman" w:cs="Times New Roman"/>
                <w:spacing w:val="-2"/>
                <w:sz w:val="24"/>
                <w:szCs w:val="24"/>
              </w:rPr>
              <w:t>GB315272-2015</w:t>
            </w:r>
            <w:r>
              <w:rPr>
                <w:rFonts w:ascii="Times New Roman" w:hAnsi="Times New Roman" w:eastAsia="Times New Roman" w:cs="Times New Roman"/>
                <w:spacing w:val="-31"/>
                <w:sz w:val="24"/>
                <w:szCs w:val="24"/>
              </w:rPr>
              <w:t xml:space="preserve"> </w:t>
            </w:r>
            <w:r>
              <w:rPr>
                <w:rFonts w:ascii="宋体" w:hAnsi="宋体" w:eastAsia="宋体" w:cs="宋体"/>
                <w:spacing w:val="-2"/>
                <w:sz w:val="24"/>
                <w:szCs w:val="24"/>
              </w:rPr>
              <w:t>，含</w:t>
            </w:r>
            <w:r>
              <w:rPr>
                <w:rFonts w:ascii="宋体" w:hAnsi="宋体" w:eastAsia="宋体" w:cs="宋体"/>
                <w:spacing w:val="-48"/>
                <w:sz w:val="24"/>
                <w:szCs w:val="24"/>
              </w:rPr>
              <w:t xml:space="preserve"> </w:t>
            </w:r>
            <w:r>
              <w:rPr>
                <w:rFonts w:ascii="宋体" w:hAnsi="宋体" w:eastAsia="宋体" w:cs="宋体"/>
                <w:spacing w:val="-2"/>
                <w:sz w:val="24"/>
                <w:szCs w:val="24"/>
              </w:rPr>
              <w:t>2024 年修</w:t>
            </w:r>
            <w:r>
              <w:rPr>
                <w:rFonts w:ascii="宋体" w:hAnsi="宋体" w:eastAsia="宋体" w:cs="宋体"/>
                <w:spacing w:val="-3"/>
                <w:sz w:val="24"/>
                <w:szCs w:val="24"/>
              </w:rPr>
              <w:t>改单）</w:t>
            </w:r>
            <w:r>
              <w:rPr>
                <w:rFonts w:ascii="宋体" w:hAnsi="宋体" w:eastAsia="宋体" w:cs="宋体"/>
                <w:spacing w:val="-4"/>
                <w:sz w:val="24"/>
                <w:szCs w:val="24"/>
              </w:rPr>
              <w:t>表</w:t>
            </w:r>
            <w:r>
              <w:rPr>
                <w:rFonts w:ascii="宋体" w:hAnsi="宋体" w:eastAsia="宋体" w:cs="宋体"/>
                <w:spacing w:val="-52"/>
                <w:sz w:val="24"/>
                <w:szCs w:val="24"/>
              </w:rPr>
              <w:t xml:space="preserve"> </w:t>
            </w:r>
            <w:r>
              <w:rPr>
                <w:rFonts w:ascii="Times New Roman" w:hAnsi="Times New Roman" w:eastAsia="Times New Roman" w:cs="Times New Roman"/>
                <w:spacing w:val="-4"/>
                <w:sz w:val="24"/>
                <w:szCs w:val="24"/>
              </w:rPr>
              <w:t>4</w:t>
            </w:r>
            <w:r>
              <w:rPr>
                <w:rFonts w:ascii="Times New Roman" w:hAnsi="Times New Roman" w:eastAsia="Times New Roman" w:cs="Times New Roman"/>
                <w:spacing w:val="32"/>
                <w:sz w:val="24"/>
                <w:szCs w:val="24"/>
              </w:rPr>
              <w:t xml:space="preserve"> </w:t>
            </w:r>
            <w:r>
              <w:rPr>
                <w:rFonts w:ascii="宋体" w:hAnsi="宋体" w:eastAsia="宋体" w:cs="宋体"/>
                <w:spacing w:val="-4"/>
                <w:sz w:val="24"/>
                <w:szCs w:val="24"/>
              </w:rPr>
              <w:t>中相关要求，详见表</w:t>
            </w:r>
            <w:r>
              <w:rPr>
                <w:rFonts w:ascii="宋体" w:hAnsi="宋体" w:eastAsia="宋体" w:cs="宋体"/>
                <w:spacing w:val="-51"/>
                <w:sz w:val="24"/>
                <w:szCs w:val="24"/>
              </w:rPr>
              <w:t xml:space="preserve"> </w:t>
            </w:r>
            <w:r>
              <w:rPr>
                <w:rFonts w:ascii="Times New Roman" w:hAnsi="Times New Roman" w:eastAsia="Times New Roman" w:cs="Times New Roman"/>
                <w:spacing w:val="-4"/>
                <w:sz w:val="24"/>
                <w:szCs w:val="24"/>
              </w:rPr>
              <w:t>3-9</w:t>
            </w:r>
            <w:r>
              <w:rPr>
                <w:rFonts w:ascii="宋体" w:hAnsi="宋体" w:eastAsia="宋体" w:cs="宋体"/>
                <w:spacing w:val="-4"/>
                <w:sz w:val="24"/>
                <w:szCs w:val="24"/>
              </w:rPr>
              <w:t>。</w:t>
            </w:r>
          </w:p>
          <w:p w14:paraId="3BEE0408">
            <w:pPr>
              <w:spacing w:line="209" w:lineRule="auto"/>
              <w:ind w:left="2426"/>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39"/>
                <w:sz w:val="20"/>
                <w:szCs w:val="20"/>
              </w:rPr>
              <w:t xml:space="preserve"> </w:t>
            </w:r>
            <w:r>
              <w:rPr>
                <w:rFonts w:ascii="Times New Roman" w:hAnsi="Times New Roman" w:eastAsia="Times New Roman" w:cs="Times New Roman"/>
                <w:b/>
                <w:bCs/>
                <w:spacing w:val="6"/>
                <w:sz w:val="20"/>
                <w:szCs w:val="20"/>
              </w:rPr>
              <w:t xml:space="preserve">3-9    </w:t>
            </w:r>
            <w:r>
              <w:rPr>
                <w:rFonts w:ascii="宋体" w:hAnsi="宋体" w:eastAsia="宋体" w:cs="宋体"/>
                <w:b/>
                <w:bCs/>
                <w:spacing w:val="6"/>
                <w:sz w:val="20"/>
                <w:szCs w:val="20"/>
              </w:rPr>
              <w:t>合成树脂工业污染物排放标准</w:t>
            </w:r>
          </w:p>
        </w:tc>
      </w:tr>
      <w:tr w14:paraId="32B1D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17" w:type="dxa"/>
            <w:vMerge w:val="continue"/>
            <w:tcBorders>
              <w:top w:val="nil"/>
              <w:left w:val="single" w:color="000000" w:sz="6" w:space="0"/>
              <w:bottom w:val="nil"/>
            </w:tcBorders>
            <w:vAlign w:val="top"/>
          </w:tcPr>
          <w:p w14:paraId="2B6FE5AF">
            <w:pPr>
              <w:rPr>
                <w:rFonts w:ascii="Arial"/>
                <w:sz w:val="21"/>
              </w:rPr>
            </w:pPr>
          </w:p>
        </w:tc>
        <w:tc>
          <w:tcPr>
            <w:tcW w:w="113" w:type="dxa"/>
            <w:tcBorders>
              <w:top w:val="nil"/>
              <w:bottom w:val="nil"/>
            </w:tcBorders>
            <w:vAlign w:val="top"/>
          </w:tcPr>
          <w:p w14:paraId="54F3C0D2">
            <w:pPr>
              <w:rPr>
                <w:rFonts w:ascii="Arial"/>
                <w:sz w:val="21"/>
              </w:rPr>
            </w:pPr>
          </w:p>
        </w:tc>
        <w:tc>
          <w:tcPr>
            <w:tcW w:w="1694" w:type="dxa"/>
            <w:gridSpan w:val="2"/>
            <w:vAlign w:val="top"/>
          </w:tcPr>
          <w:p w14:paraId="77A1608C">
            <w:pPr>
              <w:spacing w:before="243" w:line="228" w:lineRule="auto"/>
              <w:ind w:left="533"/>
              <w:rPr>
                <w:rFonts w:ascii="宋体" w:hAnsi="宋体" w:eastAsia="宋体" w:cs="宋体"/>
                <w:sz w:val="20"/>
                <w:szCs w:val="20"/>
              </w:rPr>
            </w:pPr>
            <w:r>
              <w:rPr>
                <w:rFonts w:ascii="宋体" w:hAnsi="宋体" w:eastAsia="宋体" w:cs="宋体"/>
                <w:b/>
                <w:bCs/>
                <w:spacing w:val="5"/>
                <w:sz w:val="20"/>
                <w:szCs w:val="20"/>
              </w:rPr>
              <w:t>污染物</w:t>
            </w:r>
          </w:p>
        </w:tc>
        <w:tc>
          <w:tcPr>
            <w:tcW w:w="1947" w:type="dxa"/>
            <w:gridSpan w:val="3"/>
            <w:vAlign w:val="top"/>
          </w:tcPr>
          <w:p w14:paraId="363B30B3">
            <w:pPr>
              <w:spacing w:before="243" w:line="228" w:lineRule="auto"/>
              <w:ind w:left="555"/>
              <w:rPr>
                <w:rFonts w:ascii="宋体" w:hAnsi="宋体" w:eastAsia="宋体" w:cs="宋体"/>
                <w:sz w:val="20"/>
                <w:szCs w:val="20"/>
              </w:rPr>
            </w:pPr>
            <w:r>
              <w:rPr>
                <w:rFonts w:ascii="宋体" w:hAnsi="宋体" w:eastAsia="宋体" w:cs="宋体"/>
                <w:b/>
                <w:bCs/>
                <w:spacing w:val="6"/>
                <w:sz w:val="20"/>
                <w:szCs w:val="20"/>
              </w:rPr>
              <w:t>排放浓度</w:t>
            </w:r>
          </w:p>
        </w:tc>
        <w:tc>
          <w:tcPr>
            <w:tcW w:w="1111" w:type="dxa"/>
            <w:gridSpan w:val="2"/>
            <w:vAlign w:val="top"/>
          </w:tcPr>
          <w:p w14:paraId="46E56185">
            <w:pPr>
              <w:spacing w:before="243" w:line="229" w:lineRule="auto"/>
              <w:ind w:left="353"/>
              <w:rPr>
                <w:rFonts w:ascii="宋体" w:hAnsi="宋体" w:eastAsia="宋体" w:cs="宋体"/>
                <w:sz w:val="20"/>
                <w:szCs w:val="20"/>
              </w:rPr>
            </w:pPr>
            <w:r>
              <w:rPr>
                <w:rFonts w:ascii="宋体" w:hAnsi="宋体" w:eastAsia="宋体" w:cs="宋体"/>
                <w:b/>
                <w:bCs/>
                <w:spacing w:val="2"/>
                <w:sz w:val="20"/>
                <w:szCs w:val="20"/>
              </w:rPr>
              <w:t>备注</w:t>
            </w:r>
          </w:p>
        </w:tc>
        <w:tc>
          <w:tcPr>
            <w:tcW w:w="1483" w:type="dxa"/>
            <w:gridSpan w:val="2"/>
            <w:vAlign w:val="top"/>
          </w:tcPr>
          <w:p w14:paraId="67A40828">
            <w:pPr>
              <w:spacing w:before="39" w:line="356" w:lineRule="auto"/>
              <w:ind w:left="431" w:right="104" w:hanging="311"/>
              <w:rPr>
                <w:rFonts w:ascii="宋体" w:hAnsi="宋体" w:eastAsia="宋体" w:cs="宋体"/>
                <w:sz w:val="20"/>
                <w:szCs w:val="20"/>
              </w:rPr>
            </w:pPr>
            <w:r>
              <w:rPr>
                <w:rFonts w:ascii="宋体" w:hAnsi="宋体" w:eastAsia="宋体" w:cs="宋体"/>
                <w:b/>
                <w:bCs/>
                <w:spacing w:val="6"/>
                <w:sz w:val="20"/>
                <w:szCs w:val="20"/>
              </w:rPr>
              <w:t>污染物排放监</w:t>
            </w:r>
            <w:r>
              <w:rPr>
                <w:rFonts w:ascii="宋体" w:hAnsi="宋体" w:eastAsia="宋体" w:cs="宋体"/>
                <w:b/>
                <w:bCs/>
                <w:spacing w:val="5"/>
                <w:sz w:val="20"/>
                <w:szCs w:val="20"/>
              </w:rPr>
              <w:t>控位置</w:t>
            </w:r>
          </w:p>
        </w:tc>
        <w:tc>
          <w:tcPr>
            <w:tcW w:w="1875" w:type="dxa"/>
            <w:vAlign w:val="top"/>
          </w:tcPr>
          <w:p w14:paraId="340B889F">
            <w:pPr>
              <w:spacing w:before="39" w:line="356" w:lineRule="auto"/>
              <w:ind w:left="318" w:right="194" w:hanging="105"/>
              <w:rPr>
                <w:rFonts w:ascii="宋体" w:hAnsi="宋体" w:eastAsia="宋体" w:cs="宋体"/>
                <w:sz w:val="20"/>
                <w:szCs w:val="20"/>
              </w:rPr>
            </w:pPr>
            <w:r>
              <w:rPr>
                <w:rFonts w:ascii="宋体" w:hAnsi="宋体" w:eastAsia="宋体" w:cs="宋体"/>
                <w:b/>
                <w:bCs/>
                <w:spacing w:val="6"/>
                <w:sz w:val="20"/>
                <w:szCs w:val="20"/>
              </w:rPr>
              <w:t>企业边界大气污染物浓度限值</w:t>
            </w:r>
          </w:p>
        </w:tc>
        <w:tc>
          <w:tcPr>
            <w:tcW w:w="125" w:type="dxa"/>
            <w:tcBorders>
              <w:top w:val="nil"/>
              <w:bottom w:val="nil"/>
              <w:right w:val="single" w:color="000000" w:sz="6" w:space="0"/>
            </w:tcBorders>
            <w:vAlign w:val="top"/>
          </w:tcPr>
          <w:p w14:paraId="258BE348">
            <w:pPr>
              <w:rPr>
                <w:rFonts w:ascii="Arial"/>
                <w:sz w:val="21"/>
              </w:rPr>
            </w:pPr>
          </w:p>
        </w:tc>
      </w:tr>
      <w:tr w14:paraId="6CF08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17" w:type="dxa"/>
            <w:vMerge w:val="continue"/>
            <w:tcBorders>
              <w:top w:val="nil"/>
              <w:left w:val="single" w:color="000000" w:sz="6" w:space="0"/>
              <w:bottom w:val="nil"/>
            </w:tcBorders>
            <w:vAlign w:val="top"/>
          </w:tcPr>
          <w:p w14:paraId="140973F7">
            <w:pPr>
              <w:rPr>
                <w:rFonts w:ascii="Arial"/>
                <w:sz w:val="21"/>
              </w:rPr>
            </w:pPr>
          </w:p>
        </w:tc>
        <w:tc>
          <w:tcPr>
            <w:tcW w:w="113" w:type="dxa"/>
            <w:tcBorders>
              <w:top w:val="nil"/>
              <w:bottom w:val="nil"/>
            </w:tcBorders>
            <w:vAlign w:val="top"/>
          </w:tcPr>
          <w:p w14:paraId="746BF82B">
            <w:pPr>
              <w:rPr>
                <w:rFonts w:ascii="Arial"/>
                <w:sz w:val="21"/>
              </w:rPr>
            </w:pPr>
          </w:p>
        </w:tc>
        <w:tc>
          <w:tcPr>
            <w:tcW w:w="1694" w:type="dxa"/>
            <w:gridSpan w:val="2"/>
            <w:vAlign w:val="top"/>
          </w:tcPr>
          <w:p w14:paraId="0D89D99D">
            <w:pPr>
              <w:spacing w:before="41" w:line="228" w:lineRule="auto"/>
              <w:ind w:left="326"/>
              <w:rPr>
                <w:rFonts w:ascii="宋体" w:hAnsi="宋体" w:eastAsia="宋体" w:cs="宋体"/>
                <w:sz w:val="20"/>
                <w:szCs w:val="20"/>
              </w:rPr>
            </w:pPr>
            <w:r>
              <w:rPr>
                <w:rFonts w:ascii="宋体" w:hAnsi="宋体" w:eastAsia="宋体" w:cs="宋体"/>
                <w:spacing w:val="7"/>
                <w:sz w:val="20"/>
                <w:szCs w:val="20"/>
              </w:rPr>
              <w:t>非甲烷总烃</w:t>
            </w:r>
          </w:p>
        </w:tc>
        <w:tc>
          <w:tcPr>
            <w:tcW w:w="1947" w:type="dxa"/>
            <w:gridSpan w:val="3"/>
            <w:vAlign w:val="top"/>
          </w:tcPr>
          <w:p w14:paraId="73C0F06F">
            <w:pPr>
              <w:spacing w:before="41" w:line="221" w:lineRule="auto"/>
              <w:ind w:left="346"/>
              <w:rPr>
                <w:rFonts w:ascii="宋体" w:hAnsi="宋体" w:eastAsia="宋体" w:cs="宋体"/>
                <w:sz w:val="20"/>
                <w:szCs w:val="20"/>
              </w:rPr>
            </w:pPr>
            <w:r>
              <w:rPr>
                <w:rFonts w:ascii="Times New Roman" w:hAnsi="Times New Roman" w:eastAsia="Times New Roman" w:cs="Times New Roman"/>
                <w:spacing w:val="3"/>
                <w:sz w:val="20"/>
                <w:szCs w:val="20"/>
              </w:rPr>
              <w:t>100</w:t>
            </w:r>
            <w:r>
              <w:rPr>
                <w:rFonts w:ascii="宋体" w:hAnsi="宋体" w:eastAsia="宋体" w:cs="宋体"/>
                <w:spacing w:val="3"/>
                <w:sz w:val="20"/>
                <w:szCs w:val="20"/>
              </w:rPr>
              <w:t>（</w:t>
            </w:r>
            <w:r>
              <w:rPr>
                <w:rFonts w:ascii="Times New Roman" w:hAnsi="Times New Roman" w:eastAsia="Times New Roman" w:cs="Times New Roman"/>
                <w:sz w:val="20"/>
                <w:szCs w:val="20"/>
              </w:rPr>
              <w:t>mg</w:t>
            </w:r>
            <w:r>
              <w:rPr>
                <w:rFonts w:ascii="Times New Roman" w:hAnsi="Times New Roman" w:eastAsia="Times New Roman" w:cs="Times New Roman"/>
                <w:spacing w:val="3"/>
                <w:sz w:val="20"/>
                <w:szCs w:val="20"/>
              </w:rPr>
              <w:t>/m</w:t>
            </w:r>
            <w:r>
              <w:rPr>
                <w:rFonts w:ascii="Times New Roman" w:hAnsi="Times New Roman" w:eastAsia="Times New Roman" w:cs="Times New Roman"/>
                <w:spacing w:val="3"/>
                <w:sz w:val="13"/>
                <w:szCs w:val="13"/>
              </w:rPr>
              <w:t>3</w:t>
            </w:r>
            <w:r>
              <w:rPr>
                <w:rFonts w:ascii="宋体" w:hAnsi="宋体" w:eastAsia="宋体" w:cs="宋体"/>
                <w:spacing w:val="3"/>
                <w:sz w:val="20"/>
                <w:szCs w:val="20"/>
              </w:rPr>
              <w:t>）</w:t>
            </w:r>
          </w:p>
        </w:tc>
        <w:tc>
          <w:tcPr>
            <w:tcW w:w="1111" w:type="dxa"/>
            <w:gridSpan w:val="2"/>
            <w:vMerge w:val="restart"/>
            <w:tcBorders>
              <w:bottom w:val="nil"/>
            </w:tcBorders>
            <w:vAlign w:val="top"/>
          </w:tcPr>
          <w:p w14:paraId="10F6FD3C">
            <w:pPr>
              <w:spacing w:line="392" w:lineRule="auto"/>
              <w:rPr>
                <w:rFonts w:ascii="Arial"/>
                <w:sz w:val="21"/>
              </w:rPr>
            </w:pPr>
          </w:p>
          <w:p w14:paraId="09190A09">
            <w:pPr>
              <w:spacing w:before="65" w:line="378" w:lineRule="auto"/>
              <w:ind w:left="241" w:right="133" w:hanging="99"/>
              <w:rPr>
                <w:rFonts w:ascii="Times New Roman" w:hAnsi="Times New Roman" w:eastAsia="Times New Roman" w:cs="Times New Roman"/>
                <w:sz w:val="20"/>
                <w:szCs w:val="20"/>
              </w:rPr>
            </w:pPr>
            <w:r>
              <w:rPr>
                <w:rFonts w:ascii="宋体" w:hAnsi="宋体" w:eastAsia="宋体" w:cs="宋体"/>
                <w:spacing w:val="7"/>
                <w:sz w:val="20"/>
                <w:szCs w:val="20"/>
              </w:rPr>
              <w:t>排气筒高</w:t>
            </w:r>
            <w:r>
              <w:rPr>
                <w:rFonts w:ascii="宋体" w:hAnsi="宋体" w:eastAsia="宋体" w:cs="宋体"/>
                <w:spacing w:val="-2"/>
                <w:sz w:val="20"/>
                <w:szCs w:val="20"/>
              </w:rPr>
              <w:t>度</w:t>
            </w:r>
            <w:r>
              <w:rPr>
                <w:rFonts w:ascii="宋体" w:hAnsi="宋体" w:eastAsia="宋体" w:cs="宋体"/>
                <w:spacing w:val="-21"/>
                <w:sz w:val="20"/>
                <w:szCs w:val="20"/>
              </w:rPr>
              <w:t xml:space="preserve"> </w:t>
            </w:r>
            <w:r>
              <w:rPr>
                <w:rFonts w:ascii="Times New Roman" w:hAnsi="Times New Roman" w:eastAsia="Times New Roman" w:cs="Times New Roman"/>
                <w:spacing w:val="-2"/>
                <w:sz w:val="20"/>
                <w:szCs w:val="20"/>
              </w:rPr>
              <w:t>15m</w:t>
            </w:r>
          </w:p>
        </w:tc>
        <w:tc>
          <w:tcPr>
            <w:tcW w:w="1483" w:type="dxa"/>
            <w:gridSpan w:val="2"/>
            <w:vMerge w:val="restart"/>
            <w:tcBorders>
              <w:bottom w:val="nil"/>
            </w:tcBorders>
            <w:vAlign w:val="top"/>
          </w:tcPr>
          <w:p w14:paraId="6C143873">
            <w:pPr>
              <w:spacing w:line="322" w:lineRule="auto"/>
              <w:rPr>
                <w:rFonts w:ascii="Arial"/>
                <w:sz w:val="21"/>
              </w:rPr>
            </w:pPr>
          </w:p>
          <w:p w14:paraId="3D93EB08">
            <w:pPr>
              <w:spacing w:line="322" w:lineRule="auto"/>
              <w:rPr>
                <w:rFonts w:ascii="Arial"/>
                <w:sz w:val="21"/>
              </w:rPr>
            </w:pPr>
          </w:p>
          <w:p w14:paraId="1C1E29C4">
            <w:pPr>
              <w:spacing w:before="57" w:line="195" w:lineRule="auto"/>
              <w:ind w:left="435"/>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005</w:t>
            </w:r>
          </w:p>
        </w:tc>
        <w:tc>
          <w:tcPr>
            <w:tcW w:w="1875" w:type="dxa"/>
            <w:vAlign w:val="top"/>
          </w:tcPr>
          <w:p w14:paraId="6778613E">
            <w:pPr>
              <w:spacing w:before="41" w:line="221" w:lineRule="auto"/>
              <w:ind w:left="322"/>
              <w:rPr>
                <w:rFonts w:ascii="宋体" w:hAnsi="宋体" w:eastAsia="宋体" w:cs="宋体"/>
                <w:sz w:val="20"/>
                <w:szCs w:val="20"/>
              </w:rPr>
            </w:pPr>
            <w:r>
              <w:rPr>
                <w:rFonts w:ascii="Times New Roman" w:hAnsi="Times New Roman" w:eastAsia="Times New Roman" w:cs="Times New Roman"/>
                <w:spacing w:val="5"/>
                <w:sz w:val="20"/>
                <w:szCs w:val="20"/>
              </w:rPr>
              <w:t>4.0</w:t>
            </w:r>
            <w:r>
              <w:rPr>
                <w:rFonts w:ascii="宋体" w:hAnsi="宋体" w:eastAsia="宋体" w:cs="宋体"/>
                <w:spacing w:val="5"/>
                <w:sz w:val="20"/>
                <w:szCs w:val="20"/>
              </w:rPr>
              <w:t>（</w:t>
            </w:r>
            <w:r>
              <w:rPr>
                <w:rFonts w:ascii="Times New Roman" w:hAnsi="Times New Roman" w:eastAsia="Times New Roman" w:cs="Times New Roman"/>
                <w:sz w:val="20"/>
                <w:szCs w:val="20"/>
              </w:rPr>
              <w:t>mg</w:t>
            </w:r>
            <w:r>
              <w:rPr>
                <w:rFonts w:ascii="Times New Roman" w:hAnsi="Times New Roman" w:eastAsia="Times New Roman" w:cs="Times New Roman"/>
                <w:spacing w:val="5"/>
                <w:sz w:val="20"/>
                <w:szCs w:val="20"/>
              </w:rPr>
              <w:t>/m</w:t>
            </w:r>
            <w:r>
              <w:rPr>
                <w:rFonts w:ascii="Times New Roman" w:hAnsi="Times New Roman" w:eastAsia="Times New Roman" w:cs="Times New Roman"/>
                <w:spacing w:val="5"/>
                <w:sz w:val="13"/>
                <w:szCs w:val="13"/>
              </w:rPr>
              <w:t>3</w:t>
            </w:r>
            <w:r>
              <w:rPr>
                <w:rFonts w:ascii="宋体" w:hAnsi="宋体" w:eastAsia="宋体" w:cs="宋体"/>
                <w:spacing w:val="5"/>
                <w:sz w:val="20"/>
                <w:szCs w:val="20"/>
              </w:rPr>
              <w:t>）</w:t>
            </w:r>
          </w:p>
        </w:tc>
        <w:tc>
          <w:tcPr>
            <w:tcW w:w="125" w:type="dxa"/>
            <w:tcBorders>
              <w:top w:val="nil"/>
              <w:bottom w:val="nil"/>
              <w:right w:val="single" w:color="000000" w:sz="6" w:space="0"/>
            </w:tcBorders>
            <w:vAlign w:val="top"/>
          </w:tcPr>
          <w:p w14:paraId="1DBFDA6D">
            <w:pPr>
              <w:rPr>
                <w:rFonts w:ascii="Arial"/>
                <w:sz w:val="21"/>
              </w:rPr>
            </w:pPr>
          </w:p>
        </w:tc>
      </w:tr>
      <w:tr w14:paraId="50690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17" w:type="dxa"/>
            <w:vMerge w:val="continue"/>
            <w:tcBorders>
              <w:top w:val="nil"/>
              <w:left w:val="single" w:color="000000" w:sz="6" w:space="0"/>
              <w:bottom w:val="nil"/>
            </w:tcBorders>
            <w:vAlign w:val="top"/>
          </w:tcPr>
          <w:p w14:paraId="2AED4C4D">
            <w:pPr>
              <w:rPr>
                <w:rFonts w:ascii="Arial"/>
                <w:sz w:val="21"/>
              </w:rPr>
            </w:pPr>
          </w:p>
        </w:tc>
        <w:tc>
          <w:tcPr>
            <w:tcW w:w="113" w:type="dxa"/>
            <w:tcBorders>
              <w:top w:val="nil"/>
              <w:bottom w:val="nil"/>
            </w:tcBorders>
            <w:vAlign w:val="top"/>
          </w:tcPr>
          <w:p w14:paraId="34BD93D6">
            <w:pPr>
              <w:rPr>
                <w:rFonts w:ascii="Arial"/>
                <w:sz w:val="21"/>
              </w:rPr>
            </w:pPr>
          </w:p>
        </w:tc>
        <w:tc>
          <w:tcPr>
            <w:tcW w:w="1694" w:type="dxa"/>
            <w:gridSpan w:val="2"/>
            <w:vAlign w:val="top"/>
          </w:tcPr>
          <w:p w14:paraId="3CBAA8B7">
            <w:pPr>
              <w:spacing w:before="41" w:line="228" w:lineRule="auto"/>
              <w:ind w:left="530"/>
              <w:rPr>
                <w:rFonts w:ascii="宋体" w:hAnsi="宋体" w:eastAsia="宋体" w:cs="宋体"/>
                <w:sz w:val="20"/>
                <w:szCs w:val="20"/>
              </w:rPr>
            </w:pPr>
            <w:r>
              <w:rPr>
                <w:rFonts w:ascii="宋体" w:hAnsi="宋体" w:eastAsia="宋体" w:cs="宋体"/>
                <w:spacing w:val="7"/>
                <w:sz w:val="20"/>
                <w:szCs w:val="20"/>
              </w:rPr>
              <w:t>颗粒物</w:t>
            </w:r>
          </w:p>
        </w:tc>
        <w:tc>
          <w:tcPr>
            <w:tcW w:w="1947" w:type="dxa"/>
            <w:gridSpan w:val="3"/>
            <w:vAlign w:val="top"/>
          </w:tcPr>
          <w:p w14:paraId="56BF9D84">
            <w:pPr>
              <w:spacing w:before="40" w:line="221" w:lineRule="auto"/>
              <w:ind w:left="383"/>
              <w:rPr>
                <w:rFonts w:ascii="宋体" w:hAnsi="宋体" w:eastAsia="宋体" w:cs="宋体"/>
                <w:sz w:val="20"/>
                <w:szCs w:val="20"/>
              </w:rPr>
            </w:pPr>
            <w:r>
              <w:rPr>
                <w:rFonts w:ascii="Times New Roman" w:hAnsi="Times New Roman" w:eastAsia="Times New Roman" w:cs="Times New Roman"/>
                <w:spacing w:val="5"/>
                <w:sz w:val="20"/>
                <w:szCs w:val="20"/>
              </w:rPr>
              <w:t>30</w:t>
            </w:r>
            <w:r>
              <w:rPr>
                <w:rFonts w:ascii="宋体" w:hAnsi="宋体" w:eastAsia="宋体" w:cs="宋体"/>
                <w:spacing w:val="5"/>
                <w:sz w:val="20"/>
                <w:szCs w:val="20"/>
              </w:rPr>
              <w:t>（</w:t>
            </w:r>
            <w:r>
              <w:rPr>
                <w:rFonts w:ascii="Times New Roman" w:hAnsi="Times New Roman" w:eastAsia="Times New Roman" w:cs="Times New Roman"/>
                <w:sz w:val="20"/>
                <w:szCs w:val="20"/>
              </w:rPr>
              <w:t>mg</w:t>
            </w:r>
            <w:r>
              <w:rPr>
                <w:rFonts w:ascii="Times New Roman" w:hAnsi="Times New Roman" w:eastAsia="Times New Roman" w:cs="Times New Roman"/>
                <w:spacing w:val="5"/>
                <w:sz w:val="20"/>
                <w:szCs w:val="20"/>
              </w:rPr>
              <w:t>/m</w:t>
            </w:r>
            <w:r>
              <w:rPr>
                <w:rFonts w:ascii="Times New Roman" w:hAnsi="Times New Roman" w:eastAsia="Times New Roman" w:cs="Times New Roman"/>
                <w:spacing w:val="5"/>
                <w:sz w:val="13"/>
                <w:szCs w:val="13"/>
              </w:rPr>
              <w:t>3</w:t>
            </w:r>
            <w:r>
              <w:rPr>
                <w:rFonts w:ascii="宋体" w:hAnsi="宋体" w:eastAsia="宋体" w:cs="宋体"/>
                <w:spacing w:val="5"/>
                <w:sz w:val="20"/>
                <w:szCs w:val="20"/>
              </w:rPr>
              <w:t>）</w:t>
            </w:r>
          </w:p>
        </w:tc>
        <w:tc>
          <w:tcPr>
            <w:tcW w:w="1111" w:type="dxa"/>
            <w:gridSpan w:val="2"/>
            <w:vMerge w:val="continue"/>
            <w:tcBorders>
              <w:top w:val="nil"/>
              <w:bottom w:val="nil"/>
            </w:tcBorders>
            <w:vAlign w:val="top"/>
          </w:tcPr>
          <w:p w14:paraId="46A0C344">
            <w:pPr>
              <w:rPr>
                <w:rFonts w:ascii="Arial"/>
                <w:sz w:val="21"/>
              </w:rPr>
            </w:pPr>
          </w:p>
        </w:tc>
        <w:tc>
          <w:tcPr>
            <w:tcW w:w="1483" w:type="dxa"/>
            <w:gridSpan w:val="2"/>
            <w:vMerge w:val="continue"/>
            <w:tcBorders>
              <w:top w:val="nil"/>
              <w:bottom w:val="nil"/>
            </w:tcBorders>
            <w:vAlign w:val="top"/>
          </w:tcPr>
          <w:p w14:paraId="652FCA23">
            <w:pPr>
              <w:rPr>
                <w:rFonts w:ascii="Arial"/>
                <w:sz w:val="21"/>
              </w:rPr>
            </w:pPr>
          </w:p>
        </w:tc>
        <w:tc>
          <w:tcPr>
            <w:tcW w:w="1875" w:type="dxa"/>
            <w:vAlign w:val="top"/>
          </w:tcPr>
          <w:p w14:paraId="25CBA3A0">
            <w:pPr>
              <w:spacing w:before="40" w:line="221" w:lineRule="auto"/>
              <w:ind w:left="344"/>
              <w:rPr>
                <w:rFonts w:ascii="宋体" w:hAnsi="宋体" w:eastAsia="宋体" w:cs="宋体"/>
                <w:sz w:val="20"/>
                <w:szCs w:val="20"/>
              </w:rPr>
            </w:pPr>
            <w:r>
              <w:rPr>
                <w:rFonts w:ascii="Times New Roman" w:hAnsi="Times New Roman" w:eastAsia="Times New Roman" w:cs="Times New Roman"/>
                <w:spacing w:val="3"/>
                <w:sz w:val="20"/>
                <w:szCs w:val="20"/>
              </w:rPr>
              <w:t>1.0</w:t>
            </w:r>
            <w:r>
              <w:rPr>
                <w:rFonts w:ascii="宋体" w:hAnsi="宋体" w:eastAsia="宋体" w:cs="宋体"/>
                <w:spacing w:val="3"/>
                <w:sz w:val="20"/>
                <w:szCs w:val="20"/>
              </w:rPr>
              <w:t>（</w:t>
            </w:r>
            <w:r>
              <w:rPr>
                <w:rFonts w:ascii="Times New Roman" w:hAnsi="Times New Roman" w:eastAsia="Times New Roman" w:cs="Times New Roman"/>
                <w:sz w:val="20"/>
                <w:szCs w:val="20"/>
              </w:rPr>
              <w:t>mg</w:t>
            </w:r>
            <w:r>
              <w:rPr>
                <w:rFonts w:ascii="Times New Roman" w:hAnsi="Times New Roman" w:eastAsia="Times New Roman" w:cs="Times New Roman"/>
                <w:spacing w:val="3"/>
                <w:sz w:val="20"/>
                <w:szCs w:val="20"/>
              </w:rPr>
              <w:t>/m</w:t>
            </w:r>
            <w:r>
              <w:rPr>
                <w:rFonts w:ascii="Times New Roman" w:hAnsi="Times New Roman" w:eastAsia="Times New Roman" w:cs="Times New Roman"/>
                <w:spacing w:val="3"/>
                <w:sz w:val="13"/>
                <w:szCs w:val="13"/>
              </w:rPr>
              <w:t>3</w:t>
            </w:r>
            <w:r>
              <w:rPr>
                <w:rFonts w:ascii="宋体" w:hAnsi="宋体" w:eastAsia="宋体" w:cs="宋体"/>
                <w:spacing w:val="3"/>
                <w:sz w:val="20"/>
                <w:szCs w:val="20"/>
              </w:rPr>
              <w:t>）</w:t>
            </w:r>
          </w:p>
        </w:tc>
        <w:tc>
          <w:tcPr>
            <w:tcW w:w="125" w:type="dxa"/>
            <w:tcBorders>
              <w:top w:val="nil"/>
              <w:bottom w:val="nil"/>
              <w:right w:val="single" w:color="000000" w:sz="6" w:space="0"/>
            </w:tcBorders>
            <w:vAlign w:val="top"/>
          </w:tcPr>
          <w:p w14:paraId="32EAEE94">
            <w:pPr>
              <w:rPr>
                <w:rFonts w:ascii="Arial"/>
                <w:sz w:val="21"/>
              </w:rPr>
            </w:pPr>
          </w:p>
        </w:tc>
      </w:tr>
      <w:tr w14:paraId="419B0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17" w:type="dxa"/>
            <w:vMerge w:val="continue"/>
            <w:tcBorders>
              <w:top w:val="nil"/>
              <w:left w:val="single" w:color="000000" w:sz="6" w:space="0"/>
              <w:bottom w:val="nil"/>
            </w:tcBorders>
            <w:vAlign w:val="top"/>
          </w:tcPr>
          <w:p w14:paraId="55541EB5">
            <w:pPr>
              <w:rPr>
                <w:rFonts w:ascii="Arial"/>
                <w:sz w:val="21"/>
              </w:rPr>
            </w:pPr>
          </w:p>
        </w:tc>
        <w:tc>
          <w:tcPr>
            <w:tcW w:w="113" w:type="dxa"/>
            <w:tcBorders>
              <w:top w:val="nil"/>
              <w:bottom w:val="nil"/>
            </w:tcBorders>
            <w:vAlign w:val="top"/>
          </w:tcPr>
          <w:p w14:paraId="59986EF0">
            <w:pPr>
              <w:rPr>
                <w:rFonts w:ascii="Arial"/>
                <w:sz w:val="21"/>
              </w:rPr>
            </w:pPr>
          </w:p>
        </w:tc>
        <w:tc>
          <w:tcPr>
            <w:tcW w:w="1694" w:type="dxa"/>
            <w:gridSpan w:val="2"/>
            <w:vAlign w:val="top"/>
          </w:tcPr>
          <w:p w14:paraId="1C9D47A7">
            <w:pPr>
              <w:spacing w:before="41" w:line="355" w:lineRule="auto"/>
              <w:ind w:left="328" w:right="116" w:hanging="215"/>
              <w:rPr>
                <w:rFonts w:ascii="宋体" w:hAnsi="宋体" w:eastAsia="宋体" w:cs="宋体"/>
                <w:sz w:val="20"/>
                <w:szCs w:val="20"/>
              </w:rPr>
            </w:pPr>
            <w:r>
              <w:rPr>
                <w:rFonts w:ascii="宋体" w:hAnsi="宋体" w:eastAsia="宋体" w:cs="宋体"/>
                <w:spacing w:val="8"/>
                <w:sz w:val="20"/>
                <w:szCs w:val="20"/>
              </w:rPr>
              <w:t>单位产品非甲烷</w:t>
            </w:r>
            <w:r>
              <w:rPr>
                <w:rFonts w:ascii="宋体" w:hAnsi="宋体" w:eastAsia="宋体" w:cs="宋体"/>
                <w:spacing w:val="7"/>
                <w:sz w:val="20"/>
                <w:szCs w:val="20"/>
              </w:rPr>
              <w:t>总烃排放量</w:t>
            </w:r>
          </w:p>
        </w:tc>
        <w:tc>
          <w:tcPr>
            <w:tcW w:w="1947" w:type="dxa"/>
            <w:gridSpan w:val="3"/>
            <w:vAlign w:val="top"/>
          </w:tcPr>
          <w:p w14:paraId="49D9B72D">
            <w:pPr>
              <w:spacing w:before="245" w:line="221" w:lineRule="auto"/>
              <w:ind w:left="444"/>
              <w:rPr>
                <w:rFonts w:ascii="宋体" w:hAnsi="宋体" w:eastAsia="宋体" w:cs="宋体"/>
                <w:sz w:val="20"/>
                <w:szCs w:val="20"/>
              </w:rPr>
            </w:pPr>
            <w:r>
              <w:rPr>
                <w:rFonts w:ascii="Times New Roman" w:hAnsi="Times New Roman" w:eastAsia="Times New Roman" w:cs="Times New Roman"/>
                <w:spacing w:val="4"/>
                <w:sz w:val="20"/>
                <w:szCs w:val="20"/>
              </w:rPr>
              <w:t>0.5</w:t>
            </w:r>
            <w:r>
              <w:rPr>
                <w:rFonts w:ascii="Times New Roman" w:hAnsi="Times New Roman" w:eastAsia="Times New Roman" w:cs="Times New Roman"/>
                <w:sz w:val="20"/>
                <w:szCs w:val="20"/>
              </w:rPr>
              <w:t>kg</w:t>
            </w:r>
            <w:r>
              <w:rPr>
                <w:rFonts w:ascii="Times New Roman" w:hAnsi="Times New Roman" w:eastAsia="Times New Roman" w:cs="Times New Roman"/>
                <w:spacing w:val="4"/>
                <w:sz w:val="20"/>
                <w:szCs w:val="20"/>
              </w:rPr>
              <w:t>/t</w:t>
            </w:r>
            <w:r>
              <w:rPr>
                <w:rFonts w:ascii="Times New Roman" w:hAnsi="Times New Roman" w:eastAsia="Times New Roman" w:cs="Times New Roman"/>
                <w:spacing w:val="13"/>
                <w:sz w:val="20"/>
                <w:szCs w:val="20"/>
              </w:rPr>
              <w:t xml:space="preserve"> </w:t>
            </w:r>
            <w:r>
              <w:rPr>
                <w:rFonts w:ascii="宋体" w:hAnsi="宋体" w:eastAsia="宋体" w:cs="宋体"/>
                <w:spacing w:val="4"/>
                <w:sz w:val="20"/>
                <w:szCs w:val="20"/>
              </w:rPr>
              <w:t>产品</w:t>
            </w:r>
          </w:p>
        </w:tc>
        <w:tc>
          <w:tcPr>
            <w:tcW w:w="1111" w:type="dxa"/>
            <w:gridSpan w:val="2"/>
            <w:vMerge w:val="continue"/>
            <w:tcBorders>
              <w:top w:val="nil"/>
            </w:tcBorders>
            <w:vAlign w:val="top"/>
          </w:tcPr>
          <w:p w14:paraId="54C19843">
            <w:pPr>
              <w:rPr>
                <w:rFonts w:ascii="Arial"/>
                <w:sz w:val="21"/>
              </w:rPr>
            </w:pPr>
          </w:p>
        </w:tc>
        <w:tc>
          <w:tcPr>
            <w:tcW w:w="1483" w:type="dxa"/>
            <w:gridSpan w:val="2"/>
            <w:vMerge w:val="continue"/>
            <w:tcBorders>
              <w:top w:val="nil"/>
            </w:tcBorders>
            <w:vAlign w:val="top"/>
          </w:tcPr>
          <w:p w14:paraId="6B629A40">
            <w:pPr>
              <w:rPr>
                <w:rFonts w:ascii="Arial"/>
                <w:sz w:val="21"/>
              </w:rPr>
            </w:pPr>
          </w:p>
        </w:tc>
        <w:tc>
          <w:tcPr>
            <w:tcW w:w="1875" w:type="dxa"/>
            <w:vAlign w:val="top"/>
          </w:tcPr>
          <w:p w14:paraId="17269486">
            <w:pPr>
              <w:spacing w:before="290" w:line="195" w:lineRule="auto"/>
              <w:ind w:left="912"/>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w:t>
            </w:r>
          </w:p>
        </w:tc>
        <w:tc>
          <w:tcPr>
            <w:tcW w:w="125" w:type="dxa"/>
            <w:tcBorders>
              <w:top w:val="nil"/>
              <w:bottom w:val="nil"/>
              <w:right w:val="single" w:color="000000" w:sz="6" w:space="0"/>
            </w:tcBorders>
            <w:vAlign w:val="top"/>
          </w:tcPr>
          <w:p w14:paraId="73F6B47E">
            <w:pPr>
              <w:rPr>
                <w:rFonts w:ascii="Arial"/>
                <w:sz w:val="21"/>
              </w:rPr>
            </w:pPr>
          </w:p>
        </w:tc>
      </w:tr>
      <w:tr w14:paraId="5BF76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5" w:hRule="atLeast"/>
        </w:trPr>
        <w:tc>
          <w:tcPr>
            <w:tcW w:w="717" w:type="dxa"/>
            <w:vMerge w:val="continue"/>
            <w:tcBorders>
              <w:top w:val="nil"/>
              <w:left w:val="single" w:color="000000" w:sz="6" w:space="0"/>
              <w:bottom w:val="nil"/>
            </w:tcBorders>
            <w:vAlign w:val="top"/>
          </w:tcPr>
          <w:p w14:paraId="2774279F">
            <w:pPr>
              <w:rPr>
                <w:rFonts w:ascii="Arial"/>
                <w:sz w:val="21"/>
              </w:rPr>
            </w:pPr>
          </w:p>
        </w:tc>
        <w:tc>
          <w:tcPr>
            <w:tcW w:w="113" w:type="dxa"/>
            <w:tcBorders>
              <w:top w:val="nil"/>
              <w:bottom w:val="nil"/>
            </w:tcBorders>
            <w:vAlign w:val="top"/>
          </w:tcPr>
          <w:p w14:paraId="4B316535">
            <w:pPr>
              <w:rPr>
                <w:rFonts w:ascii="Arial"/>
                <w:sz w:val="21"/>
              </w:rPr>
            </w:pPr>
          </w:p>
        </w:tc>
        <w:tc>
          <w:tcPr>
            <w:tcW w:w="8110" w:type="dxa"/>
            <w:gridSpan w:val="10"/>
            <w:vAlign w:val="top"/>
          </w:tcPr>
          <w:p w14:paraId="29746971">
            <w:pPr>
              <w:spacing w:before="38" w:line="344" w:lineRule="auto"/>
              <w:ind w:left="109" w:right="177" w:hanging="2"/>
              <w:rPr>
                <w:rFonts w:ascii="宋体" w:hAnsi="宋体" w:eastAsia="宋体" w:cs="宋体"/>
                <w:sz w:val="18"/>
                <w:szCs w:val="18"/>
              </w:rPr>
            </w:pPr>
            <w:r>
              <w:rPr>
                <w:rFonts w:ascii="宋体" w:hAnsi="宋体" w:eastAsia="宋体" w:cs="宋体"/>
                <w:b/>
                <w:bCs/>
                <w:spacing w:val="-1"/>
                <w:sz w:val="18"/>
                <w:szCs w:val="18"/>
              </w:rPr>
              <w:t>备注：</w:t>
            </w:r>
            <w:r>
              <w:rPr>
                <w:rFonts w:ascii="宋体" w:hAnsi="宋体" w:eastAsia="宋体" w:cs="宋体"/>
                <w:spacing w:val="-1"/>
                <w:sz w:val="18"/>
                <w:szCs w:val="18"/>
              </w:rPr>
              <w:t>因为《合成树脂工业污染物排放标准》（</w:t>
            </w:r>
            <w:r>
              <w:rPr>
                <w:rFonts w:ascii="Times New Roman" w:hAnsi="Times New Roman" w:eastAsia="Times New Roman" w:cs="Times New Roman"/>
                <w:spacing w:val="-1"/>
                <w:sz w:val="18"/>
                <w:szCs w:val="18"/>
              </w:rPr>
              <w:t>GB315272-2015</w:t>
            </w:r>
            <w:r>
              <w:rPr>
                <w:rFonts w:ascii="Times New Roman" w:hAnsi="Times New Roman" w:eastAsia="Times New Roman" w:cs="Times New Roman"/>
                <w:spacing w:val="-15"/>
                <w:sz w:val="18"/>
                <w:szCs w:val="18"/>
              </w:rPr>
              <w:t xml:space="preserve"> </w:t>
            </w:r>
            <w:r>
              <w:rPr>
                <w:rFonts w:ascii="宋体" w:hAnsi="宋体" w:eastAsia="宋体" w:cs="宋体"/>
                <w:spacing w:val="-1"/>
                <w:sz w:val="18"/>
                <w:szCs w:val="18"/>
              </w:rPr>
              <w:t>，含</w:t>
            </w:r>
            <w:r>
              <w:rPr>
                <w:rFonts w:ascii="宋体" w:hAnsi="宋体" w:eastAsia="宋体" w:cs="宋体"/>
                <w:spacing w:val="-36"/>
                <w:sz w:val="18"/>
                <w:szCs w:val="18"/>
              </w:rPr>
              <w:t xml:space="preserve"> </w:t>
            </w:r>
            <w:r>
              <w:rPr>
                <w:rFonts w:ascii="宋体" w:hAnsi="宋体" w:eastAsia="宋体" w:cs="宋体"/>
                <w:spacing w:val="-1"/>
                <w:sz w:val="18"/>
                <w:szCs w:val="18"/>
              </w:rPr>
              <w:t>2024 年修改单）中无对排气筒高度的要求仅为不低于</w:t>
            </w:r>
            <w:r>
              <w:rPr>
                <w:rFonts w:ascii="宋体" w:hAnsi="宋体" w:eastAsia="宋体" w:cs="宋体"/>
                <w:spacing w:val="-20"/>
                <w:sz w:val="18"/>
                <w:szCs w:val="18"/>
              </w:rPr>
              <w:t xml:space="preserve"> </w:t>
            </w:r>
            <w:r>
              <w:rPr>
                <w:rFonts w:ascii="Times New Roman" w:hAnsi="Times New Roman" w:eastAsia="Times New Roman" w:cs="Times New Roman"/>
                <w:spacing w:val="-1"/>
                <w:sz w:val="18"/>
                <w:szCs w:val="18"/>
              </w:rPr>
              <w:t xml:space="preserve">15m </w:t>
            </w:r>
            <w:r>
              <w:rPr>
                <w:rFonts w:ascii="宋体" w:hAnsi="宋体" w:eastAsia="宋体" w:cs="宋体"/>
                <w:spacing w:val="-1"/>
                <w:sz w:val="18"/>
                <w:szCs w:val="18"/>
              </w:rPr>
              <w:t>没有具体要求，所以本项目排气筒高度执行《大气污染综合排放标准》</w:t>
            </w:r>
            <w:r>
              <w:rPr>
                <w:rFonts w:ascii="宋体" w:hAnsi="宋体" w:eastAsia="宋体" w:cs="宋体"/>
                <w:sz w:val="18"/>
                <w:szCs w:val="18"/>
              </w:rPr>
              <w:t xml:space="preserve"> </w:t>
            </w:r>
            <w:r>
              <w:rPr>
                <w:rFonts w:ascii="宋体" w:hAnsi="宋体" w:eastAsia="宋体" w:cs="宋体"/>
                <w:spacing w:val="-2"/>
                <w:sz w:val="18"/>
                <w:szCs w:val="18"/>
              </w:rPr>
              <w:t>（</w:t>
            </w:r>
            <w:r>
              <w:rPr>
                <w:rFonts w:ascii="Times New Roman" w:hAnsi="Times New Roman" w:eastAsia="Times New Roman" w:cs="Times New Roman"/>
                <w:spacing w:val="-2"/>
                <w:sz w:val="18"/>
                <w:szCs w:val="18"/>
              </w:rPr>
              <w:t>GB16297-</w:t>
            </w:r>
            <w:r>
              <w:rPr>
                <w:rFonts w:ascii="Times New Roman" w:hAnsi="Times New Roman" w:eastAsia="Times New Roman" w:cs="Times New Roman"/>
                <w:spacing w:val="-16"/>
                <w:sz w:val="18"/>
                <w:szCs w:val="18"/>
              </w:rPr>
              <w:t xml:space="preserve"> </w:t>
            </w:r>
            <w:r>
              <w:rPr>
                <w:rFonts w:ascii="Times New Roman" w:hAnsi="Times New Roman" w:eastAsia="Times New Roman" w:cs="Times New Roman"/>
                <w:spacing w:val="-2"/>
                <w:sz w:val="18"/>
                <w:szCs w:val="18"/>
              </w:rPr>
              <w:t>1996</w:t>
            </w:r>
            <w:r>
              <w:rPr>
                <w:rFonts w:ascii="宋体" w:hAnsi="宋体" w:eastAsia="宋体" w:cs="宋体"/>
                <w:spacing w:val="-2"/>
                <w:sz w:val="18"/>
                <w:szCs w:val="18"/>
              </w:rPr>
              <w:t>）中的相关要求。</w:t>
            </w:r>
          </w:p>
        </w:tc>
        <w:tc>
          <w:tcPr>
            <w:tcW w:w="125" w:type="dxa"/>
            <w:tcBorders>
              <w:top w:val="nil"/>
              <w:bottom w:val="nil"/>
              <w:right w:val="single" w:color="000000" w:sz="6" w:space="0"/>
            </w:tcBorders>
            <w:vAlign w:val="top"/>
          </w:tcPr>
          <w:p w14:paraId="7454EB34">
            <w:pPr>
              <w:rPr>
                <w:rFonts w:ascii="Arial"/>
                <w:sz w:val="21"/>
              </w:rPr>
            </w:pPr>
          </w:p>
        </w:tc>
      </w:tr>
      <w:tr w14:paraId="51953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0" w:hRule="atLeast"/>
        </w:trPr>
        <w:tc>
          <w:tcPr>
            <w:tcW w:w="717" w:type="dxa"/>
            <w:vMerge w:val="continue"/>
            <w:tcBorders>
              <w:top w:val="nil"/>
              <w:left w:val="single" w:color="000000" w:sz="6" w:space="0"/>
              <w:bottom w:val="nil"/>
            </w:tcBorders>
            <w:vAlign w:val="top"/>
          </w:tcPr>
          <w:p w14:paraId="6E033137">
            <w:pPr>
              <w:rPr>
                <w:rFonts w:ascii="Arial"/>
                <w:sz w:val="21"/>
              </w:rPr>
            </w:pPr>
          </w:p>
        </w:tc>
        <w:tc>
          <w:tcPr>
            <w:tcW w:w="8348" w:type="dxa"/>
            <w:gridSpan w:val="12"/>
            <w:tcBorders>
              <w:right w:val="single" w:color="000000" w:sz="6" w:space="0"/>
            </w:tcBorders>
            <w:vAlign w:val="top"/>
          </w:tcPr>
          <w:p w14:paraId="6256E3C1">
            <w:pPr>
              <w:spacing w:before="49" w:line="357" w:lineRule="auto"/>
              <w:ind w:left="107" w:right="103" w:firstLine="484"/>
              <w:rPr>
                <w:rFonts w:ascii="宋体" w:hAnsi="宋体" w:eastAsia="宋体" w:cs="宋体"/>
                <w:sz w:val="24"/>
                <w:szCs w:val="24"/>
              </w:rPr>
            </w:pPr>
            <w:r>
              <w:rPr>
                <w:rFonts w:ascii="宋体" w:hAnsi="宋体" w:eastAsia="宋体" w:cs="宋体"/>
                <w:spacing w:val="-1"/>
                <w:sz w:val="24"/>
                <w:szCs w:val="24"/>
              </w:rPr>
              <w:t>企业厂区内</w:t>
            </w:r>
            <w:r>
              <w:rPr>
                <w:rFonts w:ascii="宋体" w:hAnsi="宋体" w:eastAsia="宋体" w:cs="宋体"/>
                <w:spacing w:val="-58"/>
                <w:sz w:val="24"/>
                <w:szCs w:val="24"/>
              </w:rPr>
              <w:t xml:space="preserve"> </w:t>
            </w:r>
            <w:r>
              <w:rPr>
                <w:rFonts w:ascii="Times New Roman" w:hAnsi="Times New Roman" w:eastAsia="Times New Roman" w:cs="Times New Roman"/>
                <w:spacing w:val="-1"/>
                <w:sz w:val="24"/>
                <w:szCs w:val="24"/>
              </w:rPr>
              <w:t xml:space="preserve">VOCs </w:t>
            </w:r>
            <w:r>
              <w:rPr>
                <w:rFonts w:ascii="宋体" w:hAnsi="宋体" w:eastAsia="宋体" w:cs="宋体"/>
                <w:spacing w:val="-1"/>
                <w:sz w:val="24"/>
                <w:szCs w:val="24"/>
              </w:rPr>
              <w:t>无组织排放监控点浓度执行《挥发性有</w:t>
            </w:r>
            <w:r>
              <w:rPr>
                <w:rFonts w:ascii="宋体" w:hAnsi="宋体" w:eastAsia="宋体" w:cs="宋体"/>
                <w:spacing w:val="-2"/>
                <w:sz w:val="24"/>
                <w:szCs w:val="24"/>
              </w:rPr>
              <w:t>机物无组织排放</w:t>
            </w:r>
            <w:r>
              <w:rPr>
                <w:rFonts w:ascii="宋体" w:hAnsi="宋体" w:eastAsia="宋体" w:cs="宋体"/>
                <w:spacing w:val="-1"/>
                <w:sz w:val="24"/>
                <w:szCs w:val="24"/>
              </w:rPr>
              <w:t>控制标准》（</w:t>
            </w:r>
            <w:r>
              <w:rPr>
                <w:rFonts w:ascii="Times New Roman" w:hAnsi="Times New Roman" w:eastAsia="Times New Roman" w:cs="Times New Roman"/>
                <w:spacing w:val="-1"/>
                <w:sz w:val="24"/>
                <w:szCs w:val="24"/>
              </w:rPr>
              <w:t>GB37822-2019</w:t>
            </w:r>
            <w:r>
              <w:rPr>
                <w:rFonts w:ascii="宋体" w:hAnsi="宋体" w:eastAsia="宋体" w:cs="宋体"/>
                <w:spacing w:val="-1"/>
                <w:sz w:val="24"/>
                <w:szCs w:val="24"/>
              </w:rPr>
              <w:t>）中表</w:t>
            </w:r>
            <w:r>
              <w:rPr>
                <w:rFonts w:ascii="宋体" w:hAnsi="宋体" w:eastAsia="宋体" w:cs="宋体"/>
                <w:spacing w:val="-58"/>
                <w:sz w:val="24"/>
                <w:szCs w:val="24"/>
              </w:rPr>
              <w:t xml:space="preserve"> </w:t>
            </w:r>
            <w:r>
              <w:rPr>
                <w:rFonts w:ascii="Times New Roman" w:hAnsi="Times New Roman" w:eastAsia="Times New Roman" w:cs="Times New Roman"/>
                <w:spacing w:val="-1"/>
                <w:sz w:val="24"/>
                <w:szCs w:val="24"/>
              </w:rPr>
              <w:t xml:space="preserve">A.1 </w:t>
            </w:r>
            <w:r>
              <w:rPr>
                <w:rFonts w:ascii="宋体" w:hAnsi="宋体" w:eastAsia="宋体" w:cs="宋体"/>
                <w:spacing w:val="-1"/>
                <w:sz w:val="24"/>
                <w:szCs w:val="24"/>
              </w:rPr>
              <w:t>规定的特别排放限值，</w:t>
            </w:r>
            <w:r>
              <w:rPr>
                <w:rFonts w:ascii="宋体" w:hAnsi="宋体" w:eastAsia="宋体" w:cs="宋体"/>
                <w:spacing w:val="-2"/>
                <w:sz w:val="24"/>
                <w:szCs w:val="24"/>
              </w:rPr>
              <w:t>详见表</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3-</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pacing w:val="-2"/>
                <w:sz w:val="24"/>
                <w:szCs w:val="24"/>
              </w:rPr>
              <w:t>10</w:t>
            </w:r>
            <w:r>
              <w:rPr>
                <w:rFonts w:ascii="宋体" w:hAnsi="宋体" w:eastAsia="宋体" w:cs="宋体"/>
                <w:spacing w:val="-2"/>
                <w:sz w:val="24"/>
                <w:szCs w:val="24"/>
              </w:rPr>
              <w:t>。</w:t>
            </w:r>
          </w:p>
          <w:p w14:paraId="33D3DFDC">
            <w:pPr>
              <w:spacing w:line="205" w:lineRule="auto"/>
              <w:ind w:left="2162"/>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33"/>
                <w:sz w:val="20"/>
                <w:szCs w:val="20"/>
              </w:rPr>
              <w:t xml:space="preserve"> </w:t>
            </w:r>
            <w:r>
              <w:rPr>
                <w:rFonts w:ascii="Times New Roman" w:hAnsi="Times New Roman" w:eastAsia="Times New Roman" w:cs="Times New Roman"/>
                <w:b/>
                <w:bCs/>
                <w:spacing w:val="6"/>
                <w:sz w:val="20"/>
                <w:szCs w:val="20"/>
              </w:rPr>
              <w:t xml:space="preserve">3-10    </w:t>
            </w:r>
            <w:r>
              <w:rPr>
                <w:rFonts w:ascii="宋体" w:hAnsi="宋体" w:eastAsia="宋体" w:cs="宋体"/>
                <w:b/>
                <w:bCs/>
                <w:spacing w:val="6"/>
                <w:sz w:val="20"/>
                <w:szCs w:val="20"/>
              </w:rPr>
              <w:t>挥发性有机物无组织排放控制标准</w:t>
            </w:r>
          </w:p>
        </w:tc>
      </w:tr>
      <w:tr w14:paraId="06729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717" w:type="dxa"/>
            <w:vMerge w:val="continue"/>
            <w:tcBorders>
              <w:top w:val="nil"/>
              <w:left w:val="single" w:color="000000" w:sz="6" w:space="0"/>
              <w:bottom w:val="nil"/>
            </w:tcBorders>
            <w:vAlign w:val="top"/>
          </w:tcPr>
          <w:p w14:paraId="063C914B">
            <w:pPr>
              <w:rPr>
                <w:rFonts w:ascii="Arial"/>
                <w:sz w:val="21"/>
              </w:rPr>
            </w:pPr>
          </w:p>
        </w:tc>
        <w:tc>
          <w:tcPr>
            <w:tcW w:w="113" w:type="dxa"/>
            <w:tcBorders>
              <w:top w:val="nil"/>
              <w:bottom w:val="nil"/>
            </w:tcBorders>
            <w:vAlign w:val="top"/>
          </w:tcPr>
          <w:p w14:paraId="71FE1EC5">
            <w:pPr>
              <w:rPr>
                <w:rFonts w:ascii="Arial"/>
                <w:sz w:val="21"/>
              </w:rPr>
            </w:pPr>
          </w:p>
        </w:tc>
        <w:tc>
          <w:tcPr>
            <w:tcW w:w="1339" w:type="dxa"/>
            <w:vAlign w:val="top"/>
          </w:tcPr>
          <w:p w14:paraId="7293974B">
            <w:pPr>
              <w:spacing w:before="46" w:line="228" w:lineRule="auto"/>
              <w:ind w:left="355"/>
              <w:rPr>
                <w:rFonts w:ascii="宋体" w:hAnsi="宋体" w:eastAsia="宋体" w:cs="宋体"/>
                <w:sz w:val="20"/>
                <w:szCs w:val="20"/>
              </w:rPr>
            </w:pPr>
            <w:r>
              <w:rPr>
                <w:rFonts w:ascii="宋体" w:hAnsi="宋体" w:eastAsia="宋体" w:cs="宋体"/>
                <w:b/>
                <w:bCs/>
                <w:spacing w:val="5"/>
                <w:sz w:val="20"/>
                <w:szCs w:val="20"/>
              </w:rPr>
              <w:t>污染物</w:t>
            </w:r>
          </w:p>
        </w:tc>
        <w:tc>
          <w:tcPr>
            <w:tcW w:w="1643" w:type="dxa"/>
            <w:gridSpan w:val="3"/>
            <w:vAlign w:val="top"/>
          </w:tcPr>
          <w:p w14:paraId="78E563A8">
            <w:pPr>
              <w:spacing w:before="45" w:line="228" w:lineRule="auto"/>
              <w:ind w:left="402"/>
              <w:rPr>
                <w:rFonts w:ascii="宋体" w:hAnsi="宋体" w:eastAsia="宋体" w:cs="宋体"/>
                <w:sz w:val="20"/>
                <w:szCs w:val="20"/>
              </w:rPr>
            </w:pPr>
            <w:r>
              <w:rPr>
                <w:rFonts w:ascii="宋体" w:hAnsi="宋体" w:eastAsia="宋体" w:cs="宋体"/>
                <w:b/>
                <w:bCs/>
                <w:spacing w:val="6"/>
                <w:sz w:val="20"/>
                <w:szCs w:val="20"/>
              </w:rPr>
              <w:t>排放限值</w:t>
            </w:r>
          </w:p>
        </w:tc>
        <w:tc>
          <w:tcPr>
            <w:tcW w:w="2471" w:type="dxa"/>
            <w:gridSpan w:val="4"/>
            <w:vAlign w:val="top"/>
          </w:tcPr>
          <w:p w14:paraId="47D96AEF">
            <w:pPr>
              <w:spacing w:before="45" w:line="228" w:lineRule="auto"/>
              <w:ind w:left="835"/>
              <w:rPr>
                <w:rFonts w:ascii="宋体" w:hAnsi="宋体" w:eastAsia="宋体" w:cs="宋体"/>
                <w:sz w:val="20"/>
                <w:szCs w:val="20"/>
              </w:rPr>
            </w:pPr>
            <w:r>
              <w:rPr>
                <w:rFonts w:ascii="宋体" w:hAnsi="宋体" w:eastAsia="宋体" w:cs="宋体"/>
                <w:b/>
                <w:bCs/>
                <w:spacing w:val="2"/>
                <w:sz w:val="20"/>
                <w:szCs w:val="20"/>
              </w:rPr>
              <w:t>限值含义</w:t>
            </w:r>
          </w:p>
        </w:tc>
        <w:tc>
          <w:tcPr>
            <w:tcW w:w="2657" w:type="dxa"/>
            <w:gridSpan w:val="2"/>
            <w:vAlign w:val="top"/>
          </w:tcPr>
          <w:p w14:paraId="4E1DF82B">
            <w:pPr>
              <w:spacing w:before="46" w:line="228" w:lineRule="auto"/>
              <w:ind w:left="391"/>
              <w:rPr>
                <w:rFonts w:ascii="宋体" w:hAnsi="宋体" w:eastAsia="宋体" w:cs="宋体"/>
                <w:sz w:val="20"/>
                <w:szCs w:val="20"/>
              </w:rPr>
            </w:pPr>
            <w:r>
              <w:rPr>
                <w:rFonts w:ascii="宋体" w:hAnsi="宋体" w:eastAsia="宋体" w:cs="宋体"/>
                <w:b/>
                <w:bCs/>
                <w:spacing w:val="7"/>
                <w:sz w:val="20"/>
                <w:szCs w:val="20"/>
              </w:rPr>
              <w:t>无组织排放监控位置</w:t>
            </w:r>
          </w:p>
        </w:tc>
        <w:tc>
          <w:tcPr>
            <w:tcW w:w="125" w:type="dxa"/>
            <w:tcBorders>
              <w:top w:val="nil"/>
              <w:bottom w:val="nil"/>
              <w:right w:val="single" w:color="000000" w:sz="6" w:space="0"/>
            </w:tcBorders>
            <w:vAlign w:val="top"/>
          </w:tcPr>
          <w:p w14:paraId="075DDEF8">
            <w:pPr>
              <w:rPr>
                <w:rFonts w:ascii="Arial"/>
                <w:sz w:val="21"/>
              </w:rPr>
            </w:pPr>
          </w:p>
        </w:tc>
      </w:tr>
      <w:tr w14:paraId="2DC0F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717" w:type="dxa"/>
            <w:vMerge w:val="continue"/>
            <w:tcBorders>
              <w:top w:val="nil"/>
              <w:left w:val="single" w:color="000000" w:sz="6" w:space="0"/>
              <w:bottom w:val="nil"/>
            </w:tcBorders>
            <w:vAlign w:val="top"/>
          </w:tcPr>
          <w:p w14:paraId="27DB0DAF">
            <w:pPr>
              <w:rPr>
                <w:rFonts w:ascii="Arial"/>
                <w:sz w:val="21"/>
              </w:rPr>
            </w:pPr>
          </w:p>
        </w:tc>
        <w:tc>
          <w:tcPr>
            <w:tcW w:w="113" w:type="dxa"/>
            <w:tcBorders>
              <w:top w:val="nil"/>
              <w:bottom w:val="nil"/>
            </w:tcBorders>
            <w:vAlign w:val="top"/>
          </w:tcPr>
          <w:p w14:paraId="77B28B5E">
            <w:pPr>
              <w:rPr>
                <w:rFonts w:ascii="Arial"/>
                <w:sz w:val="21"/>
              </w:rPr>
            </w:pPr>
          </w:p>
        </w:tc>
        <w:tc>
          <w:tcPr>
            <w:tcW w:w="1339" w:type="dxa"/>
            <w:vMerge w:val="restart"/>
            <w:tcBorders>
              <w:bottom w:val="nil"/>
            </w:tcBorders>
            <w:vAlign w:val="top"/>
          </w:tcPr>
          <w:p w14:paraId="778F8DA1">
            <w:pPr>
              <w:spacing w:line="390" w:lineRule="auto"/>
              <w:rPr>
                <w:rFonts w:ascii="Arial"/>
                <w:sz w:val="21"/>
              </w:rPr>
            </w:pPr>
          </w:p>
          <w:p w14:paraId="64500CE4">
            <w:pPr>
              <w:spacing w:before="65" w:line="228" w:lineRule="auto"/>
              <w:ind w:left="148"/>
              <w:rPr>
                <w:rFonts w:ascii="宋体" w:hAnsi="宋体" w:eastAsia="宋体" w:cs="宋体"/>
                <w:sz w:val="20"/>
                <w:szCs w:val="20"/>
              </w:rPr>
            </w:pPr>
            <w:r>
              <w:rPr>
                <w:rFonts w:ascii="宋体" w:hAnsi="宋体" w:eastAsia="宋体" w:cs="宋体"/>
                <w:spacing w:val="7"/>
                <w:sz w:val="20"/>
                <w:szCs w:val="20"/>
              </w:rPr>
              <w:t>非甲烷总烃</w:t>
            </w:r>
          </w:p>
        </w:tc>
        <w:tc>
          <w:tcPr>
            <w:tcW w:w="1643" w:type="dxa"/>
            <w:gridSpan w:val="3"/>
            <w:vAlign w:val="top"/>
          </w:tcPr>
          <w:p w14:paraId="44670C0F">
            <w:pPr>
              <w:spacing w:before="170" w:line="218" w:lineRule="auto"/>
              <w:ind w:left="456"/>
              <w:rPr>
                <w:rFonts w:ascii="Times New Roman" w:hAnsi="Times New Roman" w:eastAsia="Times New Roman" w:cs="Times New Roman"/>
                <w:sz w:val="13"/>
                <w:szCs w:val="13"/>
              </w:rPr>
            </w:pPr>
            <w:r>
              <w:rPr>
                <w:rFonts w:ascii="Times New Roman" w:hAnsi="Times New Roman" w:eastAsia="Times New Roman" w:cs="Times New Roman"/>
                <w:spacing w:val="2"/>
                <w:sz w:val="20"/>
                <w:szCs w:val="20"/>
              </w:rPr>
              <w:t>10</w:t>
            </w:r>
            <w:r>
              <w:rPr>
                <w:rFonts w:ascii="Times New Roman" w:hAnsi="Times New Roman" w:eastAsia="Times New Roman" w:cs="Times New Roman"/>
                <w:sz w:val="20"/>
                <w:szCs w:val="20"/>
              </w:rPr>
              <w:t>mg</w:t>
            </w:r>
            <w:r>
              <w:rPr>
                <w:rFonts w:ascii="Times New Roman" w:hAnsi="Times New Roman" w:eastAsia="Times New Roman" w:cs="Times New Roman"/>
                <w:spacing w:val="2"/>
                <w:sz w:val="20"/>
                <w:szCs w:val="20"/>
              </w:rPr>
              <w:t>/m</w:t>
            </w:r>
            <w:r>
              <w:rPr>
                <w:rFonts w:ascii="Times New Roman" w:hAnsi="Times New Roman" w:eastAsia="Times New Roman" w:cs="Times New Roman"/>
                <w:spacing w:val="2"/>
                <w:position w:val="6"/>
                <w:sz w:val="13"/>
                <w:szCs w:val="13"/>
              </w:rPr>
              <w:t>3</w:t>
            </w:r>
          </w:p>
        </w:tc>
        <w:tc>
          <w:tcPr>
            <w:tcW w:w="2471" w:type="dxa"/>
            <w:gridSpan w:val="4"/>
            <w:vAlign w:val="top"/>
          </w:tcPr>
          <w:p w14:paraId="02CE3423">
            <w:pPr>
              <w:spacing w:before="144" w:line="228" w:lineRule="auto"/>
              <w:ind w:left="139"/>
              <w:rPr>
                <w:rFonts w:ascii="宋体" w:hAnsi="宋体" w:eastAsia="宋体" w:cs="宋体"/>
                <w:sz w:val="20"/>
                <w:szCs w:val="20"/>
              </w:rPr>
            </w:pPr>
            <w:r>
              <w:rPr>
                <w:rFonts w:ascii="宋体" w:hAnsi="宋体" w:eastAsia="宋体" w:cs="宋体"/>
                <w:spacing w:val="5"/>
                <w:sz w:val="20"/>
                <w:szCs w:val="20"/>
              </w:rPr>
              <w:t>监控点处</w:t>
            </w:r>
            <w:r>
              <w:rPr>
                <w:rFonts w:ascii="宋体" w:hAnsi="宋体" w:eastAsia="宋体" w:cs="宋体"/>
                <w:spacing w:val="-17"/>
                <w:sz w:val="20"/>
                <w:szCs w:val="20"/>
              </w:rPr>
              <w:t xml:space="preserve"> </w:t>
            </w:r>
            <w:r>
              <w:rPr>
                <w:rFonts w:ascii="Times New Roman" w:hAnsi="Times New Roman" w:eastAsia="Times New Roman" w:cs="Times New Roman"/>
                <w:spacing w:val="5"/>
                <w:sz w:val="20"/>
                <w:szCs w:val="20"/>
              </w:rPr>
              <w:t xml:space="preserve">1h </w:t>
            </w:r>
            <w:r>
              <w:rPr>
                <w:rFonts w:ascii="宋体" w:hAnsi="宋体" w:eastAsia="宋体" w:cs="宋体"/>
                <w:spacing w:val="5"/>
                <w:sz w:val="20"/>
                <w:szCs w:val="20"/>
              </w:rPr>
              <w:t>平均浓度值</w:t>
            </w:r>
          </w:p>
        </w:tc>
        <w:tc>
          <w:tcPr>
            <w:tcW w:w="2657" w:type="dxa"/>
            <w:gridSpan w:val="2"/>
            <w:vMerge w:val="restart"/>
            <w:tcBorders>
              <w:bottom w:val="nil"/>
            </w:tcBorders>
            <w:vAlign w:val="top"/>
          </w:tcPr>
          <w:p w14:paraId="06D959AB">
            <w:pPr>
              <w:spacing w:line="390" w:lineRule="auto"/>
              <w:rPr>
                <w:rFonts w:ascii="Arial"/>
                <w:sz w:val="21"/>
              </w:rPr>
            </w:pPr>
          </w:p>
          <w:p w14:paraId="38D5D1A3">
            <w:pPr>
              <w:spacing w:before="65" w:line="228" w:lineRule="auto"/>
              <w:ind w:left="393"/>
              <w:rPr>
                <w:rFonts w:ascii="宋体" w:hAnsi="宋体" w:eastAsia="宋体" w:cs="宋体"/>
                <w:sz w:val="20"/>
                <w:szCs w:val="20"/>
              </w:rPr>
            </w:pPr>
            <w:r>
              <w:rPr>
                <w:rFonts w:ascii="宋体" w:hAnsi="宋体" w:eastAsia="宋体" w:cs="宋体"/>
                <w:spacing w:val="9"/>
                <w:sz w:val="20"/>
                <w:szCs w:val="20"/>
              </w:rPr>
              <w:t>在厂房外设置监控点</w:t>
            </w:r>
          </w:p>
        </w:tc>
        <w:tc>
          <w:tcPr>
            <w:tcW w:w="125" w:type="dxa"/>
            <w:tcBorders>
              <w:top w:val="nil"/>
              <w:bottom w:val="nil"/>
              <w:right w:val="single" w:color="000000" w:sz="6" w:space="0"/>
            </w:tcBorders>
            <w:vAlign w:val="top"/>
          </w:tcPr>
          <w:p w14:paraId="79580C13">
            <w:pPr>
              <w:rPr>
                <w:rFonts w:ascii="Arial"/>
                <w:sz w:val="21"/>
              </w:rPr>
            </w:pPr>
          </w:p>
        </w:tc>
      </w:tr>
      <w:tr w14:paraId="17717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717" w:type="dxa"/>
            <w:vMerge w:val="continue"/>
            <w:tcBorders>
              <w:top w:val="nil"/>
              <w:left w:val="single" w:color="000000" w:sz="6" w:space="0"/>
              <w:bottom w:val="single" w:color="000000" w:sz="6" w:space="0"/>
            </w:tcBorders>
            <w:vAlign w:val="top"/>
          </w:tcPr>
          <w:p w14:paraId="01EC731A">
            <w:pPr>
              <w:rPr>
                <w:rFonts w:ascii="Arial"/>
                <w:sz w:val="21"/>
              </w:rPr>
            </w:pPr>
          </w:p>
        </w:tc>
        <w:tc>
          <w:tcPr>
            <w:tcW w:w="113" w:type="dxa"/>
            <w:tcBorders>
              <w:top w:val="nil"/>
              <w:bottom w:val="single" w:color="000000" w:sz="6" w:space="0"/>
            </w:tcBorders>
            <w:vAlign w:val="top"/>
          </w:tcPr>
          <w:p w14:paraId="14687374">
            <w:pPr>
              <w:rPr>
                <w:rFonts w:ascii="Arial"/>
                <w:sz w:val="21"/>
              </w:rPr>
            </w:pPr>
          </w:p>
        </w:tc>
        <w:tc>
          <w:tcPr>
            <w:tcW w:w="1339" w:type="dxa"/>
            <w:vMerge w:val="continue"/>
            <w:tcBorders>
              <w:top w:val="nil"/>
              <w:bottom w:val="single" w:color="000000" w:sz="6" w:space="0"/>
            </w:tcBorders>
            <w:vAlign w:val="top"/>
          </w:tcPr>
          <w:p w14:paraId="4AC69BB2">
            <w:pPr>
              <w:rPr>
                <w:rFonts w:ascii="Arial"/>
                <w:sz w:val="21"/>
              </w:rPr>
            </w:pPr>
          </w:p>
        </w:tc>
        <w:tc>
          <w:tcPr>
            <w:tcW w:w="1643" w:type="dxa"/>
            <w:gridSpan w:val="3"/>
            <w:tcBorders>
              <w:bottom w:val="single" w:color="000000" w:sz="6" w:space="0"/>
            </w:tcBorders>
            <w:vAlign w:val="top"/>
          </w:tcPr>
          <w:p w14:paraId="60FEDA4E">
            <w:pPr>
              <w:spacing w:before="188" w:line="218" w:lineRule="auto"/>
              <w:ind w:left="440"/>
              <w:rPr>
                <w:rFonts w:ascii="Times New Roman" w:hAnsi="Times New Roman" w:eastAsia="Times New Roman" w:cs="Times New Roman"/>
                <w:sz w:val="13"/>
                <w:szCs w:val="13"/>
              </w:rPr>
            </w:pPr>
            <w:r>
              <w:rPr>
                <w:rFonts w:ascii="Times New Roman" w:hAnsi="Times New Roman" w:eastAsia="Times New Roman" w:cs="Times New Roman"/>
                <w:spacing w:val="5"/>
                <w:sz w:val="20"/>
                <w:szCs w:val="20"/>
              </w:rPr>
              <w:t>30</w:t>
            </w:r>
            <w:r>
              <w:rPr>
                <w:rFonts w:ascii="Times New Roman" w:hAnsi="Times New Roman" w:eastAsia="Times New Roman" w:cs="Times New Roman"/>
                <w:sz w:val="20"/>
                <w:szCs w:val="20"/>
              </w:rPr>
              <w:t>mg</w:t>
            </w:r>
            <w:r>
              <w:rPr>
                <w:rFonts w:ascii="Times New Roman" w:hAnsi="Times New Roman" w:eastAsia="Times New Roman" w:cs="Times New Roman"/>
                <w:spacing w:val="5"/>
                <w:sz w:val="20"/>
                <w:szCs w:val="20"/>
              </w:rPr>
              <w:t>/m</w:t>
            </w:r>
            <w:r>
              <w:rPr>
                <w:rFonts w:ascii="Times New Roman" w:hAnsi="Times New Roman" w:eastAsia="Times New Roman" w:cs="Times New Roman"/>
                <w:spacing w:val="5"/>
                <w:position w:val="6"/>
                <w:sz w:val="13"/>
                <w:szCs w:val="13"/>
              </w:rPr>
              <w:t>3</w:t>
            </w:r>
          </w:p>
        </w:tc>
        <w:tc>
          <w:tcPr>
            <w:tcW w:w="2471" w:type="dxa"/>
            <w:gridSpan w:val="4"/>
            <w:tcBorders>
              <w:bottom w:val="single" w:color="000000" w:sz="6" w:space="0"/>
            </w:tcBorders>
            <w:vAlign w:val="top"/>
          </w:tcPr>
          <w:p w14:paraId="7B498549">
            <w:pPr>
              <w:spacing w:before="162" w:line="228" w:lineRule="auto"/>
              <w:ind w:left="192"/>
              <w:rPr>
                <w:rFonts w:ascii="宋体" w:hAnsi="宋体" w:eastAsia="宋体" w:cs="宋体"/>
                <w:sz w:val="20"/>
                <w:szCs w:val="20"/>
              </w:rPr>
            </w:pPr>
            <w:r>
              <w:rPr>
                <w:rFonts w:ascii="宋体" w:hAnsi="宋体" w:eastAsia="宋体" w:cs="宋体"/>
                <w:spacing w:val="8"/>
                <w:sz w:val="20"/>
                <w:szCs w:val="20"/>
              </w:rPr>
              <w:t>监控点处任意一次浓度</w:t>
            </w:r>
          </w:p>
        </w:tc>
        <w:tc>
          <w:tcPr>
            <w:tcW w:w="2657" w:type="dxa"/>
            <w:gridSpan w:val="2"/>
            <w:vMerge w:val="continue"/>
            <w:tcBorders>
              <w:top w:val="nil"/>
              <w:bottom w:val="single" w:color="000000" w:sz="6" w:space="0"/>
            </w:tcBorders>
            <w:vAlign w:val="top"/>
          </w:tcPr>
          <w:p w14:paraId="50055CA4">
            <w:pPr>
              <w:rPr>
                <w:rFonts w:ascii="Arial"/>
                <w:sz w:val="21"/>
              </w:rPr>
            </w:pPr>
          </w:p>
        </w:tc>
        <w:tc>
          <w:tcPr>
            <w:tcW w:w="125" w:type="dxa"/>
            <w:tcBorders>
              <w:top w:val="nil"/>
              <w:bottom w:val="single" w:color="000000" w:sz="6" w:space="0"/>
              <w:right w:val="single" w:color="000000" w:sz="6" w:space="0"/>
            </w:tcBorders>
            <w:vAlign w:val="top"/>
          </w:tcPr>
          <w:p w14:paraId="627A473F">
            <w:pPr>
              <w:rPr>
                <w:rFonts w:ascii="Arial"/>
                <w:sz w:val="21"/>
              </w:rPr>
            </w:pPr>
          </w:p>
        </w:tc>
      </w:tr>
    </w:tbl>
    <w:p w14:paraId="0C7042DC">
      <w:pPr>
        <w:pStyle w:val="2"/>
      </w:pPr>
    </w:p>
    <w:p w14:paraId="681985BD">
      <w:pPr>
        <w:sectPr>
          <w:footerReference r:id="rId84" w:type="default"/>
          <w:pgSz w:w="11907" w:h="16840"/>
          <w:pgMar w:top="400" w:right="1413" w:bottom="1103" w:left="1413" w:header="0" w:footer="887" w:gutter="0"/>
          <w:cols w:space="720" w:num="1"/>
        </w:sectPr>
      </w:pPr>
    </w:p>
    <w:p w14:paraId="51779117">
      <w:pPr>
        <w:spacing w:before="19"/>
      </w:pPr>
    </w:p>
    <w:p w14:paraId="6D9925F6">
      <w:pPr>
        <w:spacing w:before="19"/>
      </w:pPr>
    </w:p>
    <w:p w14:paraId="31766824">
      <w:pPr>
        <w:spacing w:before="19"/>
      </w:pPr>
    </w:p>
    <w:p w14:paraId="4FAF3A15">
      <w:pPr>
        <w:spacing w:before="18"/>
      </w:pPr>
    </w:p>
    <w:p w14:paraId="61D9E6BE">
      <w:pPr>
        <w:spacing w:before="18"/>
      </w:pPr>
    </w:p>
    <w:tbl>
      <w:tblPr>
        <w:tblStyle w:val="10"/>
        <w:tblW w:w="906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113"/>
        <w:gridCol w:w="1339"/>
        <w:gridCol w:w="1643"/>
        <w:gridCol w:w="2471"/>
        <w:gridCol w:w="2657"/>
        <w:gridCol w:w="125"/>
      </w:tblGrid>
      <w:tr w14:paraId="57B9C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717" w:type="dxa"/>
            <w:vMerge w:val="restart"/>
            <w:tcBorders>
              <w:top w:val="single" w:color="000000" w:sz="6" w:space="0"/>
              <w:left w:val="single" w:color="000000" w:sz="6" w:space="0"/>
              <w:bottom w:val="nil"/>
            </w:tcBorders>
            <w:vAlign w:val="top"/>
          </w:tcPr>
          <w:p w14:paraId="7C7881AC">
            <w:pPr>
              <w:rPr>
                <w:rFonts w:ascii="Arial"/>
                <w:sz w:val="21"/>
              </w:rPr>
            </w:pPr>
          </w:p>
        </w:tc>
        <w:tc>
          <w:tcPr>
            <w:tcW w:w="113" w:type="dxa"/>
            <w:tcBorders>
              <w:top w:val="single" w:color="000000" w:sz="6" w:space="0"/>
              <w:bottom w:val="nil"/>
            </w:tcBorders>
            <w:vAlign w:val="top"/>
          </w:tcPr>
          <w:p w14:paraId="0C8F2BCA">
            <w:pPr>
              <w:rPr>
                <w:rFonts w:ascii="Arial"/>
                <w:sz w:val="21"/>
              </w:rPr>
            </w:pPr>
          </w:p>
        </w:tc>
        <w:tc>
          <w:tcPr>
            <w:tcW w:w="1339" w:type="dxa"/>
            <w:vAlign w:val="top"/>
          </w:tcPr>
          <w:p w14:paraId="544EA0D9">
            <w:pPr>
              <w:rPr>
                <w:rFonts w:ascii="Arial"/>
                <w:sz w:val="21"/>
              </w:rPr>
            </w:pPr>
          </w:p>
        </w:tc>
        <w:tc>
          <w:tcPr>
            <w:tcW w:w="1643" w:type="dxa"/>
            <w:vAlign w:val="top"/>
          </w:tcPr>
          <w:p w14:paraId="429CAF05">
            <w:pPr>
              <w:rPr>
                <w:rFonts w:ascii="Arial"/>
                <w:sz w:val="21"/>
              </w:rPr>
            </w:pPr>
          </w:p>
        </w:tc>
        <w:tc>
          <w:tcPr>
            <w:tcW w:w="2471" w:type="dxa"/>
            <w:vAlign w:val="top"/>
          </w:tcPr>
          <w:p w14:paraId="44B5EDA9">
            <w:pPr>
              <w:spacing w:before="37" w:line="228" w:lineRule="auto"/>
              <w:ind w:left="1137"/>
              <w:rPr>
                <w:rFonts w:ascii="宋体" w:hAnsi="宋体" w:eastAsia="宋体" w:cs="宋体"/>
                <w:sz w:val="20"/>
                <w:szCs w:val="20"/>
              </w:rPr>
            </w:pPr>
            <w:r>
              <w:rPr>
                <w:rFonts w:ascii="宋体" w:hAnsi="宋体" w:eastAsia="宋体" w:cs="宋体"/>
                <w:sz w:val="20"/>
                <w:szCs w:val="20"/>
              </w:rPr>
              <w:t>值</w:t>
            </w:r>
          </w:p>
        </w:tc>
        <w:tc>
          <w:tcPr>
            <w:tcW w:w="2657" w:type="dxa"/>
            <w:vAlign w:val="top"/>
          </w:tcPr>
          <w:p w14:paraId="6CAD5016">
            <w:pPr>
              <w:rPr>
                <w:rFonts w:ascii="Arial"/>
                <w:sz w:val="21"/>
              </w:rPr>
            </w:pPr>
          </w:p>
        </w:tc>
        <w:tc>
          <w:tcPr>
            <w:tcW w:w="125" w:type="dxa"/>
            <w:tcBorders>
              <w:top w:val="single" w:color="000000" w:sz="6" w:space="0"/>
              <w:bottom w:val="nil"/>
              <w:right w:val="single" w:color="000000" w:sz="6" w:space="0"/>
            </w:tcBorders>
            <w:vAlign w:val="top"/>
          </w:tcPr>
          <w:p w14:paraId="52E1ACCA">
            <w:pPr>
              <w:rPr>
                <w:rFonts w:ascii="Arial"/>
                <w:sz w:val="21"/>
              </w:rPr>
            </w:pPr>
          </w:p>
        </w:tc>
      </w:tr>
      <w:tr w14:paraId="5CB21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3" w:hRule="atLeast"/>
        </w:trPr>
        <w:tc>
          <w:tcPr>
            <w:tcW w:w="717" w:type="dxa"/>
            <w:vMerge w:val="continue"/>
            <w:tcBorders>
              <w:top w:val="nil"/>
              <w:left w:val="single" w:color="000000" w:sz="6" w:space="0"/>
            </w:tcBorders>
            <w:vAlign w:val="top"/>
          </w:tcPr>
          <w:p w14:paraId="3776A1F6">
            <w:pPr>
              <w:rPr>
                <w:rFonts w:ascii="Arial"/>
                <w:sz w:val="21"/>
              </w:rPr>
            </w:pPr>
          </w:p>
        </w:tc>
        <w:tc>
          <w:tcPr>
            <w:tcW w:w="8348" w:type="dxa"/>
            <w:gridSpan w:val="6"/>
            <w:tcBorders>
              <w:right w:val="single" w:color="000000" w:sz="6" w:space="0"/>
            </w:tcBorders>
            <w:vAlign w:val="top"/>
          </w:tcPr>
          <w:p w14:paraId="0B11F07E">
            <w:pPr>
              <w:spacing w:before="35" w:line="220" w:lineRule="auto"/>
              <w:ind w:left="582"/>
              <w:rPr>
                <w:rFonts w:ascii="宋体" w:hAnsi="宋体" w:eastAsia="宋体" w:cs="宋体"/>
                <w:sz w:val="24"/>
                <w:szCs w:val="24"/>
              </w:rPr>
            </w:pPr>
            <w:r>
              <w:rPr>
                <w:rFonts w:ascii="Times New Roman" w:hAnsi="Times New Roman" w:eastAsia="Times New Roman" w:cs="Times New Roman"/>
                <w:b/>
                <w:bCs/>
                <w:spacing w:val="-9"/>
                <w:sz w:val="24"/>
                <w:szCs w:val="24"/>
              </w:rPr>
              <w:t>3</w:t>
            </w:r>
            <w:r>
              <w:rPr>
                <w:rFonts w:ascii="Times New Roman" w:hAnsi="Times New Roman" w:eastAsia="Times New Roman" w:cs="Times New Roman"/>
                <w:b/>
                <w:bCs/>
                <w:spacing w:val="-34"/>
                <w:sz w:val="24"/>
                <w:szCs w:val="24"/>
              </w:rPr>
              <w:t xml:space="preserve"> </w:t>
            </w:r>
            <w:r>
              <w:rPr>
                <w:rFonts w:ascii="宋体" w:hAnsi="宋体" w:eastAsia="宋体" w:cs="宋体"/>
                <w:b/>
                <w:bCs/>
                <w:spacing w:val="-9"/>
                <w:sz w:val="24"/>
                <w:szCs w:val="24"/>
              </w:rPr>
              <w:t>、噪声</w:t>
            </w:r>
          </w:p>
          <w:p w14:paraId="0ECE70FA">
            <w:pPr>
              <w:spacing w:before="180" w:line="358" w:lineRule="auto"/>
              <w:ind w:left="108" w:right="103" w:firstLine="483"/>
              <w:jc w:val="both"/>
              <w:rPr>
                <w:rFonts w:ascii="宋体" w:hAnsi="宋体" w:eastAsia="宋体" w:cs="宋体"/>
                <w:sz w:val="24"/>
                <w:szCs w:val="24"/>
              </w:rPr>
            </w:pPr>
            <w:r>
              <w:rPr>
                <w:rFonts w:ascii="宋体" w:hAnsi="宋体" w:eastAsia="宋体" w:cs="宋体"/>
                <w:spacing w:val="-2"/>
                <w:sz w:val="24"/>
                <w:szCs w:val="24"/>
              </w:rPr>
              <w:t>项目所在地属于声环境质量</w:t>
            </w:r>
            <w:r>
              <w:rPr>
                <w:rFonts w:ascii="宋体" w:hAnsi="宋体" w:eastAsia="宋体" w:cs="宋体"/>
                <w:spacing w:val="-33"/>
                <w:sz w:val="24"/>
                <w:szCs w:val="24"/>
              </w:rPr>
              <w:t xml:space="preserve"> </w:t>
            </w:r>
            <w:r>
              <w:rPr>
                <w:rFonts w:ascii="Times New Roman" w:hAnsi="Times New Roman" w:eastAsia="Times New Roman" w:cs="Times New Roman"/>
                <w:spacing w:val="-2"/>
                <w:sz w:val="24"/>
                <w:szCs w:val="24"/>
              </w:rPr>
              <w:t xml:space="preserve">3 </w:t>
            </w:r>
            <w:r>
              <w:rPr>
                <w:rFonts w:ascii="宋体" w:hAnsi="宋体" w:eastAsia="宋体" w:cs="宋体"/>
                <w:spacing w:val="-2"/>
                <w:sz w:val="24"/>
                <w:szCs w:val="24"/>
              </w:rPr>
              <w:t>类区，项目运营过程厂界噪声排放标准执行</w:t>
            </w:r>
            <w:r>
              <w:rPr>
                <w:rFonts w:ascii="宋体" w:hAnsi="宋体" w:eastAsia="宋体" w:cs="宋体"/>
                <w:spacing w:val="-1"/>
                <w:sz w:val="24"/>
                <w:szCs w:val="24"/>
              </w:rPr>
              <w:t>《工业企业厂界环境噪声排放标准》（</w:t>
            </w:r>
            <w:r>
              <w:rPr>
                <w:rFonts w:ascii="Times New Roman" w:hAnsi="Times New Roman" w:eastAsia="Times New Roman" w:cs="Times New Roman"/>
                <w:spacing w:val="-1"/>
                <w:sz w:val="24"/>
                <w:szCs w:val="24"/>
              </w:rPr>
              <w:t>GB12348-2008</w:t>
            </w:r>
            <w:r>
              <w:rPr>
                <w:rFonts w:ascii="宋体" w:hAnsi="宋体" w:eastAsia="宋体" w:cs="宋体"/>
                <w:spacing w:val="-1"/>
                <w:sz w:val="24"/>
                <w:szCs w:val="24"/>
              </w:rPr>
              <w:t>）</w:t>
            </w:r>
            <w:r>
              <w:rPr>
                <w:rFonts w:ascii="Times New Roman" w:hAnsi="Times New Roman" w:eastAsia="Times New Roman" w:cs="Times New Roman"/>
                <w:spacing w:val="-1"/>
                <w:sz w:val="24"/>
                <w:szCs w:val="24"/>
              </w:rPr>
              <w:t xml:space="preserve">3 </w:t>
            </w:r>
            <w:r>
              <w:rPr>
                <w:rFonts w:ascii="宋体" w:hAnsi="宋体" w:eastAsia="宋体" w:cs="宋体"/>
                <w:spacing w:val="-1"/>
                <w:sz w:val="24"/>
                <w:szCs w:val="24"/>
              </w:rPr>
              <w:t>类标准，其具体标准</w:t>
            </w:r>
            <w:r>
              <w:rPr>
                <w:rFonts w:ascii="宋体" w:hAnsi="宋体" w:eastAsia="宋体" w:cs="宋体"/>
                <w:spacing w:val="-7"/>
                <w:sz w:val="24"/>
                <w:szCs w:val="24"/>
              </w:rPr>
              <w:t>值详见表</w:t>
            </w:r>
            <w:r>
              <w:rPr>
                <w:rFonts w:ascii="宋体" w:hAnsi="宋体" w:eastAsia="宋体" w:cs="宋体"/>
                <w:spacing w:val="-43"/>
                <w:sz w:val="24"/>
                <w:szCs w:val="24"/>
              </w:rPr>
              <w:t xml:space="preserve"> </w:t>
            </w:r>
            <w:r>
              <w:rPr>
                <w:rFonts w:ascii="Times New Roman" w:hAnsi="Times New Roman" w:eastAsia="Times New Roman" w:cs="Times New Roman"/>
                <w:spacing w:val="-7"/>
                <w:sz w:val="24"/>
                <w:szCs w:val="24"/>
              </w:rPr>
              <w:t>3-</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7"/>
                <w:sz w:val="24"/>
                <w:szCs w:val="24"/>
              </w:rPr>
              <w:t>11</w:t>
            </w:r>
            <w:r>
              <w:rPr>
                <w:rFonts w:ascii="宋体" w:hAnsi="宋体" w:eastAsia="宋体" w:cs="宋体"/>
                <w:spacing w:val="-7"/>
                <w:sz w:val="24"/>
                <w:szCs w:val="24"/>
              </w:rPr>
              <w:t>。</w:t>
            </w:r>
          </w:p>
          <w:p w14:paraId="71A0A51B">
            <w:pPr>
              <w:spacing w:line="220" w:lineRule="auto"/>
              <w:ind w:left="1522"/>
              <w:rPr>
                <w:rFonts w:ascii="Times New Roman" w:hAnsi="Times New Roman" w:eastAsia="Times New Roman" w:cs="Times New Roman"/>
                <w:sz w:val="20"/>
                <w:szCs w:val="20"/>
              </w:rPr>
            </w:pPr>
            <w:r>
              <w:rPr>
                <w:rFonts w:ascii="宋体" w:hAnsi="宋体" w:eastAsia="宋体" w:cs="宋体"/>
                <w:b/>
                <w:bCs/>
                <w:spacing w:val="7"/>
                <w:sz w:val="20"/>
                <w:szCs w:val="20"/>
              </w:rPr>
              <w:t>表</w:t>
            </w:r>
            <w:r>
              <w:rPr>
                <w:rFonts w:ascii="宋体" w:hAnsi="宋体" w:eastAsia="宋体" w:cs="宋体"/>
                <w:spacing w:val="-45"/>
                <w:sz w:val="20"/>
                <w:szCs w:val="20"/>
              </w:rPr>
              <w:t xml:space="preserve"> </w:t>
            </w:r>
            <w:r>
              <w:rPr>
                <w:rFonts w:ascii="Times New Roman" w:hAnsi="Times New Roman" w:eastAsia="Times New Roman" w:cs="Times New Roman"/>
                <w:b/>
                <w:bCs/>
                <w:spacing w:val="7"/>
                <w:sz w:val="20"/>
                <w:szCs w:val="20"/>
              </w:rPr>
              <w:t xml:space="preserve">3-11    </w:t>
            </w:r>
            <w:r>
              <w:rPr>
                <w:rFonts w:ascii="宋体" w:hAnsi="宋体" w:eastAsia="宋体" w:cs="宋体"/>
                <w:b/>
                <w:bCs/>
                <w:spacing w:val="7"/>
                <w:sz w:val="20"/>
                <w:szCs w:val="20"/>
              </w:rPr>
              <w:t>工业企业厂界环境噪声排放</w:t>
            </w:r>
            <w:r>
              <w:rPr>
                <w:rFonts w:ascii="宋体" w:hAnsi="宋体" w:eastAsia="宋体" w:cs="宋体"/>
                <w:b/>
                <w:bCs/>
                <w:spacing w:val="6"/>
                <w:sz w:val="20"/>
                <w:szCs w:val="20"/>
              </w:rPr>
              <w:t>限值</w:t>
            </w:r>
            <w:r>
              <w:rPr>
                <w:rFonts w:ascii="宋体" w:hAnsi="宋体" w:eastAsia="宋体" w:cs="宋体"/>
                <w:spacing w:val="6"/>
                <w:sz w:val="20"/>
                <w:szCs w:val="20"/>
              </w:rPr>
              <w:t xml:space="preserve">   </w:t>
            </w:r>
            <w:r>
              <w:rPr>
                <w:rFonts w:ascii="宋体" w:hAnsi="宋体" w:eastAsia="宋体" w:cs="宋体"/>
                <w:b/>
                <w:bCs/>
                <w:spacing w:val="6"/>
                <w:sz w:val="20"/>
                <w:szCs w:val="20"/>
              </w:rPr>
              <w:t>单位：</w:t>
            </w:r>
            <w:r>
              <w:rPr>
                <w:rFonts w:ascii="Times New Roman" w:hAnsi="Times New Roman" w:eastAsia="Times New Roman" w:cs="Times New Roman"/>
                <w:b/>
                <w:bCs/>
                <w:sz w:val="20"/>
                <w:szCs w:val="20"/>
              </w:rPr>
              <w:t>dB</w:t>
            </w:r>
            <w:r>
              <w:rPr>
                <w:rFonts w:ascii="Times New Roman" w:hAnsi="Times New Roman" w:eastAsia="Times New Roman" w:cs="Times New Roman"/>
                <w:b/>
                <w:bCs/>
                <w:spacing w:val="6"/>
                <w:sz w:val="20"/>
                <w:szCs w:val="20"/>
              </w:rPr>
              <w:t>(A)</w:t>
            </w:r>
          </w:p>
          <w:p w14:paraId="325E1F00">
            <w:pPr>
              <w:spacing w:line="36" w:lineRule="auto"/>
              <w:rPr>
                <w:rFonts w:ascii="Arial"/>
                <w:sz w:val="2"/>
              </w:rPr>
            </w:pPr>
          </w:p>
          <w:tbl>
            <w:tblPr>
              <w:tblStyle w:val="10"/>
              <w:tblW w:w="8128" w:type="dxa"/>
              <w:tblInd w:w="1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2"/>
              <w:gridCol w:w="3802"/>
              <w:gridCol w:w="1439"/>
              <w:gridCol w:w="1445"/>
            </w:tblGrid>
            <w:tr w14:paraId="351E5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442" w:type="dxa"/>
                  <w:vAlign w:val="top"/>
                </w:tcPr>
                <w:p w14:paraId="6F60A5E2">
                  <w:pPr>
                    <w:spacing w:before="35" w:line="228" w:lineRule="auto"/>
                    <w:ind w:left="514"/>
                    <w:rPr>
                      <w:rFonts w:ascii="宋体" w:hAnsi="宋体" w:eastAsia="宋体" w:cs="宋体"/>
                      <w:sz w:val="20"/>
                      <w:szCs w:val="20"/>
                    </w:rPr>
                  </w:pPr>
                  <w:r>
                    <w:rPr>
                      <w:rFonts w:ascii="宋体" w:hAnsi="宋体" w:eastAsia="宋体" w:cs="宋体"/>
                      <w:b/>
                      <w:bCs/>
                      <w:spacing w:val="3"/>
                      <w:sz w:val="20"/>
                      <w:szCs w:val="20"/>
                    </w:rPr>
                    <w:t>类别</w:t>
                  </w:r>
                </w:p>
              </w:tc>
              <w:tc>
                <w:tcPr>
                  <w:tcW w:w="3802" w:type="dxa"/>
                  <w:vAlign w:val="top"/>
                </w:tcPr>
                <w:p w14:paraId="079108AB">
                  <w:pPr>
                    <w:spacing w:before="35" w:line="228" w:lineRule="auto"/>
                    <w:ind w:left="1484"/>
                    <w:rPr>
                      <w:rFonts w:ascii="宋体" w:hAnsi="宋体" w:eastAsia="宋体" w:cs="宋体"/>
                      <w:sz w:val="20"/>
                      <w:szCs w:val="20"/>
                    </w:rPr>
                  </w:pPr>
                  <w:r>
                    <w:rPr>
                      <w:rFonts w:ascii="宋体" w:hAnsi="宋体" w:eastAsia="宋体" w:cs="宋体"/>
                      <w:b/>
                      <w:bCs/>
                      <w:spacing w:val="6"/>
                      <w:sz w:val="20"/>
                      <w:szCs w:val="20"/>
                    </w:rPr>
                    <w:t>适用区域</w:t>
                  </w:r>
                </w:p>
              </w:tc>
              <w:tc>
                <w:tcPr>
                  <w:tcW w:w="1439" w:type="dxa"/>
                  <w:vAlign w:val="top"/>
                </w:tcPr>
                <w:p w14:paraId="2B8A481D">
                  <w:pPr>
                    <w:spacing w:before="34" w:line="231" w:lineRule="auto"/>
                    <w:ind w:left="513"/>
                    <w:rPr>
                      <w:rFonts w:ascii="宋体" w:hAnsi="宋体" w:eastAsia="宋体" w:cs="宋体"/>
                      <w:sz w:val="20"/>
                      <w:szCs w:val="20"/>
                    </w:rPr>
                  </w:pPr>
                  <w:r>
                    <w:rPr>
                      <w:rFonts w:ascii="宋体" w:hAnsi="宋体" w:eastAsia="宋体" w:cs="宋体"/>
                      <w:b/>
                      <w:bCs/>
                      <w:spacing w:val="4"/>
                      <w:sz w:val="20"/>
                      <w:szCs w:val="20"/>
                    </w:rPr>
                    <w:t>昼间</w:t>
                  </w:r>
                </w:p>
              </w:tc>
              <w:tc>
                <w:tcPr>
                  <w:tcW w:w="1445" w:type="dxa"/>
                  <w:vAlign w:val="top"/>
                </w:tcPr>
                <w:p w14:paraId="0E2016AC">
                  <w:pPr>
                    <w:spacing w:before="35" w:line="228" w:lineRule="auto"/>
                    <w:ind w:left="519"/>
                    <w:rPr>
                      <w:rFonts w:ascii="宋体" w:hAnsi="宋体" w:eastAsia="宋体" w:cs="宋体"/>
                      <w:sz w:val="20"/>
                      <w:szCs w:val="20"/>
                    </w:rPr>
                  </w:pPr>
                  <w:r>
                    <w:rPr>
                      <w:rFonts w:ascii="宋体" w:hAnsi="宋体" w:eastAsia="宋体" w:cs="宋体"/>
                      <w:b/>
                      <w:bCs/>
                      <w:spacing w:val="2"/>
                      <w:sz w:val="20"/>
                      <w:szCs w:val="20"/>
                    </w:rPr>
                    <w:t>夜间</w:t>
                  </w:r>
                </w:p>
              </w:tc>
            </w:tr>
            <w:tr w14:paraId="38C2C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442" w:type="dxa"/>
                  <w:vAlign w:val="top"/>
                </w:tcPr>
                <w:p w14:paraId="0D5A55EB">
                  <w:pPr>
                    <w:spacing w:before="35" w:line="228" w:lineRule="auto"/>
                    <w:ind w:left="543"/>
                    <w:rPr>
                      <w:rFonts w:ascii="宋体" w:hAnsi="宋体" w:eastAsia="宋体" w:cs="宋体"/>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9"/>
                      <w:sz w:val="20"/>
                      <w:szCs w:val="20"/>
                    </w:rPr>
                    <w:t xml:space="preserve"> </w:t>
                  </w:r>
                  <w:r>
                    <w:rPr>
                      <w:rFonts w:ascii="宋体" w:hAnsi="宋体" w:eastAsia="宋体" w:cs="宋体"/>
                      <w:spacing w:val="-2"/>
                      <w:sz w:val="20"/>
                      <w:szCs w:val="20"/>
                    </w:rPr>
                    <w:t>类</w:t>
                  </w:r>
                </w:p>
              </w:tc>
              <w:tc>
                <w:tcPr>
                  <w:tcW w:w="3802" w:type="dxa"/>
                  <w:vAlign w:val="top"/>
                </w:tcPr>
                <w:p w14:paraId="227FB56B">
                  <w:pPr>
                    <w:spacing w:before="35" w:line="228" w:lineRule="auto"/>
                    <w:ind w:left="968"/>
                    <w:rPr>
                      <w:rFonts w:ascii="宋体" w:hAnsi="宋体" w:eastAsia="宋体" w:cs="宋体"/>
                      <w:sz w:val="20"/>
                      <w:szCs w:val="20"/>
                    </w:rPr>
                  </w:pPr>
                  <w:r>
                    <w:rPr>
                      <w:rFonts w:ascii="宋体" w:hAnsi="宋体" w:eastAsia="宋体" w:cs="宋体"/>
                      <w:spacing w:val="8"/>
                      <w:sz w:val="20"/>
                      <w:szCs w:val="20"/>
                    </w:rPr>
                    <w:t>东、西、南、北厂界</w:t>
                  </w:r>
                </w:p>
              </w:tc>
              <w:tc>
                <w:tcPr>
                  <w:tcW w:w="1439" w:type="dxa"/>
                  <w:vAlign w:val="top"/>
                </w:tcPr>
                <w:p w14:paraId="72E4E3B6">
                  <w:pPr>
                    <w:spacing w:before="76" w:line="195" w:lineRule="auto"/>
                    <w:ind w:left="623"/>
                    <w:rPr>
                      <w:rFonts w:ascii="Times New Roman" w:hAnsi="Times New Roman" w:eastAsia="Times New Roman" w:cs="Times New Roman"/>
                      <w:sz w:val="20"/>
                      <w:szCs w:val="20"/>
                    </w:rPr>
                  </w:pPr>
                  <w:r>
                    <w:rPr>
                      <w:rFonts w:ascii="Times New Roman" w:hAnsi="Times New Roman" w:eastAsia="Times New Roman" w:cs="Times New Roman"/>
                      <w:sz w:val="20"/>
                      <w:szCs w:val="20"/>
                    </w:rPr>
                    <w:t>65</w:t>
                  </w:r>
                </w:p>
              </w:tc>
              <w:tc>
                <w:tcPr>
                  <w:tcW w:w="1445" w:type="dxa"/>
                  <w:vAlign w:val="top"/>
                </w:tcPr>
                <w:p w14:paraId="0E5AC3E6">
                  <w:pPr>
                    <w:spacing w:before="79" w:line="192" w:lineRule="auto"/>
                    <w:ind w:left="625"/>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r>
          </w:tbl>
          <w:p w14:paraId="7E5D2474">
            <w:pPr>
              <w:spacing w:before="36" w:line="219" w:lineRule="auto"/>
              <w:ind w:left="584"/>
              <w:rPr>
                <w:rFonts w:ascii="宋体" w:hAnsi="宋体" w:eastAsia="宋体" w:cs="宋体"/>
                <w:sz w:val="24"/>
                <w:szCs w:val="24"/>
              </w:rPr>
            </w:pPr>
            <w:r>
              <w:rPr>
                <w:rFonts w:ascii="Times New Roman" w:hAnsi="Times New Roman" w:eastAsia="Times New Roman" w:cs="Times New Roman"/>
                <w:b/>
                <w:bCs/>
                <w:spacing w:val="-7"/>
                <w:sz w:val="24"/>
                <w:szCs w:val="24"/>
              </w:rPr>
              <w:t>4</w:t>
            </w:r>
            <w:r>
              <w:rPr>
                <w:rFonts w:ascii="Times New Roman" w:hAnsi="Times New Roman" w:eastAsia="Times New Roman" w:cs="Times New Roman"/>
                <w:b/>
                <w:bCs/>
                <w:spacing w:val="-29"/>
                <w:sz w:val="24"/>
                <w:szCs w:val="24"/>
              </w:rPr>
              <w:t xml:space="preserve"> </w:t>
            </w:r>
            <w:r>
              <w:rPr>
                <w:rFonts w:ascii="宋体" w:hAnsi="宋体" w:eastAsia="宋体" w:cs="宋体"/>
                <w:b/>
                <w:bCs/>
                <w:spacing w:val="-7"/>
                <w:sz w:val="24"/>
                <w:szCs w:val="24"/>
              </w:rPr>
              <w:t>、固体废弃物</w:t>
            </w:r>
          </w:p>
          <w:p w14:paraId="519939F5">
            <w:pPr>
              <w:spacing w:before="181" w:line="359" w:lineRule="auto"/>
              <w:ind w:left="119" w:right="117" w:firstLine="467"/>
              <w:rPr>
                <w:rFonts w:ascii="宋体" w:hAnsi="宋体" w:eastAsia="宋体" w:cs="宋体"/>
                <w:sz w:val="24"/>
                <w:szCs w:val="24"/>
              </w:rPr>
            </w:pPr>
            <w:r>
              <w:rPr>
                <w:rFonts w:ascii="宋体" w:hAnsi="宋体" w:eastAsia="宋体" w:cs="宋体"/>
                <w:spacing w:val="24"/>
                <w:sz w:val="24"/>
                <w:szCs w:val="24"/>
              </w:rPr>
              <w:t>①</w:t>
            </w:r>
            <w:r>
              <w:rPr>
                <w:rFonts w:ascii="宋体" w:hAnsi="宋体" w:eastAsia="宋体" w:cs="宋体"/>
                <w:spacing w:val="-74"/>
                <w:sz w:val="24"/>
                <w:szCs w:val="24"/>
              </w:rPr>
              <w:t xml:space="preserve"> </w:t>
            </w:r>
            <w:r>
              <w:rPr>
                <w:rFonts w:ascii="宋体" w:hAnsi="宋体" w:eastAsia="宋体" w:cs="宋体"/>
                <w:spacing w:val="24"/>
                <w:sz w:val="24"/>
                <w:szCs w:val="24"/>
              </w:rPr>
              <w:t>一般</w:t>
            </w:r>
            <w:r>
              <w:rPr>
                <w:rFonts w:ascii="宋体" w:hAnsi="宋体" w:eastAsia="宋体" w:cs="宋体"/>
                <w:spacing w:val="-54"/>
                <w:sz w:val="24"/>
                <w:szCs w:val="24"/>
              </w:rPr>
              <w:t xml:space="preserve"> </w:t>
            </w:r>
            <w:r>
              <w:rPr>
                <w:rFonts w:ascii="宋体" w:hAnsi="宋体" w:eastAsia="宋体" w:cs="宋体"/>
                <w:spacing w:val="24"/>
                <w:sz w:val="24"/>
                <w:szCs w:val="24"/>
              </w:rPr>
              <w:t>固废执行《</w:t>
            </w:r>
            <w:r>
              <w:rPr>
                <w:rFonts w:ascii="宋体" w:hAnsi="宋体" w:eastAsia="宋体" w:cs="宋体"/>
                <w:spacing w:val="-49"/>
                <w:sz w:val="24"/>
                <w:szCs w:val="24"/>
              </w:rPr>
              <w:t xml:space="preserve"> </w:t>
            </w:r>
            <w:r>
              <w:rPr>
                <w:rFonts w:ascii="宋体" w:hAnsi="宋体" w:eastAsia="宋体" w:cs="宋体"/>
                <w:spacing w:val="24"/>
                <w:sz w:val="24"/>
                <w:szCs w:val="24"/>
              </w:rPr>
              <w:t>一般工业</w:t>
            </w:r>
            <w:r>
              <w:rPr>
                <w:rFonts w:ascii="宋体" w:hAnsi="宋体" w:eastAsia="宋体" w:cs="宋体"/>
                <w:spacing w:val="-54"/>
                <w:sz w:val="24"/>
                <w:szCs w:val="24"/>
              </w:rPr>
              <w:t xml:space="preserve"> </w:t>
            </w:r>
            <w:r>
              <w:rPr>
                <w:rFonts w:ascii="宋体" w:hAnsi="宋体" w:eastAsia="宋体" w:cs="宋体"/>
                <w:spacing w:val="24"/>
                <w:sz w:val="24"/>
                <w:szCs w:val="24"/>
              </w:rPr>
              <w:t>固体废物贮存和</w:t>
            </w:r>
            <w:r>
              <w:rPr>
                <w:rFonts w:ascii="宋体" w:hAnsi="宋体" w:eastAsia="宋体" w:cs="宋体"/>
                <w:spacing w:val="23"/>
                <w:sz w:val="24"/>
                <w:szCs w:val="24"/>
              </w:rPr>
              <w:t>填埋污染控制标准》</w:t>
            </w:r>
            <w:r>
              <w:rPr>
                <w:rFonts w:ascii="宋体" w:hAnsi="宋体" w:eastAsia="宋体" w:cs="宋体"/>
                <w:sz w:val="24"/>
                <w:szCs w:val="24"/>
              </w:rPr>
              <w:t xml:space="preserve"> </w:t>
            </w:r>
            <w:r>
              <w:rPr>
                <w:rFonts w:ascii="宋体" w:hAnsi="宋体" w:eastAsia="宋体" w:cs="宋体"/>
                <w:spacing w:val="-2"/>
                <w:sz w:val="24"/>
                <w:szCs w:val="24"/>
              </w:rPr>
              <w:t>（</w:t>
            </w:r>
            <w:r>
              <w:rPr>
                <w:rFonts w:ascii="Times New Roman" w:hAnsi="Times New Roman" w:eastAsia="Times New Roman" w:cs="Times New Roman"/>
                <w:spacing w:val="-2"/>
                <w:sz w:val="24"/>
                <w:szCs w:val="24"/>
              </w:rPr>
              <w:t>GB18599-2020</w:t>
            </w:r>
            <w:r>
              <w:rPr>
                <w:rFonts w:ascii="宋体" w:hAnsi="宋体" w:eastAsia="宋体" w:cs="宋体"/>
                <w:spacing w:val="1"/>
                <w:sz w:val="24"/>
                <w:szCs w:val="24"/>
              </w:rPr>
              <w:t>）；</w:t>
            </w:r>
          </w:p>
          <w:p w14:paraId="3540F45C">
            <w:pPr>
              <w:spacing w:line="217" w:lineRule="auto"/>
              <w:ind w:right="26"/>
              <w:jc w:val="right"/>
              <w:rPr>
                <w:rFonts w:ascii="宋体" w:hAnsi="宋体" w:eastAsia="宋体" w:cs="宋体"/>
                <w:sz w:val="24"/>
                <w:szCs w:val="24"/>
              </w:rPr>
            </w:pPr>
            <w:r>
              <w:rPr>
                <w:rFonts w:ascii="宋体" w:hAnsi="宋体" w:eastAsia="宋体" w:cs="宋体"/>
                <w:sz w:val="24"/>
                <w:szCs w:val="24"/>
              </w:rPr>
              <w:t>②危废暂存执行《危险废物贮存污染控制标准》（</w:t>
            </w:r>
            <w:r>
              <w:rPr>
                <w:rFonts w:ascii="Times New Roman" w:hAnsi="Times New Roman" w:eastAsia="Times New Roman" w:cs="Times New Roman"/>
                <w:sz w:val="24"/>
                <w:szCs w:val="24"/>
              </w:rPr>
              <w:t>GB18597</w:t>
            </w:r>
            <w:r>
              <w:rPr>
                <w:rFonts w:ascii="Times New Roman" w:hAnsi="Times New Roman" w:eastAsia="Times New Roman" w:cs="Times New Roman"/>
                <w:spacing w:val="-1"/>
                <w:sz w:val="24"/>
                <w:szCs w:val="24"/>
              </w:rPr>
              <w:t>-2023</w:t>
            </w:r>
            <w:r>
              <w:rPr>
                <w:rFonts w:ascii="宋体" w:hAnsi="宋体" w:eastAsia="宋体" w:cs="宋体"/>
                <w:spacing w:val="-1"/>
                <w:sz w:val="24"/>
                <w:szCs w:val="24"/>
              </w:rPr>
              <w:t>）标准。</w:t>
            </w:r>
          </w:p>
        </w:tc>
      </w:tr>
      <w:tr w14:paraId="67C50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5" w:hRule="atLeast"/>
        </w:trPr>
        <w:tc>
          <w:tcPr>
            <w:tcW w:w="717" w:type="dxa"/>
            <w:tcBorders>
              <w:left w:val="single" w:color="000000" w:sz="6" w:space="0"/>
              <w:bottom w:val="single" w:color="000000" w:sz="6" w:space="0"/>
            </w:tcBorders>
            <w:vAlign w:val="top"/>
          </w:tcPr>
          <w:p w14:paraId="442A3429">
            <w:pPr>
              <w:spacing w:line="249" w:lineRule="auto"/>
              <w:rPr>
                <w:rFonts w:ascii="Arial"/>
                <w:sz w:val="21"/>
              </w:rPr>
            </w:pPr>
          </w:p>
          <w:p w14:paraId="1AF988F1">
            <w:pPr>
              <w:spacing w:line="249" w:lineRule="auto"/>
              <w:rPr>
                <w:rFonts w:ascii="Arial"/>
                <w:sz w:val="21"/>
              </w:rPr>
            </w:pPr>
          </w:p>
          <w:p w14:paraId="78081378">
            <w:pPr>
              <w:spacing w:line="249" w:lineRule="auto"/>
              <w:rPr>
                <w:rFonts w:ascii="Arial"/>
                <w:sz w:val="21"/>
              </w:rPr>
            </w:pPr>
          </w:p>
          <w:p w14:paraId="08EF7F23">
            <w:pPr>
              <w:spacing w:line="250" w:lineRule="auto"/>
              <w:rPr>
                <w:rFonts w:ascii="Arial"/>
                <w:sz w:val="21"/>
              </w:rPr>
            </w:pPr>
          </w:p>
          <w:p w14:paraId="3BB6EDD1">
            <w:pPr>
              <w:spacing w:line="250" w:lineRule="auto"/>
              <w:rPr>
                <w:rFonts w:ascii="Arial"/>
                <w:sz w:val="21"/>
              </w:rPr>
            </w:pPr>
          </w:p>
          <w:p w14:paraId="13501999">
            <w:pPr>
              <w:spacing w:line="250" w:lineRule="auto"/>
              <w:rPr>
                <w:rFonts w:ascii="Arial"/>
                <w:sz w:val="21"/>
              </w:rPr>
            </w:pPr>
          </w:p>
          <w:p w14:paraId="647FFD25">
            <w:pPr>
              <w:spacing w:line="250" w:lineRule="auto"/>
              <w:rPr>
                <w:rFonts w:ascii="Arial"/>
                <w:sz w:val="21"/>
              </w:rPr>
            </w:pPr>
          </w:p>
          <w:p w14:paraId="57403575">
            <w:pPr>
              <w:spacing w:line="250" w:lineRule="auto"/>
              <w:rPr>
                <w:rFonts w:ascii="Arial"/>
                <w:sz w:val="21"/>
              </w:rPr>
            </w:pPr>
          </w:p>
          <w:p w14:paraId="167EDC1B">
            <w:pPr>
              <w:spacing w:line="250" w:lineRule="auto"/>
              <w:rPr>
                <w:rFonts w:ascii="Arial"/>
                <w:sz w:val="21"/>
              </w:rPr>
            </w:pPr>
          </w:p>
          <w:p w14:paraId="5F6834A8">
            <w:pPr>
              <w:spacing w:line="250" w:lineRule="auto"/>
              <w:rPr>
                <w:rFonts w:ascii="Arial"/>
                <w:sz w:val="21"/>
              </w:rPr>
            </w:pPr>
          </w:p>
          <w:p w14:paraId="4B3FE027">
            <w:pPr>
              <w:spacing w:line="250" w:lineRule="auto"/>
              <w:rPr>
                <w:rFonts w:ascii="Arial"/>
                <w:sz w:val="21"/>
              </w:rPr>
            </w:pPr>
          </w:p>
          <w:p w14:paraId="6EE43352">
            <w:pPr>
              <w:spacing w:before="78" w:line="361" w:lineRule="auto"/>
              <w:ind w:left="111" w:right="112" w:firstLine="7"/>
              <w:jc w:val="both"/>
              <w:rPr>
                <w:rFonts w:ascii="宋体" w:hAnsi="宋体" w:eastAsia="宋体" w:cs="宋体"/>
                <w:sz w:val="24"/>
                <w:szCs w:val="24"/>
              </w:rPr>
            </w:pPr>
            <w:r>
              <w:rPr>
                <w:rFonts w:ascii="宋体" w:hAnsi="宋体" w:eastAsia="宋体" w:cs="宋体"/>
                <w:spacing w:val="-2"/>
                <w:sz w:val="24"/>
                <w:szCs w:val="24"/>
              </w:rPr>
              <w:t>总量</w:t>
            </w:r>
            <w:r>
              <w:rPr>
                <w:rFonts w:ascii="宋体" w:hAnsi="宋体" w:eastAsia="宋体" w:cs="宋体"/>
                <w:spacing w:val="1"/>
                <w:sz w:val="24"/>
                <w:szCs w:val="24"/>
              </w:rPr>
              <w:t>控制</w:t>
            </w:r>
            <w:r>
              <w:rPr>
                <w:rFonts w:ascii="宋体" w:hAnsi="宋体" w:eastAsia="宋体" w:cs="宋体"/>
                <w:spacing w:val="-5"/>
                <w:sz w:val="24"/>
                <w:szCs w:val="24"/>
              </w:rPr>
              <w:t>指标</w:t>
            </w:r>
          </w:p>
        </w:tc>
        <w:tc>
          <w:tcPr>
            <w:tcW w:w="8348" w:type="dxa"/>
            <w:gridSpan w:val="6"/>
            <w:tcBorders>
              <w:bottom w:val="single" w:color="000000" w:sz="6" w:space="0"/>
              <w:right w:val="single" w:color="000000" w:sz="6" w:space="0"/>
            </w:tcBorders>
            <w:vAlign w:val="top"/>
          </w:tcPr>
          <w:p w14:paraId="34ACF620">
            <w:pPr>
              <w:spacing w:before="42" w:line="185" w:lineRule="auto"/>
              <w:ind w:left="599"/>
              <w:rPr>
                <w:rFonts w:ascii="宋体" w:hAnsi="宋体" w:eastAsia="宋体" w:cs="宋体"/>
                <w:sz w:val="24"/>
                <w:szCs w:val="24"/>
              </w:rPr>
            </w:pPr>
            <w:r>
              <w:rPr>
                <w:rFonts w:ascii="宋体" w:hAnsi="宋体" w:eastAsia="宋体" w:cs="宋体"/>
                <w:b/>
                <w:bCs/>
                <w:spacing w:val="-6"/>
                <w:sz w:val="24"/>
                <w:szCs w:val="24"/>
              </w:rPr>
              <w:t>（</w:t>
            </w:r>
            <w:r>
              <w:rPr>
                <w:rFonts w:ascii="Times New Roman" w:hAnsi="Times New Roman" w:eastAsia="Times New Roman" w:cs="Times New Roman"/>
                <w:b/>
                <w:bCs/>
                <w:spacing w:val="-6"/>
                <w:sz w:val="24"/>
                <w:szCs w:val="24"/>
              </w:rPr>
              <w:t>1</w:t>
            </w:r>
            <w:r>
              <w:rPr>
                <w:rFonts w:ascii="宋体" w:hAnsi="宋体" w:eastAsia="宋体" w:cs="宋体"/>
                <w:b/>
                <w:bCs/>
                <w:spacing w:val="-6"/>
                <w:sz w:val="24"/>
                <w:szCs w:val="24"/>
              </w:rPr>
              <w:t>）</w:t>
            </w:r>
            <w:r>
              <w:rPr>
                <w:rFonts w:ascii="微软雅黑" w:hAnsi="微软雅黑" w:eastAsia="微软雅黑" w:cs="微软雅黑"/>
                <w:b/>
                <w:bCs/>
                <w:spacing w:val="-6"/>
                <w:sz w:val="24"/>
                <w:szCs w:val="24"/>
              </w:rPr>
              <w:t>废</w:t>
            </w:r>
            <w:r>
              <w:rPr>
                <w:rFonts w:ascii="宋体" w:hAnsi="宋体" w:eastAsia="宋体" w:cs="宋体"/>
                <w:b/>
                <w:bCs/>
                <w:spacing w:val="-6"/>
                <w:sz w:val="24"/>
                <w:szCs w:val="24"/>
              </w:rPr>
              <w:t>水</w:t>
            </w:r>
          </w:p>
          <w:p w14:paraId="7F162BFA">
            <w:pPr>
              <w:spacing w:before="149" w:line="296" w:lineRule="auto"/>
              <w:ind w:left="107" w:right="103" w:firstLine="484"/>
              <w:rPr>
                <w:rFonts w:ascii="宋体" w:hAnsi="宋体" w:eastAsia="宋体" w:cs="宋体"/>
                <w:sz w:val="24"/>
                <w:szCs w:val="24"/>
              </w:rPr>
            </w:pPr>
            <w:r>
              <w:rPr>
                <w:rFonts w:ascii="宋体" w:hAnsi="宋体" w:eastAsia="宋体" w:cs="宋体"/>
                <w:spacing w:val="-1"/>
                <w:sz w:val="24"/>
                <w:szCs w:val="24"/>
              </w:rPr>
              <w:t>项目生产过程无</w:t>
            </w:r>
            <w:r>
              <w:rPr>
                <w:rFonts w:ascii="微软雅黑" w:hAnsi="微软雅黑" w:eastAsia="微软雅黑" w:cs="微软雅黑"/>
                <w:spacing w:val="-1"/>
                <w:sz w:val="24"/>
                <w:szCs w:val="24"/>
              </w:rPr>
              <w:t>废</w:t>
            </w:r>
            <w:r>
              <w:rPr>
                <w:rFonts w:ascii="宋体" w:hAnsi="宋体" w:eastAsia="宋体" w:cs="宋体"/>
                <w:spacing w:val="-1"/>
                <w:sz w:val="24"/>
                <w:szCs w:val="24"/>
              </w:rPr>
              <w:t>水排放，生活污水经进入容积为</w:t>
            </w:r>
            <w:r>
              <w:rPr>
                <w:rFonts w:ascii="宋体" w:hAnsi="宋体" w:eastAsia="宋体" w:cs="宋体"/>
                <w:spacing w:val="-41"/>
                <w:sz w:val="24"/>
                <w:szCs w:val="24"/>
              </w:rPr>
              <w:t xml:space="preserve"> </w:t>
            </w:r>
            <w:r>
              <w:rPr>
                <w:rFonts w:ascii="Times New Roman" w:hAnsi="Times New Roman" w:eastAsia="Times New Roman" w:cs="Times New Roman"/>
                <w:spacing w:val="-1"/>
                <w:sz w:val="24"/>
                <w:szCs w:val="24"/>
              </w:rPr>
              <w:t>4m³</w:t>
            </w:r>
            <w:r>
              <w:rPr>
                <w:rFonts w:ascii="宋体" w:hAnsi="宋体" w:eastAsia="宋体" w:cs="宋体"/>
                <w:spacing w:val="-1"/>
                <w:sz w:val="24"/>
                <w:szCs w:val="24"/>
              </w:rPr>
              <w:t>的化粪池进行预处</w:t>
            </w:r>
            <w:r>
              <w:rPr>
                <w:rFonts w:ascii="宋体" w:hAnsi="宋体" w:eastAsia="宋体" w:cs="宋体"/>
                <w:spacing w:val="-5"/>
                <w:sz w:val="24"/>
                <w:szCs w:val="24"/>
              </w:rPr>
              <w:t>理，经化粪池初步处理后企业自备一套处理能力为</w:t>
            </w:r>
            <w:r>
              <w:rPr>
                <w:rFonts w:ascii="宋体" w:hAnsi="宋体" w:eastAsia="宋体" w:cs="宋体"/>
                <w:spacing w:val="-23"/>
                <w:sz w:val="24"/>
                <w:szCs w:val="24"/>
              </w:rPr>
              <w:t xml:space="preserve"> </w:t>
            </w:r>
            <w:r>
              <w:rPr>
                <w:rFonts w:ascii="Times New Roman" w:hAnsi="Times New Roman" w:eastAsia="Times New Roman" w:cs="Times New Roman"/>
                <w:spacing w:val="-5"/>
                <w:sz w:val="24"/>
                <w:szCs w:val="24"/>
              </w:rPr>
              <w:t>10m³/d</w:t>
            </w:r>
            <w:r>
              <w:rPr>
                <w:rFonts w:ascii="Times New Roman" w:hAnsi="Times New Roman" w:eastAsia="Times New Roman" w:cs="Times New Roman"/>
                <w:spacing w:val="29"/>
                <w:sz w:val="24"/>
                <w:szCs w:val="24"/>
              </w:rPr>
              <w:t xml:space="preserve"> </w:t>
            </w:r>
            <w:r>
              <w:rPr>
                <w:rFonts w:ascii="宋体" w:hAnsi="宋体" w:eastAsia="宋体" w:cs="宋体"/>
                <w:spacing w:val="-5"/>
                <w:sz w:val="24"/>
                <w:szCs w:val="24"/>
              </w:rPr>
              <w:t>的一体化污水处理设</w:t>
            </w:r>
            <w:r>
              <w:rPr>
                <w:rFonts w:ascii="宋体" w:hAnsi="宋体" w:eastAsia="宋体" w:cs="宋体"/>
                <w:sz w:val="24"/>
                <w:szCs w:val="24"/>
              </w:rPr>
              <w:t>施，根据检测报告</w:t>
            </w:r>
            <w:r>
              <w:rPr>
                <w:rFonts w:ascii="微软雅黑" w:hAnsi="微软雅黑" w:eastAsia="微软雅黑" w:cs="微软雅黑"/>
                <w:sz w:val="24"/>
                <w:szCs w:val="24"/>
              </w:rPr>
              <w:t>废</w:t>
            </w:r>
            <w:r>
              <w:rPr>
                <w:rFonts w:ascii="宋体" w:hAnsi="宋体" w:eastAsia="宋体" w:cs="宋体"/>
                <w:sz w:val="24"/>
                <w:szCs w:val="24"/>
              </w:rPr>
              <w:t>水经处理后达《城市污水再生</w:t>
            </w:r>
            <w:r>
              <w:rPr>
                <w:rFonts w:ascii="宋体" w:hAnsi="宋体" w:eastAsia="宋体" w:cs="宋体"/>
                <w:spacing w:val="-1"/>
                <w:sz w:val="24"/>
                <w:szCs w:val="24"/>
              </w:rPr>
              <w:t>利用城市杂用水水质》</w:t>
            </w:r>
          </w:p>
          <w:p w14:paraId="057D02EA">
            <w:pPr>
              <w:spacing w:line="184" w:lineRule="auto"/>
              <w:ind w:left="107"/>
              <w:rPr>
                <w:rFonts w:ascii="宋体" w:hAnsi="宋体" w:eastAsia="宋体" w:cs="宋体"/>
                <w:sz w:val="24"/>
                <w:szCs w:val="24"/>
              </w:rPr>
            </w:pPr>
            <w:r>
              <w:rPr>
                <w:rFonts w:ascii="Times New Roman" w:hAnsi="Times New Roman" w:eastAsia="Times New Roman" w:cs="Times New Roman"/>
                <w:sz w:val="24"/>
                <w:szCs w:val="24"/>
              </w:rPr>
              <w:t>GB/T18920-2020)</w:t>
            </w:r>
            <w:r>
              <w:rPr>
                <w:rFonts w:ascii="宋体" w:hAnsi="宋体" w:eastAsia="宋体" w:cs="宋体"/>
                <w:sz w:val="24"/>
                <w:szCs w:val="24"/>
              </w:rPr>
              <w:t>标准，不外排。</w:t>
            </w:r>
            <w:r>
              <w:rPr>
                <w:rFonts w:ascii="宋体" w:hAnsi="宋体" w:eastAsia="宋体" w:cs="宋体"/>
                <w:spacing w:val="-1"/>
                <w:sz w:val="24"/>
                <w:szCs w:val="24"/>
              </w:rPr>
              <w:t>因此不设</w:t>
            </w:r>
            <w:r>
              <w:rPr>
                <w:rFonts w:ascii="微软雅黑" w:hAnsi="微软雅黑" w:eastAsia="微软雅黑" w:cs="微软雅黑"/>
                <w:spacing w:val="-1"/>
                <w:sz w:val="24"/>
                <w:szCs w:val="24"/>
              </w:rPr>
              <w:t>废</w:t>
            </w:r>
            <w:r>
              <w:rPr>
                <w:rFonts w:ascii="宋体" w:hAnsi="宋体" w:eastAsia="宋体" w:cs="宋体"/>
                <w:spacing w:val="-1"/>
                <w:sz w:val="24"/>
                <w:szCs w:val="24"/>
              </w:rPr>
              <w:t>水</w:t>
            </w:r>
            <w:r>
              <w:rPr>
                <w:rFonts w:ascii="微软雅黑" w:hAnsi="微软雅黑" w:eastAsia="微软雅黑" w:cs="微软雅黑"/>
                <w:spacing w:val="-1"/>
                <w:sz w:val="24"/>
                <w:szCs w:val="24"/>
              </w:rPr>
              <w:t>总量</w:t>
            </w:r>
            <w:r>
              <w:rPr>
                <w:rFonts w:ascii="宋体" w:hAnsi="宋体" w:eastAsia="宋体" w:cs="宋体"/>
                <w:spacing w:val="-1"/>
                <w:sz w:val="24"/>
                <w:szCs w:val="24"/>
              </w:rPr>
              <w:t>指标。</w:t>
            </w:r>
          </w:p>
          <w:p w14:paraId="0FAA982C">
            <w:pPr>
              <w:spacing w:before="151" w:line="185" w:lineRule="auto"/>
              <w:ind w:left="599"/>
              <w:rPr>
                <w:rFonts w:ascii="微软雅黑" w:hAnsi="微软雅黑" w:eastAsia="微软雅黑" w:cs="微软雅黑"/>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2</w:t>
            </w:r>
            <w:r>
              <w:rPr>
                <w:rFonts w:ascii="宋体" w:hAnsi="宋体" w:eastAsia="宋体" w:cs="宋体"/>
                <w:b/>
                <w:bCs/>
                <w:spacing w:val="-5"/>
                <w:sz w:val="24"/>
                <w:szCs w:val="24"/>
              </w:rPr>
              <w:t>）</w:t>
            </w:r>
            <w:r>
              <w:rPr>
                <w:rFonts w:ascii="微软雅黑" w:hAnsi="微软雅黑" w:eastAsia="微软雅黑" w:cs="微软雅黑"/>
                <w:b/>
                <w:bCs/>
                <w:spacing w:val="-5"/>
                <w:sz w:val="24"/>
                <w:szCs w:val="24"/>
              </w:rPr>
              <w:t>废气</w:t>
            </w:r>
          </w:p>
          <w:p w14:paraId="65A0109B">
            <w:pPr>
              <w:spacing w:before="146" w:line="294" w:lineRule="auto"/>
              <w:ind w:left="107" w:right="135" w:firstLine="482"/>
              <w:jc w:val="both"/>
              <w:rPr>
                <w:rFonts w:ascii="宋体" w:hAnsi="宋体" w:eastAsia="宋体" w:cs="宋体"/>
                <w:sz w:val="24"/>
                <w:szCs w:val="24"/>
              </w:rPr>
            </w:pPr>
            <w:r>
              <w:rPr>
                <w:rFonts w:ascii="宋体" w:hAnsi="宋体" w:eastAsia="宋体" w:cs="宋体"/>
                <w:spacing w:val="-5"/>
                <w:sz w:val="24"/>
                <w:szCs w:val="24"/>
              </w:rPr>
              <w:t>现有项目</w:t>
            </w:r>
            <w:r>
              <w:rPr>
                <w:rFonts w:ascii="微软雅黑" w:hAnsi="微软雅黑" w:eastAsia="微软雅黑" w:cs="微软雅黑"/>
                <w:spacing w:val="-5"/>
                <w:sz w:val="24"/>
                <w:szCs w:val="24"/>
              </w:rPr>
              <w:t>废气</w:t>
            </w:r>
            <w:r>
              <w:rPr>
                <w:rFonts w:ascii="宋体" w:hAnsi="宋体" w:eastAsia="宋体" w:cs="宋体"/>
                <w:spacing w:val="-5"/>
                <w:sz w:val="24"/>
                <w:szCs w:val="24"/>
              </w:rPr>
              <w:t>排放</w:t>
            </w:r>
            <w:r>
              <w:rPr>
                <w:rFonts w:ascii="微软雅黑" w:hAnsi="微软雅黑" w:eastAsia="微软雅黑" w:cs="微软雅黑"/>
                <w:spacing w:val="-5"/>
                <w:sz w:val="24"/>
                <w:szCs w:val="24"/>
              </w:rPr>
              <w:t>量</w:t>
            </w:r>
            <w:r>
              <w:rPr>
                <w:rFonts w:ascii="宋体" w:hAnsi="宋体" w:eastAsia="宋体" w:cs="宋体"/>
                <w:spacing w:val="-5"/>
                <w:sz w:val="24"/>
                <w:szCs w:val="24"/>
              </w:rPr>
              <w:t>为</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 xml:space="preserve">14461.2 </w:t>
            </w:r>
            <w:r>
              <w:rPr>
                <w:rFonts w:ascii="微软雅黑" w:hAnsi="微软雅黑" w:eastAsia="微软雅黑" w:cs="微软雅黑"/>
                <w:spacing w:val="-5"/>
                <w:sz w:val="24"/>
                <w:szCs w:val="24"/>
              </w:rPr>
              <w:t xml:space="preserve">万 </w:t>
            </w:r>
            <w:r>
              <w:rPr>
                <w:rFonts w:ascii="Times New Roman" w:hAnsi="Times New Roman" w:eastAsia="Times New Roman" w:cs="Times New Roman"/>
                <w:spacing w:val="-5"/>
                <w:sz w:val="24"/>
                <w:szCs w:val="24"/>
              </w:rPr>
              <w:t>m</w:t>
            </w:r>
            <w:r>
              <w:rPr>
                <w:rFonts w:ascii="Times New Roman" w:hAnsi="Times New Roman" w:eastAsia="Times New Roman" w:cs="Times New Roman"/>
                <w:spacing w:val="-5"/>
                <w:position w:val="8"/>
                <w:sz w:val="15"/>
                <w:szCs w:val="15"/>
              </w:rPr>
              <w:t>3</w:t>
            </w:r>
            <w:r>
              <w:rPr>
                <w:rFonts w:ascii="Times New Roman" w:hAnsi="Times New Roman" w:eastAsia="Times New Roman" w:cs="Times New Roman"/>
                <w:spacing w:val="-5"/>
                <w:sz w:val="24"/>
                <w:szCs w:val="24"/>
              </w:rPr>
              <w:t>/a</w:t>
            </w:r>
            <w:r>
              <w:rPr>
                <w:rFonts w:ascii="Times New Roman" w:hAnsi="Times New Roman" w:eastAsia="Times New Roman" w:cs="Times New Roman"/>
                <w:spacing w:val="-32"/>
                <w:sz w:val="24"/>
                <w:szCs w:val="24"/>
              </w:rPr>
              <w:t xml:space="preserve"> </w:t>
            </w:r>
            <w:r>
              <w:rPr>
                <w:rFonts w:ascii="宋体" w:hAnsi="宋体" w:eastAsia="宋体" w:cs="宋体"/>
                <w:spacing w:val="-5"/>
                <w:sz w:val="24"/>
                <w:szCs w:val="24"/>
              </w:rPr>
              <w:t>，</w:t>
            </w:r>
            <w:r>
              <w:rPr>
                <w:rFonts w:ascii="微软雅黑" w:hAnsi="微软雅黑" w:eastAsia="微软雅黑" w:cs="微软雅黑"/>
                <w:spacing w:val="-5"/>
                <w:sz w:val="24"/>
                <w:szCs w:val="24"/>
              </w:rPr>
              <w:t xml:space="preserve">颗粒物 </w:t>
            </w:r>
            <w:r>
              <w:rPr>
                <w:rFonts w:ascii="Times New Roman" w:hAnsi="Times New Roman" w:eastAsia="Times New Roman" w:cs="Times New Roman"/>
                <w:spacing w:val="-5"/>
                <w:sz w:val="24"/>
                <w:szCs w:val="24"/>
              </w:rPr>
              <w:t>0.8088t/a</w:t>
            </w:r>
            <w:r>
              <w:rPr>
                <w:rFonts w:ascii="Times New Roman" w:hAnsi="Times New Roman" w:eastAsia="Times New Roman" w:cs="Times New Roman"/>
                <w:spacing w:val="-32"/>
                <w:sz w:val="24"/>
                <w:szCs w:val="24"/>
              </w:rPr>
              <w:t xml:space="preserve"> </w:t>
            </w:r>
            <w:r>
              <w:rPr>
                <w:rFonts w:ascii="宋体" w:hAnsi="宋体" w:eastAsia="宋体" w:cs="宋体"/>
                <w:spacing w:val="-5"/>
                <w:sz w:val="24"/>
                <w:szCs w:val="24"/>
              </w:rPr>
              <w:t>，</w:t>
            </w:r>
            <w:r>
              <w:rPr>
                <w:rFonts w:ascii="微软雅黑" w:hAnsi="微软雅黑" w:eastAsia="微软雅黑" w:cs="微软雅黑"/>
                <w:spacing w:val="-5"/>
                <w:sz w:val="24"/>
                <w:szCs w:val="24"/>
              </w:rPr>
              <w:t xml:space="preserve">苯 </w:t>
            </w:r>
            <w:r>
              <w:rPr>
                <w:rFonts w:ascii="Times New Roman" w:hAnsi="Times New Roman" w:eastAsia="Times New Roman" w:cs="Times New Roman"/>
                <w:spacing w:val="-5"/>
                <w:sz w:val="24"/>
                <w:szCs w:val="24"/>
              </w:rPr>
              <w:t>0.00288t/a</w:t>
            </w:r>
            <w:r>
              <w:rPr>
                <w:rFonts w:ascii="宋体" w:hAnsi="宋体" w:eastAsia="宋体" w:cs="宋体"/>
                <w:spacing w:val="-5"/>
                <w:sz w:val="24"/>
                <w:szCs w:val="24"/>
              </w:rPr>
              <w:t>，</w:t>
            </w:r>
            <w:r>
              <w:rPr>
                <w:rFonts w:ascii="微软雅黑" w:hAnsi="微软雅黑" w:eastAsia="微软雅黑" w:cs="微软雅黑"/>
                <w:spacing w:val="-3"/>
                <w:sz w:val="24"/>
                <w:szCs w:val="24"/>
              </w:rPr>
              <w:t xml:space="preserve">甲苯 </w:t>
            </w:r>
            <w:r>
              <w:rPr>
                <w:rFonts w:ascii="Times New Roman" w:hAnsi="Times New Roman" w:eastAsia="Times New Roman" w:cs="Times New Roman"/>
                <w:spacing w:val="-3"/>
                <w:sz w:val="24"/>
                <w:szCs w:val="24"/>
              </w:rPr>
              <w:t>0.00024t/a</w:t>
            </w:r>
            <w:r>
              <w:rPr>
                <w:rFonts w:ascii="Times New Roman" w:hAnsi="Times New Roman" w:eastAsia="Times New Roman" w:cs="Times New Roman"/>
                <w:spacing w:val="-32"/>
                <w:sz w:val="24"/>
                <w:szCs w:val="24"/>
              </w:rPr>
              <w:t xml:space="preserve"> </w:t>
            </w:r>
            <w:r>
              <w:rPr>
                <w:rFonts w:ascii="宋体" w:hAnsi="宋体" w:eastAsia="宋体" w:cs="宋体"/>
                <w:spacing w:val="-3"/>
                <w:sz w:val="24"/>
                <w:szCs w:val="24"/>
              </w:rPr>
              <w:t>，</w:t>
            </w:r>
            <w:r>
              <w:rPr>
                <w:rFonts w:ascii="微软雅黑" w:hAnsi="微软雅黑" w:eastAsia="微软雅黑" w:cs="微软雅黑"/>
                <w:spacing w:val="-3"/>
                <w:sz w:val="24"/>
                <w:szCs w:val="24"/>
              </w:rPr>
              <w:t xml:space="preserve">非甲烷总烃 </w:t>
            </w:r>
            <w:r>
              <w:rPr>
                <w:rFonts w:ascii="Times New Roman" w:hAnsi="Times New Roman" w:eastAsia="Times New Roman" w:cs="Times New Roman"/>
                <w:spacing w:val="-3"/>
                <w:sz w:val="24"/>
                <w:szCs w:val="24"/>
              </w:rPr>
              <w:t>0.703</w:t>
            </w:r>
            <w:r>
              <w:rPr>
                <w:rFonts w:ascii="Times New Roman" w:hAnsi="Times New Roman" w:eastAsia="Times New Roman" w:cs="Times New Roman"/>
                <w:spacing w:val="-4"/>
                <w:sz w:val="24"/>
                <w:szCs w:val="24"/>
              </w:rPr>
              <w:t>2t/a</w:t>
            </w:r>
            <w:r>
              <w:rPr>
                <w:rFonts w:ascii="Times New Roman" w:hAnsi="Times New Roman" w:eastAsia="Times New Roman" w:cs="Times New Roman"/>
                <w:spacing w:val="-31"/>
                <w:sz w:val="24"/>
                <w:szCs w:val="24"/>
              </w:rPr>
              <w:t xml:space="preserve"> </w:t>
            </w:r>
            <w:r>
              <w:rPr>
                <w:rFonts w:ascii="宋体" w:hAnsi="宋体" w:eastAsia="宋体" w:cs="宋体"/>
                <w:spacing w:val="-4"/>
                <w:sz w:val="24"/>
                <w:szCs w:val="24"/>
              </w:rPr>
              <w:t>，</w:t>
            </w:r>
            <w:r>
              <w:rPr>
                <w:rFonts w:ascii="微软雅黑" w:hAnsi="微软雅黑" w:eastAsia="微软雅黑" w:cs="微软雅黑"/>
                <w:spacing w:val="-4"/>
                <w:sz w:val="24"/>
                <w:szCs w:val="24"/>
              </w:rPr>
              <w:t>二</w:t>
            </w:r>
            <w:r>
              <w:rPr>
                <w:rFonts w:ascii="微软雅黑" w:hAnsi="微软雅黑" w:eastAsia="微软雅黑" w:cs="微软雅黑"/>
                <w:spacing w:val="-27"/>
                <w:sz w:val="24"/>
                <w:szCs w:val="24"/>
              </w:rPr>
              <w:t xml:space="preserve"> </w:t>
            </w:r>
            <w:r>
              <w:rPr>
                <w:rFonts w:ascii="微软雅黑" w:hAnsi="微软雅黑" w:eastAsia="微软雅黑" w:cs="微软雅黑"/>
                <w:spacing w:val="-4"/>
                <w:sz w:val="24"/>
                <w:szCs w:val="24"/>
              </w:rPr>
              <w:t xml:space="preserve">甲苯 </w:t>
            </w:r>
            <w:r>
              <w:rPr>
                <w:rFonts w:ascii="Times New Roman" w:hAnsi="Times New Roman" w:eastAsia="Times New Roman" w:cs="Times New Roman"/>
                <w:spacing w:val="-4"/>
                <w:sz w:val="24"/>
                <w:szCs w:val="24"/>
              </w:rPr>
              <w:t>0.00144t/a</w:t>
            </w:r>
            <w:r>
              <w:rPr>
                <w:rFonts w:ascii="Times New Roman" w:hAnsi="Times New Roman" w:eastAsia="Times New Roman" w:cs="Times New Roman"/>
                <w:spacing w:val="-32"/>
                <w:sz w:val="24"/>
                <w:szCs w:val="24"/>
              </w:rPr>
              <w:t xml:space="preserve"> </w:t>
            </w:r>
            <w:r>
              <w:rPr>
                <w:rFonts w:ascii="宋体" w:hAnsi="宋体" w:eastAsia="宋体" w:cs="宋体"/>
                <w:spacing w:val="-4"/>
                <w:sz w:val="24"/>
                <w:szCs w:val="24"/>
              </w:rPr>
              <w:t>，</w:t>
            </w:r>
            <w:r>
              <w:rPr>
                <w:rFonts w:ascii="微软雅黑" w:hAnsi="微软雅黑" w:eastAsia="微软雅黑" w:cs="微软雅黑"/>
                <w:spacing w:val="-4"/>
                <w:sz w:val="24"/>
                <w:szCs w:val="24"/>
              </w:rPr>
              <w:t xml:space="preserve">甲醛 </w:t>
            </w:r>
            <w:r>
              <w:rPr>
                <w:rFonts w:ascii="Times New Roman" w:hAnsi="Times New Roman" w:eastAsia="Times New Roman" w:cs="Times New Roman"/>
                <w:spacing w:val="-4"/>
                <w:sz w:val="24"/>
                <w:szCs w:val="24"/>
              </w:rPr>
              <w:t>0.0216t/a</w:t>
            </w:r>
            <w:r>
              <w:rPr>
                <w:rFonts w:ascii="Times New Roman" w:hAnsi="Times New Roman" w:eastAsia="Times New Roman" w:cs="Times New Roman"/>
                <w:spacing w:val="-32"/>
                <w:sz w:val="24"/>
                <w:szCs w:val="24"/>
              </w:rPr>
              <w:t xml:space="preserve"> </w:t>
            </w:r>
            <w:r>
              <w:rPr>
                <w:rFonts w:ascii="宋体" w:hAnsi="宋体" w:eastAsia="宋体" w:cs="宋体"/>
                <w:spacing w:val="-4"/>
                <w:sz w:val="24"/>
                <w:szCs w:val="24"/>
              </w:rPr>
              <w:t>，</w:t>
            </w:r>
            <w:r>
              <w:rPr>
                <w:rFonts w:ascii="Times New Roman" w:hAnsi="Times New Roman" w:eastAsia="Times New Roman" w:cs="Times New Roman"/>
                <w:spacing w:val="-4"/>
                <w:sz w:val="24"/>
                <w:szCs w:val="24"/>
              </w:rPr>
              <w:t>S</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3"/>
                <w:sz w:val="24"/>
                <w:szCs w:val="24"/>
              </w:rPr>
              <w:t>O</w:t>
            </w:r>
            <w:r>
              <w:rPr>
                <w:rFonts w:ascii="Times New Roman" w:hAnsi="Times New Roman" w:eastAsia="Times New Roman" w:cs="Times New Roman"/>
                <w:spacing w:val="-3"/>
                <w:position w:val="-1"/>
                <w:sz w:val="15"/>
                <w:szCs w:val="15"/>
              </w:rPr>
              <w:t>2</w:t>
            </w:r>
            <w:r>
              <w:rPr>
                <w:rFonts w:ascii="Times New Roman" w:hAnsi="Times New Roman" w:eastAsia="Times New Roman" w:cs="Times New Roman"/>
                <w:spacing w:val="-3"/>
                <w:sz w:val="24"/>
                <w:szCs w:val="24"/>
              </w:rPr>
              <w:t>0.</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pacing w:val="-3"/>
                <w:sz w:val="24"/>
                <w:szCs w:val="24"/>
              </w:rPr>
              <w:t>1368t/a</w:t>
            </w:r>
            <w:r>
              <w:rPr>
                <w:rFonts w:ascii="Times New Roman" w:hAnsi="Times New Roman" w:eastAsia="Times New Roman" w:cs="Times New Roman"/>
                <w:spacing w:val="-32"/>
                <w:sz w:val="24"/>
                <w:szCs w:val="24"/>
              </w:rPr>
              <w:t xml:space="preserve"> </w:t>
            </w:r>
            <w:r>
              <w:rPr>
                <w:rFonts w:ascii="宋体" w:hAnsi="宋体" w:eastAsia="宋体" w:cs="宋体"/>
                <w:spacing w:val="-3"/>
                <w:sz w:val="24"/>
                <w:szCs w:val="24"/>
              </w:rPr>
              <w:t>，</w:t>
            </w:r>
            <w:r>
              <w:rPr>
                <w:rFonts w:ascii="Times New Roman" w:hAnsi="Times New Roman" w:eastAsia="Times New Roman" w:cs="Times New Roman"/>
                <w:spacing w:val="-3"/>
                <w:sz w:val="24"/>
                <w:szCs w:val="24"/>
              </w:rPr>
              <w:t>NO</w:t>
            </w:r>
            <w:r>
              <w:rPr>
                <w:rFonts w:ascii="Times New Roman" w:hAnsi="Times New Roman" w:eastAsia="Times New Roman" w:cs="Times New Roman"/>
                <w:spacing w:val="-3"/>
                <w:position w:val="-1"/>
                <w:sz w:val="15"/>
                <w:szCs w:val="15"/>
              </w:rPr>
              <w:t>X</w:t>
            </w:r>
            <w:r>
              <w:rPr>
                <w:rFonts w:ascii="Times New Roman" w:hAnsi="Times New Roman" w:eastAsia="Times New Roman" w:cs="Times New Roman"/>
                <w:spacing w:val="-3"/>
                <w:sz w:val="24"/>
                <w:szCs w:val="24"/>
              </w:rPr>
              <w:t>0.276t/a</w:t>
            </w:r>
            <w:r>
              <w:rPr>
                <w:rFonts w:ascii="宋体" w:hAnsi="宋体" w:eastAsia="宋体" w:cs="宋体"/>
                <w:spacing w:val="-3"/>
                <w:sz w:val="24"/>
                <w:szCs w:val="24"/>
              </w:rPr>
              <w:t>。</w:t>
            </w:r>
          </w:p>
          <w:p w14:paraId="015F725A">
            <w:pPr>
              <w:spacing w:before="13" w:line="185" w:lineRule="auto"/>
              <w:ind w:left="596"/>
              <w:rPr>
                <w:rFonts w:ascii="宋体" w:hAnsi="宋体" w:eastAsia="宋体" w:cs="宋体"/>
                <w:sz w:val="24"/>
                <w:szCs w:val="24"/>
              </w:rPr>
            </w:pPr>
            <w:r>
              <w:rPr>
                <w:rFonts w:ascii="宋体" w:hAnsi="宋体" w:eastAsia="宋体" w:cs="宋体"/>
                <w:spacing w:val="-4"/>
                <w:sz w:val="24"/>
                <w:szCs w:val="24"/>
              </w:rPr>
              <w:t>改扩建项目</w:t>
            </w:r>
            <w:r>
              <w:rPr>
                <w:rFonts w:ascii="微软雅黑" w:hAnsi="微软雅黑" w:eastAsia="微软雅黑" w:cs="微软雅黑"/>
                <w:spacing w:val="-4"/>
                <w:sz w:val="24"/>
                <w:szCs w:val="24"/>
              </w:rPr>
              <w:t>废气</w:t>
            </w:r>
            <w:r>
              <w:rPr>
                <w:rFonts w:ascii="宋体" w:hAnsi="宋体" w:eastAsia="宋体" w:cs="宋体"/>
                <w:spacing w:val="-4"/>
                <w:sz w:val="24"/>
                <w:szCs w:val="24"/>
              </w:rPr>
              <w:t>排放</w:t>
            </w:r>
            <w:r>
              <w:rPr>
                <w:rFonts w:ascii="微软雅黑" w:hAnsi="微软雅黑" w:eastAsia="微软雅黑" w:cs="微软雅黑"/>
                <w:spacing w:val="-4"/>
                <w:sz w:val="24"/>
                <w:szCs w:val="24"/>
              </w:rPr>
              <w:t>量</w:t>
            </w:r>
            <w:r>
              <w:rPr>
                <w:rFonts w:ascii="宋体" w:hAnsi="宋体" w:eastAsia="宋体" w:cs="宋体"/>
                <w:spacing w:val="-4"/>
                <w:sz w:val="24"/>
                <w:szCs w:val="24"/>
              </w:rPr>
              <w:t>为</w:t>
            </w:r>
            <w:r>
              <w:rPr>
                <w:rFonts w:ascii="宋体" w:hAnsi="宋体" w:eastAsia="宋体" w:cs="宋体"/>
                <w:spacing w:val="-51"/>
                <w:sz w:val="24"/>
                <w:szCs w:val="24"/>
              </w:rPr>
              <w:t xml:space="preserve"> </w:t>
            </w:r>
            <w:r>
              <w:rPr>
                <w:rFonts w:ascii="Times New Roman" w:hAnsi="Times New Roman" w:eastAsia="Times New Roman" w:cs="Times New Roman"/>
                <w:spacing w:val="-4"/>
                <w:sz w:val="24"/>
                <w:szCs w:val="24"/>
              </w:rPr>
              <w:t xml:space="preserve">27600 </w:t>
            </w:r>
            <w:r>
              <w:rPr>
                <w:rFonts w:ascii="微软雅黑" w:hAnsi="微软雅黑" w:eastAsia="微软雅黑" w:cs="微软雅黑"/>
                <w:spacing w:val="-4"/>
                <w:sz w:val="24"/>
                <w:szCs w:val="24"/>
              </w:rPr>
              <w:t xml:space="preserve">万 </w:t>
            </w:r>
            <w:r>
              <w:rPr>
                <w:rFonts w:ascii="Times New Roman" w:hAnsi="Times New Roman" w:eastAsia="Times New Roman" w:cs="Times New Roman"/>
                <w:spacing w:val="-4"/>
                <w:sz w:val="24"/>
                <w:szCs w:val="24"/>
              </w:rPr>
              <w:t>m</w:t>
            </w:r>
            <w:r>
              <w:rPr>
                <w:rFonts w:ascii="Times New Roman" w:hAnsi="Times New Roman" w:eastAsia="Times New Roman" w:cs="Times New Roman"/>
                <w:spacing w:val="-4"/>
                <w:position w:val="8"/>
                <w:sz w:val="15"/>
                <w:szCs w:val="15"/>
              </w:rPr>
              <w:t>3</w:t>
            </w:r>
            <w:r>
              <w:rPr>
                <w:rFonts w:ascii="Times New Roman" w:hAnsi="Times New Roman" w:eastAsia="Times New Roman" w:cs="Times New Roman"/>
                <w:spacing w:val="-4"/>
                <w:sz w:val="24"/>
                <w:szCs w:val="24"/>
              </w:rPr>
              <w:t>/a</w:t>
            </w:r>
            <w:r>
              <w:rPr>
                <w:rFonts w:ascii="Times New Roman" w:hAnsi="Times New Roman" w:eastAsia="Times New Roman" w:cs="Times New Roman"/>
                <w:spacing w:val="-32"/>
                <w:sz w:val="24"/>
                <w:szCs w:val="24"/>
              </w:rPr>
              <w:t xml:space="preserve"> </w:t>
            </w:r>
            <w:r>
              <w:rPr>
                <w:rFonts w:ascii="宋体" w:hAnsi="宋体" w:eastAsia="宋体" w:cs="宋体"/>
                <w:spacing w:val="-4"/>
                <w:sz w:val="24"/>
                <w:szCs w:val="24"/>
              </w:rPr>
              <w:t>，</w:t>
            </w:r>
            <w:r>
              <w:rPr>
                <w:rFonts w:ascii="微软雅黑" w:hAnsi="微软雅黑" w:eastAsia="微软雅黑" w:cs="微软雅黑"/>
                <w:spacing w:val="-4"/>
                <w:sz w:val="24"/>
                <w:szCs w:val="24"/>
              </w:rPr>
              <w:t>颗粒物</w:t>
            </w:r>
            <w:r>
              <w:rPr>
                <w:rFonts w:ascii="微软雅黑" w:hAnsi="微软雅黑" w:eastAsia="微软雅黑" w:cs="微软雅黑"/>
                <w:spacing w:val="17"/>
                <w:w w:val="101"/>
                <w:sz w:val="24"/>
                <w:szCs w:val="24"/>
              </w:rPr>
              <w:t xml:space="preserve"> </w:t>
            </w:r>
            <w:r>
              <w:rPr>
                <w:rFonts w:ascii="Times New Roman" w:hAnsi="Times New Roman" w:eastAsia="Times New Roman" w:cs="Times New Roman"/>
                <w:spacing w:val="-4"/>
                <w:sz w:val="24"/>
                <w:szCs w:val="24"/>
              </w:rPr>
              <w:t>1.7388t/a</w:t>
            </w:r>
            <w:r>
              <w:rPr>
                <w:rFonts w:ascii="宋体" w:hAnsi="宋体" w:eastAsia="宋体" w:cs="宋体"/>
                <w:spacing w:val="-4"/>
                <w:sz w:val="24"/>
                <w:szCs w:val="24"/>
              </w:rPr>
              <w:t>。</w:t>
            </w:r>
          </w:p>
          <w:p w14:paraId="70A9023F">
            <w:pPr>
              <w:spacing w:before="145" w:line="294" w:lineRule="auto"/>
              <w:ind w:left="107" w:right="103" w:firstLine="489"/>
              <w:rPr>
                <w:rFonts w:ascii="宋体" w:hAnsi="宋体" w:eastAsia="宋体" w:cs="宋体"/>
                <w:sz w:val="24"/>
                <w:szCs w:val="24"/>
              </w:rPr>
            </w:pPr>
            <w:r>
              <w:rPr>
                <w:rFonts w:ascii="宋体" w:hAnsi="宋体" w:eastAsia="宋体" w:cs="宋体"/>
                <w:spacing w:val="-4"/>
                <w:sz w:val="24"/>
                <w:szCs w:val="24"/>
              </w:rPr>
              <w:t>改扩建完成后全厂</w:t>
            </w:r>
            <w:r>
              <w:rPr>
                <w:rFonts w:ascii="微软雅黑" w:hAnsi="微软雅黑" w:eastAsia="微软雅黑" w:cs="微软雅黑"/>
                <w:spacing w:val="-4"/>
                <w:sz w:val="24"/>
                <w:szCs w:val="24"/>
              </w:rPr>
              <w:t>废气</w:t>
            </w:r>
            <w:r>
              <w:rPr>
                <w:rFonts w:ascii="宋体" w:hAnsi="宋体" w:eastAsia="宋体" w:cs="宋体"/>
                <w:spacing w:val="-4"/>
                <w:sz w:val="24"/>
                <w:szCs w:val="24"/>
              </w:rPr>
              <w:t>排放</w:t>
            </w:r>
            <w:r>
              <w:rPr>
                <w:rFonts w:ascii="微软雅黑" w:hAnsi="微软雅黑" w:eastAsia="微软雅黑" w:cs="微软雅黑"/>
                <w:spacing w:val="-4"/>
                <w:sz w:val="24"/>
                <w:szCs w:val="24"/>
              </w:rPr>
              <w:t>量</w:t>
            </w:r>
            <w:r>
              <w:rPr>
                <w:rFonts w:ascii="宋体" w:hAnsi="宋体" w:eastAsia="宋体" w:cs="宋体"/>
                <w:spacing w:val="-4"/>
                <w:sz w:val="24"/>
                <w:szCs w:val="24"/>
              </w:rPr>
              <w:t>为</w:t>
            </w:r>
            <w:r>
              <w:rPr>
                <w:rFonts w:ascii="宋体" w:hAnsi="宋体" w:eastAsia="宋体" w:cs="宋体"/>
                <w:spacing w:val="-47"/>
                <w:sz w:val="24"/>
                <w:szCs w:val="24"/>
              </w:rPr>
              <w:t xml:space="preserve"> </w:t>
            </w:r>
            <w:r>
              <w:rPr>
                <w:rFonts w:ascii="Times New Roman" w:hAnsi="Times New Roman" w:eastAsia="Times New Roman" w:cs="Times New Roman"/>
                <w:spacing w:val="-4"/>
                <w:sz w:val="24"/>
                <w:szCs w:val="24"/>
              </w:rPr>
              <w:t xml:space="preserve">42061.2 </w:t>
            </w:r>
            <w:r>
              <w:rPr>
                <w:rFonts w:ascii="微软雅黑" w:hAnsi="微软雅黑" w:eastAsia="微软雅黑" w:cs="微软雅黑"/>
                <w:spacing w:val="-4"/>
                <w:sz w:val="24"/>
                <w:szCs w:val="24"/>
              </w:rPr>
              <w:t xml:space="preserve">万 </w:t>
            </w:r>
            <w:r>
              <w:rPr>
                <w:rFonts w:ascii="Times New Roman" w:hAnsi="Times New Roman" w:eastAsia="Times New Roman" w:cs="Times New Roman"/>
                <w:spacing w:val="-4"/>
                <w:sz w:val="24"/>
                <w:szCs w:val="24"/>
              </w:rPr>
              <w:t>m</w:t>
            </w:r>
            <w:r>
              <w:rPr>
                <w:rFonts w:ascii="Times New Roman" w:hAnsi="Times New Roman" w:eastAsia="Times New Roman" w:cs="Times New Roman"/>
                <w:spacing w:val="-4"/>
                <w:position w:val="8"/>
                <w:sz w:val="15"/>
                <w:szCs w:val="15"/>
              </w:rPr>
              <w:t>3</w:t>
            </w:r>
            <w:r>
              <w:rPr>
                <w:rFonts w:ascii="Times New Roman" w:hAnsi="Times New Roman" w:eastAsia="Times New Roman" w:cs="Times New Roman"/>
                <w:spacing w:val="-4"/>
                <w:sz w:val="24"/>
                <w:szCs w:val="24"/>
              </w:rPr>
              <w:t>/a</w:t>
            </w:r>
            <w:r>
              <w:rPr>
                <w:rFonts w:ascii="Times New Roman" w:hAnsi="Times New Roman" w:eastAsia="Times New Roman" w:cs="Times New Roman"/>
                <w:spacing w:val="-32"/>
                <w:sz w:val="24"/>
                <w:szCs w:val="24"/>
              </w:rPr>
              <w:t xml:space="preserve"> </w:t>
            </w:r>
            <w:r>
              <w:rPr>
                <w:rFonts w:ascii="宋体" w:hAnsi="宋体" w:eastAsia="宋体" w:cs="宋体"/>
                <w:spacing w:val="-4"/>
                <w:sz w:val="24"/>
                <w:szCs w:val="24"/>
              </w:rPr>
              <w:t>，</w:t>
            </w:r>
            <w:r>
              <w:rPr>
                <w:rFonts w:ascii="微软雅黑" w:hAnsi="微软雅黑" w:eastAsia="微软雅黑" w:cs="微软雅黑"/>
                <w:spacing w:val="-4"/>
                <w:sz w:val="24"/>
                <w:szCs w:val="24"/>
              </w:rPr>
              <w:t xml:space="preserve">颗粒物 </w:t>
            </w:r>
            <w:r>
              <w:rPr>
                <w:rFonts w:ascii="Times New Roman" w:hAnsi="Times New Roman" w:eastAsia="Times New Roman" w:cs="Times New Roman"/>
                <w:spacing w:val="-4"/>
                <w:sz w:val="24"/>
                <w:szCs w:val="24"/>
              </w:rPr>
              <w:t>0.8088t/a</w:t>
            </w:r>
            <w:r>
              <w:rPr>
                <w:rFonts w:ascii="宋体" w:hAnsi="宋体" w:eastAsia="宋体" w:cs="宋体"/>
                <w:spacing w:val="-4"/>
                <w:sz w:val="24"/>
                <w:szCs w:val="24"/>
              </w:rPr>
              <w:t>，</w:t>
            </w:r>
            <w:r>
              <w:rPr>
                <w:rFonts w:ascii="微软雅黑" w:hAnsi="微软雅黑" w:eastAsia="微软雅黑" w:cs="微软雅黑"/>
                <w:spacing w:val="-4"/>
                <w:sz w:val="24"/>
                <w:szCs w:val="24"/>
              </w:rPr>
              <w:t xml:space="preserve">苯 </w:t>
            </w:r>
            <w:r>
              <w:rPr>
                <w:rFonts w:ascii="Times New Roman" w:hAnsi="Times New Roman" w:eastAsia="Times New Roman" w:cs="Times New Roman"/>
                <w:spacing w:val="-4"/>
                <w:sz w:val="24"/>
                <w:szCs w:val="24"/>
              </w:rPr>
              <w:t>0.0</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4"/>
                <w:sz w:val="24"/>
                <w:szCs w:val="24"/>
              </w:rPr>
              <w:t>0288t/a</w:t>
            </w:r>
            <w:r>
              <w:rPr>
                <w:rFonts w:ascii="Times New Roman" w:hAnsi="Times New Roman" w:eastAsia="Times New Roman" w:cs="Times New Roman"/>
                <w:spacing w:val="-22"/>
                <w:sz w:val="24"/>
                <w:szCs w:val="24"/>
              </w:rPr>
              <w:t xml:space="preserve"> </w:t>
            </w:r>
            <w:r>
              <w:rPr>
                <w:rFonts w:ascii="宋体" w:hAnsi="宋体" w:eastAsia="宋体" w:cs="宋体"/>
                <w:spacing w:val="-4"/>
                <w:sz w:val="24"/>
                <w:szCs w:val="24"/>
              </w:rPr>
              <w:t>，</w:t>
            </w:r>
            <w:r>
              <w:rPr>
                <w:rFonts w:ascii="微软雅黑" w:hAnsi="微软雅黑" w:eastAsia="微软雅黑" w:cs="微软雅黑"/>
                <w:spacing w:val="-4"/>
                <w:sz w:val="24"/>
                <w:szCs w:val="24"/>
              </w:rPr>
              <w:t xml:space="preserve">甲苯 </w:t>
            </w:r>
            <w:r>
              <w:rPr>
                <w:rFonts w:ascii="Times New Roman" w:hAnsi="Times New Roman" w:eastAsia="Times New Roman" w:cs="Times New Roman"/>
                <w:spacing w:val="-4"/>
                <w:sz w:val="24"/>
                <w:szCs w:val="24"/>
              </w:rPr>
              <w:t>0.00024t/a</w:t>
            </w:r>
            <w:r>
              <w:rPr>
                <w:rFonts w:ascii="Times New Roman" w:hAnsi="Times New Roman" w:eastAsia="Times New Roman" w:cs="Times New Roman"/>
                <w:spacing w:val="-34"/>
                <w:sz w:val="24"/>
                <w:szCs w:val="24"/>
              </w:rPr>
              <w:t xml:space="preserve"> </w:t>
            </w:r>
            <w:r>
              <w:rPr>
                <w:rFonts w:ascii="宋体" w:hAnsi="宋体" w:eastAsia="宋体" w:cs="宋体"/>
                <w:spacing w:val="-4"/>
                <w:sz w:val="24"/>
                <w:szCs w:val="24"/>
              </w:rPr>
              <w:t>，</w:t>
            </w:r>
            <w:r>
              <w:rPr>
                <w:rFonts w:ascii="微软雅黑" w:hAnsi="微软雅黑" w:eastAsia="微软雅黑" w:cs="微软雅黑"/>
                <w:spacing w:val="-4"/>
                <w:sz w:val="24"/>
                <w:szCs w:val="24"/>
              </w:rPr>
              <w:t xml:space="preserve">非甲烷总烃 </w:t>
            </w:r>
            <w:r>
              <w:rPr>
                <w:rFonts w:ascii="Times New Roman" w:hAnsi="Times New Roman" w:eastAsia="Times New Roman" w:cs="Times New Roman"/>
                <w:spacing w:val="-4"/>
                <w:sz w:val="24"/>
                <w:szCs w:val="24"/>
              </w:rPr>
              <w:t>2.442t/a</w:t>
            </w:r>
            <w:r>
              <w:rPr>
                <w:rFonts w:ascii="Times New Roman" w:hAnsi="Times New Roman" w:eastAsia="Times New Roman" w:cs="Times New Roman"/>
                <w:spacing w:val="-32"/>
                <w:sz w:val="24"/>
                <w:szCs w:val="24"/>
              </w:rPr>
              <w:t xml:space="preserve"> </w:t>
            </w:r>
            <w:r>
              <w:rPr>
                <w:rFonts w:ascii="宋体" w:hAnsi="宋体" w:eastAsia="宋体" w:cs="宋体"/>
                <w:spacing w:val="-4"/>
                <w:sz w:val="24"/>
                <w:szCs w:val="24"/>
              </w:rPr>
              <w:t>，</w:t>
            </w:r>
            <w:r>
              <w:rPr>
                <w:rFonts w:ascii="微软雅黑" w:hAnsi="微软雅黑" w:eastAsia="微软雅黑" w:cs="微软雅黑"/>
                <w:spacing w:val="-4"/>
                <w:sz w:val="24"/>
                <w:szCs w:val="24"/>
              </w:rPr>
              <w:t>二</w:t>
            </w:r>
            <w:r>
              <w:rPr>
                <w:rFonts w:ascii="微软雅黑" w:hAnsi="微软雅黑" w:eastAsia="微软雅黑" w:cs="微软雅黑"/>
                <w:spacing w:val="-27"/>
                <w:sz w:val="24"/>
                <w:szCs w:val="24"/>
              </w:rPr>
              <w:t xml:space="preserve"> </w:t>
            </w:r>
            <w:r>
              <w:rPr>
                <w:rFonts w:ascii="微软雅黑" w:hAnsi="微软雅黑" w:eastAsia="微软雅黑" w:cs="微软雅黑"/>
                <w:spacing w:val="-4"/>
                <w:sz w:val="24"/>
                <w:szCs w:val="24"/>
              </w:rPr>
              <w:t xml:space="preserve">甲苯 </w:t>
            </w:r>
            <w:r>
              <w:rPr>
                <w:rFonts w:ascii="Times New Roman" w:hAnsi="Times New Roman" w:eastAsia="Times New Roman" w:cs="Times New Roman"/>
                <w:spacing w:val="-4"/>
                <w:sz w:val="24"/>
                <w:szCs w:val="24"/>
              </w:rPr>
              <w:t>0.00144t/a</w:t>
            </w:r>
            <w:r>
              <w:rPr>
                <w:rFonts w:ascii="Times New Roman" w:hAnsi="Times New Roman" w:eastAsia="Times New Roman" w:cs="Times New Roman"/>
                <w:spacing w:val="-34"/>
                <w:sz w:val="24"/>
                <w:szCs w:val="24"/>
              </w:rPr>
              <w:t xml:space="preserve"> </w:t>
            </w:r>
            <w:r>
              <w:rPr>
                <w:rFonts w:ascii="宋体" w:hAnsi="宋体" w:eastAsia="宋体" w:cs="宋体"/>
                <w:spacing w:val="-4"/>
                <w:sz w:val="24"/>
                <w:szCs w:val="24"/>
              </w:rPr>
              <w:t>，</w:t>
            </w:r>
            <w:r>
              <w:rPr>
                <w:rFonts w:ascii="微软雅黑" w:hAnsi="微软雅黑" w:eastAsia="微软雅黑" w:cs="微软雅黑"/>
                <w:spacing w:val="-4"/>
                <w:sz w:val="24"/>
                <w:szCs w:val="24"/>
              </w:rPr>
              <w:t xml:space="preserve">甲醛 </w:t>
            </w:r>
            <w:r>
              <w:rPr>
                <w:rFonts w:ascii="Times New Roman" w:hAnsi="Times New Roman" w:eastAsia="Times New Roman" w:cs="Times New Roman"/>
                <w:spacing w:val="-4"/>
                <w:sz w:val="24"/>
                <w:szCs w:val="24"/>
              </w:rPr>
              <w:t>0.021</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3"/>
                <w:sz w:val="24"/>
                <w:szCs w:val="24"/>
              </w:rPr>
              <w:t>6t/a</w:t>
            </w:r>
            <w:r>
              <w:rPr>
                <w:rFonts w:ascii="Times New Roman" w:hAnsi="Times New Roman" w:eastAsia="Times New Roman" w:cs="Times New Roman"/>
                <w:spacing w:val="-30"/>
                <w:sz w:val="24"/>
                <w:szCs w:val="24"/>
              </w:rPr>
              <w:t xml:space="preserve"> </w:t>
            </w:r>
            <w:r>
              <w:rPr>
                <w:rFonts w:ascii="宋体" w:hAnsi="宋体" w:eastAsia="宋体" w:cs="宋体"/>
                <w:spacing w:val="-3"/>
                <w:sz w:val="24"/>
                <w:szCs w:val="24"/>
              </w:rPr>
              <w:t>，</w:t>
            </w:r>
            <w:r>
              <w:rPr>
                <w:rFonts w:ascii="Times New Roman" w:hAnsi="Times New Roman" w:eastAsia="Times New Roman" w:cs="Times New Roman"/>
                <w:spacing w:val="-3"/>
                <w:sz w:val="24"/>
                <w:szCs w:val="24"/>
              </w:rPr>
              <w:t>SO</w:t>
            </w:r>
            <w:r>
              <w:rPr>
                <w:rFonts w:ascii="Times New Roman" w:hAnsi="Times New Roman" w:eastAsia="Times New Roman" w:cs="Times New Roman"/>
                <w:spacing w:val="-3"/>
                <w:position w:val="-1"/>
                <w:sz w:val="15"/>
                <w:szCs w:val="15"/>
              </w:rPr>
              <w:t>2</w:t>
            </w:r>
            <w:r>
              <w:rPr>
                <w:rFonts w:ascii="Times New Roman" w:hAnsi="Times New Roman" w:eastAsia="Times New Roman" w:cs="Times New Roman"/>
                <w:spacing w:val="-3"/>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1368t/a</w:t>
            </w:r>
            <w:r>
              <w:rPr>
                <w:rFonts w:ascii="Times New Roman" w:hAnsi="Times New Roman" w:eastAsia="Times New Roman" w:cs="Times New Roman"/>
                <w:spacing w:val="-31"/>
                <w:sz w:val="24"/>
                <w:szCs w:val="24"/>
              </w:rPr>
              <w:t xml:space="preserve"> </w:t>
            </w:r>
            <w:r>
              <w:rPr>
                <w:rFonts w:ascii="宋体" w:hAnsi="宋体" w:eastAsia="宋体" w:cs="宋体"/>
                <w:spacing w:val="-3"/>
                <w:sz w:val="24"/>
                <w:szCs w:val="24"/>
              </w:rPr>
              <w:t>，</w:t>
            </w:r>
            <w:r>
              <w:rPr>
                <w:rFonts w:ascii="Times New Roman" w:hAnsi="Times New Roman" w:eastAsia="Times New Roman" w:cs="Times New Roman"/>
                <w:spacing w:val="-3"/>
                <w:sz w:val="24"/>
                <w:szCs w:val="24"/>
              </w:rPr>
              <w:t>NO</w:t>
            </w:r>
            <w:r>
              <w:rPr>
                <w:rFonts w:ascii="Times New Roman" w:hAnsi="Times New Roman" w:eastAsia="Times New Roman" w:cs="Times New Roman"/>
                <w:spacing w:val="-3"/>
                <w:position w:val="-1"/>
                <w:sz w:val="15"/>
                <w:szCs w:val="15"/>
              </w:rPr>
              <w:t>X</w:t>
            </w:r>
            <w:r>
              <w:rPr>
                <w:rFonts w:ascii="Times New Roman" w:hAnsi="Times New Roman" w:eastAsia="Times New Roman" w:cs="Times New Roman"/>
                <w:spacing w:val="-3"/>
                <w:sz w:val="24"/>
                <w:szCs w:val="24"/>
              </w:rPr>
              <w:t>0.276t/a</w:t>
            </w:r>
            <w:r>
              <w:rPr>
                <w:rFonts w:ascii="宋体" w:hAnsi="宋体" w:eastAsia="宋体" w:cs="宋体"/>
                <w:spacing w:val="-3"/>
                <w:sz w:val="24"/>
                <w:szCs w:val="24"/>
              </w:rPr>
              <w:t>。</w:t>
            </w:r>
          </w:p>
          <w:p w14:paraId="6897E603">
            <w:pPr>
              <w:spacing w:before="13" w:line="219" w:lineRule="auto"/>
              <w:ind w:left="599"/>
              <w:outlineLvl w:val="0"/>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3</w:t>
            </w:r>
            <w:r>
              <w:rPr>
                <w:rFonts w:ascii="宋体" w:hAnsi="宋体" w:eastAsia="宋体" w:cs="宋体"/>
                <w:b/>
                <w:bCs/>
                <w:spacing w:val="-4"/>
                <w:sz w:val="24"/>
                <w:szCs w:val="24"/>
              </w:rPr>
              <w:t>）固体废弃物</w:t>
            </w:r>
          </w:p>
          <w:p w14:paraId="5C83CB24">
            <w:pPr>
              <w:spacing w:before="181" w:line="219" w:lineRule="auto"/>
              <w:ind w:left="111"/>
              <w:rPr>
                <w:rFonts w:ascii="宋体" w:hAnsi="宋体" w:eastAsia="宋体" w:cs="宋体"/>
                <w:sz w:val="24"/>
                <w:szCs w:val="24"/>
              </w:rPr>
            </w:pPr>
            <w:r>
              <w:rPr>
                <w:rFonts w:ascii="宋体" w:hAnsi="宋体" w:eastAsia="宋体" w:cs="宋体"/>
                <w:spacing w:val="-3"/>
                <w:sz w:val="24"/>
                <w:szCs w:val="24"/>
              </w:rPr>
              <w:t>项目固体废物处置率均能达到</w:t>
            </w:r>
            <w:r>
              <w:rPr>
                <w:rFonts w:ascii="宋体" w:hAnsi="宋体" w:eastAsia="宋体" w:cs="宋体"/>
                <w:spacing w:val="-21"/>
                <w:sz w:val="24"/>
                <w:szCs w:val="24"/>
              </w:rPr>
              <w:t xml:space="preserve"> </w:t>
            </w:r>
            <w:r>
              <w:rPr>
                <w:rFonts w:ascii="Times New Roman" w:hAnsi="Times New Roman" w:eastAsia="Times New Roman" w:cs="Times New Roman"/>
                <w:spacing w:val="-3"/>
                <w:sz w:val="24"/>
                <w:szCs w:val="24"/>
              </w:rPr>
              <w:t>100%</w:t>
            </w:r>
            <w:r>
              <w:rPr>
                <w:rFonts w:ascii="宋体" w:hAnsi="宋体" w:eastAsia="宋体" w:cs="宋体"/>
                <w:spacing w:val="-3"/>
                <w:sz w:val="24"/>
                <w:szCs w:val="24"/>
              </w:rPr>
              <w:t>。</w:t>
            </w:r>
          </w:p>
        </w:tc>
      </w:tr>
    </w:tbl>
    <w:p w14:paraId="535FAAC8">
      <w:pPr>
        <w:pStyle w:val="2"/>
      </w:pPr>
    </w:p>
    <w:p w14:paraId="5B277338">
      <w:pPr>
        <w:sectPr>
          <w:footerReference r:id="rId85" w:type="default"/>
          <w:pgSz w:w="11907" w:h="16840"/>
          <w:pgMar w:top="400" w:right="1413" w:bottom="1103" w:left="1413" w:header="0" w:footer="887" w:gutter="0"/>
          <w:cols w:space="720" w:num="1"/>
        </w:sectPr>
      </w:pPr>
    </w:p>
    <w:p w14:paraId="3ACDA69F">
      <w:pPr>
        <w:pStyle w:val="2"/>
        <w:spacing w:line="248" w:lineRule="auto"/>
      </w:pPr>
    </w:p>
    <w:p w14:paraId="65B46BA5">
      <w:pPr>
        <w:pStyle w:val="2"/>
        <w:spacing w:line="248" w:lineRule="auto"/>
      </w:pPr>
    </w:p>
    <w:p w14:paraId="1D45A80E">
      <w:pPr>
        <w:pStyle w:val="2"/>
        <w:spacing w:line="248" w:lineRule="auto"/>
      </w:pPr>
    </w:p>
    <w:p w14:paraId="343C4C39">
      <w:pPr>
        <w:pStyle w:val="2"/>
        <w:spacing w:line="249" w:lineRule="auto"/>
      </w:pPr>
    </w:p>
    <w:p w14:paraId="610C777E">
      <w:pPr>
        <w:pStyle w:val="2"/>
        <w:spacing w:line="249" w:lineRule="auto"/>
      </w:pPr>
    </w:p>
    <w:p w14:paraId="3B2D840C">
      <w:pPr>
        <w:spacing w:before="97" w:line="220" w:lineRule="auto"/>
        <w:ind w:left="2949"/>
        <w:rPr>
          <w:rFonts w:ascii="宋体" w:hAnsi="宋体" w:eastAsia="宋体" w:cs="宋体"/>
          <w:sz w:val="30"/>
          <w:szCs w:val="30"/>
        </w:rPr>
      </w:pPr>
      <w:bookmarkStart w:id="7" w:name="bookmark4"/>
      <w:bookmarkEnd w:id="7"/>
      <w:r>
        <w:rPr>
          <w:rFonts w:ascii="宋体" w:hAnsi="宋体" w:eastAsia="宋体" w:cs="宋体"/>
          <w:spacing w:val="-4"/>
          <w:sz w:val="30"/>
          <w:szCs w:val="30"/>
        </w:rPr>
        <w:t>四、主要环境影响和保护措施</w:t>
      </w:r>
    </w:p>
    <w:p w14:paraId="0245547D">
      <w:pPr>
        <w:spacing w:line="180" w:lineRule="exact"/>
      </w:pPr>
    </w:p>
    <w:tbl>
      <w:tblPr>
        <w:tblStyle w:val="10"/>
        <w:tblW w:w="898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69"/>
        <w:gridCol w:w="8316"/>
      </w:tblGrid>
      <w:tr w14:paraId="2234A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65" w:hRule="atLeast"/>
        </w:trPr>
        <w:tc>
          <w:tcPr>
            <w:tcW w:w="669" w:type="dxa"/>
            <w:tcBorders>
              <w:right w:val="single" w:color="000000" w:sz="2" w:space="0"/>
            </w:tcBorders>
            <w:vAlign w:val="top"/>
          </w:tcPr>
          <w:p w14:paraId="0AF1FEE9">
            <w:pPr>
              <w:spacing w:line="249" w:lineRule="auto"/>
              <w:rPr>
                <w:rFonts w:ascii="Arial"/>
                <w:sz w:val="21"/>
              </w:rPr>
            </w:pPr>
          </w:p>
          <w:p w14:paraId="1E6B0FD7">
            <w:pPr>
              <w:spacing w:line="249" w:lineRule="auto"/>
              <w:rPr>
                <w:rFonts w:ascii="Arial"/>
                <w:sz w:val="21"/>
              </w:rPr>
            </w:pPr>
          </w:p>
          <w:p w14:paraId="72A27247">
            <w:pPr>
              <w:spacing w:line="249" w:lineRule="auto"/>
              <w:rPr>
                <w:rFonts w:ascii="Arial"/>
                <w:sz w:val="21"/>
              </w:rPr>
            </w:pPr>
          </w:p>
          <w:p w14:paraId="11286FC3">
            <w:pPr>
              <w:spacing w:line="249" w:lineRule="auto"/>
              <w:rPr>
                <w:rFonts w:ascii="Arial"/>
                <w:sz w:val="21"/>
              </w:rPr>
            </w:pPr>
          </w:p>
          <w:p w14:paraId="06D7BCCC">
            <w:pPr>
              <w:spacing w:line="249" w:lineRule="auto"/>
              <w:rPr>
                <w:rFonts w:ascii="Arial"/>
                <w:sz w:val="21"/>
              </w:rPr>
            </w:pPr>
          </w:p>
          <w:p w14:paraId="52B4E549">
            <w:pPr>
              <w:spacing w:line="249" w:lineRule="auto"/>
              <w:rPr>
                <w:rFonts w:ascii="Arial"/>
                <w:sz w:val="21"/>
              </w:rPr>
            </w:pPr>
          </w:p>
          <w:p w14:paraId="3F450625">
            <w:pPr>
              <w:spacing w:line="249" w:lineRule="auto"/>
              <w:rPr>
                <w:rFonts w:ascii="Arial"/>
                <w:sz w:val="21"/>
              </w:rPr>
            </w:pPr>
          </w:p>
          <w:p w14:paraId="5DD36FAD">
            <w:pPr>
              <w:spacing w:line="249" w:lineRule="auto"/>
              <w:rPr>
                <w:rFonts w:ascii="Arial"/>
                <w:sz w:val="21"/>
              </w:rPr>
            </w:pPr>
          </w:p>
          <w:p w14:paraId="31BD0EE0">
            <w:pPr>
              <w:spacing w:line="249" w:lineRule="auto"/>
              <w:rPr>
                <w:rFonts w:ascii="Arial"/>
                <w:sz w:val="21"/>
              </w:rPr>
            </w:pPr>
          </w:p>
          <w:p w14:paraId="17E90A25">
            <w:pPr>
              <w:spacing w:line="249" w:lineRule="auto"/>
              <w:rPr>
                <w:rFonts w:ascii="Arial"/>
                <w:sz w:val="21"/>
              </w:rPr>
            </w:pPr>
          </w:p>
          <w:p w14:paraId="65549BBD">
            <w:pPr>
              <w:spacing w:line="249" w:lineRule="auto"/>
              <w:rPr>
                <w:rFonts w:ascii="Arial"/>
                <w:sz w:val="21"/>
              </w:rPr>
            </w:pPr>
          </w:p>
          <w:p w14:paraId="7827A347">
            <w:pPr>
              <w:spacing w:line="249" w:lineRule="auto"/>
              <w:rPr>
                <w:rFonts w:ascii="Arial"/>
                <w:sz w:val="21"/>
              </w:rPr>
            </w:pPr>
          </w:p>
          <w:p w14:paraId="4ADBC30A">
            <w:pPr>
              <w:spacing w:line="249" w:lineRule="auto"/>
              <w:rPr>
                <w:rFonts w:ascii="Arial"/>
                <w:sz w:val="21"/>
              </w:rPr>
            </w:pPr>
          </w:p>
          <w:p w14:paraId="767CDF7A">
            <w:pPr>
              <w:spacing w:line="250" w:lineRule="auto"/>
              <w:rPr>
                <w:rFonts w:ascii="Arial"/>
                <w:sz w:val="21"/>
              </w:rPr>
            </w:pPr>
          </w:p>
          <w:p w14:paraId="1183B184">
            <w:pPr>
              <w:spacing w:line="250" w:lineRule="auto"/>
              <w:rPr>
                <w:rFonts w:ascii="Arial"/>
                <w:sz w:val="21"/>
              </w:rPr>
            </w:pPr>
          </w:p>
          <w:p w14:paraId="72DBFC8D">
            <w:pPr>
              <w:spacing w:line="250" w:lineRule="auto"/>
              <w:rPr>
                <w:rFonts w:ascii="Arial"/>
                <w:sz w:val="21"/>
              </w:rPr>
            </w:pPr>
          </w:p>
          <w:p w14:paraId="57481D04">
            <w:pPr>
              <w:spacing w:line="250" w:lineRule="auto"/>
              <w:rPr>
                <w:rFonts w:ascii="Arial"/>
                <w:sz w:val="21"/>
              </w:rPr>
            </w:pPr>
          </w:p>
          <w:p w14:paraId="070AFD88">
            <w:pPr>
              <w:spacing w:line="250" w:lineRule="auto"/>
              <w:rPr>
                <w:rFonts w:ascii="Arial"/>
                <w:sz w:val="21"/>
              </w:rPr>
            </w:pPr>
          </w:p>
          <w:p w14:paraId="71DD6470">
            <w:pPr>
              <w:spacing w:line="250" w:lineRule="auto"/>
              <w:rPr>
                <w:rFonts w:ascii="Arial"/>
                <w:sz w:val="21"/>
              </w:rPr>
            </w:pPr>
          </w:p>
          <w:p w14:paraId="7C651B01">
            <w:pPr>
              <w:spacing w:line="250" w:lineRule="auto"/>
              <w:rPr>
                <w:rFonts w:ascii="Arial"/>
                <w:sz w:val="21"/>
              </w:rPr>
            </w:pPr>
          </w:p>
          <w:p w14:paraId="6ECC154A">
            <w:pPr>
              <w:spacing w:before="65" w:line="378" w:lineRule="auto"/>
              <w:ind w:left="123" w:right="125" w:hanging="1"/>
              <w:jc w:val="both"/>
              <w:rPr>
                <w:rFonts w:ascii="宋体" w:hAnsi="宋体" w:eastAsia="宋体" w:cs="宋体"/>
                <w:sz w:val="20"/>
                <w:szCs w:val="20"/>
              </w:rPr>
            </w:pPr>
            <w:r>
              <w:rPr>
                <w:rFonts w:ascii="宋体" w:hAnsi="宋体" w:eastAsia="宋体" w:cs="宋体"/>
                <w:spacing w:val="5"/>
                <w:sz w:val="20"/>
                <w:szCs w:val="20"/>
              </w:rPr>
              <w:t>施工</w:t>
            </w:r>
            <w:r>
              <w:rPr>
                <w:rFonts w:ascii="宋体" w:hAnsi="宋体" w:eastAsia="宋体" w:cs="宋体"/>
                <w:spacing w:val="4"/>
                <w:sz w:val="20"/>
                <w:szCs w:val="20"/>
              </w:rPr>
              <w:t>期环境保护措</w:t>
            </w:r>
            <w:r>
              <w:rPr>
                <w:rFonts w:ascii="宋体" w:hAnsi="宋体" w:eastAsia="宋体" w:cs="宋体"/>
                <w:spacing w:val="29"/>
                <w:w w:val="137"/>
                <w:sz w:val="20"/>
                <w:szCs w:val="20"/>
              </w:rPr>
              <w:t>施</w:t>
            </w:r>
          </w:p>
        </w:tc>
        <w:tc>
          <w:tcPr>
            <w:tcW w:w="8316" w:type="dxa"/>
            <w:tcBorders>
              <w:left w:val="single" w:color="000000" w:sz="2" w:space="0"/>
            </w:tcBorders>
            <w:vAlign w:val="top"/>
          </w:tcPr>
          <w:p w14:paraId="225A32EC">
            <w:pPr>
              <w:spacing w:before="39" w:line="359" w:lineRule="auto"/>
              <w:ind w:left="110" w:right="101" w:firstLine="479"/>
              <w:jc w:val="both"/>
              <w:rPr>
                <w:rFonts w:ascii="宋体" w:hAnsi="宋体" w:eastAsia="宋体" w:cs="宋体"/>
                <w:sz w:val="24"/>
                <w:szCs w:val="24"/>
              </w:rPr>
            </w:pPr>
            <w:r>
              <w:rPr>
                <w:rFonts w:ascii="宋体" w:hAnsi="宋体" w:eastAsia="宋体" w:cs="宋体"/>
                <w:spacing w:val="-2"/>
                <w:sz w:val="24"/>
                <w:szCs w:val="24"/>
              </w:rPr>
              <w:t>本项目位于昆明市寻甸工业园区金所片区，在已建厂房内进行生产</w:t>
            </w:r>
            <w:r>
              <w:rPr>
                <w:rFonts w:ascii="宋体" w:hAnsi="宋体" w:eastAsia="宋体" w:cs="宋体"/>
                <w:spacing w:val="-3"/>
                <w:sz w:val="24"/>
                <w:szCs w:val="24"/>
              </w:rPr>
              <w:t>，现项</w:t>
            </w:r>
            <w:r>
              <w:rPr>
                <w:rFonts w:ascii="宋体" w:hAnsi="宋体" w:eastAsia="宋体" w:cs="宋体"/>
                <w:spacing w:val="-2"/>
                <w:sz w:val="24"/>
                <w:szCs w:val="24"/>
              </w:rPr>
              <w:t>目注塑设备及冷却塔已安装完成。项目后续施工工程量较小，周期较短，施工人员不在场地内食宿。施工期产生的污染物主要是施工扬尘、施工人员生活废</w:t>
            </w:r>
            <w:r>
              <w:rPr>
                <w:rFonts w:ascii="宋体" w:hAnsi="宋体" w:eastAsia="宋体" w:cs="宋体"/>
                <w:spacing w:val="-1"/>
                <w:sz w:val="24"/>
                <w:szCs w:val="24"/>
              </w:rPr>
              <w:t>水、施工噪声及废弃包装材料、生活垃圾等。</w:t>
            </w:r>
          </w:p>
          <w:p w14:paraId="15642689">
            <w:pPr>
              <w:spacing w:line="220" w:lineRule="auto"/>
              <w:ind w:left="595"/>
              <w:rPr>
                <w:rFonts w:ascii="宋体" w:hAnsi="宋体" w:eastAsia="宋体" w:cs="宋体"/>
                <w:sz w:val="24"/>
                <w:szCs w:val="24"/>
              </w:rPr>
            </w:pPr>
            <w:r>
              <w:rPr>
                <w:rFonts w:ascii="Times New Roman" w:hAnsi="Times New Roman" w:eastAsia="Times New Roman" w:cs="Times New Roman"/>
                <w:b/>
                <w:bCs/>
                <w:spacing w:val="-7"/>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b/>
                <w:bCs/>
                <w:spacing w:val="-7"/>
                <w:sz w:val="24"/>
                <w:szCs w:val="24"/>
              </w:rPr>
              <w:t>、大气防治措施</w:t>
            </w:r>
          </w:p>
          <w:p w14:paraId="55EDD125">
            <w:pPr>
              <w:spacing w:before="183" w:line="359" w:lineRule="auto"/>
              <w:ind w:left="108" w:right="101" w:firstLine="484"/>
              <w:jc w:val="both"/>
              <w:rPr>
                <w:rFonts w:ascii="宋体" w:hAnsi="宋体" w:eastAsia="宋体" w:cs="宋体"/>
                <w:sz w:val="24"/>
                <w:szCs w:val="24"/>
              </w:rPr>
            </w:pPr>
            <w:r>
              <w:rPr>
                <w:rFonts w:ascii="宋体" w:hAnsi="宋体" w:eastAsia="宋体" w:cs="宋体"/>
                <w:spacing w:val="-2"/>
                <w:sz w:val="24"/>
                <w:szCs w:val="24"/>
              </w:rPr>
              <w:t>项目施工期产生的大气污染物主要是设备安装焊接等产生粉</w:t>
            </w:r>
            <w:r>
              <w:rPr>
                <w:rFonts w:ascii="宋体" w:hAnsi="宋体" w:eastAsia="宋体" w:cs="宋体"/>
                <w:spacing w:val="-3"/>
                <w:sz w:val="24"/>
                <w:szCs w:val="24"/>
              </w:rPr>
              <w:t>尘。由于项目施工期约</w:t>
            </w:r>
            <w:r>
              <w:rPr>
                <w:rFonts w:ascii="宋体" w:hAnsi="宋体" w:eastAsia="宋体" w:cs="宋体"/>
                <w:spacing w:val="-20"/>
                <w:sz w:val="24"/>
                <w:szCs w:val="24"/>
              </w:rPr>
              <w:t xml:space="preserve"> </w:t>
            </w:r>
            <w:r>
              <w:rPr>
                <w:rFonts w:ascii="Times New Roman" w:hAnsi="Times New Roman" w:eastAsia="Times New Roman" w:cs="Times New Roman"/>
                <w:spacing w:val="-3"/>
                <w:sz w:val="24"/>
                <w:szCs w:val="24"/>
              </w:rPr>
              <w:t xml:space="preserve">1 </w:t>
            </w:r>
            <w:r>
              <w:rPr>
                <w:rFonts w:ascii="宋体" w:hAnsi="宋体" w:eastAsia="宋体" w:cs="宋体"/>
                <w:spacing w:val="-3"/>
                <w:sz w:val="24"/>
                <w:szCs w:val="24"/>
              </w:rPr>
              <w:t>个月，均在室内进行施工，施工产生的粉尘在室内自由沉降之后通</w:t>
            </w:r>
            <w:r>
              <w:rPr>
                <w:rFonts w:ascii="宋体" w:hAnsi="宋体" w:eastAsia="宋体" w:cs="宋体"/>
                <w:sz w:val="24"/>
                <w:szCs w:val="24"/>
              </w:rPr>
              <w:t>过及时清扫收集。因此项目施工期粉尘对周围大</w:t>
            </w:r>
            <w:r>
              <w:rPr>
                <w:rFonts w:ascii="宋体" w:hAnsi="宋体" w:eastAsia="宋体" w:cs="宋体"/>
                <w:spacing w:val="-1"/>
                <w:sz w:val="24"/>
                <w:szCs w:val="24"/>
              </w:rPr>
              <w:t>气环境造成影响较小。</w:t>
            </w:r>
          </w:p>
          <w:p w14:paraId="14664F47">
            <w:pPr>
              <w:spacing w:before="1" w:line="185" w:lineRule="auto"/>
              <w:ind w:left="588"/>
              <w:rPr>
                <w:rFonts w:ascii="宋体" w:hAnsi="宋体" w:eastAsia="宋体" w:cs="宋体"/>
                <w:sz w:val="24"/>
                <w:szCs w:val="24"/>
              </w:rPr>
            </w:pPr>
            <w:r>
              <w:rPr>
                <w:rFonts w:ascii="宋体" w:hAnsi="宋体" w:eastAsia="宋体" w:cs="宋体"/>
                <w:sz w:val="24"/>
                <w:szCs w:val="24"/>
              </w:rPr>
              <w:t>①加强室内通风以使施工机械</w:t>
            </w:r>
            <w:r>
              <w:rPr>
                <w:rFonts w:ascii="微软雅黑" w:hAnsi="微软雅黑" w:eastAsia="微软雅黑" w:cs="微软雅黑"/>
                <w:sz w:val="24"/>
                <w:szCs w:val="24"/>
              </w:rPr>
              <w:t>废气</w:t>
            </w:r>
            <w:r>
              <w:rPr>
                <w:rFonts w:ascii="宋体" w:hAnsi="宋体" w:eastAsia="宋体" w:cs="宋体"/>
                <w:sz w:val="24"/>
                <w:szCs w:val="24"/>
              </w:rPr>
              <w:t>快速扩散，</w:t>
            </w:r>
            <w:r>
              <w:rPr>
                <w:rFonts w:ascii="宋体" w:hAnsi="宋体" w:eastAsia="宋体" w:cs="宋体"/>
                <w:spacing w:val="-1"/>
                <w:sz w:val="24"/>
                <w:szCs w:val="24"/>
              </w:rPr>
              <w:t>并采取洒水降尘措施。</w:t>
            </w:r>
          </w:p>
          <w:p w14:paraId="7486CC89">
            <w:pPr>
              <w:spacing w:before="146" w:line="325" w:lineRule="auto"/>
              <w:ind w:left="108" w:right="101" w:firstLine="479"/>
              <w:rPr>
                <w:rFonts w:ascii="宋体" w:hAnsi="宋体" w:eastAsia="宋体" w:cs="宋体"/>
                <w:sz w:val="24"/>
                <w:szCs w:val="24"/>
              </w:rPr>
            </w:pPr>
            <w:r>
              <w:rPr>
                <w:rFonts w:ascii="宋体" w:hAnsi="宋体" w:eastAsia="宋体" w:cs="宋体"/>
                <w:spacing w:val="-2"/>
                <w:sz w:val="24"/>
                <w:szCs w:val="24"/>
              </w:rPr>
              <w:t>②运输车辆要确保尾</w:t>
            </w:r>
            <w:r>
              <w:rPr>
                <w:rFonts w:ascii="微软雅黑" w:hAnsi="微软雅黑" w:eastAsia="微软雅黑" w:cs="微软雅黑"/>
                <w:spacing w:val="-2"/>
                <w:sz w:val="24"/>
                <w:szCs w:val="24"/>
              </w:rPr>
              <w:t>气</w:t>
            </w:r>
            <w:r>
              <w:rPr>
                <w:rFonts w:ascii="宋体" w:hAnsi="宋体" w:eastAsia="宋体" w:cs="宋体"/>
                <w:spacing w:val="-2"/>
                <w:sz w:val="24"/>
                <w:szCs w:val="24"/>
              </w:rPr>
              <w:t>达标排放，进入施工场地要限速行驶，谨防运输车辆装载过满，并采取遮盖、密闭措施，防止或减少其沿途抛洒，并及时清扫散</w:t>
            </w:r>
            <w:r>
              <w:rPr>
                <w:rFonts w:ascii="宋体" w:hAnsi="宋体" w:eastAsia="宋体" w:cs="宋体"/>
                <w:sz w:val="24"/>
                <w:szCs w:val="24"/>
              </w:rPr>
              <w:t>落在路面的泥土和灰尘，定期对道路洒水降尘，减</w:t>
            </w:r>
            <w:r>
              <w:rPr>
                <w:rFonts w:ascii="宋体" w:hAnsi="宋体" w:eastAsia="宋体" w:cs="宋体"/>
                <w:spacing w:val="-1"/>
                <w:sz w:val="24"/>
                <w:szCs w:val="24"/>
              </w:rPr>
              <w:t>少运输过程中的扬尘。</w:t>
            </w:r>
          </w:p>
          <w:p w14:paraId="067E7BF6">
            <w:pPr>
              <w:spacing w:before="1" w:line="185" w:lineRule="auto"/>
              <w:ind w:left="587"/>
              <w:rPr>
                <w:rFonts w:ascii="宋体" w:hAnsi="宋体" w:eastAsia="宋体" w:cs="宋体"/>
                <w:sz w:val="24"/>
                <w:szCs w:val="24"/>
              </w:rPr>
            </w:pPr>
            <w:r>
              <w:rPr>
                <w:rFonts w:ascii="宋体" w:hAnsi="宋体" w:eastAsia="宋体" w:cs="宋体"/>
                <w:spacing w:val="-1"/>
                <w:sz w:val="24"/>
                <w:szCs w:val="24"/>
              </w:rPr>
              <w:t>③</w:t>
            </w:r>
            <w:r>
              <w:rPr>
                <w:rFonts w:ascii="微软雅黑" w:hAnsi="微软雅黑" w:eastAsia="微软雅黑" w:cs="微软雅黑"/>
                <w:spacing w:val="-1"/>
                <w:sz w:val="24"/>
                <w:szCs w:val="24"/>
              </w:rPr>
              <w:t>物</w:t>
            </w:r>
            <w:r>
              <w:rPr>
                <w:rFonts w:ascii="宋体" w:hAnsi="宋体" w:eastAsia="宋体" w:cs="宋体"/>
                <w:spacing w:val="-1"/>
                <w:sz w:val="24"/>
                <w:szCs w:val="24"/>
              </w:rPr>
              <w:t>料不露天堆放，采取密闭储存措施。</w:t>
            </w:r>
          </w:p>
          <w:p w14:paraId="4A41876C">
            <w:pPr>
              <w:spacing w:before="147" w:line="217" w:lineRule="auto"/>
              <w:ind w:left="587"/>
              <w:rPr>
                <w:rFonts w:ascii="宋体" w:hAnsi="宋体" w:eastAsia="宋体" w:cs="宋体"/>
                <w:sz w:val="24"/>
                <w:szCs w:val="24"/>
              </w:rPr>
            </w:pPr>
            <w:r>
              <w:rPr>
                <w:rFonts w:ascii="宋体" w:hAnsi="宋体" w:eastAsia="宋体" w:cs="宋体"/>
                <w:spacing w:val="-1"/>
                <w:sz w:val="24"/>
                <w:szCs w:val="24"/>
              </w:rPr>
              <w:t>④加强运输车辆及施工机械维修保养。</w:t>
            </w:r>
          </w:p>
          <w:p w14:paraId="552066AB">
            <w:pPr>
              <w:spacing w:before="184" w:line="359" w:lineRule="auto"/>
              <w:ind w:left="108" w:right="86" w:firstLine="479"/>
              <w:jc w:val="both"/>
              <w:rPr>
                <w:rFonts w:ascii="宋体" w:hAnsi="宋体" w:eastAsia="宋体" w:cs="宋体"/>
                <w:sz w:val="24"/>
                <w:szCs w:val="24"/>
              </w:rPr>
            </w:pPr>
            <w:r>
              <w:rPr>
                <w:rFonts w:ascii="宋体" w:hAnsi="宋体" w:eastAsia="宋体" w:cs="宋体"/>
                <w:spacing w:val="-2"/>
                <w:sz w:val="24"/>
                <w:szCs w:val="24"/>
              </w:rPr>
              <w:t>在采取上述措施治理后，扬尘可以得到有效控制，对周边环境影响较小。</w:t>
            </w:r>
            <w:r>
              <w:rPr>
                <w:rFonts w:ascii="宋体" w:hAnsi="宋体" w:eastAsia="宋体" w:cs="宋体"/>
                <w:spacing w:val="-4"/>
                <w:sz w:val="24"/>
                <w:szCs w:val="24"/>
              </w:rPr>
              <w:t>确保施工扬尘排放符合《大气污染物综合排放标准》（</w:t>
            </w:r>
            <w:r>
              <w:rPr>
                <w:rFonts w:ascii="Times New Roman" w:hAnsi="Times New Roman" w:eastAsia="Times New Roman" w:cs="Times New Roman"/>
                <w:spacing w:val="-4"/>
                <w:sz w:val="24"/>
                <w:szCs w:val="24"/>
              </w:rPr>
              <w:t>GB</w:t>
            </w:r>
            <w:r>
              <w:rPr>
                <w:rFonts w:ascii="Times New Roman" w:hAnsi="Times New Roman" w:eastAsia="Times New Roman" w:cs="Times New Roman"/>
                <w:spacing w:val="-5"/>
                <w:sz w:val="24"/>
                <w:szCs w:val="24"/>
              </w:rPr>
              <w:t>16297- 1996</w:t>
            </w:r>
            <w:r>
              <w:rPr>
                <w:rFonts w:ascii="宋体" w:hAnsi="宋体" w:eastAsia="宋体" w:cs="宋体"/>
                <w:spacing w:val="-5"/>
                <w:sz w:val="24"/>
                <w:szCs w:val="24"/>
              </w:rPr>
              <w:t>）中的无组织排放监控浓度限值标准，即：颗粒物周界外浓度最高点</w:t>
            </w:r>
            <w:r>
              <w:rPr>
                <w:rFonts w:ascii="Times New Roman" w:hAnsi="Times New Roman" w:eastAsia="Times New Roman" w:cs="Times New Roman"/>
                <w:spacing w:val="-5"/>
                <w:sz w:val="24"/>
                <w:szCs w:val="24"/>
              </w:rPr>
              <w:t>≤1.0mg/m</w:t>
            </w:r>
            <w:r>
              <w:rPr>
                <w:rFonts w:ascii="Times New Roman" w:hAnsi="Times New Roman" w:eastAsia="Times New Roman" w:cs="Times New Roman"/>
                <w:spacing w:val="-5"/>
                <w:position w:val="8"/>
                <w:sz w:val="15"/>
                <w:szCs w:val="15"/>
              </w:rPr>
              <w:t>3</w:t>
            </w:r>
            <w:r>
              <w:rPr>
                <w:rFonts w:ascii="Times New Roman" w:hAnsi="Times New Roman" w:eastAsia="Times New Roman" w:cs="Times New Roman"/>
                <w:spacing w:val="-10"/>
                <w:position w:val="8"/>
                <w:sz w:val="15"/>
                <w:szCs w:val="15"/>
              </w:rPr>
              <w:t xml:space="preserve"> </w:t>
            </w:r>
            <w:r>
              <w:rPr>
                <w:rFonts w:ascii="宋体" w:hAnsi="宋体" w:eastAsia="宋体" w:cs="宋体"/>
                <w:spacing w:val="-5"/>
                <w:sz w:val="24"/>
                <w:szCs w:val="24"/>
              </w:rPr>
              <w:t>，项目施</w:t>
            </w:r>
            <w:r>
              <w:rPr>
                <w:rFonts w:ascii="宋体" w:hAnsi="宋体" w:eastAsia="宋体" w:cs="宋体"/>
                <w:spacing w:val="5"/>
                <w:sz w:val="24"/>
                <w:szCs w:val="24"/>
              </w:rPr>
              <w:t>工期较短，随着施工期的结束，其影响也将随之消失。综上，项目产生的扬</w:t>
            </w:r>
            <w:r>
              <w:rPr>
                <w:rFonts w:ascii="宋体" w:hAnsi="宋体" w:eastAsia="宋体" w:cs="宋体"/>
                <w:spacing w:val="-3"/>
                <w:sz w:val="24"/>
                <w:szCs w:val="24"/>
              </w:rPr>
              <w:t>尘对周围环境影响较小。</w:t>
            </w:r>
          </w:p>
          <w:p w14:paraId="7DFC1E57">
            <w:pPr>
              <w:spacing w:line="219" w:lineRule="auto"/>
              <w:ind w:left="585"/>
              <w:rPr>
                <w:rFonts w:ascii="宋体" w:hAnsi="宋体" w:eastAsia="宋体" w:cs="宋体"/>
                <w:sz w:val="24"/>
                <w:szCs w:val="24"/>
              </w:rPr>
            </w:pPr>
            <w:r>
              <w:rPr>
                <w:rFonts w:ascii="Times New Roman" w:hAnsi="Times New Roman" w:eastAsia="Times New Roman" w:cs="Times New Roman"/>
                <w:b/>
                <w:bCs/>
                <w:spacing w:val="-6"/>
                <w:sz w:val="24"/>
                <w:szCs w:val="24"/>
              </w:rPr>
              <w:t>2</w:t>
            </w:r>
            <w:r>
              <w:rPr>
                <w:rFonts w:ascii="Times New Roman" w:hAnsi="Times New Roman" w:eastAsia="Times New Roman" w:cs="Times New Roman"/>
                <w:b/>
                <w:bCs/>
                <w:spacing w:val="-32"/>
                <w:sz w:val="24"/>
                <w:szCs w:val="24"/>
              </w:rPr>
              <w:t xml:space="preserve"> </w:t>
            </w:r>
            <w:r>
              <w:rPr>
                <w:rFonts w:ascii="宋体" w:hAnsi="宋体" w:eastAsia="宋体" w:cs="宋体"/>
                <w:b/>
                <w:bCs/>
                <w:spacing w:val="-6"/>
                <w:sz w:val="24"/>
                <w:szCs w:val="24"/>
              </w:rPr>
              <w:t>、废水防治措施</w:t>
            </w:r>
          </w:p>
          <w:p w14:paraId="4FAAC12F">
            <w:pPr>
              <w:spacing w:before="184" w:line="356" w:lineRule="auto"/>
              <w:ind w:left="109" w:right="101" w:firstLine="478"/>
              <w:jc w:val="both"/>
              <w:rPr>
                <w:rFonts w:ascii="宋体" w:hAnsi="宋体" w:eastAsia="宋体" w:cs="宋体"/>
                <w:sz w:val="24"/>
                <w:szCs w:val="24"/>
              </w:rPr>
            </w:pPr>
            <w:r>
              <w:rPr>
                <w:rFonts w:ascii="宋体" w:hAnsi="宋体" w:eastAsia="宋体" w:cs="宋体"/>
                <w:spacing w:val="-2"/>
                <w:sz w:val="24"/>
                <w:szCs w:val="24"/>
              </w:rPr>
              <w:t>施工期间产生的废水主要为施工人员生活污水，不产生施工废水，施工人</w:t>
            </w:r>
            <w:r>
              <w:rPr>
                <w:rFonts w:ascii="宋体" w:hAnsi="宋体" w:eastAsia="宋体" w:cs="宋体"/>
                <w:spacing w:val="1"/>
                <w:sz w:val="24"/>
                <w:szCs w:val="24"/>
              </w:rPr>
              <w:t>员为</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名，施工生活污水经自建化粪池</w:t>
            </w:r>
            <w:r>
              <w:rPr>
                <w:rFonts w:ascii="Times New Roman" w:hAnsi="Times New Roman" w:eastAsia="Times New Roman" w:cs="Times New Roman"/>
                <w:spacing w:val="1"/>
                <w:sz w:val="24"/>
                <w:szCs w:val="24"/>
              </w:rPr>
              <w:t>+</w:t>
            </w:r>
            <w:r>
              <w:rPr>
                <w:rFonts w:ascii="宋体" w:hAnsi="宋体" w:eastAsia="宋体" w:cs="宋体"/>
                <w:spacing w:val="1"/>
                <w:sz w:val="24"/>
                <w:szCs w:val="24"/>
              </w:rPr>
              <w:t>一体化污水处理设施处理</w:t>
            </w:r>
            <w:r>
              <w:rPr>
                <w:rFonts w:ascii="宋体" w:hAnsi="宋体" w:eastAsia="宋体" w:cs="宋体"/>
                <w:sz w:val="24"/>
                <w:szCs w:val="24"/>
              </w:rPr>
              <w:t>后回用于厂</w:t>
            </w:r>
            <w:r>
              <w:rPr>
                <w:rFonts w:ascii="宋体" w:hAnsi="宋体" w:eastAsia="宋体" w:cs="宋体"/>
                <w:spacing w:val="-6"/>
                <w:sz w:val="24"/>
                <w:szCs w:val="24"/>
              </w:rPr>
              <w:t>区绿化及洒水降尘。施工期为</w:t>
            </w:r>
            <w:r>
              <w:rPr>
                <w:rFonts w:ascii="宋体" w:hAnsi="宋体" w:eastAsia="宋体" w:cs="宋体"/>
                <w:spacing w:val="-22"/>
                <w:sz w:val="24"/>
                <w:szCs w:val="24"/>
              </w:rPr>
              <w:t xml:space="preserve"> </w:t>
            </w:r>
            <w:r>
              <w:rPr>
                <w:rFonts w:ascii="Times New Roman" w:hAnsi="Times New Roman" w:eastAsia="Times New Roman" w:cs="Times New Roman"/>
                <w:spacing w:val="-6"/>
                <w:sz w:val="24"/>
                <w:szCs w:val="24"/>
              </w:rPr>
              <w:t xml:space="preserve">1 </w:t>
            </w:r>
            <w:r>
              <w:rPr>
                <w:rFonts w:ascii="宋体" w:hAnsi="宋体" w:eastAsia="宋体" w:cs="宋体"/>
                <w:spacing w:val="-6"/>
                <w:sz w:val="24"/>
                <w:szCs w:val="24"/>
              </w:rPr>
              <w:t>个月，施工人员生活产生量为</w:t>
            </w:r>
            <w:r>
              <w:rPr>
                <w:rFonts w:ascii="宋体" w:hAnsi="宋体" w:eastAsia="宋体" w:cs="宋体"/>
                <w:spacing w:val="-52"/>
                <w:sz w:val="24"/>
                <w:szCs w:val="24"/>
              </w:rPr>
              <w:t xml:space="preserve"> </w:t>
            </w:r>
            <w:r>
              <w:rPr>
                <w:rFonts w:ascii="Times New Roman" w:hAnsi="Times New Roman" w:eastAsia="Times New Roman" w:cs="Times New Roman"/>
                <w:spacing w:val="-6"/>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6"/>
                <w:sz w:val="24"/>
                <w:szCs w:val="24"/>
              </w:rPr>
              <w:t>12m</w:t>
            </w:r>
            <w:r>
              <w:rPr>
                <w:rFonts w:ascii="Times New Roman" w:hAnsi="Times New Roman" w:eastAsia="Times New Roman" w:cs="Times New Roman"/>
                <w:spacing w:val="-6"/>
                <w:position w:val="8"/>
                <w:sz w:val="15"/>
                <w:szCs w:val="15"/>
              </w:rPr>
              <w:t>3</w:t>
            </w:r>
            <w:r>
              <w:rPr>
                <w:rFonts w:ascii="Times New Roman" w:hAnsi="Times New Roman" w:eastAsia="Times New Roman" w:cs="Times New Roman"/>
                <w:spacing w:val="-6"/>
                <w:sz w:val="24"/>
                <w:szCs w:val="24"/>
              </w:rPr>
              <w:t>/d</w:t>
            </w:r>
            <w:r>
              <w:rPr>
                <w:rFonts w:ascii="宋体" w:hAnsi="宋体" w:eastAsia="宋体" w:cs="宋体"/>
                <w:spacing w:val="-6"/>
                <w:sz w:val="24"/>
                <w:szCs w:val="24"/>
              </w:rPr>
              <w:t>，</w:t>
            </w:r>
            <w:r>
              <w:rPr>
                <w:rFonts w:ascii="Times New Roman" w:hAnsi="Times New Roman" w:eastAsia="Times New Roman" w:cs="Times New Roman"/>
                <w:spacing w:val="-6"/>
                <w:sz w:val="24"/>
                <w:szCs w:val="24"/>
              </w:rPr>
              <w:t>3.6m</w:t>
            </w:r>
            <w:r>
              <w:rPr>
                <w:rFonts w:ascii="Times New Roman" w:hAnsi="Times New Roman" w:eastAsia="Times New Roman" w:cs="Times New Roman"/>
                <w:spacing w:val="-6"/>
                <w:position w:val="8"/>
                <w:sz w:val="15"/>
                <w:szCs w:val="15"/>
              </w:rPr>
              <w:t>3</w:t>
            </w:r>
            <w:r>
              <w:rPr>
                <w:rFonts w:ascii="Times New Roman" w:hAnsi="Times New Roman" w:eastAsia="Times New Roman" w:cs="Times New Roman"/>
                <w:spacing w:val="-6"/>
                <w:sz w:val="24"/>
                <w:szCs w:val="24"/>
              </w:rPr>
              <w:t>/</w:t>
            </w:r>
            <w:r>
              <w:rPr>
                <w:rFonts w:ascii="宋体" w:hAnsi="宋体" w:eastAsia="宋体" w:cs="宋体"/>
                <w:spacing w:val="-2"/>
                <w:sz w:val="24"/>
                <w:szCs w:val="24"/>
              </w:rPr>
              <w:t>月（根据《云南省地方标准用水定额》（</w:t>
            </w:r>
            <w:r>
              <w:rPr>
                <w:rFonts w:ascii="Times New Roman" w:hAnsi="Times New Roman" w:eastAsia="Times New Roman" w:cs="Times New Roman"/>
                <w:spacing w:val="-2"/>
                <w:sz w:val="24"/>
                <w:szCs w:val="24"/>
              </w:rPr>
              <w:t>DB53/T168</w:t>
            </w:r>
            <w:r>
              <w:rPr>
                <w:rFonts w:ascii="Times New Roman" w:hAnsi="Times New Roman" w:eastAsia="Times New Roman" w:cs="Times New Roman"/>
                <w:spacing w:val="-3"/>
                <w:sz w:val="24"/>
                <w:szCs w:val="24"/>
              </w:rPr>
              <w:t>-2026</w:t>
            </w:r>
            <w:r>
              <w:rPr>
                <w:rFonts w:ascii="宋体" w:hAnsi="宋体" w:eastAsia="宋体" w:cs="宋体"/>
                <w:spacing w:val="-3"/>
                <w:sz w:val="24"/>
                <w:szCs w:val="24"/>
              </w:rPr>
              <w:t>）城镇居民用水量按</w:t>
            </w:r>
            <w:r>
              <w:rPr>
                <w:rFonts w:ascii="Times New Roman" w:hAnsi="Times New Roman" w:eastAsia="Times New Roman" w:cs="Times New Roman"/>
                <w:sz w:val="24"/>
                <w:szCs w:val="24"/>
              </w:rPr>
              <w:t>60L/</w:t>
            </w:r>
            <w:r>
              <w:rPr>
                <w:rFonts w:ascii="宋体" w:hAnsi="宋体" w:eastAsia="宋体" w:cs="宋体"/>
                <w:sz w:val="24"/>
                <w:szCs w:val="24"/>
              </w:rPr>
              <w:t xml:space="preserve">人 </w:t>
            </w:r>
            <w:r>
              <w:rPr>
                <w:rFonts w:ascii="Times New Roman" w:hAnsi="Times New Roman" w:eastAsia="Times New Roman" w:cs="Times New Roman"/>
                <w:sz w:val="24"/>
                <w:szCs w:val="24"/>
              </w:rPr>
              <w:t xml:space="preserve">d </w:t>
            </w:r>
            <w:r>
              <w:rPr>
                <w:rFonts w:ascii="宋体" w:hAnsi="宋体" w:eastAsia="宋体" w:cs="宋体"/>
                <w:sz w:val="24"/>
                <w:szCs w:val="24"/>
              </w:rPr>
              <w:t>计</w:t>
            </w:r>
            <w:r>
              <w:rPr>
                <w:rFonts w:ascii="宋体" w:hAnsi="宋体" w:eastAsia="宋体" w:cs="宋体"/>
                <w:spacing w:val="11"/>
                <w:sz w:val="24"/>
                <w:szCs w:val="24"/>
              </w:rPr>
              <w:t>），</w:t>
            </w:r>
            <w:r>
              <w:rPr>
                <w:rFonts w:ascii="宋体" w:hAnsi="宋体" w:eastAsia="宋体" w:cs="宋体"/>
                <w:sz w:val="24"/>
                <w:szCs w:val="24"/>
              </w:rPr>
              <w:t>厂区现有生活污水产生量</w:t>
            </w:r>
            <w:r>
              <w:rPr>
                <w:rFonts w:ascii="宋体" w:hAnsi="宋体" w:eastAsia="宋体" w:cs="宋体"/>
                <w:spacing w:val="-1"/>
                <w:sz w:val="24"/>
                <w:szCs w:val="24"/>
              </w:rPr>
              <w:t>为</w:t>
            </w:r>
            <w:r>
              <w:rPr>
                <w:rFonts w:ascii="宋体" w:hAnsi="宋体" w:eastAsia="宋体" w:cs="宋体"/>
                <w:spacing w:val="-45"/>
                <w:sz w:val="24"/>
                <w:szCs w:val="24"/>
              </w:rPr>
              <w:t xml:space="preserve"> </w:t>
            </w:r>
            <w:r>
              <w:rPr>
                <w:rFonts w:ascii="Times New Roman" w:hAnsi="Times New Roman" w:eastAsia="Times New Roman" w:cs="Times New Roman"/>
                <w:spacing w:val="-1"/>
                <w:sz w:val="24"/>
                <w:szCs w:val="24"/>
              </w:rPr>
              <w:t>3.024m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4"/>
                <w:szCs w:val="24"/>
              </w:rPr>
              <w:t>/d</w:t>
            </w:r>
            <w:r>
              <w:rPr>
                <w:rFonts w:ascii="Times New Roman" w:hAnsi="Times New Roman" w:eastAsia="Times New Roman" w:cs="Times New Roman"/>
                <w:spacing w:val="-29"/>
                <w:sz w:val="24"/>
                <w:szCs w:val="24"/>
              </w:rPr>
              <w:t xml:space="preserve"> </w:t>
            </w:r>
            <w:r>
              <w:rPr>
                <w:rFonts w:ascii="宋体" w:hAnsi="宋体" w:eastAsia="宋体" w:cs="宋体"/>
                <w:spacing w:val="-1"/>
                <w:sz w:val="24"/>
                <w:szCs w:val="24"/>
              </w:rPr>
              <w:t>，化粪池容积为</w:t>
            </w:r>
            <w:r>
              <w:rPr>
                <w:rFonts w:ascii="宋体" w:hAnsi="宋体" w:eastAsia="宋体" w:cs="宋体"/>
                <w:spacing w:val="-54"/>
                <w:sz w:val="24"/>
                <w:szCs w:val="24"/>
              </w:rPr>
              <w:t xml:space="preserve"> </w:t>
            </w:r>
            <w:r>
              <w:rPr>
                <w:rFonts w:ascii="Times New Roman" w:hAnsi="Times New Roman" w:eastAsia="Times New Roman" w:cs="Times New Roman"/>
                <w:spacing w:val="-1"/>
                <w:sz w:val="24"/>
                <w:szCs w:val="24"/>
              </w:rPr>
              <w:t>4m</w:t>
            </w:r>
            <w:r>
              <w:rPr>
                <w:rFonts w:ascii="Times New Roman" w:hAnsi="Times New Roman" w:eastAsia="Times New Roman" w:cs="Times New Roman"/>
                <w:spacing w:val="-1"/>
                <w:position w:val="8"/>
                <w:sz w:val="15"/>
                <w:szCs w:val="15"/>
              </w:rPr>
              <w:t xml:space="preserve">3 </w:t>
            </w:r>
            <w:r>
              <w:rPr>
                <w:rFonts w:ascii="宋体" w:hAnsi="宋体" w:eastAsia="宋体" w:cs="宋体"/>
                <w:spacing w:val="-1"/>
                <w:sz w:val="24"/>
                <w:szCs w:val="24"/>
              </w:rPr>
              <w:t>，</w:t>
            </w:r>
            <w:r>
              <w:rPr>
                <w:rFonts w:ascii="宋体" w:hAnsi="宋体" w:eastAsia="宋体" w:cs="宋体"/>
                <w:spacing w:val="-3"/>
                <w:sz w:val="24"/>
                <w:szCs w:val="24"/>
              </w:rPr>
              <w:t>一体化污水处理站处理规模为</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10m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3"/>
                <w:sz w:val="24"/>
                <w:szCs w:val="24"/>
              </w:rPr>
              <w:t>/d</w:t>
            </w:r>
            <w:r>
              <w:rPr>
                <w:rFonts w:ascii="宋体" w:hAnsi="宋体" w:eastAsia="宋体" w:cs="宋体"/>
                <w:spacing w:val="-3"/>
                <w:sz w:val="24"/>
                <w:szCs w:val="24"/>
              </w:rPr>
              <w:t>，施工期施工</w:t>
            </w:r>
            <w:r>
              <w:rPr>
                <w:rFonts w:ascii="宋体" w:hAnsi="宋体" w:eastAsia="宋体" w:cs="宋体"/>
                <w:spacing w:val="-4"/>
                <w:sz w:val="24"/>
                <w:szCs w:val="24"/>
              </w:rPr>
              <w:t>人员污水产生量较少，厂区</w:t>
            </w:r>
          </w:p>
        </w:tc>
      </w:tr>
    </w:tbl>
    <w:p w14:paraId="7ABDB303">
      <w:pPr>
        <w:pStyle w:val="2"/>
      </w:pPr>
    </w:p>
    <w:p w14:paraId="7DFED812">
      <w:pPr>
        <w:sectPr>
          <w:footerReference r:id="rId86" w:type="default"/>
          <w:pgSz w:w="11907" w:h="16840"/>
          <w:pgMar w:top="400" w:right="1453" w:bottom="1103" w:left="1453" w:header="0" w:footer="887" w:gutter="0"/>
          <w:cols w:space="720" w:num="1"/>
        </w:sectPr>
      </w:pPr>
    </w:p>
    <w:p w14:paraId="3715D13A">
      <w:pPr>
        <w:spacing w:before="19"/>
      </w:pPr>
    </w:p>
    <w:p w14:paraId="7027B038">
      <w:pPr>
        <w:spacing w:before="19"/>
      </w:pPr>
    </w:p>
    <w:p w14:paraId="40C7CCB7">
      <w:pPr>
        <w:spacing w:before="19"/>
      </w:pPr>
    </w:p>
    <w:p w14:paraId="40A1A042">
      <w:pPr>
        <w:spacing w:before="18"/>
      </w:pPr>
    </w:p>
    <w:p w14:paraId="00C0AA05">
      <w:pPr>
        <w:spacing w:before="18"/>
      </w:pPr>
    </w:p>
    <w:tbl>
      <w:tblPr>
        <w:tblStyle w:val="10"/>
        <w:tblW w:w="898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69"/>
        <w:gridCol w:w="8316"/>
      </w:tblGrid>
      <w:tr w14:paraId="79F33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67" w:hRule="atLeast"/>
        </w:trPr>
        <w:tc>
          <w:tcPr>
            <w:tcW w:w="669" w:type="dxa"/>
            <w:tcBorders>
              <w:right w:val="single" w:color="000000" w:sz="2" w:space="0"/>
            </w:tcBorders>
            <w:vAlign w:val="top"/>
          </w:tcPr>
          <w:p w14:paraId="5009F6BC">
            <w:pPr>
              <w:rPr>
                <w:rFonts w:ascii="Arial"/>
                <w:sz w:val="21"/>
              </w:rPr>
            </w:pPr>
          </w:p>
        </w:tc>
        <w:tc>
          <w:tcPr>
            <w:tcW w:w="8316" w:type="dxa"/>
            <w:tcBorders>
              <w:left w:val="single" w:color="000000" w:sz="2" w:space="0"/>
            </w:tcBorders>
            <w:vAlign w:val="top"/>
          </w:tcPr>
          <w:p w14:paraId="2D47928E">
            <w:pPr>
              <w:spacing w:before="41" w:line="359" w:lineRule="auto"/>
              <w:ind w:left="108" w:right="101" w:firstLine="2"/>
              <w:jc w:val="both"/>
              <w:rPr>
                <w:rFonts w:ascii="宋体" w:hAnsi="宋体" w:eastAsia="宋体" w:cs="宋体"/>
                <w:sz w:val="24"/>
                <w:szCs w:val="24"/>
              </w:rPr>
            </w:pPr>
            <w:r>
              <w:rPr>
                <w:rFonts w:ascii="宋体" w:hAnsi="宋体" w:eastAsia="宋体" w:cs="宋体"/>
                <w:spacing w:val="-2"/>
                <w:sz w:val="24"/>
                <w:szCs w:val="24"/>
              </w:rPr>
              <w:t>现有污水处理设施足够处理施工人员生活污水，施工人员生活污水经自建化粪</w:t>
            </w:r>
            <w:r>
              <w:rPr>
                <w:rFonts w:ascii="宋体" w:hAnsi="宋体" w:eastAsia="宋体" w:cs="宋体"/>
                <w:spacing w:val="1"/>
                <w:sz w:val="24"/>
                <w:szCs w:val="24"/>
              </w:rPr>
              <w:t>池</w:t>
            </w:r>
            <w:r>
              <w:rPr>
                <w:rFonts w:ascii="Times New Roman" w:hAnsi="Times New Roman" w:eastAsia="Times New Roman" w:cs="Times New Roman"/>
                <w:spacing w:val="1"/>
                <w:sz w:val="24"/>
                <w:szCs w:val="24"/>
              </w:rPr>
              <w:t>+</w:t>
            </w:r>
            <w:r>
              <w:rPr>
                <w:rFonts w:ascii="宋体" w:hAnsi="宋体" w:eastAsia="宋体" w:cs="宋体"/>
                <w:spacing w:val="1"/>
                <w:sz w:val="24"/>
                <w:szCs w:val="24"/>
              </w:rPr>
              <w:t>一体化污水处理设施处理后回用于厂区绿化及洒水降尘是可行的，施工期</w:t>
            </w:r>
            <w:r>
              <w:rPr>
                <w:rFonts w:ascii="宋体" w:hAnsi="宋体" w:eastAsia="宋体" w:cs="宋体"/>
                <w:spacing w:val="-1"/>
                <w:sz w:val="24"/>
                <w:szCs w:val="24"/>
              </w:rPr>
              <w:t>施工生活人员污水对周边环境影响较小。</w:t>
            </w:r>
          </w:p>
          <w:p w14:paraId="3C50D11B">
            <w:pPr>
              <w:spacing w:line="220" w:lineRule="auto"/>
              <w:ind w:left="583"/>
              <w:rPr>
                <w:rFonts w:ascii="宋体" w:hAnsi="宋体" w:eastAsia="宋体" w:cs="宋体"/>
                <w:sz w:val="24"/>
                <w:szCs w:val="24"/>
              </w:rPr>
            </w:pPr>
            <w:r>
              <w:rPr>
                <w:rFonts w:ascii="Times New Roman" w:hAnsi="Times New Roman" w:eastAsia="Times New Roman" w:cs="Times New Roman"/>
                <w:b/>
                <w:bCs/>
                <w:spacing w:val="-6"/>
                <w:sz w:val="24"/>
                <w:szCs w:val="24"/>
              </w:rPr>
              <w:t>3</w:t>
            </w:r>
            <w:r>
              <w:rPr>
                <w:rFonts w:ascii="Times New Roman" w:hAnsi="Times New Roman" w:eastAsia="Times New Roman" w:cs="Times New Roman"/>
                <w:b/>
                <w:bCs/>
                <w:spacing w:val="-30"/>
                <w:sz w:val="24"/>
                <w:szCs w:val="24"/>
              </w:rPr>
              <w:t xml:space="preserve"> </w:t>
            </w:r>
            <w:r>
              <w:rPr>
                <w:rFonts w:ascii="宋体" w:hAnsi="宋体" w:eastAsia="宋体" w:cs="宋体"/>
                <w:b/>
                <w:bCs/>
                <w:spacing w:val="-6"/>
                <w:sz w:val="24"/>
                <w:szCs w:val="24"/>
              </w:rPr>
              <w:t>、噪声防治措施</w:t>
            </w:r>
          </w:p>
          <w:p w14:paraId="5ECA6684">
            <w:pPr>
              <w:spacing w:before="176" w:line="359" w:lineRule="auto"/>
              <w:ind w:left="108" w:right="101" w:firstLine="481"/>
              <w:jc w:val="both"/>
              <w:rPr>
                <w:rFonts w:ascii="宋体" w:hAnsi="宋体" w:eastAsia="宋体" w:cs="宋体"/>
                <w:sz w:val="24"/>
                <w:szCs w:val="24"/>
              </w:rPr>
            </w:pPr>
            <w:r>
              <w:rPr>
                <w:rFonts w:ascii="宋体" w:hAnsi="宋体" w:eastAsia="宋体" w:cs="宋体"/>
                <w:spacing w:val="-2"/>
                <w:sz w:val="24"/>
                <w:szCs w:val="24"/>
              </w:rPr>
              <w:t>本项目设备安装过程中，将会产生一定的噪声污染。电钻、切割机</w:t>
            </w:r>
            <w:r>
              <w:rPr>
                <w:rFonts w:ascii="宋体" w:hAnsi="宋体" w:eastAsia="宋体" w:cs="宋体"/>
                <w:spacing w:val="-3"/>
                <w:sz w:val="24"/>
                <w:szCs w:val="24"/>
              </w:rPr>
              <w:t>、电焊</w:t>
            </w:r>
            <w:r>
              <w:rPr>
                <w:rFonts w:ascii="宋体" w:hAnsi="宋体" w:eastAsia="宋体" w:cs="宋体"/>
                <w:spacing w:val="-1"/>
                <w:sz w:val="24"/>
                <w:szCs w:val="24"/>
              </w:rPr>
              <w:t>机等施工机械的噪声源强达到声级值在</w:t>
            </w:r>
            <w:r>
              <w:rPr>
                <w:rFonts w:ascii="宋体" w:hAnsi="宋体" w:eastAsia="宋体" w:cs="宋体"/>
                <w:spacing w:val="-40"/>
                <w:sz w:val="24"/>
                <w:szCs w:val="24"/>
              </w:rPr>
              <w:t xml:space="preserve"> </w:t>
            </w:r>
            <w:r>
              <w:rPr>
                <w:rFonts w:ascii="Times New Roman" w:hAnsi="Times New Roman" w:eastAsia="Times New Roman" w:cs="Times New Roman"/>
                <w:spacing w:val="-1"/>
                <w:sz w:val="24"/>
                <w:szCs w:val="24"/>
              </w:rPr>
              <w:t>85</w:t>
            </w:r>
            <w:r>
              <w:rPr>
                <w:rFonts w:ascii="宋体" w:hAnsi="宋体" w:eastAsia="宋体" w:cs="宋体"/>
                <w:spacing w:val="-1"/>
                <w:sz w:val="24"/>
                <w:szCs w:val="24"/>
              </w:rPr>
              <w:t>～</w:t>
            </w:r>
            <w:r>
              <w:rPr>
                <w:rFonts w:ascii="Times New Roman" w:hAnsi="Times New Roman" w:eastAsia="Times New Roman" w:cs="Times New Roman"/>
                <w:spacing w:val="-1"/>
                <w:sz w:val="24"/>
                <w:szCs w:val="24"/>
              </w:rPr>
              <w:t>90dB(A)</w:t>
            </w:r>
            <w:r>
              <w:rPr>
                <w:rFonts w:ascii="宋体" w:hAnsi="宋体" w:eastAsia="宋体" w:cs="宋体"/>
                <w:spacing w:val="-1"/>
                <w:sz w:val="24"/>
                <w:szCs w:val="24"/>
              </w:rPr>
              <w:t>之间，其特点是突发性和</w:t>
            </w:r>
            <w:r>
              <w:rPr>
                <w:rFonts w:ascii="宋体" w:hAnsi="宋体" w:eastAsia="宋体" w:cs="宋体"/>
                <w:spacing w:val="-2"/>
                <w:sz w:val="24"/>
                <w:szCs w:val="24"/>
              </w:rPr>
              <w:t>间歇性，随着施工期结束而结束。施工噪声主要产生于室内，通过房屋阻挡与距离衰减处理，在产噪环节大的施工作业期间，关闭门窗，利用房屋墙体进行</w:t>
            </w:r>
            <w:r>
              <w:rPr>
                <w:rFonts w:ascii="宋体" w:hAnsi="宋体" w:eastAsia="宋体" w:cs="宋体"/>
                <w:spacing w:val="-1"/>
                <w:sz w:val="24"/>
                <w:szCs w:val="24"/>
              </w:rPr>
              <w:t>隔声处理。拟建项目装修和设备安装过程中主</w:t>
            </w:r>
            <w:r>
              <w:rPr>
                <w:rFonts w:ascii="宋体" w:hAnsi="宋体" w:eastAsia="宋体" w:cs="宋体"/>
                <w:spacing w:val="-2"/>
                <w:sz w:val="24"/>
                <w:szCs w:val="24"/>
              </w:rPr>
              <w:t>要噪声设备见表</w:t>
            </w:r>
            <w:r>
              <w:rPr>
                <w:rFonts w:ascii="宋体" w:hAnsi="宋体" w:eastAsia="宋体" w:cs="宋体"/>
                <w:spacing w:val="-56"/>
                <w:sz w:val="24"/>
                <w:szCs w:val="24"/>
              </w:rPr>
              <w:t xml:space="preserve"> </w:t>
            </w:r>
            <w:r>
              <w:rPr>
                <w:rFonts w:ascii="Times New Roman" w:hAnsi="Times New Roman" w:eastAsia="Times New Roman" w:cs="Times New Roman"/>
                <w:spacing w:val="-2"/>
                <w:sz w:val="24"/>
                <w:szCs w:val="24"/>
              </w:rPr>
              <w:t>4-</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1</w:t>
            </w:r>
            <w:r>
              <w:rPr>
                <w:rFonts w:ascii="宋体" w:hAnsi="宋体" w:eastAsia="宋体" w:cs="宋体"/>
                <w:spacing w:val="-2"/>
                <w:sz w:val="24"/>
                <w:szCs w:val="24"/>
              </w:rPr>
              <w:t>。</w:t>
            </w:r>
          </w:p>
          <w:p w14:paraId="580CB67D">
            <w:pPr>
              <w:spacing w:before="1" w:line="222" w:lineRule="auto"/>
              <w:ind w:left="2418"/>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41"/>
                <w:sz w:val="20"/>
                <w:szCs w:val="20"/>
              </w:rPr>
              <w:t xml:space="preserve"> </w:t>
            </w:r>
            <w:r>
              <w:rPr>
                <w:rFonts w:ascii="Times New Roman" w:hAnsi="Times New Roman" w:eastAsia="Times New Roman" w:cs="Times New Roman"/>
                <w:b/>
                <w:bCs/>
                <w:spacing w:val="6"/>
                <w:sz w:val="20"/>
                <w:szCs w:val="20"/>
              </w:rPr>
              <w:t xml:space="preserve">4-1    </w:t>
            </w:r>
            <w:r>
              <w:rPr>
                <w:rFonts w:ascii="宋体" w:hAnsi="宋体" w:eastAsia="宋体" w:cs="宋体"/>
                <w:b/>
                <w:bCs/>
                <w:spacing w:val="6"/>
                <w:sz w:val="20"/>
                <w:szCs w:val="20"/>
              </w:rPr>
              <w:t>施工机械噪声表</w:t>
            </w:r>
            <w:r>
              <w:rPr>
                <w:rFonts w:ascii="宋体" w:hAnsi="宋体" w:eastAsia="宋体" w:cs="宋体"/>
                <w:spacing w:val="6"/>
                <w:sz w:val="20"/>
                <w:szCs w:val="20"/>
              </w:rPr>
              <w:t xml:space="preserve">  </w:t>
            </w:r>
            <w:r>
              <w:rPr>
                <w:rFonts w:ascii="宋体" w:hAnsi="宋体" w:eastAsia="宋体" w:cs="宋体"/>
                <w:b/>
                <w:bCs/>
                <w:spacing w:val="6"/>
                <w:sz w:val="20"/>
                <w:szCs w:val="20"/>
              </w:rPr>
              <w:t>单位：</w:t>
            </w:r>
            <w:r>
              <w:rPr>
                <w:rFonts w:ascii="Times New Roman" w:hAnsi="Times New Roman" w:eastAsia="Times New Roman" w:cs="Times New Roman"/>
                <w:b/>
                <w:bCs/>
                <w:sz w:val="20"/>
                <w:szCs w:val="20"/>
              </w:rPr>
              <w:t>dB</w:t>
            </w:r>
            <w:r>
              <w:rPr>
                <w:rFonts w:ascii="宋体" w:hAnsi="宋体" w:eastAsia="宋体" w:cs="宋体"/>
                <w:b/>
                <w:bCs/>
                <w:spacing w:val="6"/>
                <w:sz w:val="20"/>
                <w:szCs w:val="20"/>
              </w:rPr>
              <w:t>（</w:t>
            </w:r>
            <w:r>
              <w:rPr>
                <w:rFonts w:ascii="Times New Roman" w:hAnsi="Times New Roman" w:eastAsia="Times New Roman" w:cs="Times New Roman"/>
                <w:b/>
                <w:bCs/>
                <w:spacing w:val="6"/>
                <w:sz w:val="20"/>
                <w:szCs w:val="20"/>
              </w:rPr>
              <w:t>A</w:t>
            </w:r>
            <w:r>
              <w:rPr>
                <w:rFonts w:ascii="宋体" w:hAnsi="宋体" w:eastAsia="宋体" w:cs="宋体"/>
                <w:b/>
                <w:bCs/>
                <w:spacing w:val="6"/>
                <w:sz w:val="20"/>
                <w:szCs w:val="20"/>
              </w:rPr>
              <w:t>）</w:t>
            </w:r>
          </w:p>
          <w:tbl>
            <w:tblPr>
              <w:tblStyle w:val="10"/>
              <w:tblW w:w="8095" w:type="dxa"/>
              <w:tblInd w:w="1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51"/>
              <w:gridCol w:w="3007"/>
              <w:gridCol w:w="2237"/>
            </w:tblGrid>
            <w:tr w14:paraId="3535E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2851" w:type="dxa"/>
                  <w:vAlign w:val="top"/>
                </w:tcPr>
                <w:p w14:paraId="6DCA03B8">
                  <w:pPr>
                    <w:spacing w:before="36" w:line="227" w:lineRule="auto"/>
                    <w:ind w:left="1217"/>
                    <w:rPr>
                      <w:rFonts w:ascii="宋体" w:hAnsi="宋体" w:eastAsia="宋体" w:cs="宋体"/>
                      <w:sz w:val="20"/>
                      <w:szCs w:val="20"/>
                    </w:rPr>
                  </w:pPr>
                  <w:r>
                    <w:rPr>
                      <w:rFonts w:ascii="宋体" w:hAnsi="宋体" w:eastAsia="宋体" w:cs="宋体"/>
                      <w:b/>
                      <w:bCs/>
                      <w:spacing w:val="6"/>
                      <w:sz w:val="20"/>
                      <w:szCs w:val="20"/>
                    </w:rPr>
                    <w:t>机械类型</w:t>
                  </w:r>
                </w:p>
              </w:tc>
              <w:tc>
                <w:tcPr>
                  <w:tcW w:w="3007" w:type="dxa"/>
                  <w:vAlign w:val="top"/>
                </w:tcPr>
                <w:p w14:paraId="68A6884D">
                  <w:pPr>
                    <w:spacing w:before="36" w:line="227" w:lineRule="auto"/>
                    <w:ind w:left="770"/>
                    <w:rPr>
                      <w:rFonts w:ascii="宋体" w:hAnsi="宋体" w:eastAsia="宋体" w:cs="宋体"/>
                      <w:sz w:val="20"/>
                      <w:szCs w:val="20"/>
                    </w:rPr>
                  </w:pPr>
                  <w:r>
                    <w:rPr>
                      <w:rFonts w:ascii="宋体" w:hAnsi="宋体" w:eastAsia="宋体" w:cs="宋体"/>
                      <w:b/>
                      <w:bCs/>
                      <w:spacing w:val="7"/>
                      <w:sz w:val="20"/>
                      <w:szCs w:val="20"/>
                    </w:rPr>
                    <w:t>测点距施工机械距离</w:t>
                  </w:r>
                </w:p>
              </w:tc>
              <w:tc>
                <w:tcPr>
                  <w:tcW w:w="2237" w:type="dxa"/>
                  <w:vAlign w:val="top"/>
                </w:tcPr>
                <w:p w14:paraId="6897B2CB">
                  <w:pPr>
                    <w:spacing w:before="36" w:line="228" w:lineRule="auto"/>
                    <w:ind w:left="914"/>
                    <w:rPr>
                      <w:rFonts w:ascii="宋体" w:hAnsi="宋体" w:eastAsia="宋体" w:cs="宋体"/>
                      <w:sz w:val="20"/>
                      <w:szCs w:val="20"/>
                    </w:rPr>
                  </w:pPr>
                  <w:r>
                    <w:rPr>
                      <w:rFonts w:ascii="宋体" w:hAnsi="宋体" w:eastAsia="宋体" w:cs="宋体"/>
                      <w:b/>
                      <w:bCs/>
                      <w:spacing w:val="5"/>
                      <w:sz w:val="20"/>
                      <w:szCs w:val="20"/>
                    </w:rPr>
                    <w:t>最大声级</w:t>
                  </w:r>
                </w:p>
              </w:tc>
            </w:tr>
            <w:tr w14:paraId="33A6E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2851" w:type="dxa"/>
                  <w:vAlign w:val="top"/>
                </w:tcPr>
                <w:p w14:paraId="6AF79638">
                  <w:pPr>
                    <w:spacing w:before="31" w:line="231" w:lineRule="auto"/>
                    <w:ind w:left="1456"/>
                    <w:rPr>
                      <w:rFonts w:ascii="宋体" w:hAnsi="宋体" w:eastAsia="宋体" w:cs="宋体"/>
                      <w:sz w:val="20"/>
                      <w:szCs w:val="20"/>
                    </w:rPr>
                  </w:pPr>
                  <w:r>
                    <w:rPr>
                      <w:rFonts w:ascii="宋体" w:hAnsi="宋体" w:eastAsia="宋体" w:cs="宋体"/>
                      <w:spacing w:val="-8"/>
                      <w:sz w:val="20"/>
                      <w:szCs w:val="20"/>
                    </w:rPr>
                    <w:t>电钻</w:t>
                  </w:r>
                </w:p>
              </w:tc>
              <w:tc>
                <w:tcPr>
                  <w:tcW w:w="3007" w:type="dxa"/>
                  <w:vAlign w:val="top"/>
                </w:tcPr>
                <w:p w14:paraId="18CBBD2A">
                  <w:pPr>
                    <w:spacing w:before="75" w:line="195" w:lineRule="auto"/>
                    <w:ind w:left="1600"/>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1m</w:t>
                  </w:r>
                </w:p>
              </w:tc>
              <w:tc>
                <w:tcPr>
                  <w:tcW w:w="2237" w:type="dxa"/>
                  <w:vAlign w:val="top"/>
                </w:tcPr>
                <w:p w14:paraId="17E3DB4F">
                  <w:pPr>
                    <w:spacing w:before="75" w:line="195" w:lineRule="auto"/>
                    <w:ind w:left="1228"/>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r>
            <w:tr w14:paraId="4E5C5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2851" w:type="dxa"/>
                  <w:vAlign w:val="top"/>
                </w:tcPr>
                <w:p w14:paraId="5E11B606">
                  <w:pPr>
                    <w:spacing w:before="35" w:line="227" w:lineRule="auto"/>
                    <w:ind w:left="1325"/>
                    <w:rPr>
                      <w:rFonts w:ascii="宋体" w:hAnsi="宋体" w:eastAsia="宋体" w:cs="宋体"/>
                      <w:sz w:val="20"/>
                      <w:szCs w:val="20"/>
                    </w:rPr>
                  </w:pPr>
                  <w:r>
                    <w:rPr>
                      <w:rFonts w:ascii="宋体" w:hAnsi="宋体" w:eastAsia="宋体" w:cs="宋体"/>
                      <w:spacing w:val="7"/>
                      <w:sz w:val="20"/>
                      <w:szCs w:val="20"/>
                    </w:rPr>
                    <w:t>切割机</w:t>
                  </w:r>
                </w:p>
              </w:tc>
              <w:tc>
                <w:tcPr>
                  <w:tcW w:w="3007" w:type="dxa"/>
                  <w:vAlign w:val="top"/>
                </w:tcPr>
                <w:p w14:paraId="2385210B">
                  <w:pPr>
                    <w:spacing w:before="78" w:line="195" w:lineRule="auto"/>
                    <w:ind w:left="1600"/>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1m</w:t>
                  </w:r>
                </w:p>
              </w:tc>
              <w:tc>
                <w:tcPr>
                  <w:tcW w:w="2237" w:type="dxa"/>
                  <w:vAlign w:val="top"/>
                </w:tcPr>
                <w:p w14:paraId="6C60D534">
                  <w:pPr>
                    <w:spacing w:before="78" w:line="195" w:lineRule="auto"/>
                    <w:ind w:left="1228"/>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r>
            <w:tr w14:paraId="15910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2851" w:type="dxa"/>
                  <w:vAlign w:val="top"/>
                </w:tcPr>
                <w:p w14:paraId="7E896AB0">
                  <w:pPr>
                    <w:spacing w:before="34" w:line="227" w:lineRule="auto"/>
                    <w:ind w:left="1351"/>
                    <w:rPr>
                      <w:rFonts w:ascii="宋体" w:hAnsi="宋体" w:eastAsia="宋体" w:cs="宋体"/>
                      <w:sz w:val="20"/>
                      <w:szCs w:val="20"/>
                    </w:rPr>
                  </w:pPr>
                  <w:r>
                    <w:rPr>
                      <w:rFonts w:ascii="宋体" w:hAnsi="宋体" w:eastAsia="宋体" w:cs="宋体"/>
                      <w:spacing w:val="-2"/>
                      <w:sz w:val="20"/>
                      <w:szCs w:val="20"/>
                    </w:rPr>
                    <w:t>电焊机</w:t>
                  </w:r>
                </w:p>
              </w:tc>
              <w:tc>
                <w:tcPr>
                  <w:tcW w:w="3007" w:type="dxa"/>
                  <w:vAlign w:val="top"/>
                </w:tcPr>
                <w:p w14:paraId="34285DCB">
                  <w:pPr>
                    <w:spacing w:before="78" w:line="195" w:lineRule="auto"/>
                    <w:ind w:left="1600"/>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1m</w:t>
                  </w:r>
                </w:p>
              </w:tc>
              <w:tc>
                <w:tcPr>
                  <w:tcW w:w="2237" w:type="dxa"/>
                  <w:vAlign w:val="top"/>
                </w:tcPr>
                <w:p w14:paraId="73824152">
                  <w:pPr>
                    <w:spacing w:before="77" w:line="195" w:lineRule="auto"/>
                    <w:ind w:left="12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85</w:t>
                  </w:r>
                </w:p>
              </w:tc>
            </w:tr>
          </w:tbl>
          <w:p w14:paraId="53CCEA5E">
            <w:pPr>
              <w:spacing w:before="36" w:line="358" w:lineRule="auto"/>
              <w:ind w:left="111" w:right="101" w:firstLine="476"/>
              <w:jc w:val="both"/>
              <w:rPr>
                <w:rFonts w:ascii="宋体" w:hAnsi="宋体" w:eastAsia="宋体" w:cs="宋体"/>
                <w:sz w:val="24"/>
                <w:szCs w:val="24"/>
              </w:rPr>
            </w:pPr>
            <w:r>
              <w:rPr>
                <w:rFonts w:ascii="宋体" w:hAnsi="宋体" w:eastAsia="宋体" w:cs="宋体"/>
                <w:spacing w:val="-2"/>
                <w:sz w:val="24"/>
                <w:szCs w:val="24"/>
              </w:rPr>
              <w:t>施工噪声主要来源于电钻、切割机等设备安装等。因为装修主要在室内进</w:t>
            </w:r>
            <w:r>
              <w:rPr>
                <w:rFonts w:ascii="宋体" w:hAnsi="宋体" w:eastAsia="宋体" w:cs="宋体"/>
                <w:spacing w:val="-4"/>
                <w:sz w:val="24"/>
                <w:szCs w:val="24"/>
              </w:rPr>
              <w:t>行，因此房屋墙壁对施工器械噪声有一定的阻隔作用，本次取</w:t>
            </w:r>
            <w:r>
              <w:rPr>
                <w:rFonts w:ascii="宋体" w:hAnsi="宋体" w:eastAsia="宋体" w:cs="宋体"/>
                <w:spacing w:val="-21"/>
                <w:sz w:val="24"/>
                <w:szCs w:val="24"/>
              </w:rPr>
              <w:t xml:space="preserve"> </w:t>
            </w:r>
            <w:r>
              <w:rPr>
                <w:rFonts w:ascii="Times New Roman" w:hAnsi="Times New Roman" w:eastAsia="Times New Roman" w:cs="Times New Roman"/>
                <w:spacing w:val="-4"/>
                <w:sz w:val="24"/>
                <w:szCs w:val="24"/>
              </w:rPr>
              <w:t>15dB</w:t>
            </w:r>
            <w:r>
              <w:rPr>
                <w:rFonts w:ascii="宋体" w:hAnsi="宋体" w:eastAsia="宋体" w:cs="宋体"/>
                <w:spacing w:val="-4"/>
                <w:sz w:val="24"/>
                <w:szCs w:val="24"/>
              </w:rPr>
              <w:t>（</w:t>
            </w:r>
            <w:r>
              <w:rPr>
                <w:rFonts w:ascii="Times New Roman" w:hAnsi="Times New Roman" w:eastAsia="Times New Roman" w:cs="Times New Roman"/>
                <w:spacing w:val="-4"/>
                <w:sz w:val="24"/>
                <w:szCs w:val="24"/>
              </w:rPr>
              <w:t>A</w:t>
            </w:r>
            <w:r>
              <w:rPr>
                <w:rFonts w:ascii="宋体" w:hAnsi="宋体" w:eastAsia="宋体" w:cs="宋体"/>
                <w:spacing w:val="-4"/>
                <w:sz w:val="24"/>
                <w:szCs w:val="24"/>
              </w:rPr>
              <w:t>）。施</w:t>
            </w:r>
            <w:r>
              <w:rPr>
                <w:rFonts w:ascii="宋体" w:hAnsi="宋体" w:eastAsia="宋体" w:cs="宋体"/>
                <w:spacing w:val="-1"/>
                <w:sz w:val="24"/>
                <w:szCs w:val="24"/>
              </w:rPr>
              <w:t>工器械使用时产生的噪声经墙体阻隔、距离衰减后在厂界处贡献值见表</w:t>
            </w:r>
            <w:r>
              <w:rPr>
                <w:rFonts w:ascii="宋体" w:hAnsi="宋体" w:eastAsia="宋体" w:cs="宋体"/>
                <w:spacing w:val="-39"/>
                <w:sz w:val="24"/>
                <w:szCs w:val="24"/>
              </w:rPr>
              <w:t xml:space="preserve"> </w:t>
            </w:r>
            <w:r>
              <w:rPr>
                <w:rFonts w:ascii="Times New Roman" w:hAnsi="Times New Roman" w:eastAsia="Times New Roman" w:cs="Times New Roman"/>
                <w:spacing w:val="-1"/>
                <w:sz w:val="24"/>
                <w:szCs w:val="24"/>
              </w:rPr>
              <w:t>4-2</w:t>
            </w:r>
            <w:r>
              <w:rPr>
                <w:rFonts w:ascii="宋体" w:hAnsi="宋体" w:eastAsia="宋体" w:cs="宋体"/>
                <w:spacing w:val="-1"/>
                <w:sz w:val="24"/>
                <w:szCs w:val="24"/>
              </w:rPr>
              <w:t>。</w:t>
            </w:r>
          </w:p>
          <w:p w14:paraId="7A9DAE77">
            <w:pPr>
              <w:spacing w:line="220" w:lineRule="auto"/>
              <w:ind w:left="1714"/>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25"/>
                <w:sz w:val="20"/>
                <w:szCs w:val="20"/>
              </w:rPr>
              <w:t xml:space="preserve"> </w:t>
            </w:r>
            <w:r>
              <w:rPr>
                <w:rFonts w:ascii="Times New Roman" w:hAnsi="Times New Roman" w:eastAsia="Times New Roman" w:cs="Times New Roman"/>
                <w:b/>
                <w:bCs/>
                <w:spacing w:val="6"/>
                <w:sz w:val="20"/>
                <w:szCs w:val="20"/>
              </w:rPr>
              <w:t xml:space="preserve">4-2    </w:t>
            </w:r>
            <w:r>
              <w:rPr>
                <w:rFonts w:ascii="宋体" w:hAnsi="宋体" w:eastAsia="宋体" w:cs="宋体"/>
                <w:b/>
                <w:bCs/>
                <w:spacing w:val="6"/>
                <w:sz w:val="20"/>
                <w:szCs w:val="20"/>
              </w:rPr>
              <w:t>施工器械噪声不同距离处贡献值（单位：</w:t>
            </w:r>
            <w:r>
              <w:rPr>
                <w:rFonts w:ascii="Times New Roman" w:hAnsi="Times New Roman" w:eastAsia="Times New Roman" w:cs="Times New Roman"/>
                <w:b/>
                <w:bCs/>
                <w:sz w:val="20"/>
                <w:szCs w:val="20"/>
              </w:rPr>
              <w:t>dB</w:t>
            </w:r>
            <w:r>
              <w:rPr>
                <w:rFonts w:ascii="Times New Roman" w:hAnsi="Times New Roman" w:eastAsia="Times New Roman" w:cs="Times New Roman"/>
                <w:b/>
                <w:bCs/>
                <w:spacing w:val="6"/>
                <w:sz w:val="20"/>
                <w:szCs w:val="20"/>
              </w:rPr>
              <w:t>(A)</w:t>
            </w:r>
            <w:r>
              <w:rPr>
                <w:rFonts w:ascii="宋体" w:hAnsi="宋体" w:eastAsia="宋体" w:cs="宋体"/>
                <w:b/>
                <w:bCs/>
                <w:spacing w:val="6"/>
                <w:sz w:val="20"/>
                <w:szCs w:val="20"/>
              </w:rPr>
              <w:t>）</w:t>
            </w:r>
          </w:p>
          <w:p w14:paraId="53CAD2B5">
            <w:pPr>
              <w:spacing w:line="18" w:lineRule="auto"/>
              <w:rPr>
                <w:rFonts w:ascii="Arial"/>
                <w:sz w:val="2"/>
              </w:rPr>
            </w:pPr>
          </w:p>
          <w:tbl>
            <w:tblPr>
              <w:tblStyle w:val="10"/>
              <w:tblW w:w="8098"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68"/>
              <w:gridCol w:w="2600"/>
              <w:gridCol w:w="2430"/>
            </w:tblGrid>
            <w:tr w14:paraId="42E7D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3068" w:type="dxa"/>
                  <w:vMerge w:val="restart"/>
                  <w:tcBorders>
                    <w:bottom w:val="nil"/>
                  </w:tcBorders>
                  <w:vAlign w:val="top"/>
                </w:tcPr>
                <w:p w14:paraId="4989639F">
                  <w:pPr>
                    <w:spacing w:before="221" w:line="228" w:lineRule="auto"/>
                    <w:ind w:left="1330"/>
                    <w:rPr>
                      <w:rFonts w:ascii="宋体" w:hAnsi="宋体" w:eastAsia="宋体" w:cs="宋体"/>
                      <w:sz w:val="20"/>
                      <w:szCs w:val="20"/>
                    </w:rPr>
                  </w:pPr>
                  <w:r>
                    <w:rPr>
                      <w:rFonts w:ascii="宋体" w:hAnsi="宋体" w:eastAsia="宋体" w:cs="宋体"/>
                      <w:spacing w:val="7"/>
                      <w:sz w:val="20"/>
                      <w:szCs w:val="20"/>
                    </w:rPr>
                    <w:t>器械名称</w:t>
                  </w:r>
                </w:p>
              </w:tc>
              <w:tc>
                <w:tcPr>
                  <w:tcW w:w="5030" w:type="dxa"/>
                  <w:gridSpan w:val="2"/>
                  <w:vAlign w:val="top"/>
                </w:tcPr>
                <w:p w14:paraId="315C7E37">
                  <w:pPr>
                    <w:spacing w:before="37" w:line="221" w:lineRule="auto"/>
                    <w:ind w:left="1278"/>
                    <w:rPr>
                      <w:rFonts w:ascii="Times New Roman" w:hAnsi="Times New Roman" w:eastAsia="Times New Roman" w:cs="Times New Roman"/>
                      <w:sz w:val="20"/>
                      <w:szCs w:val="20"/>
                    </w:rPr>
                  </w:pPr>
                  <w:r>
                    <w:rPr>
                      <w:rFonts w:ascii="宋体" w:hAnsi="宋体" w:eastAsia="宋体" w:cs="宋体"/>
                      <w:spacing w:val="8"/>
                      <w:sz w:val="20"/>
                      <w:szCs w:val="20"/>
                    </w:rPr>
                    <w:t>施工器械厂界噪声贡献值</w:t>
                  </w:r>
                  <w:r>
                    <w:rPr>
                      <w:rFonts w:ascii="宋体" w:hAnsi="宋体" w:eastAsia="宋体" w:cs="宋体"/>
                      <w:spacing w:val="-33"/>
                      <w:sz w:val="20"/>
                      <w:szCs w:val="20"/>
                    </w:rPr>
                    <w:t xml:space="preserve"> </w:t>
                  </w:r>
                  <w:r>
                    <w:rPr>
                      <w:rFonts w:ascii="Times New Roman" w:hAnsi="Times New Roman" w:eastAsia="Times New Roman" w:cs="Times New Roman"/>
                      <w:sz w:val="20"/>
                      <w:szCs w:val="20"/>
                    </w:rPr>
                    <w:t>dB</w:t>
                  </w:r>
                  <w:r>
                    <w:rPr>
                      <w:rFonts w:ascii="Times New Roman" w:hAnsi="Times New Roman" w:eastAsia="Times New Roman" w:cs="Times New Roman"/>
                      <w:spacing w:val="8"/>
                      <w:sz w:val="20"/>
                      <w:szCs w:val="20"/>
                    </w:rPr>
                    <w:t>(A)</w:t>
                  </w:r>
                </w:p>
              </w:tc>
            </w:tr>
            <w:tr w14:paraId="48A68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3068" w:type="dxa"/>
                  <w:vMerge w:val="continue"/>
                  <w:tcBorders>
                    <w:top w:val="nil"/>
                  </w:tcBorders>
                  <w:vAlign w:val="top"/>
                </w:tcPr>
                <w:p w14:paraId="7966AB60">
                  <w:pPr>
                    <w:rPr>
                      <w:rFonts w:ascii="Arial"/>
                      <w:sz w:val="21"/>
                    </w:rPr>
                  </w:pPr>
                </w:p>
              </w:tc>
              <w:tc>
                <w:tcPr>
                  <w:tcW w:w="2600" w:type="dxa"/>
                  <w:vAlign w:val="top"/>
                </w:tcPr>
                <w:p w14:paraId="3F993C59">
                  <w:pPr>
                    <w:spacing w:before="53" w:line="195" w:lineRule="auto"/>
                    <w:ind w:left="1398"/>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1m</w:t>
                  </w:r>
                </w:p>
              </w:tc>
              <w:tc>
                <w:tcPr>
                  <w:tcW w:w="2430" w:type="dxa"/>
                  <w:vAlign w:val="top"/>
                </w:tcPr>
                <w:p w14:paraId="0F253AB1">
                  <w:pPr>
                    <w:spacing w:before="53" w:line="195" w:lineRule="auto"/>
                    <w:ind w:left="124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20m</w:t>
                  </w:r>
                </w:p>
              </w:tc>
            </w:tr>
            <w:tr w14:paraId="7C149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068" w:type="dxa"/>
                  <w:vAlign w:val="top"/>
                </w:tcPr>
                <w:p w14:paraId="6D43F6F2">
                  <w:pPr>
                    <w:spacing w:before="32" w:line="227" w:lineRule="auto"/>
                    <w:ind w:left="1434"/>
                    <w:rPr>
                      <w:rFonts w:ascii="宋体" w:hAnsi="宋体" w:eastAsia="宋体" w:cs="宋体"/>
                      <w:sz w:val="20"/>
                      <w:szCs w:val="20"/>
                    </w:rPr>
                  </w:pPr>
                  <w:r>
                    <w:rPr>
                      <w:rFonts w:ascii="宋体" w:hAnsi="宋体" w:eastAsia="宋体" w:cs="宋体"/>
                      <w:spacing w:val="7"/>
                      <w:sz w:val="20"/>
                      <w:szCs w:val="20"/>
                    </w:rPr>
                    <w:t>切割机</w:t>
                  </w:r>
                </w:p>
              </w:tc>
              <w:tc>
                <w:tcPr>
                  <w:tcW w:w="2600" w:type="dxa"/>
                  <w:vAlign w:val="top"/>
                </w:tcPr>
                <w:p w14:paraId="5107E535">
                  <w:pPr>
                    <w:spacing w:before="75" w:line="195" w:lineRule="auto"/>
                    <w:ind w:left="1411"/>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c>
                <w:tcPr>
                  <w:tcW w:w="2430" w:type="dxa"/>
                  <w:vAlign w:val="top"/>
                </w:tcPr>
                <w:p w14:paraId="203F4563">
                  <w:pPr>
                    <w:spacing w:before="75" w:line="195" w:lineRule="auto"/>
                    <w:ind w:left="1324"/>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r>
            <w:tr w14:paraId="2ECBC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3068" w:type="dxa"/>
                  <w:vAlign w:val="top"/>
                </w:tcPr>
                <w:p w14:paraId="4CCAF2A3">
                  <w:pPr>
                    <w:spacing w:before="32" w:line="227" w:lineRule="auto"/>
                    <w:ind w:left="1460"/>
                    <w:rPr>
                      <w:rFonts w:ascii="宋体" w:hAnsi="宋体" w:eastAsia="宋体" w:cs="宋体"/>
                      <w:sz w:val="20"/>
                      <w:szCs w:val="20"/>
                    </w:rPr>
                  </w:pPr>
                  <w:r>
                    <w:rPr>
                      <w:rFonts w:ascii="宋体" w:hAnsi="宋体" w:eastAsia="宋体" w:cs="宋体"/>
                      <w:spacing w:val="-2"/>
                      <w:sz w:val="20"/>
                      <w:szCs w:val="20"/>
                    </w:rPr>
                    <w:t>电焊机</w:t>
                  </w:r>
                </w:p>
              </w:tc>
              <w:tc>
                <w:tcPr>
                  <w:tcW w:w="2600" w:type="dxa"/>
                  <w:vAlign w:val="top"/>
                </w:tcPr>
                <w:p w14:paraId="46898B2E">
                  <w:pPr>
                    <w:spacing w:before="75" w:line="195" w:lineRule="auto"/>
                    <w:ind w:left="1411"/>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c>
                <w:tcPr>
                  <w:tcW w:w="2430" w:type="dxa"/>
                  <w:vAlign w:val="top"/>
                </w:tcPr>
                <w:p w14:paraId="6BA65879">
                  <w:pPr>
                    <w:spacing w:before="75" w:line="195" w:lineRule="auto"/>
                    <w:ind w:left="1324"/>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r>
            <w:tr w14:paraId="2F483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068" w:type="dxa"/>
                  <w:vAlign w:val="top"/>
                </w:tcPr>
                <w:p w14:paraId="3719A1FF">
                  <w:pPr>
                    <w:spacing w:before="34" w:line="231" w:lineRule="auto"/>
                    <w:ind w:left="1563"/>
                    <w:rPr>
                      <w:rFonts w:ascii="宋体" w:hAnsi="宋体" w:eastAsia="宋体" w:cs="宋体"/>
                      <w:sz w:val="20"/>
                      <w:szCs w:val="20"/>
                    </w:rPr>
                  </w:pPr>
                  <w:r>
                    <w:rPr>
                      <w:rFonts w:ascii="宋体" w:hAnsi="宋体" w:eastAsia="宋体" w:cs="宋体"/>
                      <w:spacing w:val="-8"/>
                      <w:sz w:val="20"/>
                      <w:szCs w:val="20"/>
                    </w:rPr>
                    <w:t>电钻</w:t>
                  </w:r>
                </w:p>
              </w:tc>
              <w:tc>
                <w:tcPr>
                  <w:tcW w:w="2600" w:type="dxa"/>
                  <w:vAlign w:val="top"/>
                </w:tcPr>
                <w:p w14:paraId="3B5ADCB1">
                  <w:pPr>
                    <w:spacing w:before="78" w:line="195" w:lineRule="auto"/>
                    <w:ind w:left="14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85</w:t>
                  </w:r>
                </w:p>
              </w:tc>
              <w:tc>
                <w:tcPr>
                  <w:tcW w:w="2430" w:type="dxa"/>
                  <w:vAlign w:val="top"/>
                </w:tcPr>
                <w:p w14:paraId="55736A94">
                  <w:pPr>
                    <w:spacing w:before="78" w:line="195" w:lineRule="auto"/>
                    <w:ind w:left="1325"/>
                    <w:rPr>
                      <w:rFonts w:ascii="Times New Roman" w:hAnsi="Times New Roman" w:eastAsia="Times New Roman" w:cs="Times New Roman"/>
                      <w:sz w:val="20"/>
                      <w:szCs w:val="20"/>
                    </w:rPr>
                  </w:pPr>
                  <w:r>
                    <w:rPr>
                      <w:rFonts w:ascii="Times New Roman" w:hAnsi="Times New Roman" w:eastAsia="Times New Roman" w:cs="Times New Roman"/>
                      <w:sz w:val="20"/>
                      <w:szCs w:val="20"/>
                    </w:rPr>
                    <w:t>59</w:t>
                  </w:r>
                </w:p>
              </w:tc>
            </w:tr>
            <w:tr w14:paraId="07A9B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3068" w:type="dxa"/>
                  <w:vAlign w:val="top"/>
                </w:tcPr>
                <w:p w14:paraId="275774DE">
                  <w:pPr>
                    <w:spacing w:before="34" w:line="228" w:lineRule="auto"/>
                    <w:ind w:left="1439"/>
                    <w:rPr>
                      <w:rFonts w:ascii="宋体" w:hAnsi="宋体" w:eastAsia="宋体" w:cs="宋体"/>
                      <w:sz w:val="20"/>
                      <w:szCs w:val="20"/>
                    </w:rPr>
                  </w:pPr>
                  <w:r>
                    <w:rPr>
                      <w:rFonts w:ascii="宋体" w:hAnsi="宋体" w:eastAsia="宋体" w:cs="宋体"/>
                      <w:spacing w:val="5"/>
                      <w:sz w:val="20"/>
                      <w:szCs w:val="20"/>
                    </w:rPr>
                    <w:t>叠加值</w:t>
                  </w:r>
                </w:p>
              </w:tc>
              <w:tc>
                <w:tcPr>
                  <w:tcW w:w="2600" w:type="dxa"/>
                  <w:vAlign w:val="top"/>
                </w:tcPr>
                <w:p w14:paraId="2150D555">
                  <w:pPr>
                    <w:spacing w:before="78" w:line="195" w:lineRule="auto"/>
                    <w:ind w:left="133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93.6</w:t>
                  </w:r>
                </w:p>
              </w:tc>
              <w:tc>
                <w:tcPr>
                  <w:tcW w:w="2430" w:type="dxa"/>
                  <w:vAlign w:val="top"/>
                </w:tcPr>
                <w:p w14:paraId="2982AC2E">
                  <w:pPr>
                    <w:spacing w:before="78" w:line="195" w:lineRule="auto"/>
                    <w:ind w:left="12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67.6</w:t>
                  </w:r>
                </w:p>
              </w:tc>
            </w:tr>
          </w:tbl>
          <w:p w14:paraId="785B642C">
            <w:pPr>
              <w:spacing w:before="36" w:line="359" w:lineRule="auto"/>
              <w:ind w:left="111" w:right="101" w:firstLine="477"/>
              <w:jc w:val="both"/>
              <w:rPr>
                <w:rFonts w:ascii="宋体" w:hAnsi="宋体" w:eastAsia="宋体" w:cs="宋体"/>
                <w:sz w:val="24"/>
                <w:szCs w:val="24"/>
              </w:rPr>
            </w:pPr>
            <w:r>
              <w:rPr>
                <w:rFonts w:ascii="宋体" w:hAnsi="宋体" w:eastAsia="宋体" w:cs="宋体"/>
                <w:spacing w:val="2"/>
                <w:sz w:val="24"/>
                <w:szCs w:val="24"/>
              </w:rPr>
              <w:t>根据现场踏勘，项目周边</w:t>
            </w:r>
            <w:r>
              <w:rPr>
                <w:rFonts w:ascii="宋体" w:hAnsi="宋体" w:eastAsia="宋体" w:cs="宋体"/>
                <w:spacing w:val="-37"/>
                <w:sz w:val="24"/>
                <w:szCs w:val="24"/>
              </w:rPr>
              <w:t xml:space="preserve"> </w:t>
            </w:r>
            <w:r>
              <w:rPr>
                <w:rFonts w:ascii="Times New Roman" w:hAnsi="Times New Roman" w:eastAsia="Times New Roman" w:cs="Times New Roman"/>
                <w:spacing w:val="2"/>
                <w:sz w:val="24"/>
                <w:szCs w:val="24"/>
              </w:rPr>
              <w:t>50m</w:t>
            </w:r>
            <w:r>
              <w:rPr>
                <w:rFonts w:ascii="Times New Roman" w:hAnsi="Times New Roman" w:eastAsia="Times New Roman" w:cs="Times New Roman"/>
                <w:spacing w:val="20"/>
                <w:w w:val="101"/>
                <w:sz w:val="24"/>
                <w:szCs w:val="24"/>
              </w:rPr>
              <w:t xml:space="preserve"> </w:t>
            </w:r>
            <w:r>
              <w:rPr>
                <w:rFonts w:ascii="宋体" w:hAnsi="宋体" w:eastAsia="宋体" w:cs="宋体"/>
                <w:spacing w:val="2"/>
                <w:sz w:val="24"/>
                <w:szCs w:val="24"/>
              </w:rPr>
              <w:t>范围内无村庄等敏感目标，建设单位在施</w:t>
            </w:r>
            <w:r>
              <w:rPr>
                <w:rFonts w:ascii="宋体" w:hAnsi="宋体" w:eastAsia="宋体" w:cs="宋体"/>
                <w:spacing w:val="-2"/>
                <w:sz w:val="24"/>
                <w:szCs w:val="24"/>
              </w:rPr>
              <w:t>工前采取相应措施后噪声对周边环境影响较小。为进一步降低施工噪声对所在</w:t>
            </w:r>
            <w:r>
              <w:rPr>
                <w:rFonts w:ascii="宋体" w:hAnsi="宋体" w:eastAsia="宋体" w:cs="宋体"/>
                <w:spacing w:val="-1"/>
                <w:sz w:val="24"/>
                <w:szCs w:val="24"/>
              </w:rPr>
              <w:t>区域环境的影响，环评建议采取适当的措施来减轻其噪声的影响。</w:t>
            </w:r>
          </w:p>
          <w:p w14:paraId="0CFD00CB">
            <w:pPr>
              <w:spacing w:line="220" w:lineRule="auto"/>
              <w:ind w:left="588"/>
              <w:rPr>
                <w:rFonts w:ascii="宋体" w:hAnsi="宋体" w:eastAsia="宋体" w:cs="宋体"/>
                <w:sz w:val="24"/>
                <w:szCs w:val="24"/>
              </w:rPr>
            </w:pPr>
            <w:r>
              <w:rPr>
                <w:rFonts w:ascii="宋体" w:hAnsi="宋体" w:eastAsia="宋体" w:cs="宋体"/>
                <w:spacing w:val="-1"/>
                <w:sz w:val="24"/>
                <w:szCs w:val="24"/>
              </w:rPr>
              <w:t>施工期噪声污染防治措施：</w:t>
            </w:r>
          </w:p>
          <w:p w14:paraId="79DF0A10">
            <w:pPr>
              <w:spacing w:before="182" w:line="217" w:lineRule="auto"/>
              <w:ind w:left="708"/>
              <w:rPr>
                <w:rFonts w:ascii="宋体" w:hAnsi="宋体" w:eastAsia="宋体" w:cs="宋体"/>
                <w:sz w:val="24"/>
                <w:szCs w:val="24"/>
              </w:rPr>
            </w:pPr>
            <w:r>
              <w:rPr>
                <w:rFonts w:ascii="宋体" w:hAnsi="宋体" w:eastAsia="宋体" w:cs="宋体"/>
                <w:spacing w:val="-1"/>
                <w:sz w:val="24"/>
                <w:szCs w:val="24"/>
              </w:rPr>
              <w:t>①应选用低噪声、低震动的施工机械设备。</w:t>
            </w:r>
          </w:p>
        </w:tc>
      </w:tr>
    </w:tbl>
    <w:p w14:paraId="1B814061">
      <w:pPr>
        <w:pStyle w:val="2"/>
      </w:pPr>
    </w:p>
    <w:p w14:paraId="3E9B8143">
      <w:pPr>
        <w:sectPr>
          <w:footerReference r:id="rId87" w:type="default"/>
          <w:pgSz w:w="11907" w:h="16840"/>
          <w:pgMar w:top="400" w:right="1453" w:bottom="1103" w:left="1453" w:header="0" w:footer="887" w:gutter="0"/>
          <w:cols w:space="720" w:num="1"/>
        </w:sectPr>
      </w:pPr>
    </w:p>
    <w:p w14:paraId="794AE4C9">
      <w:pPr>
        <w:spacing w:before="19"/>
      </w:pPr>
    </w:p>
    <w:p w14:paraId="0F3CCBC6">
      <w:pPr>
        <w:spacing w:before="19"/>
      </w:pPr>
    </w:p>
    <w:p w14:paraId="7A9B78AC">
      <w:pPr>
        <w:spacing w:before="19"/>
      </w:pPr>
    </w:p>
    <w:p w14:paraId="377BC55B">
      <w:pPr>
        <w:spacing w:before="18"/>
      </w:pPr>
    </w:p>
    <w:p w14:paraId="184E290B">
      <w:pPr>
        <w:spacing w:before="18"/>
      </w:pPr>
    </w:p>
    <w:tbl>
      <w:tblPr>
        <w:tblStyle w:val="10"/>
        <w:tblW w:w="898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69"/>
        <w:gridCol w:w="8316"/>
      </w:tblGrid>
      <w:tr w14:paraId="715F1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7" w:hRule="atLeast"/>
        </w:trPr>
        <w:tc>
          <w:tcPr>
            <w:tcW w:w="669" w:type="dxa"/>
            <w:tcBorders>
              <w:right w:val="single" w:color="000000" w:sz="2" w:space="0"/>
            </w:tcBorders>
            <w:vAlign w:val="top"/>
          </w:tcPr>
          <w:p w14:paraId="6E4A2F3A">
            <w:pPr>
              <w:rPr>
                <w:rFonts w:ascii="Arial"/>
                <w:sz w:val="21"/>
              </w:rPr>
            </w:pPr>
          </w:p>
        </w:tc>
        <w:tc>
          <w:tcPr>
            <w:tcW w:w="8316" w:type="dxa"/>
            <w:tcBorders>
              <w:left w:val="single" w:color="000000" w:sz="2" w:space="0"/>
            </w:tcBorders>
            <w:vAlign w:val="top"/>
          </w:tcPr>
          <w:p w14:paraId="00174435">
            <w:pPr>
              <w:spacing w:before="39" w:line="217" w:lineRule="auto"/>
              <w:ind w:left="707"/>
              <w:rPr>
                <w:rFonts w:ascii="宋体" w:hAnsi="宋体" w:eastAsia="宋体" w:cs="宋体"/>
                <w:sz w:val="24"/>
                <w:szCs w:val="24"/>
              </w:rPr>
            </w:pPr>
            <w:r>
              <w:rPr>
                <w:rFonts w:ascii="宋体" w:hAnsi="宋体" w:eastAsia="宋体" w:cs="宋体"/>
                <w:spacing w:val="-1"/>
                <w:sz w:val="24"/>
                <w:szCs w:val="24"/>
              </w:rPr>
              <w:t>②合理安排施工，高噪声设备不同时使用，夜间不施工。</w:t>
            </w:r>
          </w:p>
          <w:p w14:paraId="3C691212">
            <w:pPr>
              <w:spacing w:before="185" w:line="217" w:lineRule="auto"/>
              <w:ind w:left="707"/>
              <w:rPr>
                <w:rFonts w:ascii="宋体" w:hAnsi="宋体" w:eastAsia="宋体" w:cs="宋体"/>
                <w:sz w:val="24"/>
                <w:szCs w:val="24"/>
              </w:rPr>
            </w:pPr>
            <w:r>
              <w:rPr>
                <w:rFonts w:ascii="宋体" w:hAnsi="宋体" w:eastAsia="宋体" w:cs="宋体"/>
                <w:sz w:val="24"/>
                <w:szCs w:val="24"/>
              </w:rPr>
              <w:t>③施工过程需对设备定期维修保养，避免设备由于</w:t>
            </w:r>
            <w:r>
              <w:rPr>
                <w:rFonts w:ascii="宋体" w:hAnsi="宋体" w:eastAsia="宋体" w:cs="宋体"/>
                <w:spacing w:val="-1"/>
                <w:sz w:val="24"/>
                <w:szCs w:val="24"/>
              </w:rPr>
              <w:t>性能差而增大噪声。</w:t>
            </w:r>
          </w:p>
          <w:p w14:paraId="37709B49">
            <w:pPr>
              <w:spacing w:before="183" w:line="217" w:lineRule="auto"/>
              <w:ind w:left="699"/>
              <w:rPr>
                <w:rFonts w:ascii="宋体" w:hAnsi="宋体" w:eastAsia="宋体" w:cs="宋体"/>
                <w:sz w:val="24"/>
                <w:szCs w:val="24"/>
              </w:rPr>
            </w:pPr>
            <w:r>
              <w:rPr>
                <w:rFonts w:ascii="宋体" w:hAnsi="宋体" w:eastAsia="宋体" w:cs="宋体"/>
                <w:spacing w:val="-5"/>
                <w:sz w:val="24"/>
                <w:szCs w:val="24"/>
              </w:rPr>
              <w:t>④施工车辆出入地点应尽量远离敏感点，车辆出入现场时应低速、禁鸣。</w:t>
            </w:r>
          </w:p>
          <w:p w14:paraId="2C9242CE">
            <w:pPr>
              <w:spacing w:before="188" w:line="357" w:lineRule="auto"/>
              <w:ind w:left="214" w:right="176" w:firstLine="485"/>
              <w:rPr>
                <w:rFonts w:ascii="宋体" w:hAnsi="宋体" w:eastAsia="宋体" w:cs="宋体"/>
                <w:sz w:val="24"/>
                <w:szCs w:val="24"/>
              </w:rPr>
            </w:pPr>
            <w:r>
              <w:rPr>
                <w:rFonts w:ascii="宋体" w:hAnsi="宋体" w:eastAsia="宋体" w:cs="宋体"/>
                <w:spacing w:val="6"/>
                <w:sz w:val="24"/>
                <w:szCs w:val="24"/>
              </w:rPr>
              <w:t>⑤建设管理部门应加强对施工场地的噪声管理，施工企业也应对施工</w:t>
            </w:r>
            <w:r>
              <w:rPr>
                <w:rFonts w:ascii="宋体" w:hAnsi="宋体" w:eastAsia="宋体" w:cs="宋体"/>
                <w:sz w:val="24"/>
                <w:szCs w:val="24"/>
              </w:rPr>
              <w:t>噪声进行自律，合理安排工期，缩短施工的时间；加强对施</w:t>
            </w:r>
            <w:r>
              <w:rPr>
                <w:rFonts w:ascii="宋体" w:hAnsi="宋体" w:eastAsia="宋体" w:cs="宋体"/>
                <w:spacing w:val="-1"/>
                <w:sz w:val="24"/>
                <w:szCs w:val="24"/>
              </w:rPr>
              <w:t>工人员的管理，</w:t>
            </w:r>
            <w:r>
              <w:rPr>
                <w:rFonts w:ascii="宋体" w:hAnsi="宋体" w:eastAsia="宋体" w:cs="宋体"/>
                <w:spacing w:val="-2"/>
                <w:sz w:val="24"/>
                <w:szCs w:val="24"/>
              </w:rPr>
              <w:t>做到文明施工，避免因施工噪声产生纠纷。</w:t>
            </w:r>
          </w:p>
          <w:p w14:paraId="3BF2D913">
            <w:pPr>
              <w:spacing w:line="218" w:lineRule="auto"/>
              <w:ind w:left="588"/>
              <w:rPr>
                <w:rFonts w:ascii="宋体" w:hAnsi="宋体" w:eastAsia="宋体" w:cs="宋体"/>
                <w:sz w:val="24"/>
                <w:szCs w:val="24"/>
              </w:rPr>
            </w:pPr>
            <w:r>
              <w:rPr>
                <w:rFonts w:ascii="宋体" w:hAnsi="宋体" w:eastAsia="宋体" w:cs="宋体"/>
                <w:spacing w:val="-1"/>
                <w:sz w:val="24"/>
                <w:szCs w:val="24"/>
              </w:rPr>
              <w:t>通过采取以上措施，施工噪声对周边环境影响较小。</w:t>
            </w:r>
          </w:p>
          <w:p w14:paraId="1BF3B67F">
            <w:pPr>
              <w:spacing w:before="184" w:line="220" w:lineRule="auto"/>
              <w:ind w:left="945"/>
              <w:rPr>
                <w:rFonts w:ascii="宋体" w:hAnsi="宋体" w:eastAsia="宋体" w:cs="宋体"/>
                <w:sz w:val="24"/>
                <w:szCs w:val="24"/>
              </w:rPr>
            </w:pPr>
            <w:r>
              <w:rPr>
                <w:rFonts w:ascii="Times New Roman" w:hAnsi="Times New Roman" w:eastAsia="Times New Roman" w:cs="Times New Roman"/>
                <w:b/>
                <w:bCs/>
                <w:spacing w:val="-6"/>
                <w:sz w:val="24"/>
                <w:szCs w:val="24"/>
              </w:rPr>
              <w:t>4</w:t>
            </w:r>
            <w:r>
              <w:rPr>
                <w:rFonts w:ascii="Times New Roman" w:hAnsi="Times New Roman" w:eastAsia="Times New Roman" w:cs="Times New Roman"/>
                <w:b/>
                <w:bCs/>
                <w:spacing w:val="-32"/>
                <w:sz w:val="24"/>
                <w:szCs w:val="24"/>
              </w:rPr>
              <w:t xml:space="preserve"> </w:t>
            </w:r>
            <w:r>
              <w:rPr>
                <w:rFonts w:ascii="宋体" w:hAnsi="宋体" w:eastAsia="宋体" w:cs="宋体"/>
                <w:b/>
                <w:bCs/>
                <w:spacing w:val="-6"/>
                <w:sz w:val="24"/>
                <w:szCs w:val="24"/>
              </w:rPr>
              <w:t>、固废防治措施</w:t>
            </w:r>
          </w:p>
          <w:p w14:paraId="196E0FF1">
            <w:pPr>
              <w:spacing w:before="180" w:line="359" w:lineRule="auto"/>
              <w:ind w:left="108" w:right="101" w:firstLine="484"/>
              <w:rPr>
                <w:rFonts w:ascii="宋体" w:hAnsi="宋体" w:eastAsia="宋体" w:cs="宋体"/>
                <w:sz w:val="24"/>
                <w:szCs w:val="24"/>
              </w:rPr>
            </w:pPr>
            <w:r>
              <w:rPr>
                <w:rFonts w:ascii="宋体" w:hAnsi="宋体" w:eastAsia="宋体" w:cs="宋体"/>
                <w:spacing w:val="-2"/>
                <w:sz w:val="24"/>
                <w:szCs w:val="24"/>
              </w:rPr>
              <w:t>项目施工期无土建工程，不产生土石方等，施工期产生的固</w:t>
            </w:r>
            <w:r>
              <w:rPr>
                <w:rFonts w:ascii="宋体" w:hAnsi="宋体" w:eastAsia="宋体" w:cs="宋体"/>
                <w:spacing w:val="-3"/>
                <w:sz w:val="24"/>
                <w:szCs w:val="24"/>
              </w:rPr>
              <w:t>体废物主要为</w:t>
            </w:r>
            <w:r>
              <w:rPr>
                <w:rFonts w:ascii="宋体" w:hAnsi="宋体" w:eastAsia="宋体" w:cs="宋体"/>
                <w:spacing w:val="-1"/>
                <w:sz w:val="24"/>
                <w:szCs w:val="24"/>
              </w:rPr>
              <w:t>废弃包装材料、施工人员的生活垃圾和废弃的焊接材料等。</w:t>
            </w:r>
          </w:p>
          <w:p w14:paraId="643589FE">
            <w:pPr>
              <w:spacing w:line="359" w:lineRule="auto"/>
              <w:ind w:left="107" w:right="101" w:firstLine="49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）项目施工过程中产生少量的建筑垃圾和设备包装材料，主要为废金</w:t>
            </w:r>
            <w:r>
              <w:rPr>
                <w:rFonts w:ascii="宋体" w:hAnsi="宋体" w:eastAsia="宋体" w:cs="宋体"/>
                <w:spacing w:val="-4"/>
                <w:sz w:val="24"/>
                <w:szCs w:val="24"/>
              </w:rPr>
              <w:t>属、废包装纸、废塑料，产量量约为</w:t>
            </w:r>
            <w:r>
              <w:rPr>
                <w:rFonts w:ascii="宋体" w:hAnsi="宋体" w:eastAsia="宋体" w:cs="宋体"/>
                <w:spacing w:val="-23"/>
                <w:sz w:val="24"/>
                <w:szCs w:val="24"/>
              </w:rPr>
              <w:t xml:space="preserve"> </w:t>
            </w:r>
            <w:r>
              <w:rPr>
                <w:rFonts w:ascii="Times New Roman" w:hAnsi="Times New Roman" w:eastAsia="Times New Roman" w:cs="Times New Roman"/>
                <w:spacing w:val="-4"/>
                <w:sz w:val="24"/>
                <w:szCs w:val="24"/>
              </w:rPr>
              <w:t>1t</w:t>
            </w:r>
            <w:r>
              <w:rPr>
                <w:rFonts w:ascii="Times New Roman" w:hAnsi="Times New Roman" w:eastAsia="Times New Roman" w:cs="Times New Roman"/>
                <w:spacing w:val="-30"/>
                <w:sz w:val="24"/>
                <w:szCs w:val="24"/>
              </w:rPr>
              <w:t xml:space="preserve"> </w:t>
            </w:r>
            <w:r>
              <w:rPr>
                <w:rFonts w:ascii="宋体" w:hAnsi="宋体" w:eastAsia="宋体" w:cs="宋体"/>
                <w:spacing w:val="-4"/>
                <w:sz w:val="24"/>
                <w:szCs w:val="24"/>
              </w:rPr>
              <w:t>，施工产生的废弃建筑材料、包装材料</w:t>
            </w:r>
            <w:r>
              <w:rPr>
                <w:rFonts w:ascii="宋体" w:hAnsi="宋体" w:eastAsia="宋体" w:cs="宋体"/>
                <w:spacing w:val="-2"/>
                <w:sz w:val="24"/>
                <w:szCs w:val="24"/>
              </w:rPr>
              <w:t>进行分类集中堆存、回收利用，不能利用的运至指定地点堆放，由环卫部门统一清运处理。</w:t>
            </w:r>
          </w:p>
          <w:p w14:paraId="279083A8">
            <w:pPr>
              <w:spacing w:before="2" w:line="357" w:lineRule="auto"/>
              <w:ind w:left="108" w:right="101" w:firstLine="492"/>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）施工人员产生的生活垃圾量按</w:t>
            </w:r>
            <w:r>
              <w:rPr>
                <w:rFonts w:ascii="宋体" w:hAnsi="宋体" w:eastAsia="宋体" w:cs="宋体"/>
                <w:spacing w:val="-19"/>
                <w:sz w:val="24"/>
                <w:szCs w:val="24"/>
              </w:rPr>
              <w:t xml:space="preserve"> </w:t>
            </w:r>
            <w:r>
              <w:rPr>
                <w:rFonts w:ascii="Times New Roman" w:hAnsi="Times New Roman" w:eastAsia="Times New Roman" w:cs="Times New Roman"/>
                <w:spacing w:val="1"/>
                <w:sz w:val="24"/>
                <w:szCs w:val="24"/>
              </w:rPr>
              <w:t>1</w:t>
            </w:r>
            <w:r>
              <w:rPr>
                <w:rFonts w:ascii="Times New Roman" w:hAnsi="Times New Roman" w:eastAsia="Times New Roman" w:cs="Times New Roman"/>
                <w:sz w:val="24"/>
                <w:szCs w:val="24"/>
              </w:rPr>
              <w:t>kg</w:t>
            </w:r>
            <w:r>
              <w:rPr>
                <w:rFonts w:ascii="Times New Roman" w:hAnsi="Times New Roman" w:eastAsia="Times New Roman" w:cs="Times New Roman"/>
                <w:spacing w:val="1"/>
                <w:sz w:val="24"/>
                <w:szCs w:val="24"/>
              </w:rPr>
              <w:t>/</w:t>
            </w:r>
            <w:r>
              <w:rPr>
                <w:rFonts w:ascii="宋体" w:hAnsi="宋体" w:eastAsia="宋体" w:cs="宋体"/>
                <w:spacing w:val="1"/>
                <w:sz w:val="24"/>
                <w:szCs w:val="24"/>
              </w:rPr>
              <w:t>人</w:t>
            </w:r>
            <w:r>
              <w:rPr>
                <w:rFonts w:ascii="Times New Roman" w:hAnsi="Times New Roman" w:eastAsia="Times New Roman" w:cs="Times New Roman"/>
                <w:spacing w:val="1"/>
                <w:sz w:val="24"/>
                <w:szCs w:val="24"/>
              </w:rPr>
              <w:t xml:space="preserve">·d </w:t>
            </w:r>
            <w:r>
              <w:rPr>
                <w:rFonts w:ascii="宋体" w:hAnsi="宋体" w:eastAsia="宋体" w:cs="宋体"/>
                <w:spacing w:val="1"/>
                <w:sz w:val="24"/>
                <w:szCs w:val="24"/>
              </w:rPr>
              <w:t>计算，项目施工人员</w:t>
            </w: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人，</w:t>
            </w:r>
            <w:r>
              <w:rPr>
                <w:rFonts w:ascii="宋体" w:hAnsi="宋体" w:eastAsia="宋体" w:cs="宋体"/>
                <w:sz w:val="24"/>
                <w:szCs w:val="24"/>
              </w:rPr>
              <w:t>施工时间为</w:t>
            </w:r>
            <w:r>
              <w:rPr>
                <w:rFonts w:ascii="宋体" w:hAnsi="宋体" w:eastAsia="宋体" w:cs="宋体"/>
                <w:spacing w:val="-25"/>
                <w:sz w:val="24"/>
                <w:szCs w:val="24"/>
              </w:rPr>
              <w:t xml:space="preserve"> </w:t>
            </w:r>
            <w:r>
              <w:rPr>
                <w:rFonts w:ascii="Times New Roman" w:hAnsi="Times New Roman" w:eastAsia="Times New Roman" w:cs="Times New Roman"/>
                <w:sz w:val="24"/>
                <w:szCs w:val="24"/>
              </w:rPr>
              <w:t xml:space="preserve">1 </w:t>
            </w:r>
            <w:r>
              <w:rPr>
                <w:rFonts w:ascii="宋体" w:hAnsi="宋体" w:eastAsia="宋体" w:cs="宋体"/>
                <w:sz w:val="24"/>
                <w:szCs w:val="24"/>
              </w:rPr>
              <w:t>个月，则施工期内项施工人员生活垃圾为</w:t>
            </w:r>
            <w:r>
              <w:rPr>
                <w:rFonts w:ascii="宋体" w:hAnsi="宋体" w:eastAsia="宋体" w:cs="宋体"/>
                <w:spacing w:val="-49"/>
                <w:sz w:val="24"/>
                <w:szCs w:val="24"/>
              </w:rPr>
              <w:t xml:space="preserve"> </w:t>
            </w:r>
            <w:r>
              <w:rPr>
                <w:rFonts w:ascii="Times New Roman" w:hAnsi="Times New Roman" w:eastAsia="Times New Roman" w:cs="Times New Roman"/>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12t</w:t>
            </w:r>
            <w:r>
              <w:rPr>
                <w:rFonts w:ascii="Times New Roman" w:hAnsi="Times New Roman" w:eastAsia="Times New Roman" w:cs="Times New Roman"/>
                <w:spacing w:val="-26"/>
                <w:sz w:val="24"/>
                <w:szCs w:val="24"/>
              </w:rPr>
              <w:t xml:space="preserve"> </w:t>
            </w:r>
            <w:r>
              <w:rPr>
                <w:rFonts w:ascii="宋体" w:hAnsi="宋体" w:eastAsia="宋体" w:cs="宋体"/>
                <w:sz w:val="24"/>
                <w:szCs w:val="24"/>
              </w:rPr>
              <w:t>，生活垃圾统一</w:t>
            </w:r>
            <w:r>
              <w:rPr>
                <w:rFonts w:ascii="宋体" w:hAnsi="宋体" w:eastAsia="宋体" w:cs="宋体"/>
                <w:spacing w:val="-1"/>
                <w:sz w:val="24"/>
                <w:szCs w:val="24"/>
              </w:rPr>
              <w:t>收集后委托环卫清运。</w:t>
            </w:r>
          </w:p>
          <w:p w14:paraId="0ED52D60">
            <w:pPr>
              <w:spacing w:before="7" w:line="219" w:lineRule="auto"/>
              <w:ind w:left="6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）废弃焊接材料售给废品回收站。</w:t>
            </w:r>
          </w:p>
        </w:tc>
      </w:tr>
    </w:tbl>
    <w:p w14:paraId="7C7AC05C">
      <w:pPr>
        <w:pStyle w:val="2"/>
      </w:pPr>
    </w:p>
    <w:p w14:paraId="333590FF">
      <w:pPr>
        <w:sectPr>
          <w:footerReference r:id="rId88" w:type="default"/>
          <w:pgSz w:w="11907" w:h="16840"/>
          <w:pgMar w:top="400" w:right="1453" w:bottom="1103" w:left="1453" w:header="0" w:footer="887" w:gutter="0"/>
          <w:cols w:space="720" w:num="1"/>
        </w:sectPr>
      </w:pPr>
    </w:p>
    <w:p w14:paraId="750D3FF4">
      <w:pPr>
        <w:spacing w:before="19"/>
      </w:pPr>
    </w:p>
    <w:p w14:paraId="306F2028">
      <w:pPr>
        <w:spacing w:before="19"/>
      </w:pPr>
    </w:p>
    <w:p w14:paraId="2DB6A2A5">
      <w:pPr>
        <w:spacing w:before="19"/>
      </w:pPr>
    </w:p>
    <w:p w14:paraId="0E6730E7">
      <w:pPr>
        <w:spacing w:before="18"/>
      </w:pPr>
    </w:p>
    <w:p w14:paraId="1EADF514">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5D833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00" w:hRule="atLeast"/>
        </w:trPr>
        <w:tc>
          <w:tcPr>
            <w:tcW w:w="734" w:type="dxa"/>
            <w:tcBorders>
              <w:right w:val="single" w:color="000000" w:sz="2" w:space="0"/>
            </w:tcBorders>
            <w:vAlign w:val="top"/>
          </w:tcPr>
          <w:p w14:paraId="1B118300">
            <w:pPr>
              <w:spacing w:line="241" w:lineRule="auto"/>
              <w:rPr>
                <w:rFonts w:ascii="Arial"/>
                <w:sz w:val="21"/>
              </w:rPr>
            </w:pPr>
          </w:p>
          <w:p w14:paraId="2D192C15">
            <w:pPr>
              <w:spacing w:line="241" w:lineRule="auto"/>
              <w:rPr>
                <w:rFonts w:ascii="Arial"/>
                <w:sz w:val="21"/>
              </w:rPr>
            </w:pPr>
          </w:p>
          <w:p w14:paraId="0CF115EF">
            <w:pPr>
              <w:spacing w:line="241" w:lineRule="auto"/>
              <w:rPr>
                <w:rFonts w:ascii="Arial"/>
                <w:sz w:val="21"/>
              </w:rPr>
            </w:pPr>
          </w:p>
          <w:p w14:paraId="1F6B437A">
            <w:pPr>
              <w:spacing w:line="241" w:lineRule="auto"/>
              <w:rPr>
                <w:rFonts w:ascii="Arial"/>
                <w:sz w:val="21"/>
              </w:rPr>
            </w:pPr>
          </w:p>
          <w:p w14:paraId="3E0D2C19">
            <w:pPr>
              <w:spacing w:line="241" w:lineRule="auto"/>
              <w:rPr>
                <w:rFonts w:ascii="Arial"/>
                <w:sz w:val="21"/>
              </w:rPr>
            </w:pPr>
          </w:p>
          <w:p w14:paraId="15858E56">
            <w:pPr>
              <w:spacing w:line="241" w:lineRule="auto"/>
              <w:rPr>
                <w:rFonts w:ascii="Arial"/>
                <w:sz w:val="21"/>
              </w:rPr>
            </w:pPr>
          </w:p>
          <w:p w14:paraId="737EF1C9">
            <w:pPr>
              <w:spacing w:line="241" w:lineRule="auto"/>
              <w:rPr>
                <w:rFonts w:ascii="Arial"/>
                <w:sz w:val="21"/>
              </w:rPr>
            </w:pPr>
          </w:p>
          <w:p w14:paraId="2B947AB0">
            <w:pPr>
              <w:spacing w:line="241" w:lineRule="auto"/>
              <w:rPr>
                <w:rFonts w:ascii="Arial"/>
                <w:sz w:val="21"/>
              </w:rPr>
            </w:pPr>
          </w:p>
          <w:p w14:paraId="33C4729D">
            <w:pPr>
              <w:spacing w:line="241" w:lineRule="auto"/>
              <w:rPr>
                <w:rFonts w:ascii="Arial"/>
                <w:sz w:val="21"/>
              </w:rPr>
            </w:pPr>
          </w:p>
          <w:p w14:paraId="15AE4C0B">
            <w:pPr>
              <w:spacing w:line="241" w:lineRule="auto"/>
              <w:rPr>
                <w:rFonts w:ascii="Arial"/>
                <w:sz w:val="21"/>
              </w:rPr>
            </w:pPr>
          </w:p>
          <w:p w14:paraId="41528629">
            <w:pPr>
              <w:spacing w:line="241" w:lineRule="auto"/>
              <w:rPr>
                <w:rFonts w:ascii="Arial"/>
                <w:sz w:val="21"/>
              </w:rPr>
            </w:pPr>
          </w:p>
          <w:p w14:paraId="7530D03C">
            <w:pPr>
              <w:spacing w:line="241" w:lineRule="auto"/>
              <w:rPr>
                <w:rFonts w:ascii="Arial"/>
                <w:sz w:val="21"/>
              </w:rPr>
            </w:pPr>
          </w:p>
          <w:p w14:paraId="16D83FFC">
            <w:pPr>
              <w:spacing w:line="241" w:lineRule="auto"/>
              <w:rPr>
                <w:rFonts w:ascii="Arial"/>
                <w:sz w:val="21"/>
              </w:rPr>
            </w:pPr>
          </w:p>
          <w:p w14:paraId="2A7E25A9">
            <w:pPr>
              <w:spacing w:line="241" w:lineRule="auto"/>
              <w:rPr>
                <w:rFonts w:ascii="Arial"/>
                <w:sz w:val="21"/>
              </w:rPr>
            </w:pPr>
          </w:p>
          <w:p w14:paraId="76C286B0">
            <w:pPr>
              <w:spacing w:line="241" w:lineRule="auto"/>
              <w:rPr>
                <w:rFonts w:ascii="Arial"/>
                <w:sz w:val="21"/>
              </w:rPr>
            </w:pPr>
          </w:p>
          <w:p w14:paraId="527BB16A">
            <w:pPr>
              <w:spacing w:line="241" w:lineRule="auto"/>
              <w:rPr>
                <w:rFonts w:ascii="Arial"/>
                <w:sz w:val="21"/>
              </w:rPr>
            </w:pPr>
          </w:p>
          <w:p w14:paraId="14882159">
            <w:pPr>
              <w:spacing w:line="242" w:lineRule="auto"/>
              <w:rPr>
                <w:rFonts w:ascii="Arial"/>
                <w:sz w:val="21"/>
              </w:rPr>
            </w:pPr>
          </w:p>
          <w:p w14:paraId="779E8C35">
            <w:pPr>
              <w:spacing w:line="242" w:lineRule="auto"/>
              <w:rPr>
                <w:rFonts w:ascii="Arial"/>
                <w:sz w:val="21"/>
              </w:rPr>
            </w:pPr>
          </w:p>
          <w:p w14:paraId="4C549E74">
            <w:pPr>
              <w:spacing w:line="242" w:lineRule="auto"/>
              <w:rPr>
                <w:rFonts w:ascii="Arial"/>
                <w:sz w:val="21"/>
              </w:rPr>
            </w:pPr>
          </w:p>
          <w:p w14:paraId="774223FA">
            <w:pPr>
              <w:spacing w:line="242" w:lineRule="auto"/>
              <w:rPr>
                <w:rFonts w:ascii="Arial"/>
                <w:sz w:val="21"/>
              </w:rPr>
            </w:pPr>
          </w:p>
          <w:p w14:paraId="7F959169">
            <w:pPr>
              <w:spacing w:line="242" w:lineRule="auto"/>
              <w:rPr>
                <w:rFonts w:ascii="Arial"/>
                <w:sz w:val="21"/>
              </w:rPr>
            </w:pPr>
          </w:p>
          <w:p w14:paraId="3BC71FBB">
            <w:pPr>
              <w:spacing w:before="78" w:line="220" w:lineRule="auto"/>
              <w:ind w:left="127"/>
              <w:rPr>
                <w:rFonts w:ascii="宋体" w:hAnsi="宋体" w:eastAsia="宋体" w:cs="宋体"/>
                <w:sz w:val="24"/>
                <w:szCs w:val="24"/>
              </w:rPr>
            </w:pPr>
            <w:r>
              <w:rPr>
                <w:rFonts w:ascii="宋体" w:hAnsi="宋体" w:eastAsia="宋体" w:cs="宋体"/>
                <w:spacing w:val="-5"/>
                <w:sz w:val="24"/>
                <w:szCs w:val="24"/>
              </w:rPr>
              <w:t>运营</w:t>
            </w:r>
          </w:p>
          <w:p w14:paraId="31D0C7EA">
            <w:pPr>
              <w:spacing w:before="179" w:line="220" w:lineRule="auto"/>
              <w:ind w:left="130"/>
              <w:rPr>
                <w:rFonts w:ascii="宋体" w:hAnsi="宋体" w:eastAsia="宋体" w:cs="宋体"/>
                <w:sz w:val="24"/>
                <w:szCs w:val="24"/>
              </w:rPr>
            </w:pPr>
            <w:r>
              <w:rPr>
                <w:rFonts w:ascii="宋体" w:hAnsi="宋体" w:eastAsia="宋体" w:cs="宋体"/>
                <w:spacing w:val="-7"/>
                <w:sz w:val="24"/>
                <w:szCs w:val="24"/>
              </w:rPr>
              <w:t>期环</w:t>
            </w:r>
          </w:p>
          <w:p w14:paraId="19C103CE">
            <w:pPr>
              <w:spacing w:before="182" w:line="220" w:lineRule="auto"/>
              <w:ind w:left="128"/>
              <w:rPr>
                <w:rFonts w:ascii="宋体" w:hAnsi="宋体" w:eastAsia="宋体" w:cs="宋体"/>
                <w:sz w:val="24"/>
                <w:szCs w:val="24"/>
              </w:rPr>
            </w:pPr>
            <w:r>
              <w:rPr>
                <w:rFonts w:ascii="宋体" w:hAnsi="宋体" w:eastAsia="宋体" w:cs="宋体"/>
                <w:spacing w:val="-6"/>
                <w:sz w:val="24"/>
                <w:szCs w:val="24"/>
              </w:rPr>
              <w:t>境影</w:t>
            </w:r>
          </w:p>
          <w:p w14:paraId="40092023">
            <w:pPr>
              <w:spacing w:before="179" w:line="222" w:lineRule="auto"/>
              <w:ind w:left="140"/>
              <w:rPr>
                <w:rFonts w:ascii="宋体" w:hAnsi="宋体" w:eastAsia="宋体" w:cs="宋体"/>
                <w:sz w:val="24"/>
                <w:szCs w:val="24"/>
              </w:rPr>
            </w:pPr>
            <w:r>
              <w:rPr>
                <w:rFonts w:ascii="宋体" w:hAnsi="宋体" w:eastAsia="宋体" w:cs="宋体"/>
                <w:spacing w:val="-11"/>
                <w:sz w:val="24"/>
                <w:szCs w:val="24"/>
              </w:rPr>
              <w:t>响和</w:t>
            </w:r>
          </w:p>
          <w:p w14:paraId="0420B016">
            <w:pPr>
              <w:spacing w:before="179" w:line="220" w:lineRule="auto"/>
              <w:ind w:left="128"/>
              <w:rPr>
                <w:rFonts w:ascii="宋体" w:hAnsi="宋体" w:eastAsia="宋体" w:cs="宋体"/>
                <w:sz w:val="24"/>
                <w:szCs w:val="24"/>
              </w:rPr>
            </w:pPr>
            <w:r>
              <w:rPr>
                <w:rFonts w:ascii="宋体" w:hAnsi="宋体" w:eastAsia="宋体" w:cs="宋体"/>
                <w:spacing w:val="-6"/>
                <w:sz w:val="24"/>
                <w:szCs w:val="24"/>
              </w:rPr>
              <w:t>保护</w:t>
            </w:r>
          </w:p>
          <w:p w14:paraId="6B21EF7C">
            <w:pPr>
              <w:spacing w:before="182" w:line="220" w:lineRule="auto"/>
              <w:ind w:left="127"/>
              <w:rPr>
                <w:rFonts w:ascii="宋体" w:hAnsi="宋体" w:eastAsia="宋体" w:cs="宋体"/>
                <w:sz w:val="24"/>
                <w:szCs w:val="24"/>
              </w:rPr>
            </w:pPr>
            <w:r>
              <w:rPr>
                <w:rFonts w:ascii="宋体" w:hAnsi="宋体" w:eastAsia="宋体" w:cs="宋体"/>
                <w:spacing w:val="-5"/>
                <w:sz w:val="24"/>
                <w:szCs w:val="24"/>
              </w:rPr>
              <w:t>措施</w:t>
            </w:r>
          </w:p>
        </w:tc>
        <w:tc>
          <w:tcPr>
            <w:tcW w:w="9047" w:type="dxa"/>
            <w:tcBorders>
              <w:left w:val="single" w:color="000000" w:sz="2" w:space="0"/>
            </w:tcBorders>
            <w:vAlign w:val="top"/>
          </w:tcPr>
          <w:p w14:paraId="6A0051C7">
            <w:pPr>
              <w:spacing w:before="39" w:line="220" w:lineRule="auto"/>
              <w:ind w:left="113"/>
              <w:rPr>
                <w:rFonts w:ascii="宋体" w:hAnsi="宋体" w:eastAsia="宋体" w:cs="宋体"/>
                <w:sz w:val="24"/>
                <w:szCs w:val="24"/>
              </w:rPr>
            </w:pPr>
            <w:r>
              <w:rPr>
                <w:rFonts w:ascii="宋体" w:hAnsi="宋体" w:eastAsia="宋体" w:cs="宋体"/>
                <w:b/>
                <w:bCs/>
                <w:spacing w:val="-6"/>
                <w:sz w:val="24"/>
                <w:szCs w:val="24"/>
              </w:rPr>
              <w:t>一、废气</w:t>
            </w:r>
          </w:p>
          <w:p w14:paraId="585AC8D2">
            <w:pPr>
              <w:spacing w:before="183" w:line="358" w:lineRule="auto"/>
              <w:ind w:left="111" w:right="102" w:firstLine="479"/>
              <w:jc w:val="both"/>
              <w:rPr>
                <w:rFonts w:ascii="宋体" w:hAnsi="宋体" w:eastAsia="宋体" w:cs="宋体"/>
                <w:sz w:val="24"/>
                <w:szCs w:val="24"/>
              </w:rPr>
            </w:pPr>
            <w:r>
              <w:rPr>
                <w:rFonts w:ascii="宋体" w:hAnsi="宋体" w:eastAsia="宋体" w:cs="宋体"/>
                <w:spacing w:val="-2"/>
                <w:sz w:val="24"/>
                <w:szCs w:val="24"/>
              </w:rPr>
              <w:t>本项目使用</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 xml:space="preserve">PP </w:t>
            </w:r>
            <w:r>
              <w:rPr>
                <w:rFonts w:ascii="宋体" w:hAnsi="宋体" w:eastAsia="宋体" w:cs="宋体"/>
                <w:spacing w:val="-2"/>
                <w:sz w:val="24"/>
                <w:szCs w:val="24"/>
              </w:rPr>
              <w:t>为原料生产</w:t>
            </w:r>
            <w:r>
              <w:rPr>
                <w:rFonts w:ascii="宋体" w:hAnsi="宋体" w:eastAsia="宋体" w:cs="宋体"/>
                <w:spacing w:val="-29"/>
                <w:sz w:val="24"/>
                <w:szCs w:val="24"/>
              </w:rPr>
              <w:t xml:space="preserve"> </w:t>
            </w:r>
            <w:r>
              <w:rPr>
                <w:rFonts w:ascii="Times New Roman" w:hAnsi="Times New Roman" w:eastAsia="Times New Roman" w:cs="Times New Roman"/>
                <w:spacing w:val="-2"/>
                <w:sz w:val="24"/>
                <w:szCs w:val="24"/>
              </w:rPr>
              <w:t>100</w:t>
            </w:r>
            <w:r>
              <w:rPr>
                <w:rFonts w:ascii="Times New Roman" w:hAnsi="Times New Roman" w:eastAsia="Times New Roman" w:cs="Times New Roman"/>
                <w:spacing w:val="17"/>
                <w:w w:val="101"/>
                <w:sz w:val="24"/>
                <w:szCs w:val="24"/>
              </w:rPr>
              <w:t xml:space="preserve"> </w:t>
            </w:r>
            <w:r>
              <w:rPr>
                <w:rFonts w:ascii="宋体" w:hAnsi="宋体" w:eastAsia="宋体" w:cs="宋体"/>
                <w:spacing w:val="-2"/>
                <w:sz w:val="24"/>
                <w:szCs w:val="24"/>
              </w:rPr>
              <w:t>万个塑料筐（约</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2300t</w:t>
            </w:r>
            <w:r>
              <w:rPr>
                <w:rFonts w:ascii="Times New Roman" w:hAnsi="Times New Roman" w:eastAsia="Times New Roman" w:cs="Times New Roman"/>
                <w:spacing w:val="-31"/>
                <w:sz w:val="24"/>
                <w:szCs w:val="24"/>
              </w:rPr>
              <w:t xml:space="preserve"> </w:t>
            </w:r>
            <w:r>
              <w:rPr>
                <w:rFonts w:ascii="宋体" w:hAnsi="宋体" w:eastAsia="宋体" w:cs="宋体"/>
                <w:spacing w:val="-2"/>
                <w:sz w:val="24"/>
                <w:szCs w:val="24"/>
              </w:rPr>
              <w:t>，每个</w:t>
            </w:r>
            <w:r>
              <w:rPr>
                <w:rFonts w:ascii="宋体" w:hAnsi="宋体" w:eastAsia="宋体" w:cs="宋体"/>
                <w:spacing w:val="-53"/>
                <w:sz w:val="24"/>
                <w:szCs w:val="24"/>
              </w:rPr>
              <w:t xml:space="preserve"> </w:t>
            </w:r>
            <w:r>
              <w:rPr>
                <w:rFonts w:ascii="Times New Roman" w:hAnsi="Times New Roman" w:eastAsia="Times New Roman" w:cs="Times New Roman"/>
                <w:spacing w:val="-2"/>
                <w:sz w:val="24"/>
                <w:szCs w:val="24"/>
              </w:rPr>
              <w:t>2.3kg</w:t>
            </w:r>
            <w:r>
              <w:rPr>
                <w:rFonts w:ascii="宋体" w:hAnsi="宋体" w:eastAsia="宋体" w:cs="宋体"/>
                <w:spacing w:val="8"/>
                <w:sz w:val="24"/>
                <w:szCs w:val="24"/>
              </w:rPr>
              <w:t>），</w:t>
            </w:r>
            <w:r>
              <w:rPr>
                <w:rFonts w:ascii="宋体" w:hAnsi="宋体" w:eastAsia="宋体" w:cs="宋体"/>
                <w:spacing w:val="-2"/>
                <w:sz w:val="24"/>
                <w:szCs w:val="24"/>
              </w:rPr>
              <w:t>生</w:t>
            </w:r>
            <w:r>
              <w:rPr>
                <w:rFonts w:ascii="宋体" w:hAnsi="宋体" w:eastAsia="宋体" w:cs="宋体"/>
                <w:spacing w:val="-3"/>
                <w:sz w:val="24"/>
                <w:szCs w:val="24"/>
              </w:rPr>
              <w:t>产废气</w:t>
            </w:r>
            <w:r>
              <w:rPr>
                <w:rFonts w:ascii="宋体" w:hAnsi="宋体" w:eastAsia="宋体" w:cs="宋体"/>
                <w:spacing w:val="5"/>
                <w:sz w:val="24"/>
                <w:szCs w:val="24"/>
              </w:rPr>
              <w:t>污染物为颗粒物和非甲烷总烃，经集气罩收集</w:t>
            </w:r>
            <w:r>
              <w:rPr>
                <w:rFonts w:ascii="Times New Roman" w:hAnsi="Times New Roman" w:eastAsia="Times New Roman" w:cs="Times New Roman"/>
                <w:spacing w:val="5"/>
                <w:sz w:val="24"/>
                <w:szCs w:val="24"/>
              </w:rPr>
              <w:t>+</w:t>
            </w:r>
            <w:r>
              <w:rPr>
                <w:rFonts w:ascii="宋体" w:hAnsi="宋体" w:eastAsia="宋体" w:cs="宋体"/>
                <w:spacing w:val="4"/>
                <w:sz w:val="24"/>
                <w:szCs w:val="24"/>
              </w:rPr>
              <w:t>三级活性炭吸附后通过</w:t>
            </w:r>
            <w:r>
              <w:rPr>
                <w:rFonts w:ascii="宋体" w:hAnsi="宋体" w:eastAsia="宋体" w:cs="宋体"/>
                <w:spacing w:val="-27"/>
                <w:sz w:val="24"/>
                <w:szCs w:val="24"/>
              </w:rPr>
              <w:t xml:space="preserve"> </w:t>
            </w:r>
            <w:r>
              <w:rPr>
                <w:rFonts w:ascii="Times New Roman" w:hAnsi="Times New Roman" w:eastAsia="Times New Roman" w:cs="Times New Roman"/>
                <w:spacing w:val="4"/>
                <w:sz w:val="24"/>
                <w:szCs w:val="24"/>
              </w:rPr>
              <w:t>15m</w:t>
            </w:r>
            <w:r>
              <w:rPr>
                <w:rFonts w:ascii="Times New Roman" w:hAnsi="Times New Roman" w:eastAsia="Times New Roman" w:cs="Times New Roman"/>
                <w:spacing w:val="18"/>
                <w:sz w:val="24"/>
                <w:szCs w:val="24"/>
              </w:rPr>
              <w:t xml:space="preserve"> </w:t>
            </w:r>
            <w:r>
              <w:rPr>
                <w:rFonts w:ascii="宋体" w:hAnsi="宋体" w:eastAsia="宋体" w:cs="宋体"/>
                <w:spacing w:val="4"/>
                <w:sz w:val="24"/>
                <w:szCs w:val="24"/>
              </w:rPr>
              <w:t>排气筒</w:t>
            </w:r>
            <w:r>
              <w:rPr>
                <w:rFonts w:ascii="宋体" w:hAnsi="宋体" w:eastAsia="宋体" w:cs="宋体"/>
                <w:spacing w:val="-2"/>
                <w:sz w:val="24"/>
                <w:szCs w:val="24"/>
              </w:rPr>
              <w:t>（</w:t>
            </w:r>
            <w:r>
              <w:rPr>
                <w:rFonts w:ascii="Times New Roman" w:hAnsi="Times New Roman" w:eastAsia="Times New Roman" w:cs="Times New Roman"/>
                <w:spacing w:val="-2"/>
                <w:sz w:val="24"/>
                <w:szCs w:val="24"/>
              </w:rPr>
              <w:t>DA005</w:t>
            </w:r>
            <w:r>
              <w:rPr>
                <w:rFonts w:ascii="宋体" w:hAnsi="宋体" w:eastAsia="宋体" w:cs="宋体"/>
                <w:spacing w:val="-2"/>
                <w:sz w:val="24"/>
                <w:szCs w:val="24"/>
              </w:rPr>
              <w:t>）排放。</w:t>
            </w:r>
          </w:p>
          <w:p w14:paraId="2F38301E">
            <w:pPr>
              <w:spacing w:before="1" w:line="220" w:lineRule="auto"/>
              <w:ind w:left="595"/>
              <w:rPr>
                <w:rFonts w:ascii="宋体" w:hAnsi="宋体" w:eastAsia="宋体" w:cs="宋体"/>
                <w:sz w:val="24"/>
                <w:szCs w:val="24"/>
              </w:rPr>
            </w:pPr>
            <w:r>
              <w:rPr>
                <w:rFonts w:ascii="Times New Roman" w:hAnsi="Times New Roman" w:eastAsia="Times New Roman" w:cs="Times New Roman"/>
                <w:b/>
                <w:bCs/>
                <w:spacing w:val="-9"/>
                <w:sz w:val="24"/>
                <w:szCs w:val="24"/>
              </w:rPr>
              <w:t>1</w:t>
            </w:r>
            <w:r>
              <w:rPr>
                <w:rFonts w:ascii="Times New Roman" w:hAnsi="Times New Roman" w:eastAsia="Times New Roman" w:cs="Times New Roman"/>
                <w:b/>
                <w:bCs/>
                <w:spacing w:val="-31"/>
                <w:sz w:val="24"/>
                <w:szCs w:val="24"/>
              </w:rPr>
              <w:t xml:space="preserve"> </w:t>
            </w:r>
            <w:r>
              <w:rPr>
                <w:rFonts w:ascii="宋体" w:hAnsi="宋体" w:eastAsia="宋体" w:cs="宋体"/>
                <w:b/>
                <w:bCs/>
                <w:spacing w:val="-9"/>
                <w:sz w:val="24"/>
                <w:szCs w:val="24"/>
              </w:rPr>
              <w:t>、源强分析</w:t>
            </w:r>
          </w:p>
          <w:p w14:paraId="338F6B0F">
            <w:pPr>
              <w:spacing w:before="181" w:line="220" w:lineRule="auto"/>
              <w:ind w:left="600"/>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1</w:t>
            </w:r>
            <w:r>
              <w:rPr>
                <w:rFonts w:ascii="宋体" w:hAnsi="宋体" w:eastAsia="宋体" w:cs="宋体"/>
                <w:spacing w:val="-4"/>
                <w:sz w:val="24"/>
                <w:szCs w:val="24"/>
              </w:rPr>
              <w:t>）颗粒物</w:t>
            </w:r>
          </w:p>
          <w:p w14:paraId="6CDEC2E2">
            <w:pPr>
              <w:spacing w:before="180" w:line="359" w:lineRule="auto"/>
              <w:ind w:left="108" w:right="102" w:firstLine="481"/>
              <w:rPr>
                <w:rFonts w:ascii="宋体" w:hAnsi="宋体" w:eastAsia="宋体" w:cs="宋体"/>
                <w:sz w:val="24"/>
                <w:szCs w:val="24"/>
              </w:rPr>
            </w:pPr>
            <w:r>
              <w:rPr>
                <w:rFonts w:ascii="宋体" w:hAnsi="宋体" w:eastAsia="宋体" w:cs="宋体"/>
                <w:spacing w:val="1"/>
                <w:sz w:val="24"/>
                <w:szCs w:val="24"/>
              </w:rPr>
              <w:t>本项目仅生产白色塑料筐</w:t>
            </w:r>
            <w:r>
              <w:rPr>
                <w:rFonts w:ascii="宋体" w:hAnsi="宋体" w:eastAsia="宋体" w:cs="宋体"/>
                <w:spacing w:val="-45"/>
                <w:sz w:val="24"/>
                <w:szCs w:val="24"/>
              </w:rPr>
              <w:t>，（</w:t>
            </w:r>
            <w:r>
              <w:rPr>
                <w:rFonts w:ascii="宋体" w:hAnsi="宋体" w:eastAsia="宋体" w:cs="宋体"/>
                <w:spacing w:val="1"/>
                <w:sz w:val="24"/>
                <w:szCs w:val="24"/>
              </w:rPr>
              <w:t>生产白色塑料筐时仅以聚丙烯树脂颗粒为原料，不</w:t>
            </w:r>
            <w:r>
              <w:rPr>
                <w:rFonts w:ascii="宋体" w:hAnsi="宋体" w:eastAsia="宋体" w:cs="宋体"/>
                <w:spacing w:val="-2"/>
                <w:sz w:val="24"/>
                <w:szCs w:val="24"/>
              </w:rPr>
              <w:t>添加滑石粉、色母粒等辅料</w:t>
            </w:r>
            <w:r>
              <w:rPr>
                <w:rFonts w:ascii="宋体" w:hAnsi="宋体" w:eastAsia="宋体" w:cs="宋体"/>
                <w:spacing w:val="-7"/>
                <w:sz w:val="24"/>
                <w:szCs w:val="24"/>
              </w:rPr>
              <w:t>），</w:t>
            </w:r>
            <w:r>
              <w:rPr>
                <w:rFonts w:ascii="宋体" w:hAnsi="宋体" w:eastAsia="宋体" w:cs="宋体"/>
                <w:spacing w:val="-2"/>
                <w:sz w:val="24"/>
                <w:szCs w:val="24"/>
              </w:rPr>
              <w:t>聚丙烯塑料颗粒（粒径为</w:t>
            </w:r>
            <w:r>
              <w:rPr>
                <w:rFonts w:ascii="宋体" w:hAnsi="宋体" w:eastAsia="宋体" w:cs="宋体"/>
                <w:spacing w:val="-49"/>
                <w:sz w:val="24"/>
                <w:szCs w:val="24"/>
              </w:rPr>
              <w:t xml:space="preserve"> </w:t>
            </w:r>
            <w:r>
              <w:rPr>
                <w:rFonts w:ascii="Times New Roman" w:hAnsi="Times New Roman" w:eastAsia="Times New Roman" w:cs="Times New Roman"/>
                <w:spacing w:val="-2"/>
                <w:sz w:val="24"/>
                <w:szCs w:val="24"/>
              </w:rPr>
              <w:t>3-</w:t>
            </w:r>
            <w:r>
              <w:rPr>
                <w:rFonts w:ascii="Times New Roman" w:hAnsi="Times New Roman" w:eastAsia="Times New Roman" w:cs="Times New Roman"/>
                <w:spacing w:val="-3"/>
                <w:sz w:val="24"/>
                <w:szCs w:val="24"/>
              </w:rPr>
              <w:t>4mm</w:t>
            </w:r>
            <w:r>
              <w:rPr>
                <w:rFonts w:ascii="宋体" w:hAnsi="宋体" w:eastAsia="宋体" w:cs="宋体"/>
                <w:spacing w:val="-3"/>
                <w:sz w:val="24"/>
                <w:szCs w:val="24"/>
              </w:rPr>
              <w:t>）利用叉车投入到上</w:t>
            </w:r>
            <w:r>
              <w:rPr>
                <w:rFonts w:ascii="宋体" w:hAnsi="宋体" w:eastAsia="宋体" w:cs="宋体"/>
                <w:spacing w:val="-2"/>
                <w:sz w:val="24"/>
                <w:szCs w:val="24"/>
              </w:rPr>
              <w:t>料机料仓，然后通过螺旋上料机自动将原料送入干燥机。因此仅产生少量粉尘，通过</w:t>
            </w:r>
            <w:r>
              <w:rPr>
                <w:rFonts w:ascii="宋体" w:hAnsi="宋体" w:eastAsia="宋体" w:cs="宋体"/>
                <w:spacing w:val="-1"/>
                <w:sz w:val="24"/>
                <w:szCs w:val="24"/>
              </w:rPr>
              <w:t>在上料机投料口设置防尘罩，对周围大气环境的影响不大。</w:t>
            </w:r>
          </w:p>
          <w:p w14:paraId="1A9012AF">
            <w:pPr>
              <w:spacing w:line="220" w:lineRule="auto"/>
              <w:ind w:left="600"/>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2</w:t>
            </w:r>
            <w:r>
              <w:rPr>
                <w:rFonts w:ascii="宋体" w:hAnsi="宋体" w:eastAsia="宋体" w:cs="宋体"/>
                <w:spacing w:val="-3"/>
                <w:sz w:val="24"/>
                <w:szCs w:val="24"/>
              </w:rPr>
              <w:t>）非甲烷总烃</w:t>
            </w:r>
          </w:p>
          <w:p w14:paraId="00229B45">
            <w:pPr>
              <w:spacing w:before="183" w:line="359" w:lineRule="auto"/>
              <w:ind w:left="110" w:right="102" w:firstLine="482"/>
              <w:rPr>
                <w:rFonts w:ascii="宋体" w:hAnsi="宋体" w:eastAsia="宋体" w:cs="宋体"/>
                <w:sz w:val="24"/>
                <w:szCs w:val="24"/>
              </w:rPr>
            </w:pPr>
            <w:r>
              <w:rPr>
                <w:rFonts w:ascii="宋体" w:hAnsi="宋体" w:eastAsia="宋体" w:cs="宋体"/>
                <w:spacing w:val="2"/>
                <w:sz w:val="24"/>
                <w:szCs w:val="24"/>
              </w:rPr>
              <w:t>项目使用</w:t>
            </w:r>
            <w:r>
              <w:rPr>
                <w:rFonts w:ascii="Times New Roman" w:hAnsi="Times New Roman" w:eastAsia="Times New Roman" w:cs="Times New Roman"/>
                <w:sz w:val="24"/>
                <w:szCs w:val="24"/>
              </w:rPr>
              <w:t>PP</w:t>
            </w:r>
            <w:r>
              <w:rPr>
                <w:rFonts w:ascii="Times New Roman" w:hAnsi="Times New Roman" w:eastAsia="Times New Roman" w:cs="Times New Roman"/>
                <w:spacing w:val="2"/>
                <w:sz w:val="24"/>
                <w:szCs w:val="24"/>
              </w:rPr>
              <w:t xml:space="preserve"> </w:t>
            </w:r>
            <w:r>
              <w:rPr>
                <w:rFonts w:ascii="宋体" w:hAnsi="宋体" w:eastAsia="宋体" w:cs="宋体"/>
                <w:spacing w:val="2"/>
                <w:sz w:val="24"/>
                <w:szCs w:val="24"/>
              </w:rPr>
              <w:t>为原料，设置</w:t>
            </w:r>
            <w:r>
              <w:rPr>
                <w:rFonts w:ascii="宋体" w:hAnsi="宋体" w:eastAsia="宋体" w:cs="宋体"/>
                <w:spacing w:val="-56"/>
                <w:sz w:val="24"/>
                <w:szCs w:val="24"/>
              </w:rPr>
              <w:t xml:space="preserve"> </w:t>
            </w:r>
            <w:r>
              <w:rPr>
                <w:rFonts w:ascii="Times New Roman" w:hAnsi="Times New Roman" w:eastAsia="Times New Roman" w:cs="Times New Roman"/>
                <w:spacing w:val="2"/>
                <w:sz w:val="24"/>
                <w:szCs w:val="24"/>
              </w:rPr>
              <w:t>4</w:t>
            </w:r>
            <w:r>
              <w:rPr>
                <w:rFonts w:ascii="Times New Roman" w:hAnsi="Times New Roman" w:eastAsia="Times New Roman" w:cs="Times New Roman"/>
                <w:spacing w:val="31"/>
                <w:sz w:val="24"/>
                <w:szCs w:val="24"/>
              </w:rPr>
              <w:t xml:space="preserve"> </w:t>
            </w:r>
            <w:r>
              <w:rPr>
                <w:rFonts w:ascii="宋体" w:hAnsi="宋体" w:eastAsia="宋体" w:cs="宋体"/>
                <w:spacing w:val="2"/>
                <w:sz w:val="24"/>
                <w:szCs w:val="24"/>
              </w:rPr>
              <w:t>台注塑机生产塑料筐，注塑</w:t>
            </w:r>
            <w:r>
              <w:rPr>
                <w:rFonts w:ascii="宋体" w:hAnsi="宋体" w:eastAsia="宋体" w:cs="宋体"/>
                <w:spacing w:val="1"/>
                <w:sz w:val="24"/>
                <w:szCs w:val="24"/>
              </w:rPr>
              <w:t>机用于塑料筐生产，热</w:t>
            </w:r>
            <w:r>
              <w:rPr>
                <w:rFonts w:ascii="宋体" w:hAnsi="宋体" w:eastAsia="宋体" w:cs="宋体"/>
                <w:spacing w:val="-2"/>
                <w:sz w:val="24"/>
                <w:szCs w:val="24"/>
              </w:rPr>
              <w:t>熔是在注塑机内部完成，处于严格密闭状态，只有少量未被固定的助剂、残余未聚合单体挥发出来。注塑工序产生的有机废气（以非甲烷总烃计</w:t>
            </w:r>
            <w:r>
              <w:rPr>
                <w:rFonts w:ascii="宋体" w:hAnsi="宋体" w:eastAsia="宋体" w:cs="宋体"/>
                <w:spacing w:val="6"/>
                <w:sz w:val="24"/>
                <w:szCs w:val="24"/>
              </w:rPr>
              <w:t>），</w:t>
            </w:r>
            <w:r>
              <w:rPr>
                <w:rFonts w:ascii="宋体" w:hAnsi="宋体" w:eastAsia="宋体" w:cs="宋体"/>
                <w:spacing w:val="-2"/>
                <w:sz w:val="24"/>
                <w:szCs w:val="24"/>
              </w:rPr>
              <w:t>参照《排放源统计调</w:t>
            </w:r>
            <w:r>
              <w:rPr>
                <w:rFonts w:ascii="宋体" w:hAnsi="宋体" w:eastAsia="宋体" w:cs="宋体"/>
                <w:spacing w:val="-4"/>
                <w:sz w:val="24"/>
                <w:szCs w:val="24"/>
              </w:rPr>
              <w:t>查产排污核算方法和系数手册》（公告</w:t>
            </w:r>
            <w:r>
              <w:rPr>
                <w:rFonts w:ascii="宋体" w:hAnsi="宋体" w:eastAsia="宋体" w:cs="宋体"/>
                <w:spacing w:val="-44"/>
                <w:sz w:val="24"/>
                <w:szCs w:val="24"/>
              </w:rPr>
              <w:t xml:space="preserve"> </w:t>
            </w:r>
            <w:r>
              <w:rPr>
                <w:rFonts w:ascii="Times New Roman" w:hAnsi="Times New Roman" w:eastAsia="Times New Roman" w:cs="Times New Roman"/>
                <w:spacing w:val="-4"/>
                <w:sz w:val="24"/>
                <w:szCs w:val="24"/>
              </w:rPr>
              <w:t xml:space="preserve">2021 </w:t>
            </w:r>
            <w:r>
              <w:rPr>
                <w:rFonts w:ascii="宋体" w:hAnsi="宋体" w:eastAsia="宋体" w:cs="宋体"/>
                <w:spacing w:val="-4"/>
                <w:sz w:val="24"/>
                <w:szCs w:val="24"/>
              </w:rPr>
              <w:t>年第</w:t>
            </w:r>
            <w:r>
              <w:rPr>
                <w:rFonts w:ascii="宋体" w:hAnsi="宋体" w:eastAsia="宋体" w:cs="宋体"/>
                <w:spacing w:val="-55"/>
                <w:sz w:val="24"/>
                <w:szCs w:val="24"/>
              </w:rPr>
              <w:t xml:space="preserve"> </w:t>
            </w:r>
            <w:r>
              <w:rPr>
                <w:rFonts w:ascii="Times New Roman" w:hAnsi="Times New Roman" w:eastAsia="Times New Roman" w:cs="Times New Roman"/>
                <w:spacing w:val="-4"/>
                <w:sz w:val="24"/>
                <w:szCs w:val="24"/>
              </w:rPr>
              <w:t>24</w:t>
            </w:r>
            <w:r>
              <w:rPr>
                <w:rFonts w:ascii="Times New Roman" w:hAnsi="Times New Roman" w:eastAsia="Times New Roman" w:cs="Times New Roman"/>
                <w:spacing w:val="15"/>
                <w:w w:val="101"/>
                <w:sz w:val="24"/>
                <w:szCs w:val="24"/>
              </w:rPr>
              <w:t xml:space="preserve"> </w:t>
            </w:r>
            <w:r>
              <w:rPr>
                <w:rFonts w:ascii="宋体" w:hAnsi="宋体" w:eastAsia="宋体" w:cs="宋体"/>
                <w:spacing w:val="-4"/>
                <w:sz w:val="24"/>
                <w:szCs w:val="24"/>
              </w:rPr>
              <w:t>号）</w:t>
            </w:r>
            <w:r>
              <w:rPr>
                <w:rFonts w:ascii="Times New Roman" w:hAnsi="Times New Roman" w:eastAsia="Times New Roman" w:cs="Times New Roman"/>
                <w:spacing w:val="-4"/>
                <w:sz w:val="24"/>
                <w:szCs w:val="24"/>
              </w:rPr>
              <w:t>2929</w:t>
            </w:r>
            <w:r>
              <w:rPr>
                <w:rFonts w:ascii="Times New Roman" w:hAnsi="Times New Roman" w:eastAsia="Times New Roman" w:cs="Times New Roman"/>
                <w:spacing w:val="14"/>
                <w:sz w:val="24"/>
                <w:szCs w:val="24"/>
              </w:rPr>
              <w:t xml:space="preserve"> </w:t>
            </w:r>
            <w:r>
              <w:rPr>
                <w:rFonts w:ascii="宋体" w:hAnsi="宋体" w:eastAsia="宋体" w:cs="宋体"/>
                <w:spacing w:val="-4"/>
                <w:sz w:val="24"/>
                <w:szCs w:val="24"/>
              </w:rPr>
              <w:t>塑料零件及其他塑料制</w:t>
            </w:r>
            <w:r>
              <w:rPr>
                <w:rFonts w:ascii="宋体" w:hAnsi="宋体" w:eastAsia="宋体" w:cs="宋体"/>
                <w:spacing w:val="-5"/>
                <w:sz w:val="24"/>
                <w:szCs w:val="24"/>
              </w:rPr>
              <w:t>品制造行业</w:t>
            </w:r>
            <w:r>
              <w:rPr>
                <w:rFonts w:ascii="Times New Roman" w:hAnsi="Times New Roman" w:eastAsia="Times New Roman" w:cs="Times New Roman"/>
                <w:spacing w:val="-5"/>
                <w:sz w:val="24"/>
                <w:szCs w:val="24"/>
              </w:rPr>
              <w:t>-</w:t>
            </w:r>
            <w:r>
              <w:rPr>
                <w:rFonts w:ascii="宋体" w:hAnsi="宋体" w:eastAsia="宋体" w:cs="宋体"/>
                <w:spacing w:val="-5"/>
                <w:sz w:val="24"/>
                <w:szCs w:val="24"/>
              </w:rPr>
              <w:t>注塑工艺：挥发性有机物产生量为</w:t>
            </w:r>
            <w:r>
              <w:rPr>
                <w:rFonts w:ascii="Times New Roman" w:hAnsi="Times New Roman" w:eastAsia="Times New Roman" w:cs="Times New Roman"/>
                <w:spacing w:val="-5"/>
                <w:sz w:val="24"/>
                <w:szCs w:val="24"/>
              </w:rPr>
              <w:t>2.7kg/t-</w:t>
            </w:r>
            <w:r>
              <w:rPr>
                <w:rFonts w:ascii="宋体" w:hAnsi="宋体" w:eastAsia="宋体" w:cs="宋体"/>
                <w:spacing w:val="-5"/>
                <w:sz w:val="24"/>
                <w:szCs w:val="24"/>
              </w:rPr>
              <w:t>产品，工业废气量按</w:t>
            </w:r>
            <w:r>
              <w:rPr>
                <w:rFonts w:ascii="宋体" w:hAnsi="宋体" w:eastAsia="宋体" w:cs="宋体"/>
                <w:spacing w:val="-44"/>
                <w:sz w:val="24"/>
                <w:szCs w:val="24"/>
              </w:rPr>
              <w:t xml:space="preserve"> </w:t>
            </w:r>
            <w:r>
              <w:rPr>
                <w:rFonts w:ascii="Times New Roman" w:hAnsi="Times New Roman" w:eastAsia="Times New Roman" w:cs="Times New Roman"/>
                <w:spacing w:val="-5"/>
                <w:sz w:val="24"/>
                <w:szCs w:val="24"/>
              </w:rPr>
              <w:t>1.20×10</w:t>
            </w:r>
            <w:r>
              <w:rPr>
                <w:rFonts w:ascii="Times New Roman" w:hAnsi="Times New Roman" w:eastAsia="Times New Roman" w:cs="Times New Roman"/>
                <w:spacing w:val="-5"/>
                <w:position w:val="7"/>
                <w:sz w:val="15"/>
                <w:szCs w:val="15"/>
              </w:rPr>
              <w:t>5</w:t>
            </w:r>
            <w:r>
              <w:rPr>
                <w:rFonts w:ascii="Times New Roman" w:hAnsi="Times New Roman" w:eastAsia="Times New Roman" w:cs="Times New Roman"/>
                <w:spacing w:val="-5"/>
                <w:sz w:val="24"/>
                <w:szCs w:val="24"/>
              </w:rPr>
              <w:t>m</w:t>
            </w:r>
            <w:r>
              <w:rPr>
                <w:rFonts w:ascii="Times New Roman" w:hAnsi="Times New Roman" w:eastAsia="Times New Roman" w:cs="Times New Roman"/>
                <w:spacing w:val="-5"/>
                <w:position w:val="7"/>
                <w:sz w:val="15"/>
                <w:szCs w:val="15"/>
              </w:rPr>
              <w:t>3</w:t>
            </w:r>
            <w:r>
              <w:rPr>
                <w:rFonts w:ascii="Times New Roman" w:hAnsi="Times New Roman" w:eastAsia="Times New Roman" w:cs="Times New Roman"/>
                <w:spacing w:val="-5"/>
                <w:sz w:val="24"/>
                <w:szCs w:val="24"/>
              </w:rPr>
              <w:t>/</w:t>
            </w:r>
            <w:r>
              <w:rPr>
                <w:rFonts w:ascii="宋体" w:hAnsi="宋体" w:eastAsia="宋体" w:cs="宋体"/>
                <w:spacing w:val="6"/>
                <w:sz w:val="24"/>
                <w:szCs w:val="24"/>
              </w:rPr>
              <w:t>吨</w:t>
            </w:r>
            <w:r>
              <w:rPr>
                <w:rFonts w:ascii="Times New Roman" w:hAnsi="Times New Roman" w:eastAsia="Times New Roman" w:cs="Times New Roman"/>
                <w:spacing w:val="6"/>
                <w:sz w:val="24"/>
                <w:szCs w:val="24"/>
              </w:rPr>
              <w:t>-</w:t>
            </w:r>
            <w:r>
              <w:rPr>
                <w:rFonts w:ascii="Times New Roman" w:hAnsi="Times New Roman" w:eastAsia="Times New Roman" w:cs="Times New Roman"/>
                <w:spacing w:val="-16"/>
                <w:sz w:val="24"/>
                <w:szCs w:val="24"/>
              </w:rPr>
              <w:t xml:space="preserve"> </w:t>
            </w:r>
            <w:r>
              <w:rPr>
                <w:rFonts w:ascii="宋体" w:hAnsi="宋体" w:eastAsia="宋体" w:cs="宋体"/>
                <w:spacing w:val="6"/>
                <w:sz w:val="24"/>
                <w:szCs w:val="24"/>
              </w:rPr>
              <w:t>产品进行核算</w:t>
            </w:r>
            <w:r>
              <w:rPr>
                <w:rFonts w:ascii="宋体" w:hAnsi="宋体" w:eastAsia="宋体" w:cs="宋体"/>
                <w:spacing w:val="-63"/>
                <w:sz w:val="24"/>
                <w:szCs w:val="24"/>
              </w:rPr>
              <w:t xml:space="preserve"> </w:t>
            </w:r>
            <w:r>
              <w:rPr>
                <w:rFonts w:ascii="宋体" w:hAnsi="宋体" w:eastAsia="宋体" w:cs="宋体"/>
                <w:spacing w:val="6"/>
                <w:sz w:val="24"/>
                <w:szCs w:val="24"/>
              </w:rPr>
              <w:t>。本项</w:t>
            </w:r>
            <w:r>
              <w:rPr>
                <w:rFonts w:ascii="宋体" w:hAnsi="宋体" w:eastAsia="宋体" w:cs="宋体"/>
                <w:spacing w:val="-41"/>
                <w:sz w:val="24"/>
                <w:szCs w:val="24"/>
              </w:rPr>
              <w:t xml:space="preserve"> </w:t>
            </w:r>
            <w:r>
              <w:rPr>
                <w:rFonts w:ascii="宋体" w:hAnsi="宋体" w:eastAsia="宋体" w:cs="宋体"/>
                <w:spacing w:val="6"/>
                <w:sz w:val="24"/>
                <w:szCs w:val="24"/>
              </w:rPr>
              <w:t>目塑料筐共有</w:t>
            </w:r>
            <w:r>
              <w:rPr>
                <w:rFonts w:ascii="宋体" w:hAnsi="宋体" w:eastAsia="宋体" w:cs="宋体"/>
                <w:spacing w:val="-31"/>
                <w:sz w:val="24"/>
                <w:szCs w:val="24"/>
              </w:rPr>
              <w:t xml:space="preserve"> </w:t>
            </w:r>
            <w:r>
              <w:rPr>
                <w:rFonts w:ascii="Times New Roman" w:hAnsi="Times New Roman" w:eastAsia="Times New Roman" w:cs="Times New Roman"/>
                <w:spacing w:val="6"/>
                <w:sz w:val="24"/>
                <w:szCs w:val="24"/>
              </w:rPr>
              <w:t xml:space="preserve">2300t </w:t>
            </w:r>
            <w:r>
              <w:rPr>
                <w:rFonts w:ascii="宋体" w:hAnsi="宋体" w:eastAsia="宋体" w:cs="宋体"/>
                <w:spacing w:val="6"/>
                <w:sz w:val="24"/>
                <w:szCs w:val="24"/>
              </w:rPr>
              <w:t>，则废气产生量为</w:t>
            </w:r>
            <w:r>
              <w:rPr>
                <w:rFonts w:ascii="宋体" w:hAnsi="宋体" w:eastAsia="宋体" w:cs="宋体"/>
                <w:spacing w:val="-31"/>
                <w:sz w:val="24"/>
                <w:szCs w:val="24"/>
              </w:rPr>
              <w:t xml:space="preserve"> </w:t>
            </w:r>
            <w:r>
              <w:rPr>
                <w:rFonts w:ascii="Times New Roman" w:hAnsi="Times New Roman" w:eastAsia="Times New Roman" w:cs="Times New Roman"/>
                <w:spacing w:val="6"/>
                <w:sz w:val="24"/>
                <w:szCs w:val="24"/>
              </w:rPr>
              <w:t>27600</w:t>
            </w:r>
            <w:r>
              <w:rPr>
                <w:rFonts w:ascii="Times New Roman" w:hAnsi="Times New Roman" w:eastAsia="Times New Roman" w:cs="Times New Roman"/>
                <w:spacing w:val="39"/>
                <w:w w:val="101"/>
                <w:sz w:val="24"/>
                <w:szCs w:val="24"/>
              </w:rPr>
              <w:t xml:space="preserve"> </w:t>
            </w:r>
            <w:r>
              <w:rPr>
                <w:rFonts w:ascii="宋体" w:hAnsi="宋体" w:eastAsia="宋体" w:cs="宋体"/>
                <w:spacing w:val="6"/>
                <w:sz w:val="24"/>
                <w:szCs w:val="24"/>
              </w:rPr>
              <w:t>万</w:t>
            </w:r>
            <w:r>
              <w:rPr>
                <w:rFonts w:ascii="宋体" w:hAnsi="宋体" w:eastAsia="宋体" w:cs="宋体"/>
                <w:spacing w:val="-35"/>
                <w:sz w:val="24"/>
                <w:szCs w:val="24"/>
              </w:rPr>
              <w:t xml:space="preserve"> </w:t>
            </w:r>
            <w:r>
              <w:rPr>
                <w:rFonts w:ascii="Times New Roman" w:hAnsi="Times New Roman" w:eastAsia="Times New Roman" w:cs="Times New Roman"/>
                <w:spacing w:val="6"/>
                <w:sz w:val="24"/>
                <w:szCs w:val="24"/>
              </w:rPr>
              <w:t>m</w:t>
            </w:r>
            <w:r>
              <w:rPr>
                <w:rFonts w:ascii="Times New Roman" w:hAnsi="Times New Roman" w:eastAsia="Times New Roman" w:cs="Times New Roman"/>
                <w:spacing w:val="6"/>
                <w:position w:val="8"/>
                <w:sz w:val="15"/>
                <w:szCs w:val="15"/>
              </w:rPr>
              <w:t>3</w:t>
            </w:r>
            <w:r>
              <w:rPr>
                <w:rFonts w:ascii="Times New Roman" w:hAnsi="Times New Roman" w:eastAsia="Times New Roman" w:cs="Times New Roman"/>
                <w:spacing w:val="6"/>
                <w:sz w:val="24"/>
                <w:szCs w:val="24"/>
              </w:rPr>
              <w:t xml:space="preserve">/a </w:t>
            </w:r>
            <w:r>
              <w:rPr>
                <w:rFonts w:ascii="宋体" w:hAnsi="宋体" w:eastAsia="宋体" w:cs="宋体"/>
                <w:spacing w:val="6"/>
                <w:sz w:val="24"/>
                <w:szCs w:val="24"/>
              </w:rPr>
              <w:t>，</w:t>
            </w:r>
            <w:r>
              <w:rPr>
                <w:rFonts w:ascii="宋体" w:hAnsi="宋体" w:eastAsia="宋体" w:cs="宋体"/>
                <w:sz w:val="24"/>
                <w:szCs w:val="24"/>
              </w:rPr>
              <w:t xml:space="preserve"> </w:t>
            </w:r>
            <w:r>
              <w:rPr>
                <w:rFonts w:ascii="Times New Roman" w:hAnsi="Times New Roman" w:eastAsia="Times New Roman" w:cs="Times New Roman"/>
                <w:spacing w:val="-2"/>
                <w:sz w:val="24"/>
                <w:szCs w:val="24"/>
              </w:rPr>
              <w:t>115000m</w:t>
            </w:r>
            <w:r>
              <w:rPr>
                <w:rFonts w:ascii="Times New Roman" w:hAnsi="Times New Roman" w:eastAsia="Times New Roman" w:cs="Times New Roman"/>
                <w:spacing w:val="-2"/>
                <w:position w:val="8"/>
                <w:sz w:val="15"/>
                <w:szCs w:val="15"/>
              </w:rPr>
              <w:t>3</w:t>
            </w:r>
            <w:r>
              <w:rPr>
                <w:rFonts w:ascii="Times New Roman" w:hAnsi="Times New Roman" w:eastAsia="Times New Roman" w:cs="Times New Roman"/>
                <w:spacing w:val="-2"/>
                <w:sz w:val="24"/>
                <w:szCs w:val="24"/>
              </w:rPr>
              <w:t>/h</w:t>
            </w:r>
            <w:r>
              <w:rPr>
                <w:rFonts w:ascii="Times New Roman" w:hAnsi="Times New Roman" w:eastAsia="Times New Roman" w:cs="Times New Roman"/>
                <w:spacing w:val="-25"/>
                <w:sz w:val="24"/>
                <w:szCs w:val="24"/>
              </w:rPr>
              <w:t xml:space="preserve"> </w:t>
            </w:r>
            <w:r>
              <w:rPr>
                <w:rFonts w:ascii="宋体" w:hAnsi="宋体" w:eastAsia="宋体" w:cs="宋体"/>
                <w:spacing w:val="-2"/>
                <w:sz w:val="24"/>
                <w:szCs w:val="24"/>
              </w:rPr>
              <w:t>，非甲烷总烃产生量为</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6.21t/a</w:t>
            </w:r>
            <w:r>
              <w:rPr>
                <w:rFonts w:ascii="宋体" w:hAnsi="宋体" w:eastAsia="宋体" w:cs="宋体"/>
                <w:spacing w:val="-2"/>
                <w:sz w:val="24"/>
                <w:szCs w:val="24"/>
              </w:rPr>
              <w:t>。</w:t>
            </w:r>
          </w:p>
          <w:p w14:paraId="4BAC0ED0">
            <w:pPr>
              <w:spacing w:before="1" w:line="359" w:lineRule="auto"/>
              <w:ind w:left="109" w:right="25" w:firstLine="479"/>
              <w:jc w:val="both"/>
              <w:rPr>
                <w:rFonts w:ascii="宋体" w:hAnsi="宋体" w:eastAsia="宋体" w:cs="宋体"/>
                <w:sz w:val="24"/>
                <w:szCs w:val="24"/>
              </w:rPr>
            </w:pPr>
            <w:r>
              <w:rPr>
                <w:rFonts w:ascii="宋体" w:hAnsi="宋体" w:eastAsia="宋体" w:cs="宋体"/>
                <w:spacing w:val="-3"/>
                <w:sz w:val="24"/>
                <w:szCs w:val="24"/>
              </w:rPr>
              <w:t>共设置</w:t>
            </w:r>
            <w:r>
              <w:rPr>
                <w:rFonts w:ascii="宋体" w:hAnsi="宋体" w:eastAsia="宋体" w:cs="宋体"/>
                <w:spacing w:val="-56"/>
                <w:sz w:val="24"/>
                <w:szCs w:val="24"/>
              </w:rPr>
              <w:t xml:space="preserve"> </w:t>
            </w:r>
            <w:r>
              <w:rPr>
                <w:rFonts w:ascii="Times New Roman" w:hAnsi="Times New Roman" w:eastAsia="Times New Roman" w:cs="Times New Roman"/>
                <w:spacing w:val="-3"/>
                <w:sz w:val="24"/>
                <w:szCs w:val="24"/>
              </w:rPr>
              <w:t>4</w:t>
            </w:r>
            <w:r>
              <w:rPr>
                <w:rFonts w:ascii="Times New Roman" w:hAnsi="Times New Roman" w:eastAsia="Times New Roman" w:cs="Times New Roman"/>
                <w:spacing w:val="28"/>
                <w:sz w:val="24"/>
                <w:szCs w:val="24"/>
              </w:rPr>
              <w:t xml:space="preserve"> </w:t>
            </w:r>
            <w:r>
              <w:rPr>
                <w:rFonts w:ascii="宋体" w:hAnsi="宋体" w:eastAsia="宋体" w:cs="宋体"/>
                <w:spacing w:val="-3"/>
                <w:sz w:val="24"/>
                <w:szCs w:val="24"/>
              </w:rPr>
              <w:t>台注塑机，在每台注塑机上方均安装集气</w:t>
            </w:r>
            <w:r>
              <w:rPr>
                <w:rFonts w:ascii="宋体" w:hAnsi="宋体" w:eastAsia="宋体" w:cs="宋体"/>
                <w:spacing w:val="-4"/>
                <w:sz w:val="24"/>
                <w:szCs w:val="24"/>
              </w:rPr>
              <w:t>罩（集气效率</w:t>
            </w:r>
            <w:r>
              <w:rPr>
                <w:rFonts w:ascii="宋体" w:hAnsi="宋体" w:eastAsia="宋体" w:cs="宋体"/>
                <w:spacing w:val="-45"/>
                <w:sz w:val="24"/>
                <w:szCs w:val="24"/>
              </w:rPr>
              <w:t xml:space="preserve"> </w:t>
            </w:r>
            <w:r>
              <w:rPr>
                <w:rFonts w:ascii="Times New Roman" w:hAnsi="Times New Roman" w:eastAsia="Times New Roman" w:cs="Times New Roman"/>
                <w:spacing w:val="-4"/>
                <w:sz w:val="24"/>
                <w:szCs w:val="24"/>
              </w:rPr>
              <w:t>80%</w:t>
            </w:r>
            <w:r>
              <w:rPr>
                <w:rFonts w:ascii="宋体" w:hAnsi="宋体" w:eastAsia="宋体" w:cs="宋体"/>
                <w:spacing w:val="-4"/>
                <w:sz w:val="24"/>
                <w:szCs w:val="24"/>
              </w:rPr>
              <w:t>）对非甲烷总烃进行收集，收集的非甲烷总烃量约</w:t>
            </w:r>
            <w:r>
              <w:rPr>
                <w:rFonts w:ascii="宋体" w:hAnsi="宋体" w:eastAsia="宋体" w:cs="宋体"/>
                <w:spacing w:val="-42"/>
                <w:sz w:val="24"/>
                <w:szCs w:val="24"/>
              </w:rPr>
              <w:t xml:space="preserve"> </w:t>
            </w:r>
            <w:r>
              <w:rPr>
                <w:rFonts w:ascii="Times New Roman" w:hAnsi="Times New Roman" w:eastAsia="Times New Roman" w:cs="Times New Roman"/>
                <w:spacing w:val="-4"/>
                <w:sz w:val="24"/>
                <w:szCs w:val="24"/>
              </w:rPr>
              <w:t>4.968t/a</w:t>
            </w:r>
            <w:r>
              <w:rPr>
                <w:rFonts w:ascii="Times New Roman" w:hAnsi="Times New Roman" w:eastAsia="Times New Roman" w:cs="Times New Roman"/>
                <w:spacing w:val="-32"/>
                <w:sz w:val="24"/>
                <w:szCs w:val="24"/>
              </w:rPr>
              <w:t xml:space="preserve"> </w:t>
            </w:r>
            <w:r>
              <w:rPr>
                <w:rFonts w:ascii="宋体" w:hAnsi="宋体" w:eastAsia="宋体" w:cs="宋体"/>
                <w:spacing w:val="-4"/>
                <w:sz w:val="24"/>
                <w:szCs w:val="24"/>
              </w:rPr>
              <w:t>，集气后经</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w:t>
            </w:r>
            <w:r>
              <w:rPr>
                <w:rFonts w:ascii="Times New Roman" w:hAnsi="Times New Roman" w:eastAsia="Times New Roman" w:cs="Times New Roman"/>
                <w:spacing w:val="28"/>
                <w:w w:val="101"/>
                <w:sz w:val="24"/>
                <w:szCs w:val="24"/>
              </w:rPr>
              <w:t xml:space="preserve"> </w:t>
            </w:r>
            <w:r>
              <w:rPr>
                <w:rFonts w:ascii="宋体" w:hAnsi="宋体" w:eastAsia="宋体" w:cs="宋体"/>
                <w:spacing w:val="-4"/>
                <w:sz w:val="24"/>
                <w:szCs w:val="24"/>
              </w:rPr>
              <w:t>台风量为</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115000m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4"/>
                <w:sz w:val="24"/>
                <w:szCs w:val="24"/>
              </w:rPr>
              <w:t>/h</w:t>
            </w:r>
            <w:r>
              <w:rPr>
                <w:rFonts w:ascii="Times New Roman" w:hAnsi="Times New Roman" w:eastAsia="Times New Roman" w:cs="Times New Roman"/>
                <w:spacing w:val="29"/>
                <w:sz w:val="24"/>
                <w:szCs w:val="24"/>
              </w:rPr>
              <w:t xml:space="preserve"> </w:t>
            </w:r>
            <w:r>
              <w:rPr>
                <w:rFonts w:ascii="宋体" w:hAnsi="宋体" w:eastAsia="宋体" w:cs="宋体"/>
                <w:spacing w:val="-4"/>
                <w:sz w:val="24"/>
                <w:szCs w:val="24"/>
              </w:rPr>
              <w:t>的</w:t>
            </w:r>
            <w:r>
              <w:rPr>
                <w:rFonts w:ascii="宋体" w:hAnsi="宋体" w:eastAsia="宋体" w:cs="宋体"/>
                <w:spacing w:val="-2"/>
                <w:sz w:val="24"/>
                <w:szCs w:val="24"/>
              </w:rPr>
              <w:t>引风机引至一套三级活性炭吸附处理设施处理，后经</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根</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 xml:space="preserve">15m </w:t>
            </w:r>
            <w:r>
              <w:rPr>
                <w:rFonts w:ascii="宋体" w:hAnsi="宋体" w:eastAsia="宋体" w:cs="宋体"/>
                <w:spacing w:val="-2"/>
                <w:sz w:val="24"/>
                <w:szCs w:val="24"/>
              </w:rPr>
              <w:t>高的排气筒（</w:t>
            </w:r>
            <w:r>
              <w:rPr>
                <w:rFonts w:ascii="Times New Roman" w:hAnsi="Times New Roman" w:eastAsia="Times New Roman" w:cs="Times New Roman"/>
                <w:spacing w:val="-2"/>
                <w:sz w:val="24"/>
                <w:szCs w:val="24"/>
              </w:rPr>
              <w:t>DA</w:t>
            </w:r>
            <w:r>
              <w:rPr>
                <w:rFonts w:ascii="Times New Roman" w:hAnsi="Times New Roman" w:eastAsia="Times New Roman" w:cs="Times New Roman"/>
                <w:spacing w:val="-3"/>
                <w:sz w:val="24"/>
                <w:szCs w:val="24"/>
              </w:rPr>
              <w:t>005</w:t>
            </w:r>
            <w:r>
              <w:rPr>
                <w:rFonts w:ascii="宋体" w:hAnsi="宋体" w:eastAsia="宋体" w:cs="宋体"/>
                <w:spacing w:val="-3"/>
                <w:sz w:val="24"/>
                <w:szCs w:val="24"/>
              </w:rPr>
              <w:t>）</w:t>
            </w:r>
            <w:r>
              <w:rPr>
                <w:rFonts w:ascii="宋体" w:hAnsi="宋体" w:eastAsia="宋体" w:cs="宋体"/>
                <w:spacing w:val="-4"/>
                <w:sz w:val="24"/>
                <w:szCs w:val="24"/>
              </w:rPr>
              <w:t>排放。</w:t>
            </w:r>
          </w:p>
          <w:p w14:paraId="2C7B2743">
            <w:pPr>
              <w:spacing w:before="1" w:line="286" w:lineRule="auto"/>
              <w:ind w:left="109" w:right="102" w:firstLine="480"/>
              <w:jc w:val="both"/>
              <w:rPr>
                <w:rFonts w:ascii="宋体" w:hAnsi="宋体" w:eastAsia="宋体" w:cs="宋体"/>
                <w:sz w:val="24"/>
                <w:szCs w:val="24"/>
              </w:rPr>
            </w:pPr>
            <w:r>
              <w:rPr>
                <w:rFonts w:ascii="宋体" w:hAnsi="宋体" w:eastAsia="宋体" w:cs="宋体"/>
                <w:spacing w:val="-2"/>
                <w:sz w:val="24"/>
                <w:szCs w:val="24"/>
              </w:rPr>
              <w:t>本项目采用三级活性炭处理有机废气，根据生态环境部发布的《主要污染</w:t>
            </w:r>
            <w:r>
              <w:rPr>
                <w:rFonts w:ascii="微软雅黑" w:hAnsi="微软雅黑" w:eastAsia="微软雅黑" w:cs="微软雅黑"/>
                <w:spacing w:val="-2"/>
                <w:sz w:val="24"/>
                <w:szCs w:val="24"/>
              </w:rPr>
              <w:t>物总量</w:t>
            </w:r>
            <w:r>
              <w:rPr>
                <w:rFonts w:ascii="宋体" w:hAnsi="宋体" w:eastAsia="宋体" w:cs="宋体"/>
                <w:spacing w:val="-2"/>
                <w:sz w:val="24"/>
                <w:szCs w:val="24"/>
              </w:rPr>
              <w:t>减排核算技术指南</w:t>
            </w:r>
            <w:r>
              <w:rPr>
                <w:rFonts w:ascii="Times New Roman" w:hAnsi="Times New Roman" w:eastAsia="Times New Roman" w:cs="Times New Roman"/>
                <w:spacing w:val="-2"/>
                <w:sz w:val="24"/>
                <w:szCs w:val="24"/>
              </w:rPr>
              <w:t xml:space="preserve">(2022 </w:t>
            </w:r>
            <w:r>
              <w:rPr>
                <w:rFonts w:ascii="宋体" w:hAnsi="宋体" w:eastAsia="宋体" w:cs="宋体"/>
                <w:spacing w:val="-2"/>
                <w:sz w:val="24"/>
                <w:szCs w:val="24"/>
              </w:rPr>
              <w:t>年修订</w:t>
            </w:r>
            <w:r>
              <w:rPr>
                <w:rFonts w:ascii="Times New Roman" w:hAnsi="Times New Roman" w:eastAsia="Times New Roman" w:cs="Times New Roman"/>
                <w:spacing w:val="-2"/>
                <w:sz w:val="24"/>
                <w:szCs w:val="24"/>
              </w:rPr>
              <w:t>)</w:t>
            </w:r>
            <w:r>
              <w:rPr>
                <w:rFonts w:ascii="宋体" w:hAnsi="宋体" w:eastAsia="宋体" w:cs="宋体"/>
                <w:spacing w:val="-2"/>
                <w:sz w:val="24"/>
                <w:szCs w:val="24"/>
              </w:rPr>
              <w:t>》，一次性活性炭吸附处理效率</w:t>
            </w:r>
            <w:r>
              <w:rPr>
                <w:rFonts w:ascii="宋体" w:hAnsi="宋体" w:eastAsia="宋体" w:cs="宋体"/>
                <w:spacing w:val="-3"/>
                <w:sz w:val="24"/>
                <w:szCs w:val="24"/>
              </w:rPr>
              <w:t>约为</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30%</w:t>
            </w:r>
            <w:r>
              <w:rPr>
                <w:rFonts w:ascii="Times New Roman" w:hAnsi="Times New Roman" w:eastAsia="Times New Roman" w:cs="Times New Roman"/>
                <w:spacing w:val="-31"/>
                <w:sz w:val="24"/>
                <w:szCs w:val="24"/>
              </w:rPr>
              <w:t xml:space="preserve"> </w:t>
            </w:r>
            <w:r>
              <w:rPr>
                <w:rFonts w:ascii="宋体" w:hAnsi="宋体" w:eastAsia="宋体" w:cs="宋体"/>
                <w:spacing w:val="-3"/>
                <w:sz w:val="24"/>
                <w:szCs w:val="24"/>
              </w:rPr>
              <w:t>，而采用多</w:t>
            </w:r>
            <w:r>
              <w:rPr>
                <w:rFonts w:ascii="宋体" w:hAnsi="宋体" w:eastAsia="宋体" w:cs="宋体"/>
                <w:spacing w:val="-2"/>
                <w:sz w:val="24"/>
                <w:szCs w:val="24"/>
              </w:rPr>
              <w:t>级活性炭吸附装置（由</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层吸附处理提高到</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 xml:space="preserve">3 </w:t>
            </w:r>
            <w:r>
              <w:rPr>
                <w:rFonts w:ascii="宋体" w:hAnsi="宋体" w:eastAsia="宋体" w:cs="宋体"/>
                <w:spacing w:val="-2"/>
                <w:sz w:val="24"/>
                <w:szCs w:val="24"/>
              </w:rPr>
              <w:t>层吸附处理</w:t>
            </w:r>
            <w:r>
              <w:rPr>
                <w:rFonts w:ascii="宋体" w:hAnsi="宋体" w:eastAsia="宋体" w:cs="宋体"/>
                <w:spacing w:val="-10"/>
                <w:sz w:val="24"/>
                <w:szCs w:val="24"/>
              </w:rPr>
              <w:t>），</w:t>
            </w:r>
            <w:r>
              <w:rPr>
                <w:rFonts w:ascii="宋体" w:hAnsi="宋体" w:eastAsia="宋体" w:cs="宋体"/>
                <w:spacing w:val="-2"/>
                <w:sz w:val="24"/>
                <w:szCs w:val="24"/>
              </w:rPr>
              <w:t>通过增加有机</w:t>
            </w:r>
            <w:r>
              <w:rPr>
                <w:rFonts w:ascii="微软雅黑" w:hAnsi="微软雅黑" w:eastAsia="微软雅黑" w:cs="微软雅黑"/>
                <w:spacing w:val="-2"/>
                <w:sz w:val="24"/>
                <w:szCs w:val="24"/>
              </w:rPr>
              <w:t>废气</w:t>
            </w:r>
            <w:r>
              <w:rPr>
                <w:rFonts w:ascii="宋体" w:hAnsi="宋体" w:eastAsia="宋体" w:cs="宋体"/>
                <w:spacing w:val="-2"/>
                <w:sz w:val="24"/>
                <w:szCs w:val="24"/>
              </w:rPr>
              <w:t>的停</w:t>
            </w:r>
            <w:r>
              <w:rPr>
                <w:rFonts w:ascii="宋体" w:hAnsi="宋体" w:eastAsia="宋体" w:cs="宋体"/>
                <w:spacing w:val="-1"/>
                <w:sz w:val="24"/>
                <w:szCs w:val="24"/>
              </w:rPr>
              <w:t>留时间，能有效提高处置效率，有机</w:t>
            </w:r>
            <w:r>
              <w:rPr>
                <w:rFonts w:ascii="微软雅黑" w:hAnsi="微软雅黑" w:eastAsia="微软雅黑" w:cs="微软雅黑"/>
                <w:spacing w:val="-1"/>
                <w:sz w:val="24"/>
                <w:szCs w:val="24"/>
              </w:rPr>
              <w:t>废气</w:t>
            </w:r>
            <w:r>
              <w:rPr>
                <w:rFonts w:ascii="宋体" w:hAnsi="宋体" w:eastAsia="宋体" w:cs="宋体"/>
                <w:spacing w:val="-1"/>
                <w:sz w:val="24"/>
                <w:szCs w:val="24"/>
              </w:rPr>
              <w:t>处置率可达</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65.7%</w:t>
            </w:r>
            <w:r>
              <w:rPr>
                <w:rFonts w:ascii="Times New Roman" w:hAnsi="Times New Roman" w:eastAsia="Times New Roman" w:cs="Times New Roman"/>
                <w:spacing w:val="-31"/>
                <w:sz w:val="24"/>
                <w:szCs w:val="24"/>
              </w:rPr>
              <w:t xml:space="preserve"> </w:t>
            </w:r>
            <w:r>
              <w:rPr>
                <w:rFonts w:ascii="宋体" w:hAnsi="宋体" w:eastAsia="宋体" w:cs="宋体"/>
                <w:spacing w:val="-2"/>
                <w:sz w:val="24"/>
                <w:szCs w:val="24"/>
              </w:rPr>
              <w:t>，考虑到实际运用过程中</w:t>
            </w:r>
            <w:r>
              <w:rPr>
                <w:rFonts w:ascii="宋体" w:hAnsi="宋体" w:eastAsia="宋体" w:cs="宋体"/>
                <w:spacing w:val="-1"/>
                <w:sz w:val="24"/>
                <w:szCs w:val="24"/>
              </w:rPr>
              <w:t>的不利影响。因此本项目</w:t>
            </w:r>
            <w:r>
              <w:rPr>
                <w:rFonts w:ascii="Times New Roman" w:hAnsi="Times New Roman" w:eastAsia="Times New Roman" w:cs="Times New Roman"/>
                <w:spacing w:val="-1"/>
                <w:sz w:val="24"/>
                <w:szCs w:val="24"/>
              </w:rPr>
              <w:t>“</w:t>
            </w:r>
            <w:r>
              <w:rPr>
                <w:rFonts w:ascii="宋体" w:hAnsi="宋体" w:eastAsia="宋体" w:cs="宋体"/>
                <w:spacing w:val="-1"/>
                <w:sz w:val="24"/>
                <w:szCs w:val="24"/>
              </w:rPr>
              <w:t>三级活性炭</w:t>
            </w:r>
            <w:r>
              <w:rPr>
                <w:rFonts w:ascii="Times New Roman" w:hAnsi="Times New Roman" w:eastAsia="Times New Roman" w:cs="Times New Roman"/>
                <w:spacing w:val="-1"/>
                <w:sz w:val="24"/>
                <w:szCs w:val="24"/>
              </w:rPr>
              <w:t>”</w:t>
            </w:r>
            <w:r>
              <w:rPr>
                <w:rFonts w:ascii="宋体" w:hAnsi="宋体" w:eastAsia="宋体" w:cs="宋体"/>
                <w:spacing w:val="-1"/>
                <w:sz w:val="24"/>
                <w:szCs w:val="24"/>
              </w:rPr>
              <w:t>对有机</w:t>
            </w:r>
            <w:r>
              <w:rPr>
                <w:rFonts w:ascii="微软雅黑" w:hAnsi="微软雅黑" w:eastAsia="微软雅黑" w:cs="微软雅黑"/>
                <w:spacing w:val="-1"/>
                <w:sz w:val="24"/>
                <w:szCs w:val="24"/>
              </w:rPr>
              <w:t>废气</w:t>
            </w:r>
            <w:r>
              <w:rPr>
                <w:rFonts w:ascii="宋体" w:hAnsi="宋体" w:eastAsia="宋体" w:cs="宋体"/>
                <w:spacing w:val="-1"/>
                <w:sz w:val="24"/>
                <w:szCs w:val="24"/>
              </w:rPr>
              <w:t>的综合去除效率取</w:t>
            </w:r>
            <w:r>
              <w:rPr>
                <w:rFonts w:ascii="宋体" w:hAnsi="宋体" w:eastAsia="宋体" w:cs="宋体"/>
                <w:spacing w:val="-35"/>
                <w:sz w:val="24"/>
                <w:szCs w:val="24"/>
              </w:rPr>
              <w:t xml:space="preserve"> </w:t>
            </w:r>
            <w:r>
              <w:rPr>
                <w:rFonts w:ascii="Times New Roman" w:hAnsi="Times New Roman" w:eastAsia="Times New Roman" w:cs="Times New Roman"/>
                <w:spacing w:val="-1"/>
                <w:sz w:val="24"/>
                <w:szCs w:val="24"/>
              </w:rPr>
              <w:t>65%</w:t>
            </w:r>
            <w:r>
              <w:rPr>
                <w:rFonts w:ascii="宋体" w:hAnsi="宋体" w:eastAsia="宋体" w:cs="宋体"/>
                <w:spacing w:val="-1"/>
                <w:sz w:val="24"/>
                <w:szCs w:val="24"/>
              </w:rPr>
              <w:t>。</w:t>
            </w:r>
          </w:p>
          <w:p w14:paraId="0AA43607">
            <w:pPr>
              <w:spacing w:before="1" w:line="218" w:lineRule="auto"/>
              <w:ind w:left="589"/>
              <w:rPr>
                <w:rFonts w:ascii="宋体" w:hAnsi="宋体" w:eastAsia="宋体" w:cs="宋体"/>
                <w:sz w:val="24"/>
                <w:szCs w:val="24"/>
              </w:rPr>
            </w:pPr>
            <w:r>
              <w:rPr>
                <w:rFonts w:ascii="宋体" w:hAnsi="宋体" w:eastAsia="宋体" w:cs="宋体"/>
                <w:spacing w:val="-2"/>
                <w:sz w:val="24"/>
                <w:szCs w:val="24"/>
              </w:rPr>
              <w:t>三级活性炭吸附净化装置净化效率为</w:t>
            </w:r>
            <w:r>
              <w:rPr>
                <w:rFonts w:ascii="宋体" w:hAnsi="宋体" w:eastAsia="宋体" w:cs="宋体"/>
                <w:spacing w:val="-49"/>
                <w:sz w:val="24"/>
                <w:szCs w:val="24"/>
              </w:rPr>
              <w:t xml:space="preserve"> </w:t>
            </w:r>
            <w:r>
              <w:rPr>
                <w:rFonts w:ascii="Times New Roman" w:hAnsi="Times New Roman" w:eastAsia="Times New Roman" w:cs="Times New Roman"/>
                <w:spacing w:val="-2"/>
                <w:sz w:val="24"/>
                <w:szCs w:val="24"/>
              </w:rPr>
              <w:t>65%</w:t>
            </w:r>
            <w:r>
              <w:rPr>
                <w:rFonts w:ascii="宋体" w:hAnsi="宋体" w:eastAsia="宋体" w:cs="宋体"/>
                <w:spacing w:val="-2"/>
                <w:sz w:val="24"/>
                <w:szCs w:val="24"/>
              </w:rPr>
              <w:t>。参</w:t>
            </w:r>
            <w:r>
              <w:rPr>
                <w:rFonts w:ascii="宋体" w:hAnsi="宋体" w:eastAsia="宋体" w:cs="宋体"/>
                <w:spacing w:val="-3"/>
                <w:sz w:val="24"/>
                <w:szCs w:val="24"/>
              </w:rPr>
              <w:t>照《挥发性有机物治理突出问题排</w:t>
            </w:r>
          </w:p>
        </w:tc>
      </w:tr>
    </w:tbl>
    <w:p w14:paraId="1AC0C518">
      <w:pPr>
        <w:pStyle w:val="2"/>
      </w:pPr>
    </w:p>
    <w:p w14:paraId="3926080F">
      <w:pPr>
        <w:sectPr>
          <w:footerReference r:id="rId89" w:type="default"/>
          <w:pgSz w:w="11906" w:h="16839"/>
          <w:pgMar w:top="400" w:right="1055" w:bottom="1085" w:left="1054" w:header="0" w:footer="762" w:gutter="0"/>
          <w:cols w:space="720" w:num="1"/>
        </w:sectPr>
      </w:pPr>
    </w:p>
    <w:p w14:paraId="01078F8E">
      <w:pPr>
        <w:spacing w:before="19"/>
      </w:pPr>
    </w:p>
    <w:p w14:paraId="21A7B33F">
      <w:pPr>
        <w:spacing w:before="19"/>
      </w:pPr>
    </w:p>
    <w:p w14:paraId="4DF4E8B2">
      <w:pPr>
        <w:spacing w:before="19"/>
      </w:pPr>
    </w:p>
    <w:p w14:paraId="45883036">
      <w:pPr>
        <w:spacing w:before="18"/>
      </w:pPr>
    </w:p>
    <w:p w14:paraId="7B691046">
      <w:pPr>
        <w:spacing w:before="18"/>
      </w:pPr>
    </w:p>
    <w:tbl>
      <w:tblPr>
        <w:tblStyle w:val="10"/>
        <w:tblW w:w="978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5"/>
        <w:gridCol w:w="115"/>
        <w:gridCol w:w="478"/>
        <w:gridCol w:w="2842"/>
        <w:gridCol w:w="1871"/>
        <w:gridCol w:w="3615"/>
        <w:gridCol w:w="125"/>
      </w:tblGrid>
      <w:tr w14:paraId="10C66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4" w:hRule="atLeast"/>
        </w:trPr>
        <w:tc>
          <w:tcPr>
            <w:tcW w:w="735" w:type="dxa"/>
            <w:vMerge w:val="restart"/>
            <w:tcBorders>
              <w:top w:val="single" w:color="000000" w:sz="6" w:space="0"/>
              <w:left w:val="single" w:color="000000" w:sz="6" w:space="0"/>
              <w:bottom w:val="nil"/>
            </w:tcBorders>
            <w:vAlign w:val="top"/>
          </w:tcPr>
          <w:p w14:paraId="64BA94A4">
            <w:pPr>
              <w:rPr>
                <w:rFonts w:ascii="Arial"/>
                <w:sz w:val="21"/>
              </w:rPr>
            </w:pPr>
          </w:p>
        </w:tc>
        <w:tc>
          <w:tcPr>
            <w:tcW w:w="9046" w:type="dxa"/>
            <w:gridSpan w:val="6"/>
            <w:tcBorders>
              <w:top w:val="single" w:color="000000" w:sz="6" w:space="0"/>
              <w:right w:val="single" w:color="000000" w:sz="6" w:space="0"/>
            </w:tcBorders>
            <w:vAlign w:val="top"/>
          </w:tcPr>
          <w:p w14:paraId="7539BB57">
            <w:pPr>
              <w:spacing w:before="37" w:line="357" w:lineRule="auto"/>
              <w:ind w:left="111" w:right="102"/>
              <w:jc w:val="both"/>
              <w:rPr>
                <w:rFonts w:ascii="宋体" w:hAnsi="宋体" w:eastAsia="宋体" w:cs="宋体"/>
                <w:sz w:val="24"/>
                <w:szCs w:val="24"/>
              </w:rPr>
            </w:pPr>
            <w:r>
              <w:rPr>
                <w:rFonts w:ascii="宋体" w:hAnsi="宋体" w:eastAsia="宋体" w:cs="宋体"/>
                <w:spacing w:val="-2"/>
                <w:sz w:val="24"/>
                <w:szCs w:val="24"/>
              </w:rPr>
              <w:t>查整治工作要求》，采用活性炭吸附工艺的企业，一次性活性炭吸附工艺宜采用颗粒</w:t>
            </w:r>
            <w:r>
              <w:rPr>
                <w:rFonts w:ascii="宋体" w:hAnsi="宋体" w:eastAsia="宋体" w:cs="宋体"/>
                <w:spacing w:val="-1"/>
                <w:sz w:val="24"/>
                <w:szCs w:val="24"/>
              </w:rPr>
              <w:t>活性炭作为吸附剂，采用颗粒活性炭作为吸附剂时，其碘值不宜低于</w:t>
            </w:r>
            <w:r>
              <w:rPr>
                <w:rFonts w:ascii="宋体" w:hAnsi="宋体" w:eastAsia="宋体" w:cs="宋体"/>
                <w:spacing w:val="-34"/>
                <w:sz w:val="24"/>
                <w:szCs w:val="24"/>
              </w:rPr>
              <w:t xml:space="preserve"> </w:t>
            </w:r>
            <w:r>
              <w:rPr>
                <w:rFonts w:ascii="Times New Roman" w:hAnsi="Times New Roman" w:eastAsia="Times New Roman" w:cs="Times New Roman"/>
                <w:spacing w:val="-1"/>
                <w:sz w:val="24"/>
                <w:szCs w:val="24"/>
              </w:rPr>
              <w:t>800mg/g</w:t>
            </w:r>
            <w:r>
              <w:rPr>
                <w:rFonts w:ascii="宋体" w:hAnsi="宋体" w:eastAsia="宋体" w:cs="宋体"/>
                <w:spacing w:val="-1"/>
                <w:sz w:val="24"/>
                <w:szCs w:val="24"/>
              </w:rPr>
              <w:t>；项目活性炭不得使用蜂窝活性炭作为吸附剂。</w:t>
            </w:r>
          </w:p>
          <w:p w14:paraId="5E2DBFBA">
            <w:pPr>
              <w:spacing w:before="12" w:line="356" w:lineRule="auto"/>
              <w:ind w:left="107" w:right="72" w:firstLine="499"/>
              <w:jc w:val="both"/>
              <w:rPr>
                <w:rFonts w:ascii="宋体" w:hAnsi="宋体" w:eastAsia="宋体" w:cs="宋体"/>
                <w:sz w:val="24"/>
                <w:szCs w:val="24"/>
              </w:rPr>
            </w:pPr>
            <w:r>
              <w:rPr>
                <w:rFonts w:ascii="宋体" w:hAnsi="宋体" w:eastAsia="宋体" w:cs="宋体"/>
                <w:spacing w:val="-4"/>
                <w:sz w:val="24"/>
                <w:szCs w:val="24"/>
              </w:rPr>
              <w:t>因此项目有组织产生量为</w:t>
            </w:r>
            <w:r>
              <w:rPr>
                <w:rFonts w:ascii="宋体" w:hAnsi="宋体" w:eastAsia="宋体" w:cs="宋体"/>
                <w:spacing w:val="-49"/>
                <w:sz w:val="24"/>
                <w:szCs w:val="24"/>
              </w:rPr>
              <w:t xml:space="preserve"> </w:t>
            </w:r>
            <w:r>
              <w:rPr>
                <w:rFonts w:ascii="Times New Roman" w:hAnsi="Times New Roman" w:eastAsia="Times New Roman" w:cs="Times New Roman"/>
                <w:spacing w:val="-4"/>
                <w:sz w:val="24"/>
                <w:szCs w:val="24"/>
              </w:rPr>
              <w:t>4.968t/a</w:t>
            </w:r>
            <w:r>
              <w:rPr>
                <w:rFonts w:ascii="Times New Roman" w:hAnsi="Times New Roman" w:eastAsia="Times New Roman" w:cs="Times New Roman"/>
                <w:spacing w:val="-34"/>
                <w:sz w:val="24"/>
                <w:szCs w:val="24"/>
              </w:rPr>
              <w:t xml:space="preserve"> </w:t>
            </w:r>
            <w:r>
              <w:rPr>
                <w:rFonts w:ascii="宋体" w:hAnsi="宋体" w:eastAsia="宋体" w:cs="宋体"/>
                <w:spacing w:val="-4"/>
                <w:sz w:val="24"/>
                <w:szCs w:val="24"/>
              </w:rPr>
              <w:t>，产生速率为</w:t>
            </w:r>
            <w:r>
              <w:rPr>
                <w:rFonts w:ascii="宋体" w:hAnsi="宋体" w:eastAsia="宋体" w:cs="宋体"/>
                <w:spacing w:val="-55"/>
                <w:sz w:val="24"/>
                <w:szCs w:val="24"/>
              </w:rPr>
              <w:t xml:space="preserve"> </w:t>
            </w:r>
            <w:r>
              <w:rPr>
                <w:rFonts w:ascii="Times New Roman" w:hAnsi="Times New Roman" w:eastAsia="Times New Roman" w:cs="Times New Roman"/>
                <w:spacing w:val="-4"/>
                <w:sz w:val="24"/>
                <w:szCs w:val="24"/>
              </w:rPr>
              <w:t>2.07kg/h</w:t>
            </w:r>
            <w:r>
              <w:rPr>
                <w:rFonts w:ascii="Times New Roman" w:hAnsi="Times New Roman" w:eastAsia="Times New Roman" w:cs="Times New Roman"/>
                <w:spacing w:val="-29"/>
                <w:sz w:val="24"/>
                <w:szCs w:val="24"/>
              </w:rPr>
              <w:t xml:space="preserve"> </w:t>
            </w:r>
            <w:r>
              <w:rPr>
                <w:rFonts w:ascii="宋体" w:hAnsi="宋体" w:eastAsia="宋体" w:cs="宋体"/>
                <w:spacing w:val="-4"/>
                <w:sz w:val="24"/>
                <w:szCs w:val="24"/>
              </w:rPr>
              <w:t>，产生浓度为</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18mg/m</w:t>
            </w:r>
            <w:r>
              <w:rPr>
                <w:rFonts w:ascii="Times New Roman" w:hAnsi="Times New Roman" w:eastAsia="Times New Roman" w:cs="Times New Roman"/>
                <w:spacing w:val="-4"/>
                <w:position w:val="8"/>
                <w:sz w:val="15"/>
                <w:szCs w:val="15"/>
              </w:rPr>
              <w:t>3</w:t>
            </w:r>
            <w:r>
              <w:rPr>
                <w:rFonts w:ascii="宋体" w:hAnsi="宋体" w:eastAsia="宋体" w:cs="宋体"/>
                <w:spacing w:val="-4"/>
                <w:sz w:val="24"/>
                <w:szCs w:val="24"/>
              </w:rPr>
              <w:t>，</w:t>
            </w:r>
            <w:r>
              <w:rPr>
                <w:rFonts w:ascii="宋体" w:hAnsi="宋体" w:eastAsia="宋体" w:cs="宋体"/>
                <w:spacing w:val="9"/>
                <w:sz w:val="24"/>
                <w:szCs w:val="24"/>
              </w:rPr>
              <w:t>经过三级活性炭吸附装置处理后，有组织排放量</w:t>
            </w:r>
            <w:r>
              <w:rPr>
                <w:rFonts w:ascii="宋体" w:hAnsi="宋体" w:eastAsia="宋体" w:cs="宋体"/>
                <w:spacing w:val="8"/>
                <w:sz w:val="24"/>
                <w:szCs w:val="24"/>
              </w:rPr>
              <w:t>为</w:t>
            </w:r>
            <w:r>
              <w:rPr>
                <w:rFonts w:ascii="宋体" w:hAnsi="宋体" w:eastAsia="宋体" w:cs="宋体"/>
                <w:spacing w:val="-19"/>
                <w:sz w:val="24"/>
                <w:szCs w:val="24"/>
              </w:rPr>
              <w:t xml:space="preserve"> </w:t>
            </w:r>
            <w:r>
              <w:rPr>
                <w:rFonts w:ascii="Times New Roman" w:hAnsi="Times New Roman" w:eastAsia="Times New Roman" w:cs="Times New Roman"/>
                <w:spacing w:val="8"/>
                <w:sz w:val="24"/>
                <w:szCs w:val="24"/>
              </w:rPr>
              <w:t>1.7388t/a</w:t>
            </w:r>
            <w:r>
              <w:rPr>
                <w:rFonts w:ascii="Times New Roman" w:hAnsi="Times New Roman" w:eastAsia="Times New Roman" w:cs="Times New Roman"/>
                <w:spacing w:val="-18"/>
                <w:sz w:val="24"/>
                <w:szCs w:val="24"/>
              </w:rPr>
              <w:t xml:space="preserve"> </w:t>
            </w:r>
            <w:r>
              <w:rPr>
                <w:rFonts w:ascii="宋体" w:hAnsi="宋体" w:eastAsia="宋体" w:cs="宋体"/>
                <w:spacing w:val="8"/>
                <w:sz w:val="24"/>
                <w:szCs w:val="24"/>
              </w:rPr>
              <w:t>，有组织排放速率为</w:t>
            </w:r>
            <w:r>
              <w:rPr>
                <w:rFonts w:ascii="Times New Roman" w:hAnsi="Times New Roman" w:eastAsia="Times New Roman" w:cs="Times New Roman"/>
                <w:spacing w:val="-2"/>
                <w:sz w:val="24"/>
                <w:szCs w:val="24"/>
              </w:rPr>
              <w:t>0.7245kg/h</w:t>
            </w:r>
            <w:r>
              <w:rPr>
                <w:rFonts w:ascii="Times New Roman" w:hAnsi="Times New Roman" w:eastAsia="Times New Roman" w:cs="Times New Roman"/>
                <w:spacing w:val="-30"/>
                <w:sz w:val="24"/>
                <w:szCs w:val="24"/>
              </w:rPr>
              <w:t xml:space="preserve"> </w:t>
            </w:r>
            <w:r>
              <w:rPr>
                <w:rFonts w:ascii="宋体" w:hAnsi="宋体" w:eastAsia="宋体" w:cs="宋体"/>
                <w:spacing w:val="-29"/>
                <w:sz w:val="24"/>
                <w:szCs w:val="24"/>
              </w:rPr>
              <w:t>，（</w:t>
            </w:r>
            <w:r>
              <w:rPr>
                <w:rFonts w:ascii="宋体" w:hAnsi="宋体" w:eastAsia="宋体" w:cs="宋体"/>
                <w:spacing w:val="-2"/>
                <w:sz w:val="24"/>
                <w:szCs w:val="24"/>
              </w:rPr>
              <w:t>项目年运行</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300d</w:t>
            </w:r>
            <w:r>
              <w:rPr>
                <w:rFonts w:ascii="Times New Roman" w:hAnsi="Times New Roman" w:eastAsia="Times New Roman" w:cs="Times New Roman"/>
                <w:spacing w:val="-31"/>
                <w:sz w:val="24"/>
                <w:szCs w:val="24"/>
              </w:rPr>
              <w:t xml:space="preserve"> </w:t>
            </w:r>
            <w:r>
              <w:rPr>
                <w:rFonts w:ascii="宋体" w:hAnsi="宋体" w:eastAsia="宋体" w:cs="宋体"/>
                <w:spacing w:val="-2"/>
                <w:sz w:val="24"/>
                <w:szCs w:val="24"/>
              </w:rPr>
              <w:t>，每天运行</w:t>
            </w:r>
            <w:r>
              <w:rPr>
                <w:rFonts w:ascii="宋体" w:hAnsi="宋体" w:eastAsia="宋体" w:cs="宋体"/>
                <w:spacing w:val="-46"/>
                <w:sz w:val="24"/>
                <w:szCs w:val="24"/>
              </w:rPr>
              <w:t xml:space="preserve"> </w:t>
            </w:r>
            <w:r>
              <w:rPr>
                <w:rFonts w:ascii="Times New Roman" w:hAnsi="Times New Roman" w:eastAsia="Times New Roman" w:cs="Times New Roman"/>
                <w:spacing w:val="-2"/>
                <w:sz w:val="24"/>
                <w:szCs w:val="24"/>
              </w:rPr>
              <w:t>8h</w:t>
            </w:r>
            <w:r>
              <w:rPr>
                <w:rFonts w:ascii="宋体" w:hAnsi="宋体" w:eastAsia="宋体" w:cs="宋体"/>
                <w:spacing w:val="-29"/>
                <w:sz w:val="24"/>
                <w:szCs w:val="24"/>
              </w:rPr>
              <w:t>），</w:t>
            </w:r>
            <w:r>
              <w:rPr>
                <w:rFonts w:ascii="宋体" w:hAnsi="宋体" w:eastAsia="宋体" w:cs="宋体"/>
                <w:spacing w:val="-2"/>
                <w:sz w:val="24"/>
                <w:szCs w:val="24"/>
              </w:rPr>
              <w:t>排放浓度为</w:t>
            </w:r>
            <w:r>
              <w:rPr>
                <w:rFonts w:ascii="宋体" w:hAnsi="宋体" w:eastAsia="宋体" w:cs="宋体"/>
                <w:spacing w:val="-49"/>
                <w:sz w:val="24"/>
                <w:szCs w:val="24"/>
              </w:rPr>
              <w:t xml:space="preserve"> </w:t>
            </w:r>
            <w:r>
              <w:rPr>
                <w:rFonts w:ascii="Times New Roman" w:hAnsi="Times New Roman" w:eastAsia="Times New Roman" w:cs="Times New Roman"/>
                <w:spacing w:val="-3"/>
                <w:sz w:val="24"/>
                <w:szCs w:val="24"/>
              </w:rPr>
              <w:t>6.3mg/m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9"/>
                <w:position w:val="8"/>
                <w:sz w:val="15"/>
                <w:szCs w:val="15"/>
              </w:rPr>
              <w:t xml:space="preserve"> </w:t>
            </w:r>
            <w:r>
              <w:rPr>
                <w:rFonts w:ascii="宋体" w:hAnsi="宋体" w:eastAsia="宋体" w:cs="宋体"/>
                <w:spacing w:val="-3"/>
                <w:sz w:val="24"/>
                <w:szCs w:val="24"/>
              </w:rPr>
              <w:t>；未收集的非甲烷总烃产生量为</w:t>
            </w:r>
            <w:r>
              <w:rPr>
                <w:rFonts w:ascii="宋体" w:hAnsi="宋体" w:eastAsia="宋体" w:cs="宋体"/>
                <w:spacing w:val="-24"/>
                <w:sz w:val="24"/>
                <w:szCs w:val="24"/>
              </w:rPr>
              <w:t xml:space="preserve"> </w:t>
            </w:r>
            <w:r>
              <w:rPr>
                <w:rFonts w:ascii="Times New Roman" w:hAnsi="Times New Roman" w:eastAsia="Times New Roman" w:cs="Times New Roman"/>
                <w:spacing w:val="-3"/>
                <w:sz w:val="24"/>
                <w:szCs w:val="24"/>
              </w:rPr>
              <w:t>1.242t/a</w:t>
            </w:r>
            <w:r>
              <w:rPr>
                <w:rFonts w:ascii="Times New Roman" w:hAnsi="Times New Roman" w:eastAsia="Times New Roman" w:cs="Times New Roman"/>
                <w:spacing w:val="-34"/>
                <w:sz w:val="24"/>
                <w:szCs w:val="24"/>
              </w:rPr>
              <w:t xml:space="preserve"> </w:t>
            </w:r>
            <w:r>
              <w:rPr>
                <w:rFonts w:ascii="宋体" w:hAnsi="宋体" w:eastAsia="宋体" w:cs="宋体"/>
                <w:spacing w:val="-3"/>
                <w:sz w:val="24"/>
                <w:szCs w:val="24"/>
              </w:rPr>
              <w:t>，产生速率</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0.518kg/h</w:t>
            </w:r>
            <w:r>
              <w:rPr>
                <w:rFonts w:ascii="Times New Roman" w:hAnsi="Times New Roman" w:eastAsia="Times New Roman" w:cs="Times New Roman"/>
                <w:spacing w:val="-29"/>
                <w:sz w:val="24"/>
                <w:szCs w:val="24"/>
              </w:rPr>
              <w:t xml:space="preserve"> </w:t>
            </w:r>
            <w:r>
              <w:rPr>
                <w:rFonts w:ascii="宋体" w:hAnsi="宋体" w:eastAsia="宋体" w:cs="宋体"/>
                <w:spacing w:val="-3"/>
                <w:sz w:val="24"/>
                <w:szCs w:val="24"/>
              </w:rPr>
              <w:t>，呈无组织排放。</w:t>
            </w:r>
          </w:p>
          <w:p w14:paraId="7765DCE1">
            <w:pPr>
              <w:spacing w:before="14" w:line="219" w:lineRule="auto"/>
              <w:ind w:left="59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）异味（臭气浓度）</w:t>
            </w:r>
          </w:p>
          <w:p w14:paraId="795A3A50">
            <w:pPr>
              <w:spacing w:before="182" w:line="359" w:lineRule="auto"/>
              <w:ind w:left="108" w:right="102" w:firstLine="483"/>
              <w:rPr>
                <w:rFonts w:ascii="宋体" w:hAnsi="宋体" w:eastAsia="宋体" w:cs="宋体"/>
                <w:sz w:val="24"/>
                <w:szCs w:val="24"/>
              </w:rPr>
            </w:pPr>
            <w:r>
              <w:rPr>
                <w:rFonts w:ascii="宋体" w:hAnsi="宋体" w:eastAsia="宋体" w:cs="宋体"/>
                <w:spacing w:val="5"/>
                <w:sz w:val="24"/>
                <w:szCs w:val="24"/>
              </w:rPr>
              <w:t>项目异味主要为生产厂房未能收集处理的有机废气，根据以上废气部分计算可</w:t>
            </w:r>
            <w:r>
              <w:rPr>
                <w:rFonts w:ascii="宋体" w:hAnsi="宋体" w:eastAsia="宋体" w:cs="宋体"/>
                <w:spacing w:val="-2"/>
                <w:sz w:val="24"/>
                <w:szCs w:val="24"/>
              </w:rPr>
              <w:t>知，生产车间内无组织排放的有机废气量较小，异味产生量很小，为无组织排放，可</w:t>
            </w:r>
            <w:r>
              <w:rPr>
                <w:rFonts w:ascii="宋体" w:hAnsi="宋体" w:eastAsia="宋体" w:cs="宋体"/>
                <w:sz w:val="24"/>
                <w:szCs w:val="24"/>
              </w:rPr>
              <w:t>满足《恶臭污染物排放标准》（</w:t>
            </w:r>
            <w:r>
              <w:rPr>
                <w:rFonts w:ascii="Times New Roman" w:hAnsi="Times New Roman" w:eastAsia="Times New Roman" w:cs="Times New Roman"/>
                <w:sz w:val="24"/>
                <w:szCs w:val="24"/>
              </w:rPr>
              <w:t>GB14554-93</w:t>
            </w:r>
            <w:r>
              <w:rPr>
                <w:rFonts w:ascii="宋体" w:hAnsi="宋体" w:eastAsia="宋体" w:cs="宋体"/>
                <w:sz w:val="24"/>
                <w:szCs w:val="24"/>
              </w:rPr>
              <w:t>）中的</w:t>
            </w:r>
            <w:r>
              <w:rPr>
                <w:rFonts w:ascii="宋体" w:hAnsi="宋体" w:eastAsia="宋体" w:cs="宋体"/>
                <w:spacing w:val="-1"/>
                <w:sz w:val="24"/>
                <w:szCs w:val="24"/>
              </w:rPr>
              <w:t>二级（新扩改建）标准。</w:t>
            </w:r>
          </w:p>
          <w:p w14:paraId="545D5A76">
            <w:pPr>
              <w:spacing w:line="219" w:lineRule="auto"/>
              <w:ind w:left="584"/>
              <w:rPr>
                <w:rFonts w:ascii="宋体" w:hAnsi="宋体" w:eastAsia="宋体" w:cs="宋体"/>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34"/>
                <w:sz w:val="24"/>
                <w:szCs w:val="24"/>
              </w:rPr>
              <w:t xml:space="preserve"> </w:t>
            </w:r>
            <w:r>
              <w:rPr>
                <w:rFonts w:ascii="宋体" w:hAnsi="宋体" w:eastAsia="宋体" w:cs="宋体"/>
                <w:b/>
                <w:bCs/>
                <w:spacing w:val="-5"/>
                <w:sz w:val="24"/>
                <w:szCs w:val="24"/>
              </w:rPr>
              <w:t>、废气产排污情况</w:t>
            </w:r>
          </w:p>
          <w:p w14:paraId="33B16143">
            <w:pPr>
              <w:spacing w:before="184" w:line="219" w:lineRule="auto"/>
              <w:ind w:left="592"/>
              <w:rPr>
                <w:rFonts w:ascii="宋体" w:hAnsi="宋体" w:eastAsia="宋体" w:cs="宋体"/>
                <w:sz w:val="24"/>
                <w:szCs w:val="24"/>
              </w:rPr>
            </w:pPr>
            <w:r>
              <w:rPr>
                <w:rFonts w:ascii="宋体" w:hAnsi="宋体" w:eastAsia="宋体" w:cs="宋体"/>
                <w:spacing w:val="-2"/>
                <w:sz w:val="24"/>
                <w:szCs w:val="24"/>
              </w:rPr>
              <w:t>项目废气产排污情况见下表。</w:t>
            </w:r>
          </w:p>
          <w:p w14:paraId="5A8E2B0E">
            <w:pPr>
              <w:spacing w:before="175" w:line="212" w:lineRule="auto"/>
              <w:ind w:left="2933"/>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35"/>
                <w:sz w:val="20"/>
                <w:szCs w:val="20"/>
              </w:rPr>
              <w:t xml:space="preserve"> </w:t>
            </w:r>
            <w:r>
              <w:rPr>
                <w:rFonts w:ascii="Times New Roman" w:hAnsi="Times New Roman" w:eastAsia="Times New Roman" w:cs="Times New Roman"/>
                <w:b/>
                <w:bCs/>
                <w:spacing w:val="6"/>
                <w:sz w:val="20"/>
                <w:szCs w:val="20"/>
              </w:rPr>
              <w:t xml:space="preserve">4-3  </w:t>
            </w:r>
            <w:r>
              <w:rPr>
                <w:rFonts w:ascii="宋体" w:hAnsi="宋体" w:eastAsia="宋体" w:cs="宋体"/>
                <w:b/>
                <w:bCs/>
                <w:spacing w:val="6"/>
                <w:sz w:val="20"/>
                <w:szCs w:val="20"/>
              </w:rPr>
              <w:t>废气污染物产排情况统计表</w:t>
            </w:r>
          </w:p>
        </w:tc>
      </w:tr>
      <w:tr w14:paraId="1497E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35" w:type="dxa"/>
            <w:vMerge w:val="continue"/>
            <w:tcBorders>
              <w:top w:val="nil"/>
              <w:left w:val="single" w:color="000000" w:sz="6" w:space="0"/>
              <w:bottom w:val="nil"/>
            </w:tcBorders>
            <w:vAlign w:val="top"/>
          </w:tcPr>
          <w:p w14:paraId="0BF446E3">
            <w:pPr>
              <w:rPr>
                <w:rFonts w:ascii="Arial"/>
                <w:sz w:val="21"/>
              </w:rPr>
            </w:pPr>
          </w:p>
        </w:tc>
        <w:tc>
          <w:tcPr>
            <w:tcW w:w="115" w:type="dxa"/>
            <w:tcBorders>
              <w:top w:val="nil"/>
              <w:bottom w:val="nil"/>
            </w:tcBorders>
            <w:vAlign w:val="top"/>
          </w:tcPr>
          <w:p w14:paraId="5DBD03A7">
            <w:pPr>
              <w:rPr>
                <w:rFonts w:ascii="Arial"/>
                <w:sz w:val="21"/>
              </w:rPr>
            </w:pPr>
          </w:p>
        </w:tc>
        <w:tc>
          <w:tcPr>
            <w:tcW w:w="3320" w:type="dxa"/>
            <w:gridSpan w:val="2"/>
            <w:vAlign w:val="top"/>
          </w:tcPr>
          <w:p w14:paraId="4A6C0287">
            <w:pPr>
              <w:spacing w:before="38" w:line="228" w:lineRule="auto"/>
              <w:ind w:left="1134"/>
              <w:rPr>
                <w:rFonts w:ascii="宋体" w:hAnsi="宋体" w:eastAsia="宋体" w:cs="宋体"/>
                <w:sz w:val="20"/>
                <w:szCs w:val="20"/>
              </w:rPr>
            </w:pPr>
            <w:r>
              <w:rPr>
                <w:rFonts w:ascii="宋体" w:hAnsi="宋体" w:eastAsia="宋体" w:cs="宋体"/>
                <w:b/>
                <w:bCs/>
                <w:spacing w:val="6"/>
                <w:sz w:val="20"/>
                <w:szCs w:val="20"/>
              </w:rPr>
              <w:t>产排污环节</w:t>
            </w:r>
          </w:p>
        </w:tc>
        <w:tc>
          <w:tcPr>
            <w:tcW w:w="1871" w:type="dxa"/>
            <w:vAlign w:val="top"/>
          </w:tcPr>
          <w:p w14:paraId="5FCF766F">
            <w:pPr>
              <w:spacing w:before="39" w:line="228" w:lineRule="auto"/>
              <w:ind w:left="732"/>
              <w:rPr>
                <w:rFonts w:ascii="宋体" w:hAnsi="宋体" w:eastAsia="宋体" w:cs="宋体"/>
                <w:sz w:val="20"/>
                <w:szCs w:val="20"/>
              </w:rPr>
            </w:pPr>
            <w:r>
              <w:rPr>
                <w:rFonts w:ascii="宋体" w:hAnsi="宋体" w:eastAsia="宋体" w:cs="宋体"/>
                <w:b/>
                <w:bCs/>
                <w:spacing w:val="3"/>
                <w:sz w:val="20"/>
                <w:szCs w:val="20"/>
              </w:rPr>
              <w:t>上料</w:t>
            </w:r>
          </w:p>
        </w:tc>
        <w:tc>
          <w:tcPr>
            <w:tcW w:w="3615" w:type="dxa"/>
            <w:vAlign w:val="top"/>
          </w:tcPr>
          <w:p w14:paraId="4B9E1484">
            <w:pPr>
              <w:spacing w:before="38" w:line="232" w:lineRule="auto"/>
              <w:ind w:left="1605"/>
              <w:rPr>
                <w:rFonts w:ascii="宋体" w:hAnsi="宋体" w:eastAsia="宋体" w:cs="宋体"/>
                <w:sz w:val="20"/>
                <w:szCs w:val="20"/>
              </w:rPr>
            </w:pPr>
            <w:r>
              <w:rPr>
                <w:rFonts w:ascii="宋体" w:hAnsi="宋体" w:eastAsia="宋体" w:cs="宋体"/>
                <w:b/>
                <w:bCs/>
                <w:spacing w:val="3"/>
                <w:sz w:val="20"/>
                <w:szCs w:val="20"/>
              </w:rPr>
              <w:t>注塑</w:t>
            </w:r>
          </w:p>
        </w:tc>
        <w:tc>
          <w:tcPr>
            <w:tcW w:w="125" w:type="dxa"/>
            <w:vMerge w:val="restart"/>
            <w:tcBorders>
              <w:top w:val="nil"/>
              <w:bottom w:val="nil"/>
              <w:right w:val="single" w:color="000000" w:sz="6" w:space="0"/>
            </w:tcBorders>
            <w:vAlign w:val="top"/>
          </w:tcPr>
          <w:p w14:paraId="38B54D34">
            <w:pPr>
              <w:rPr>
                <w:rFonts w:ascii="Arial"/>
                <w:sz w:val="21"/>
              </w:rPr>
            </w:pPr>
          </w:p>
        </w:tc>
      </w:tr>
      <w:tr w14:paraId="1A297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35" w:type="dxa"/>
            <w:vMerge w:val="continue"/>
            <w:tcBorders>
              <w:top w:val="nil"/>
              <w:left w:val="single" w:color="000000" w:sz="6" w:space="0"/>
              <w:bottom w:val="nil"/>
            </w:tcBorders>
            <w:vAlign w:val="top"/>
          </w:tcPr>
          <w:p w14:paraId="1AF774FB">
            <w:pPr>
              <w:rPr>
                <w:rFonts w:ascii="Arial"/>
                <w:sz w:val="21"/>
              </w:rPr>
            </w:pPr>
          </w:p>
        </w:tc>
        <w:tc>
          <w:tcPr>
            <w:tcW w:w="115" w:type="dxa"/>
            <w:tcBorders>
              <w:top w:val="nil"/>
              <w:bottom w:val="nil"/>
            </w:tcBorders>
            <w:vAlign w:val="top"/>
          </w:tcPr>
          <w:p w14:paraId="0EB99D82">
            <w:pPr>
              <w:rPr>
                <w:rFonts w:ascii="Arial"/>
                <w:sz w:val="21"/>
              </w:rPr>
            </w:pPr>
          </w:p>
        </w:tc>
        <w:tc>
          <w:tcPr>
            <w:tcW w:w="3320" w:type="dxa"/>
            <w:gridSpan w:val="2"/>
            <w:vAlign w:val="top"/>
          </w:tcPr>
          <w:p w14:paraId="16DE0974">
            <w:pPr>
              <w:spacing w:before="38" w:line="228" w:lineRule="auto"/>
              <w:ind w:left="1136"/>
              <w:rPr>
                <w:rFonts w:ascii="宋体" w:hAnsi="宋体" w:eastAsia="宋体" w:cs="宋体"/>
                <w:sz w:val="20"/>
                <w:szCs w:val="20"/>
              </w:rPr>
            </w:pPr>
            <w:r>
              <w:rPr>
                <w:rFonts w:ascii="宋体" w:hAnsi="宋体" w:eastAsia="宋体" w:cs="宋体"/>
                <w:spacing w:val="7"/>
                <w:sz w:val="20"/>
                <w:szCs w:val="20"/>
              </w:rPr>
              <w:t>污染物种类</w:t>
            </w:r>
          </w:p>
        </w:tc>
        <w:tc>
          <w:tcPr>
            <w:tcW w:w="1871" w:type="dxa"/>
            <w:vAlign w:val="top"/>
          </w:tcPr>
          <w:p w14:paraId="335BFE04">
            <w:pPr>
              <w:spacing w:before="38" w:line="228" w:lineRule="auto"/>
              <w:ind w:left="729"/>
              <w:rPr>
                <w:rFonts w:ascii="宋体" w:hAnsi="宋体" w:eastAsia="宋体" w:cs="宋体"/>
                <w:sz w:val="20"/>
                <w:szCs w:val="20"/>
              </w:rPr>
            </w:pPr>
            <w:r>
              <w:rPr>
                <w:rFonts w:ascii="宋体" w:hAnsi="宋体" w:eastAsia="宋体" w:cs="宋体"/>
                <w:spacing w:val="5"/>
                <w:sz w:val="20"/>
                <w:szCs w:val="20"/>
              </w:rPr>
              <w:t>粉尘</w:t>
            </w:r>
          </w:p>
        </w:tc>
        <w:tc>
          <w:tcPr>
            <w:tcW w:w="3615" w:type="dxa"/>
            <w:vAlign w:val="top"/>
          </w:tcPr>
          <w:p w14:paraId="23B7E479">
            <w:pPr>
              <w:spacing w:before="38" w:line="227" w:lineRule="auto"/>
              <w:ind w:left="975"/>
              <w:rPr>
                <w:rFonts w:ascii="宋体" w:hAnsi="宋体" w:eastAsia="宋体" w:cs="宋体"/>
                <w:sz w:val="20"/>
                <w:szCs w:val="20"/>
              </w:rPr>
            </w:pPr>
            <w:r>
              <w:rPr>
                <w:rFonts w:ascii="宋体" w:hAnsi="宋体" w:eastAsia="宋体" w:cs="宋体"/>
                <w:spacing w:val="8"/>
                <w:sz w:val="20"/>
                <w:szCs w:val="20"/>
              </w:rPr>
              <w:t>挥发性有机化合物</w:t>
            </w:r>
          </w:p>
        </w:tc>
        <w:tc>
          <w:tcPr>
            <w:tcW w:w="125" w:type="dxa"/>
            <w:vMerge w:val="continue"/>
            <w:tcBorders>
              <w:top w:val="nil"/>
              <w:bottom w:val="nil"/>
              <w:right w:val="single" w:color="000000" w:sz="6" w:space="0"/>
            </w:tcBorders>
            <w:vAlign w:val="top"/>
          </w:tcPr>
          <w:p w14:paraId="2C5F2518">
            <w:pPr>
              <w:rPr>
                <w:rFonts w:ascii="Arial"/>
                <w:sz w:val="21"/>
              </w:rPr>
            </w:pPr>
          </w:p>
        </w:tc>
      </w:tr>
      <w:tr w14:paraId="34A8E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35" w:type="dxa"/>
            <w:vMerge w:val="continue"/>
            <w:tcBorders>
              <w:top w:val="nil"/>
              <w:left w:val="single" w:color="000000" w:sz="6" w:space="0"/>
              <w:bottom w:val="nil"/>
            </w:tcBorders>
            <w:vAlign w:val="top"/>
          </w:tcPr>
          <w:p w14:paraId="7D7DFB7F">
            <w:pPr>
              <w:rPr>
                <w:rFonts w:ascii="Arial"/>
                <w:sz w:val="21"/>
              </w:rPr>
            </w:pPr>
          </w:p>
        </w:tc>
        <w:tc>
          <w:tcPr>
            <w:tcW w:w="115" w:type="dxa"/>
            <w:tcBorders>
              <w:top w:val="nil"/>
              <w:bottom w:val="nil"/>
            </w:tcBorders>
            <w:vAlign w:val="top"/>
          </w:tcPr>
          <w:p w14:paraId="285D5537">
            <w:pPr>
              <w:rPr>
                <w:rFonts w:ascii="Arial"/>
                <w:sz w:val="21"/>
              </w:rPr>
            </w:pPr>
          </w:p>
        </w:tc>
        <w:tc>
          <w:tcPr>
            <w:tcW w:w="3320" w:type="dxa"/>
            <w:gridSpan w:val="2"/>
            <w:vAlign w:val="top"/>
          </w:tcPr>
          <w:p w14:paraId="066653C9">
            <w:pPr>
              <w:spacing w:before="40" w:line="228" w:lineRule="auto"/>
              <w:ind w:left="1241"/>
              <w:rPr>
                <w:rFonts w:ascii="宋体" w:hAnsi="宋体" w:eastAsia="宋体" w:cs="宋体"/>
                <w:sz w:val="20"/>
                <w:szCs w:val="20"/>
              </w:rPr>
            </w:pPr>
            <w:r>
              <w:rPr>
                <w:rFonts w:ascii="宋体" w:hAnsi="宋体" w:eastAsia="宋体" w:cs="宋体"/>
                <w:spacing w:val="6"/>
                <w:sz w:val="20"/>
                <w:szCs w:val="20"/>
              </w:rPr>
              <w:t>污染因子</w:t>
            </w:r>
          </w:p>
        </w:tc>
        <w:tc>
          <w:tcPr>
            <w:tcW w:w="1871" w:type="dxa"/>
            <w:vAlign w:val="top"/>
          </w:tcPr>
          <w:p w14:paraId="4F2DF0EE">
            <w:pPr>
              <w:spacing w:before="40" w:line="228" w:lineRule="auto"/>
              <w:ind w:left="624"/>
              <w:rPr>
                <w:rFonts w:ascii="宋体" w:hAnsi="宋体" w:eastAsia="宋体" w:cs="宋体"/>
                <w:sz w:val="20"/>
                <w:szCs w:val="20"/>
              </w:rPr>
            </w:pPr>
            <w:r>
              <w:rPr>
                <w:rFonts w:ascii="宋体" w:hAnsi="宋体" w:eastAsia="宋体" w:cs="宋体"/>
                <w:spacing w:val="7"/>
                <w:sz w:val="20"/>
                <w:szCs w:val="20"/>
              </w:rPr>
              <w:t>颗粒物</w:t>
            </w:r>
          </w:p>
        </w:tc>
        <w:tc>
          <w:tcPr>
            <w:tcW w:w="3615" w:type="dxa"/>
            <w:vAlign w:val="top"/>
          </w:tcPr>
          <w:p w14:paraId="19F2B1F0">
            <w:pPr>
              <w:spacing w:before="40" w:line="228" w:lineRule="auto"/>
              <w:ind w:left="1294"/>
              <w:rPr>
                <w:rFonts w:ascii="宋体" w:hAnsi="宋体" w:eastAsia="宋体" w:cs="宋体"/>
                <w:sz w:val="20"/>
                <w:szCs w:val="20"/>
              </w:rPr>
            </w:pPr>
            <w:r>
              <w:rPr>
                <w:rFonts w:ascii="宋体" w:hAnsi="宋体" w:eastAsia="宋体" w:cs="宋体"/>
                <w:spacing w:val="7"/>
                <w:sz w:val="20"/>
                <w:szCs w:val="20"/>
              </w:rPr>
              <w:t>非甲烷总烃</w:t>
            </w:r>
          </w:p>
        </w:tc>
        <w:tc>
          <w:tcPr>
            <w:tcW w:w="125" w:type="dxa"/>
            <w:vMerge w:val="continue"/>
            <w:tcBorders>
              <w:top w:val="nil"/>
              <w:bottom w:val="nil"/>
              <w:right w:val="single" w:color="000000" w:sz="6" w:space="0"/>
            </w:tcBorders>
            <w:vAlign w:val="top"/>
          </w:tcPr>
          <w:p w14:paraId="6DCF80BE">
            <w:pPr>
              <w:rPr>
                <w:rFonts w:ascii="Arial"/>
                <w:sz w:val="21"/>
              </w:rPr>
            </w:pPr>
          </w:p>
        </w:tc>
      </w:tr>
      <w:tr w14:paraId="07EEE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35" w:type="dxa"/>
            <w:vMerge w:val="continue"/>
            <w:tcBorders>
              <w:top w:val="nil"/>
              <w:left w:val="single" w:color="000000" w:sz="6" w:space="0"/>
              <w:bottom w:val="nil"/>
            </w:tcBorders>
            <w:vAlign w:val="top"/>
          </w:tcPr>
          <w:p w14:paraId="058D73A7">
            <w:pPr>
              <w:rPr>
                <w:rFonts w:ascii="Arial"/>
                <w:sz w:val="21"/>
              </w:rPr>
            </w:pPr>
          </w:p>
        </w:tc>
        <w:tc>
          <w:tcPr>
            <w:tcW w:w="115" w:type="dxa"/>
            <w:tcBorders>
              <w:top w:val="nil"/>
              <w:bottom w:val="nil"/>
            </w:tcBorders>
            <w:vAlign w:val="top"/>
          </w:tcPr>
          <w:p w14:paraId="20C97179">
            <w:pPr>
              <w:rPr>
                <w:rFonts w:ascii="Arial"/>
                <w:sz w:val="21"/>
              </w:rPr>
            </w:pPr>
          </w:p>
        </w:tc>
        <w:tc>
          <w:tcPr>
            <w:tcW w:w="3320" w:type="dxa"/>
            <w:gridSpan w:val="2"/>
            <w:vAlign w:val="top"/>
          </w:tcPr>
          <w:p w14:paraId="3EAB3CE6">
            <w:pPr>
              <w:spacing w:before="39" w:line="228" w:lineRule="auto"/>
              <w:ind w:left="716"/>
              <w:rPr>
                <w:rFonts w:ascii="宋体" w:hAnsi="宋体" w:eastAsia="宋体" w:cs="宋体"/>
                <w:sz w:val="20"/>
                <w:szCs w:val="20"/>
              </w:rPr>
            </w:pPr>
            <w:r>
              <w:rPr>
                <w:rFonts w:ascii="宋体" w:hAnsi="宋体" w:eastAsia="宋体" w:cs="宋体"/>
                <w:spacing w:val="6"/>
                <w:sz w:val="20"/>
                <w:szCs w:val="20"/>
              </w:rPr>
              <w:t>污染物产生量（</w:t>
            </w:r>
            <w:r>
              <w:rPr>
                <w:rFonts w:ascii="Times New Roman" w:hAnsi="Times New Roman" w:eastAsia="Times New Roman" w:cs="Times New Roman"/>
                <w:spacing w:val="6"/>
                <w:sz w:val="20"/>
                <w:szCs w:val="20"/>
              </w:rPr>
              <w:t>t/a</w:t>
            </w:r>
            <w:r>
              <w:rPr>
                <w:rFonts w:ascii="宋体" w:hAnsi="宋体" w:eastAsia="宋体" w:cs="宋体"/>
                <w:spacing w:val="6"/>
                <w:sz w:val="20"/>
                <w:szCs w:val="20"/>
              </w:rPr>
              <w:t>）</w:t>
            </w:r>
          </w:p>
        </w:tc>
        <w:tc>
          <w:tcPr>
            <w:tcW w:w="1871" w:type="dxa"/>
            <w:vAlign w:val="top"/>
          </w:tcPr>
          <w:p w14:paraId="5EB45056">
            <w:pPr>
              <w:spacing w:before="39" w:line="230" w:lineRule="auto"/>
              <w:ind w:left="731"/>
              <w:rPr>
                <w:rFonts w:ascii="宋体" w:hAnsi="宋体" w:eastAsia="宋体" w:cs="宋体"/>
                <w:sz w:val="20"/>
                <w:szCs w:val="20"/>
              </w:rPr>
            </w:pPr>
            <w:r>
              <w:rPr>
                <w:rFonts w:ascii="宋体" w:hAnsi="宋体" w:eastAsia="宋体" w:cs="宋体"/>
                <w:spacing w:val="4"/>
                <w:sz w:val="20"/>
                <w:szCs w:val="20"/>
              </w:rPr>
              <w:t>少量</w:t>
            </w:r>
          </w:p>
        </w:tc>
        <w:tc>
          <w:tcPr>
            <w:tcW w:w="3615" w:type="dxa"/>
            <w:vAlign w:val="top"/>
          </w:tcPr>
          <w:p w14:paraId="0DD7C657">
            <w:pPr>
              <w:spacing w:before="83" w:line="195" w:lineRule="auto"/>
              <w:ind w:left="163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6.21</w:t>
            </w:r>
          </w:p>
        </w:tc>
        <w:tc>
          <w:tcPr>
            <w:tcW w:w="125" w:type="dxa"/>
            <w:vMerge w:val="continue"/>
            <w:tcBorders>
              <w:top w:val="nil"/>
              <w:bottom w:val="nil"/>
              <w:right w:val="single" w:color="000000" w:sz="6" w:space="0"/>
            </w:tcBorders>
            <w:vAlign w:val="top"/>
          </w:tcPr>
          <w:p w14:paraId="65812B86">
            <w:pPr>
              <w:rPr>
                <w:rFonts w:ascii="Arial"/>
                <w:sz w:val="21"/>
              </w:rPr>
            </w:pPr>
          </w:p>
        </w:tc>
      </w:tr>
      <w:tr w14:paraId="77FA9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35" w:type="dxa"/>
            <w:vMerge w:val="continue"/>
            <w:tcBorders>
              <w:top w:val="nil"/>
              <w:left w:val="single" w:color="000000" w:sz="6" w:space="0"/>
              <w:bottom w:val="nil"/>
            </w:tcBorders>
            <w:vAlign w:val="top"/>
          </w:tcPr>
          <w:p w14:paraId="2EC1B368">
            <w:pPr>
              <w:rPr>
                <w:rFonts w:ascii="Arial"/>
                <w:sz w:val="21"/>
              </w:rPr>
            </w:pPr>
          </w:p>
        </w:tc>
        <w:tc>
          <w:tcPr>
            <w:tcW w:w="115" w:type="dxa"/>
            <w:tcBorders>
              <w:top w:val="nil"/>
              <w:bottom w:val="nil"/>
            </w:tcBorders>
            <w:vAlign w:val="top"/>
          </w:tcPr>
          <w:p w14:paraId="44C76F2E">
            <w:pPr>
              <w:rPr>
                <w:rFonts w:ascii="Arial"/>
                <w:sz w:val="21"/>
              </w:rPr>
            </w:pPr>
          </w:p>
        </w:tc>
        <w:tc>
          <w:tcPr>
            <w:tcW w:w="3320" w:type="dxa"/>
            <w:gridSpan w:val="2"/>
            <w:vAlign w:val="top"/>
          </w:tcPr>
          <w:p w14:paraId="3540D750">
            <w:pPr>
              <w:spacing w:before="39" w:line="228" w:lineRule="auto"/>
              <w:ind w:left="715"/>
              <w:rPr>
                <w:rFonts w:ascii="宋体" w:hAnsi="宋体" w:eastAsia="宋体" w:cs="宋体"/>
                <w:sz w:val="20"/>
                <w:szCs w:val="20"/>
              </w:rPr>
            </w:pPr>
            <w:r>
              <w:rPr>
                <w:rFonts w:ascii="宋体" w:hAnsi="宋体" w:eastAsia="宋体" w:cs="宋体"/>
                <w:spacing w:val="6"/>
                <w:sz w:val="20"/>
                <w:szCs w:val="20"/>
              </w:rPr>
              <w:t>有组织产生量（</w:t>
            </w:r>
            <w:r>
              <w:rPr>
                <w:rFonts w:ascii="Times New Roman" w:hAnsi="Times New Roman" w:eastAsia="Times New Roman" w:cs="Times New Roman"/>
                <w:spacing w:val="6"/>
                <w:sz w:val="20"/>
                <w:szCs w:val="20"/>
              </w:rPr>
              <w:t>t/a</w:t>
            </w:r>
            <w:r>
              <w:rPr>
                <w:rFonts w:ascii="宋体" w:hAnsi="宋体" w:eastAsia="宋体" w:cs="宋体"/>
                <w:spacing w:val="6"/>
                <w:sz w:val="20"/>
                <w:szCs w:val="20"/>
              </w:rPr>
              <w:t>）</w:t>
            </w:r>
          </w:p>
        </w:tc>
        <w:tc>
          <w:tcPr>
            <w:tcW w:w="1871" w:type="dxa"/>
            <w:vAlign w:val="top"/>
          </w:tcPr>
          <w:p w14:paraId="6DBDC19D">
            <w:pPr>
              <w:rPr>
                <w:rFonts w:ascii="Arial"/>
                <w:sz w:val="21"/>
              </w:rPr>
            </w:pPr>
          </w:p>
        </w:tc>
        <w:tc>
          <w:tcPr>
            <w:tcW w:w="3615" w:type="dxa"/>
            <w:vAlign w:val="top"/>
          </w:tcPr>
          <w:p w14:paraId="63D553C7">
            <w:pPr>
              <w:spacing w:before="82" w:line="195" w:lineRule="auto"/>
              <w:ind w:left="157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4.968</w:t>
            </w:r>
          </w:p>
        </w:tc>
        <w:tc>
          <w:tcPr>
            <w:tcW w:w="125" w:type="dxa"/>
            <w:vMerge w:val="continue"/>
            <w:tcBorders>
              <w:top w:val="nil"/>
              <w:bottom w:val="nil"/>
              <w:right w:val="single" w:color="000000" w:sz="6" w:space="0"/>
            </w:tcBorders>
            <w:vAlign w:val="top"/>
          </w:tcPr>
          <w:p w14:paraId="0B5CCF80">
            <w:pPr>
              <w:rPr>
                <w:rFonts w:ascii="Arial"/>
                <w:sz w:val="21"/>
              </w:rPr>
            </w:pPr>
          </w:p>
        </w:tc>
      </w:tr>
      <w:tr w14:paraId="67847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35" w:type="dxa"/>
            <w:vMerge w:val="continue"/>
            <w:tcBorders>
              <w:top w:val="nil"/>
              <w:left w:val="single" w:color="000000" w:sz="6" w:space="0"/>
              <w:bottom w:val="nil"/>
            </w:tcBorders>
            <w:vAlign w:val="top"/>
          </w:tcPr>
          <w:p w14:paraId="2B5FC315">
            <w:pPr>
              <w:rPr>
                <w:rFonts w:ascii="Arial"/>
                <w:sz w:val="21"/>
              </w:rPr>
            </w:pPr>
          </w:p>
        </w:tc>
        <w:tc>
          <w:tcPr>
            <w:tcW w:w="115" w:type="dxa"/>
            <w:tcBorders>
              <w:top w:val="nil"/>
              <w:bottom w:val="nil"/>
            </w:tcBorders>
            <w:vAlign w:val="top"/>
          </w:tcPr>
          <w:p w14:paraId="46DF00EC">
            <w:pPr>
              <w:rPr>
                <w:rFonts w:ascii="Arial"/>
                <w:sz w:val="21"/>
              </w:rPr>
            </w:pPr>
          </w:p>
        </w:tc>
        <w:tc>
          <w:tcPr>
            <w:tcW w:w="3320" w:type="dxa"/>
            <w:gridSpan w:val="2"/>
            <w:vAlign w:val="top"/>
          </w:tcPr>
          <w:p w14:paraId="7891E081">
            <w:pPr>
              <w:spacing w:before="41" w:line="221" w:lineRule="auto"/>
              <w:ind w:left="844"/>
              <w:rPr>
                <w:rFonts w:ascii="宋体" w:hAnsi="宋体" w:eastAsia="宋体" w:cs="宋体"/>
                <w:sz w:val="20"/>
                <w:szCs w:val="20"/>
              </w:rPr>
            </w:pPr>
            <w:r>
              <w:rPr>
                <w:rFonts w:ascii="宋体" w:hAnsi="宋体" w:eastAsia="宋体" w:cs="宋体"/>
                <w:spacing w:val="7"/>
                <w:sz w:val="20"/>
                <w:szCs w:val="20"/>
              </w:rPr>
              <w:t>产生速率（</w:t>
            </w:r>
            <w:r>
              <w:rPr>
                <w:rFonts w:ascii="Times New Roman" w:hAnsi="Times New Roman" w:eastAsia="Times New Roman" w:cs="Times New Roman"/>
                <w:sz w:val="20"/>
                <w:szCs w:val="20"/>
              </w:rPr>
              <w:t>kg</w:t>
            </w:r>
            <w:r>
              <w:rPr>
                <w:rFonts w:ascii="Times New Roman" w:hAnsi="Times New Roman" w:eastAsia="Times New Roman" w:cs="Times New Roman"/>
                <w:spacing w:val="7"/>
                <w:sz w:val="20"/>
                <w:szCs w:val="20"/>
              </w:rPr>
              <w:t>/h</w:t>
            </w:r>
            <w:r>
              <w:rPr>
                <w:rFonts w:ascii="宋体" w:hAnsi="宋体" w:eastAsia="宋体" w:cs="宋体"/>
                <w:spacing w:val="7"/>
                <w:sz w:val="20"/>
                <w:szCs w:val="20"/>
              </w:rPr>
              <w:t>）</w:t>
            </w:r>
          </w:p>
        </w:tc>
        <w:tc>
          <w:tcPr>
            <w:tcW w:w="1871" w:type="dxa"/>
            <w:vAlign w:val="top"/>
          </w:tcPr>
          <w:p w14:paraId="09B352EE">
            <w:pPr>
              <w:spacing w:before="80"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vAlign w:val="top"/>
          </w:tcPr>
          <w:p w14:paraId="1C89035E">
            <w:pPr>
              <w:spacing w:before="84" w:line="195" w:lineRule="auto"/>
              <w:ind w:left="16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2.07</w:t>
            </w:r>
          </w:p>
        </w:tc>
        <w:tc>
          <w:tcPr>
            <w:tcW w:w="125" w:type="dxa"/>
            <w:vMerge w:val="continue"/>
            <w:tcBorders>
              <w:top w:val="nil"/>
              <w:bottom w:val="nil"/>
              <w:right w:val="single" w:color="000000" w:sz="6" w:space="0"/>
            </w:tcBorders>
            <w:vAlign w:val="top"/>
          </w:tcPr>
          <w:p w14:paraId="5A386049">
            <w:pPr>
              <w:rPr>
                <w:rFonts w:ascii="Arial"/>
                <w:sz w:val="21"/>
              </w:rPr>
            </w:pPr>
          </w:p>
        </w:tc>
      </w:tr>
      <w:tr w14:paraId="2091A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35" w:type="dxa"/>
            <w:vMerge w:val="continue"/>
            <w:tcBorders>
              <w:top w:val="nil"/>
              <w:left w:val="single" w:color="000000" w:sz="6" w:space="0"/>
              <w:bottom w:val="nil"/>
            </w:tcBorders>
            <w:vAlign w:val="top"/>
          </w:tcPr>
          <w:p w14:paraId="48E02CA9">
            <w:pPr>
              <w:rPr>
                <w:rFonts w:ascii="Arial"/>
                <w:sz w:val="21"/>
              </w:rPr>
            </w:pPr>
          </w:p>
        </w:tc>
        <w:tc>
          <w:tcPr>
            <w:tcW w:w="115" w:type="dxa"/>
            <w:tcBorders>
              <w:top w:val="nil"/>
              <w:bottom w:val="nil"/>
            </w:tcBorders>
            <w:vAlign w:val="top"/>
          </w:tcPr>
          <w:p w14:paraId="62A12CFE">
            <w:pPr>
              <w:rPr>
                <w:rFonts w:ascii="Arial"/>
                <w:sz w:val="21"/>
              </w:rPr>
            </w:pPr>
          </w:p>
        </w:tc>
        <w:tc>
          <w:tcPr>
            <w:tcW w:w="3320" w:type="dxa"/>
            <w:gridSpan w:val="2"/>
            <w:vAlign w:val="top"/>
          </w:tcPr>
          <w:p w14:paraId="0CCD1A00">
            <w:pPr>
              <w:spacing w:before="41" w:line="228" w:lineRule="auto"/>
              <w:ind w:left="737"/>
              <w:rPr>
                <w:rFonts w:ascii="宋体" w:hAnsi="宋体" w:eastAsia="宋体" w:cs="宋体"/>
                <w:sz w:val="20"/>
                <w:szCs w:val="20"/>
              </w:rPr>
            </w:pPr>
            <w:r>
              <w:rPr>
                <w:rFonts w:ascii="宋体" w:hAnsi="宋体" w:eastAsia="宋体" w:cs="宋体"/>
                <w:spacing w:val="7"/>
                <w:sz w:val="20"/>
                <w:szCs w:val="20"/>
              </w:rPr>
              <w:t>废气量（万</w:t>
            </w:r>
            <w:r>
              <w:rPr>
                <w:rFonts w:ascii="宋体" w:hAnsi="宋体" w:eastAsia="宋体" w:cs="宋体"/>
                <w:spacing w:val="-48"/>
                <w:sz w:val="20"/>
                <w:szCs w:val="20"/>
              </w:rPr>
              <w:t xml:space="preserve"> </w:t>
            </w:r>
            <w:r>
              <w:rPr>
                <w:rFonts w:ascii="Times New Roman" w:hAnsi="Times New Roman" w:eastAsia="Times New Roman" w:cs="Times New Roman"/>
                <w:sz w:val="20"/>
                <w:szCs w:val="20"/>
              </w:rPr>
              <w:t>Nm</w:t>
            </w:r>
            <w:r>
              <w:rPr>
                <w:rFonts w:ascii="Times New Roman" w:hAnsi="Times New Roman" w:eastAsia="Times New Roman" w:cs="Times New Roman"/>
                <w:spacing w:val="7"/>
                <w:position w:val="6"/>
                <w:sz w:val="13"/>
                <w:szCs w:val="13"/>
              </w:rPr>
              <w:t>3</w:t>
            </w:r>
            <w:r>
              <w:rPr>
                <w:rFonts w:ascii="Times New Roman" w:hAnsi="Times New Roman" w:eastAsia="Times New Roman" w:cs="Times New Roman"/>
                <w:spacing w:val="7"/>
                <w:sz w:val="20"/>
                <w:szCs w:val="20"/>
              </w:rPr>
              <w:t>/a</w:t>
            </w:r>
            <w:r>
              <w:rPr>
                <w:rFonts w:ascii="宋体" w:hAnsi="宋体" w:eastAsia="宋体" w:cs="宋体"/>
                <w:spacing w:val="7"/>
                <w:sz w:val="20"/>
                <w:szCs w:val="20"/>
              </w:rPr>
              <w:t>）</w:t>
            </w:r>
          </w:p>
        </w:tc>
        <w:tc>
          <w:tcPr>
            <w:tcW w:w="1871" w:type="dxa"/>
            <w:vAlign w:val="top"/>
          </w:tcPr>
          <w:p w14:paraId="3AC65A5C">
            <w:pPr>
              <w:spacing w:before="80"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vAlign w:val="top"/>
          </w:tcPr>
          <w:p w14:paraId="0A15FB7F">
            <w:pPr>
              <w:spacing w:before="84" w:line="195" w:lineRule="auto"/>
              <w:ind w:left="155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27600</w:t>
            </w:r>
          </w:p>
        </w:tc>
        <w:tc>
          <w:tcPr>
            <w:tcW w:w="125" w:type="dxa"/>
            <w:vMerge w:val="continue"/>
            <w:tcBorders>
              <w:top w:val="nil"/>
              <w:bottom w:val="nil"/>
              <w:right w:val="single" w:color="000000" w:sz="6" w:space="0"/>
            </w:tcBorders>
            <w:vAlign w:val="top"/>
          </w:tcPr>
          <w:p w14:paraId="7104A73A">
            <w:pPr>
              <w:rPr>
                <w:rFonts w:ascii="Arial"/>
                <w:sz w:val="21"/>
              </w:rPr>
            </w:pPr>
          </w:p>
        </w:tc>
      </w:tr>
      <w:tr w14:paraId="4015C6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735" w:type="dxa"/>
            <w:vMerge w:val="continue"/>
            <w:tcBorders>
              <w:top w:val="nil"/>
              <w:left w:val="single" w:color="000000" w:sz="6" w:space="0"/>
              <w:bottom w:val="nil"/>
            </w:tcBorders>
            <w:vAlign w:val="top"/>
          </w:tcPr>
          <w:p w14:paraId="2A6BBB39">
            <w:pPr>
              <w:rPr>
                <w:rFonts w:ascii="Arial"/>
                <w:sz w:val="21"/>
              </w:rPr>
            </w:pPr>
          </w:p>
        </w:tc>
        <w:tc>
          <w:tcPr>
            <w:tcW w:w="115" w:type="dxa"/>
            <w:tcBorders>
              <w:top w:val="nil"/>
              <w:bottom w:val="nil"/>
            </w:tcBorders>
            <w:vAlign w:val="top"/>
          </w:tcPr>
          <w:p w14:paraId="3CD85B8A">
            <w:pPr>
              <w:rPr>
                <w:rFonts w:ascii="Arial"/>
                <w:sz w:val="21"/>
              </w:rPr>
            </w:pPr>
          </w:p>
        </w:tc>
        <w:tc>
          <w:tcPr>
            <w:tcW w:w="3320" w:type="dxa"/>
            <w:gridSpan w:val="2"/>
            <w:vAlign w:val="top"/>
          </w:tcPr>
          <w:p w14:paraId="0A2BD9DB">
            <w:pPr>
              <w:spacing w:before="44" w:line="212" w:lineRule="auto"/>
              <w:ind w:left="437"/>
              <w:rPr>
                <w:rFonts w:ascii="宋体" w:hAnsi="宋体" w:eastAsia="宋体" w:cs="宋体"/>
                <w:sz w:val="20"/>
                <w:szCs w:val="20"/>
              </w:rPr>
            </w:pPr>
            <w:r>
              <w:rPr>
                <w:rFonts w:ascii="宋体" w:hAnsi="宋体" w:eastAsia="宋体" w:cs="宋体"/>
                <w:spacing w:val="8"/>
                <w:sz w:val="20"/>
                <w:szCs w:val="20"/>
              </w:rPr>
              <w:t>污染物产生浓度（</w:t>
            </w:r>
            <w:r>
              <w:rPr>
                <w:rFonts w:ascii="Times New Roman" w:hAnsi="Times New Roman" w:eastAsia="Times New Roman" w:cs="Times New Roman"/>
                <w:sz w:val="20"/>
                <w:szCs w:val="20"/>
              </w:rPr>
              <w:t>mg</w:t>
            </w:r>
            <w:r>
              <w:rPr>
                <w:rFonts w:ascii="Times New Roman" w:hAnsi="Times New Roman" w:eastAsia="Times New Roman" w:cs="Times New Roman"/>
                <w:spacing w:val="8"/>
                <w:sz w:val="20"/>
                <w:szCs w:val="20"/>
              </w:rPr>
              <w:t>/m</w:t>
            </w:r>
            <w:r>
              <w:rPr>
                <w:rFonts w:ascii="Times New Roman" w:hAnsi="Times New Roman" w:eastAsia="Times New Roman" w:cs="Times New Roman"/>
                <w:spacing w:val="8"/>
                <w:position w:val="1"/>
                <w:sz w:val="13"/>
                <w:szCs w:val="13"/>
              </w:rPr>
              <w:t>3</w:t>
            </w:r>
            <w:r>
              <w:rPr>
                <w:rFonts w:ascii="宋体" w:hAnsi="宋体" w:eastAsia="宋体" w:cs="宋体"/>
                <w:spacing w:val="8"/>
                <w:position w:val="1"/>
                <w:sz w:val="20"/>
                <w:szCs w:val="20"/>
              </w:rPr>
              <w:t>）</w:t>
            </w:r>
          </w:p>
        </w:tc>
        <w:tc>
          <w:tcPr>
            <w:tcW w:w="1871" w:type="dxa"/>
            <w:vAlign w:val="top"/>
          </w:tcPr>
          <w:p w14:paraId="06B367E7">
            <w:pPr>
              <w:spacing w:before="83"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vAlign w:val="top"/>
          </w:tcPr>
          <w:p w14:paraId="37B791D5">
            <w:pPr>
              <w:spacing w:before="87" w:line="195" w:lineRule="auto"/>
              <w:ind w:left="172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18</w:t>
            </w:r>
          </w:p>
        </w:tc>
        <w:tc>
          <w:tcPr>
            <w:tcW w:w="125" w:type="dxa"/>
            <w:vMerge w:val="continue"/>
            <w:tcBorders>
              <w:top w:val="nil"/>
              <w:bottom w:val="nil"/>
              <w:right w:val="single" w:color="000000" w:sz="6" w:space="0"/>
            </w:tcBorders>
            <w:vAlign w:val="top"/>
          </w:tcPr>
          <w:p w14:paraId="79214676">
            <w:pPr>
              <w:rPr>
                <w:rFonts w:ascii="Arial"/>
                <w:sz w:val="21"/>
              </w:rPr>
            </w:pPr>
          </w:p>
        </w:tc>
      </w:tr>
      <w:tr w14:paraId="3C039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35" w:type="dxa"/>
            <w:vMerge w:val="continue"/>
            <w:tcBorders>
              <w:top w:val="nil"/>
              <w:left w:val="single" w:color="000000" w:sz="6" w:space="0"/>
              <w:bottom w:val="nil"/>
            </w:tcBorders>
            <w:vAlign w:val="top"/>
          </w:tcPr>
          <w:p w14:paraId="4E9D5DD5">
            <w:pPr>
              <w:rPr>
                <w:rFonts w:ascii="Arial"/>
                <w:sz w:val="21"/>
              </w:rPr>
            </w:pPr>
          </w:p>
        </w:tc>
        <w:tc>
          <w:tcPr>
            <w:tcW w:w="115" w:type="dxa"/>
            <w:tcBorders>
              <w:top w:val="nil"/>
              <w:bottom w:val="nil"/>
            </w:tcBorders>
            <w:vAlign w:val="top"/>
          </w:tcPr>
          <w:p w14:paraId="0F2F0E39">
            <w:pPr>
              <w:rPr>
                <w:rFonts w:ascii="Arial"/>
                <w:sz w:val="21"/>
              </w:rPr>
            </w:pPr>
          </w:p>
        </w:tc>
        <w:tc>
          <w:tcPr>
            <w:tcW w:w="3320" w:type="dxa"/>
            <w:gridSpan w:val="2"/>
            <w:vAlign w:val="top"/>
          </w:tcPr>
          <w:p w14:paraId="4FDD221A">
            <w:pPr>
              <w:spacing w:before="42" w:line="229" w:lineRule="auto"/>
              <w:ind w:left="1240"/>
              <w:rPr>
                <w:rFonts w:ascii="宋体" w:hAnsi="宋体" w:eastAsia="宋体" w:cs="宋体"/>
                <w:sz w:val="20"/>
                <w:szCs w:val="20"/>
              </w:rPr>
            </w:pPr>
            <w:r>
              <w:rPr>
                <w:rFonts w:ascii="宋体" w:hAnsi="宋体" w:eastAsia="宋体" w:cs="宋体"/>
                <w:spacing w:val="7"/>
                <w:sz w:val="20"/>
                <w:szCs w:val="20"/>
              </w:rPr>
              <w:t>排放形式</w:t>
            </w:r>
          </w:p>
        </w:tc>
        <w:tc>
          <w:tcPr>
            <w:tcW w:w="1871" w:type="dxa"/>
            <w:vAlign w:val="top"/>
          </w:tcPr>
          <w:p w14:paraId="3AED50C6">
            <w:pPr>
              <w:spacing w:before="43" w:line="228" w:lineRule="auto"/>
              <w:ind w:left="626"/>
              <w:rPr>
                <w:rFonts w:ascii="宋体" w:hAnsi="宋体" w:eastAsia="宋体" w:cs="宋体"/>
                <w:sz w:val="20"/>
                <w:szCs w:val="20"/>
              </w:rPr>
            </w:pPr>
            <w:r>
              <w:rPr>
                <w:rFonts w:ascii="宋体" w:hAnsi="宋体" w:eastAsia="宋体" w:cs="宋体"/>
                <w:spacing w:val="6"/>
                <w:sz w:val="20"/>
                <w:szCs w:val="20"/>
              </w:rPr>
              <w:t>无组织</w:t>
            </w:r>
          </w:p>
        </w:tc>
        <w:tc>
          <w:tcPr>
            <w:tcW w:w="3615" w:type="dxa"/>
            <w:vAlign w:val="top"/>
          </w:tcPr>
          <w:p w14:paraId="3248744C">
            <w:pPr>
              <w:spacing w:before="43" w:line="228" w:lineRule="auto"/>
              <w:ind w:left="1502"/>
              <w:rPr>
                <w:rFonts w:ascii="宋体" w:hAnsi="宋体" w:eastAsia="宋体" w:cs="宋体"/>
                <w:sz w:val="20"/>
                <w:szCs w:val="20"/>
              </w:rPr>
            </w:pPr>
            <w:r>
              <w:rPr>
                <w:rFonts w:ascii="宋体" w:hAnsi="宋体" w:eastAsia="宋体" w:cs="宋体"/>
                <w:spacing w:val="6"/>
                <w:sz w:val="20"/>
                <w:szCs w:val="20"/>
              </w:rPr>
              <w:t>有组织</w:t>
            </w:r>
          </w:p>
        </w:tc>
        <w:tc>
          <w:tcPr>
            <w:tcW w:w="125" w:type="dxa"/>
            <w:vMerge w:val="continue"/>
            <w:tcBorders>
              <w:top w:val="nil"/>
              <w:bottom w:val="nil"/>
              <w:right w:val="single" w:color="000000" w:sz="6" w:space="0"/>
            </w:tcBorders>
            <w:vAlign w:val="top"/>
          </w:tcPr>
          <w:p w14:paraId="4E6B757B">
            <w:pPr>
              <w:rPr>
                <w:rFonts w:ascii="Arial"/>
                <w:sz w:val="21"/>
              </w:rPr>
            </w:pPr>
          </w:p>
        </w:tc>
      </w:tr>
      <w:tr w14:paraId="0B2E3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735" w:type="dxa"/>
            <w:vMerge w:val="continue"/>
            <w:tcBorders>
              <w:top w:val="nil"/>
              <w:left w:val="single" w:color="000000" w:sz="6" w:space="0"/>
              <w:bottom w:val="nil"/>
            </w:tcBorders>
            <w:vAlign w:val="top"/>
          </w:tcPr>
          <w:p w14:paraId="6D72D7DD">
            <w:pPr>
              <w:rPr>
                <w:rFonts w:ascii="Arial"/>
                <w:sz w:val="21"/>
              </w:rPr>
            </w:pPr>
          </w:p>
        </w:tc>
        <w:tc>
          <w:tcPr>
            <w:tcW w:w="115" w:type="dxa"/>
            <w:tcBorders>
              <w:top w:val="nil"/>
              <w:bottom w:val="nil"/>
            </w:tcBorders>
            <w:vAlign w:val="top"/>
          </w:tcPr>
          <w:p w14:paraId="345B9494">
            <w:pPr>
              <w:rPr>
                <w:rFonts w:ascii="Arial"/>
                <w:sz w:val="21"/>
              </w:rPr>
            </w:pPr>
          </w:p>
        </w:tc>
        <w:tc>
          <w:tcPr>
            <w:tcW w:w="478" w:type="dxa"/>
            <w:vMerge w:val="restart"/>
            <w:tcBorders>
              <w:bottom w:val="nil"/>
            </w:tcBorders>
            <w:textDirection w:val="tbRlV"/>
            <w:vAlign w:val="top"/>
          </w:tcPr>
          <w:p w14:paraId="7A3BA8C2">
            <w:pPr>
              <w:spacing w:before="138" w:line="218" w:lineRule="auto"/>
              <w:ind w:left="266"/>
              <w:rPr>
                <w:rFonts w:ascii="宋体" w:hAnsi="宋体" w:eastAsia="宋体" w:cs="宋体"/>
                <w:sz w:val="20"/>
                <w:szCs w:val="20"/>
              </w:rPr>
            </w:pPr>
            <w:r>
              <w:rPr>
                <w:rFonts w:ascii="宋体" w:hAnsi="宋体" w:eastAsia="宋体" w:cs="宋体"/>
                <w:spacing w:val="8"/>
                <w:sz w:val="20"/>
                <w:szCs w:val="20"/>
              </w:rPr>
              <w:t>治</w:t>
            </w:r>
            <w:r>
              <w:rPr>
                <w:rFonts w:ascii="宋体" w:hAnsi="宋体" w:eastAsia="宋体" w:cs="宋体"/>
                <w:spacing w:val="101"/>
                <w:sz w:val="20"/>
                <w:szCs w:val="20"/>
              </w:rPr>
              <w:t xml:space="preserve"> </w:t>
            </w:r>
            <w:r>
              <w:rPr>
                <w:rFonts w:ascii="宋体" w:hAnsi="宋体" w:eastAsia="宋体" w:cs="宋体"/>
                <w:spacing w:val="8"/>
                <w:sz w:val="20"/>
                <w:szCs w:val="20"/>
              </w:rPr>
              <w:t>理</w:t>
            </w:r>
            <w:r>
              <w:rPr>
                <w:rFonts w:ascii="宋体" w:hAnsi="宋体" w:eastAsia="宋体" w:cs="宋体"/>
                <w:spacing w:val="1"/>
                <w:sz w:val="20"/>
                <w:szCs w:val="20"/>
              </w:rPr>
              <w:t xml:space="preserve">  </w:t>
            </w:r>
            <w:r>
              <w:rPr>
                <w:rFonts w:ascii="宋体" w:hAnsi="宋体" w:eastAsia="宋体" w:cs="宋体"/>
                <w:spacing w:val="8"/>
                <w:sz w:val="20"/>
                <w:szCs w:val="20"/>
              </w:rPr>
              <w:t>设</w:t>
            </w:r>
            <w:r>
              <w:rPr>
                <w:rFonts w:ascii="宋体" w:hAnsi="宋体" w:eastAsia="宋体" w:cs="宋体"/>
                <w:spacing w:val="99"/>
                <w:sz w:val="20"/>
                <w:szCs w:val="20"/>
              </w:rPr>
              <w:t xml:space="preserve"> </w:t>
            </w:r>
            <w:r>
              <w:rPr>
                <w:rFonts w:ascii="宋体" w:hAnsi="宋体" w:eastAsia="宋体" w:cs="宋体"/>
                <w:spacing w:val="8"/>
                <w:sz w:val="20"/>
                <w:szCs w:val="20"/>
              </w:rPr>
              <w:t>施</w:t>
            </w:r>
          </w:p>
        </w:tc>
        <w:tc>
          <w:tcPr>
            <w:tcW w:w="2842" w:type="dxa"/>
            <w:vAlign w:val="top"/>
          </w:tcPr>
          <w:p w14:paraId="45A7C9D8">
            <w:pPr>
              <w:spacing w:before="43" w:line="230" w:lineRule="auto"/>
              <w:ind w:left="1215"/>
              <w:rPr>
                <w:rFonts w:ascii="宋体" w:hAnsi="宋体" w:eastAsia="宋体" w:cs="宋体"/>
                <w:sz w:val="20"/>
                <w:szCs w:val="20"/>
              </w:rPr>
            </w:pPr>
            <w:r>
              <w:rPr>
                <w:rFonts w:ascii="宋体" w:hAnsi="宋体" w:eastAsia="宋体" w:cs="宋体"/>
                <w:spacing w:val="3"/>
                <w:sz w:val="20"/>
                <w:szCs w:val="20"/>
              </w:rPr>
              <w:t>名称</w:t>
            </w:r>
          </w:p>
        </w:tc>
        <w:tc>
          <w:tcPr>
            <w:tcW w:w="1871" w:type="dxa"/>
            <w:vAlign w:val="top"/>
          </w:tcPr>
          <w:p w14:paraId="0D1760D1">
            <w:pPr>
              <w:spacing w:before="82"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vAlign w:val="top"/>
          </w:tcPr>
          <w:p w14:paraId="295AF1C9">
            <w:pPr>
              <w:spacing w:before="43" w:line="228" w:lineRule="auto"/>
              <w:ind w:left="918"/>
              <w:rPr>
                <w:rFonts w:ascii="宋体" w:hAnsi="宋体" w:eastAsia="宋体" w:cs="宋体"/>
                <w:sz w:val="20"/>
                <w:szCs w:val="20"/>
              </w:rPr>
            </w:pPr>
            <w:r>
              <w:rPr>
                <w:rFonts w:ascii="宋体" w:hAnsi="宋体" w:eastAsia="宋体" w:cs="宋体"/>
                <w:spacing w:val="8"/>
                <w:sz w:val="20"/>
                <w:szCs w:val="20"/>
              </w:rPr>
              <w:t>集气罩</w:t>
            </w:r>
            <w:r>
              <w:rPr>
                <w:rFonts w:ascii="Times New Roman" w:hAnsi="Times New Roman" w:eastAsia="Times New Roman" w:cs="Times New Roman"/>
                <w:spacing w:val="8"/>
                <w:sz w:val="20"/>
                <w:szCs w:val="20"/>
              </w:rPr>
              <w:t>+</w:t>
            </w:r>
            <w:r>
              <w:rPr>
                <w:rFonts w:ascii="宋体" w:hAnsi="宋体" w:eastAsia="宋体" w:cs="宋体"/>
                <w:spacing w:val="8"/>
                <w:sz w:val="20"/>
                <w:szCs w:val="20"/>
              </w:rPr>
              <w:t>三级活性炭</w:t>
            </w:r>
          </w:p>
        </w:tc>
        <w:tc>
          <w:tcPr>
            <w:tcW w:w="125" w:type="dxa"/>
            <w:vMerge w:val="continue"/>
            <w:tcBorders>
              <w:top w:val="nil"/>
              <w:bottom w:val="nil"/>
              <w:right w:val="single" w:color="000000" w:sz="6" w:space="0"/>
            </w:tcBorders>
            <w:vAlign w:val="top"/>
          </w:tcPr>
          <w:p w14:paraId="13F93036">
            <w:pPr>
              <w:rPr>
                <w:rFonts w:ascii="Arial"/>
                <w:sz w:val="21"/>
              </w:rPr>
            </w:pPr>
          </w:p>
        </w:tc>
      </w:tr>
      <w:tr w14:paraId="6B4897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735" w:type="dxa"/>
            <w:vMerge w:val="continue"/>
            <w:tcBorders>
              <w:top w:val="nil"/>
              <w:left w:val="single" w:color="000000" w:sz="6" w:space="0"/>
              <w:bottom w:val="nil"/>
            </w:tcBorders>
            <w:vAlign w:val="top"/>
          </w:tcPr>
          <w:p w14:paraId="444AFF43">
            <w:pPr>
              <w:rPr>
                <w:rFonts w:ascii="Arial"/>
                <w:sz w:val="21"/>
              </w:rPr>
            </w:pPr>
          </w:p>
        </w:tc>
        <w:tc>
          <w:tcPr>
            <w:tcW w:w="115" w:type="dxa"/>
            <w:tcBorders>
              <w:top w:val="nil"/>
              <w:bottom w:val="nil"/>
            </w:tcBorders>
            <w:vAlign w:val="top"/>
          </w:tcPr>
          <w:p w14:paraId="5CD01FF7">
            <w:pPr>
              <w:rPr>
                <w:rFonts w:ascii="Arial"/>
                <w:sz w:val="21"/>
              </w:rPr>
            </w:pPr>
          </w:p>
        </w:tc>
        <w:tc>
          <w:tcPr>
            <w:tcW w:w="478" w:type="dxa"/>
            <w:vMerge w:val="continue"/>
            <w:tcBorders>
              <w:top w:val="nil"/>
              <w:bottom w:val="nil"/>
            </w:tcBorders>
            <w:textDirection w:val="tbRlV"/>
            <w:vAlign w:val="top"/>
          </w:tcPr>
          <w:p w14:paraId="10C55F7D">
            <w:pPr>
              <w:rPr>
                <w:rFonts w:ascii="Arial"/>
                <w:sz w:val="21"/>
              </w:rPr>
            </w:pPr>
          </w:p>
        </w:tc>
        <w:tc>
          <w:tcPr>
            <w:tcW w:w="2842" w:type="dxa"/>
            <w:vAlign w:val="top"/>
          </w:tcPr>
          <w:p w14:paraId="768AF2A5">
            <w:pPr>
              <w:spacing w:before="64" w:line="228" w:lineRule="auto"/>
              <w:ind w:left="598"/>
              <w:rPr>
                <w:rFonts w:ascii="宋体" w:hAnsi="宋体" w:eastAsia="宋体" w:cs="宋体"/>
                <w:sz w:val="20"/>
                <w:szCs w:val="20"/>
              </w:rPr>
            </w:pPr>
            <w:r>
              <w:rPr>
                <w:rFonts w:ascii="宋体" w:hAnsi="宋体" w:eastAsia="宋体" w:cs="宋体"/>
                <w:spacing w:val="5"/>
                <w:sz w:val="20"/>
                <w:szCs w:val="20"/>
              </w:rPr>
              <w:t>处理能力（</w:t>
            </w:r>
            <w:r>
              <w:rPr>
                <w:rFonts w:ascii="Times New Roman" w:hAnsi="Times New Roman" w:eastAsia="Times New Roman" w:cs="Times New Roman"/>
                <w:spacing w:val="5"/>
                <w:sz w:val="20"/>
                <w:szCs w:val="20"/>
              </w:rPr>
              <w:t>m</w:t>
            </w:r>
            <w:r>
              <w:rPr>
                <w:rFonts w:ascii="Times New Roman" w:hAnsi="Times New Roman" w:eastAsia="Times New Roman" w:cs="Times New Roman"/>
                <w:spacing w:val="5"/>
                <w:position w:val="6"/>
                <w:sz w:val="13"/>
                <w:szCs w:val="13"/>
              </w:rPr>
              <w:t>3</w:t>
            </w:r>
            <w:r>
              <w:rPr>
                <w:rFonts w:ascii="Times New Roman" w:hAnsi="Times New Roman" w:eastAsia="Times New Roman" w:cs="Times New Roman"/>
                <w:spacing w:val="5"/>
                <w:sz w:val="20"/>
                <w:szCs w:val="20"/>
              </w:rPr>
              <w:t>/h</w:t>
            </w:r>
            <w:r>
              <w:rPr>
                <w:rFonts w:ascii="宋体" w:hAnsi="宋体" w:eastAsia="宋体" w:cs="宋体"/>
                <w:spacing w:val="5"/>
                <w:sz w:val="20"/>
                <w:szCs w:val="20"/>
              </w:rPr>
              <w:t>）</w:t>
            </w:r>
          </w:p>
        </w:tc>
        <w:tc>
          <w:tcPr>
            <w:tcW w:w="1871" w:type="dxa"/>
            <w:vAlign w:val="top"/>
          </w:tcPr>
          <w:p w14:paraId="25BFE3A4">
            <w:pPr>
              <w:spacing w:before="101"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vAlign w:val="top"/>
          </w:tcPr>
          <w:p w14:paraId="40537D15">
            <w:pPr>
              <w:spacing w:before="105" w:line="195" w:lineRule="auto"/>
              <w:ind w:left="1518"/>
              <w:rPr>
                <w:rFonts w:ascii="Times New Roman" w:hAnsi="Times New Roman" w:eastAsia="Times New Roman" w:cs="Times New Roman"/>
                <w:sz w:val="20"/>
                <w:szCs w:val="20"/>
              </w:rPr>
            </w:pPr>
            <w:r>
              <w:rPr>
                <w:rFonts w:ascii="Times New Roman" w:hAnsi="Times New Roman" w:eastAsia="Times New Roman" w:cs="Times New Roman"/>
                <w:sz w:val="20"/>
                <w:szCs w:val="20"/>
              </w:rPr>
              <w:t>115000</w:t>
            </w:r>
          </w:p>
        </w:tc>
        <w:tc>
          <w:tcPr>
            <w:tcW w:w="125" w:type="dxa"/>
            <w:vMerge w:val="continue"/>
            <w:tcBorders>
              <w:top w:val="nil"/>
              <w:bottom w:val="nil"/>
              <w:right w:val="single" w:color="000000" w:sz="6" w:space="0"/>
            </w:tcBorders>
            <w:vAlign w:val="top"/>
          </w:tcPr>
          <w:p w14:paraId="2BBE19F2">
            <w:pPr>
              <w:rPr>
                <w:rFonts w:ascii="Arial"/>
                <w:sz w:val="21"/>
              </w:rPr>
            </w:pPr>
          </w:p>
        </w:tc>
      </w:tr>
      <w:tr w14:paraId="3FCC62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735" w:type="dxa"/>
            <w:vMerge w:val="continue"/>
            <w:tcBorders>
              <w:top w:val="nil"/>
              <w:left w:val="single" w:color="000000" w:sz="6" w:space="0"/>
              <w:bottom w:val="nil"/>
            </w:tcBorders>
            <w:vAlign w:val="top"/>
          </w:tcPr>
          <w:p w14:paraId="69BD201C">
            <w:pPr>
              <w:rPr>
                <w:rFonts w:ascii="Arial"/>
                <w:sz w:val="21"/>
              </w:rPr>
            </w:pPr>
          </w:p>
        </w:tc>
        <w:tc>
          <w:tcPr>
            <w:tcW w:w="115" w:type="dxa"/>
            <w:tcBorders>
              <w:top w:val="nil"/>
              <w:bottom w:val="nil"/>
            </w:tcBorders>
            <w:vAlign w:val="top"/>
          </w:tcPr>
          <w:p w14:paraId="07A31C04">
            <w:pPr>
              <w:rPr>
                <w:rFonts w:ascii="Arial"/>
                <w:sz w:val="21"/>
              </w:rPr>
            </w:pPr>
          </w:p>
        </w:tc>
        <w:tc>
          <w:tcPr>
            <w:tcW w:w="478" w:type="dxa"/>
            <w:vMerge w:val="continue"/>
            <w:tcBorders>
              <w:top w:val="nil"/>
              <w:bottom w:val="nil"/>
            </w:tcBorders>
            <w:textDirection w:val="tbRlV"/>
            <w:vAlign w:val="top"/>
          </w:tcPr>
          <w:p w14:paraId="36A9B55B">
            <w:pPr>
              <w:rPr>
                <w:rFonts w:ascii="Arial"/>
                <w:sz w:val="21"/>
              </w:rPr>
            </w:pPr>
          </w:p>
        </w:tc>
        <w:tc>
          <w:tcPr>
            <w:tcW w:w="2842" w:type="dxa"/>
            <w:vAlign w:val="top"/>
          </w:tcPr>
          <w:p w14:paraId="09DE33EE">
            <w:pPr>
              <w:spacing w:before="53" w:line="228" w:lineRule="auto"/>
              <w:ind w:left="1009"/>
              <w:rPr>
                <w:rFonts w:ascii="宋体" w:hAnsi="宋体" w:eastAsia="宋体" w:cs="宋体"/>
                <w:sz w:val="20"/>
                <w:szCs w:val="20"/>
              </w:rPr>
            </w:pPr>
            <w:r>
              <w:rPr>
                <w:rFonts w:ascii="宋体" w:hAnsi="宋体" w:eastAsia="宋体" w:cs="宋体"/>
                <w:spacing w:val="5"/>
                <w:sz w:val="20"/>
                <w:szCs w:val="20"/>
              </w:rPr>
              <w:t>收集效率</w:t>
            </w:r>
          </w:p>
        </w:tc>
        <w:tc>
          <w:tcPr>
            <w:tcW w:w="1871" w:type="dxa"/>
            <w:vAlign w:val="top"/>
          </w:tcPr>
          <w:p w14:paraId="1E967D08">
            <w:pPr>
              <w:spacing w:before="93"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vAlign w:val="top"/>
          </w:tcPr>
          <w:p w14:paraId="6C57FD45">
            <w:pPr>
              <w:spacing w:before="97" w:line="195" w:lineRule="auto"/>
              <w:ind w:left="162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w:t>
            </w:r>
          </w:p>
        </w:tc>
        <w:tc>
          <w:tcPr>
            <w:tcW w:w="125" w:type="dxa"/>
            <w:vMerge w:val="continue"/>
            <w:tcBorders>
              <w:top w:val="nil"/>
              <w:bottom w:val="nil"/>
              <w:right w:val="single" w:color="000000" w:sz="6" w:space="0"/>
            </w:tcBorders>
            <w:vAlign w:val="top"/>
          </w:tcPr>
          <w:p w14:paraId="12C344DA">
            <w:pPr>
              <w:rPr>
                <w:rFonts w:ascii="Arial"/>
                <w:sz w:val="21"/>
              </w:rPr>
            </w:pPr>
          </w:p>
        </w:tc>
      </w:tr>
      <w:tr w14:paraId="6D627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735" w:type="dxa"/>
            <w:vMerge w:val="continue"/>
            <w:tcBorders>
              <w:top w:val="nil"/>
              <w:left w:val="single" w:color="000000" w:sz="6" w:space="0"/>
              <w:bottom w:val="nil"/>
            </w:tcBorders>
            <w:vAlign w:val="top"/>
          </w:tcPr>
          <w:p w14:paraId="05C2B61B">
            <w:pPr>
              <w:rPr>
                <w:rFonts w:ascii="Arial"/>
                <w:sz w:val="21"/>
              </w:rPr>
            </w:pPr>
          </w:p>
        </w:tc>
        <w:tc>
          <w:tcPr>
            <w:tcW w:w="115" w:type="dxa"/>
            <w:tcBorders>
              <w:top w:val="nil"/>
              <w:bottom w:val="nil"/>
            </w:tcBorders>
            <w:vAlign w:val="top"/>
          </w:tcPr>
          <w:p w14:paraId="47363C65">
            <w:pPr>
              <w:rPr>
                <w:rFonts w:ascii="Arial"/>
                <w:sz w:val="21"/>
              </w:rPr>
            </w:pPr>
          </w:p>
        </w:tc>
        <w:tc>
          <w:tcPr>
            <w:tcW w:w="478" w:type="dxa"/>
            <w:vMerge w:val="continue"/>
            <w:tcBorders>
              <w:top w:val="nil"/>
              <w:bottom w:val="nil"/>
            </w:tcBorders>
            <w:textDirection w:val="tbRlV"/>
            <w:vAlign w:val="top"/>
          </w:tcPr>
          <w:p w14:paraId="0D134246">
            <w:pPr>
              <w:rPr>
                <w:rFonts w:ascii="Arial"/>
                <w:sz w:val="21"/>
              </w:rPr>
            </w:pPr>
          </w:p>
        </w:tc>
        <w:tc>
          <w:tcPr>
            <w:tcW w:w="2842" w:type="dxa"/>
            <w:vAlign w:val="top"/>
          </w:tcPr>
          <w:p w14:paraId="1B799743">
            <w:pPr>
              <w:spacing w:before="71" w:line="228" w:lineRule="auto"/>
              <w:ind w:left="1005"/>
              <w:rPr>
                <w:rFonts w:ascii="宋体" w:hAnsi="宋体" w:eastAsia="宋体" w:cs="宋体"/>
                <w:sz w:val="20"/>
                <w:szCs w:val="20"/>
              </w:rPr>
            </w:pPr>
            <w:r>
              <w:rPr>
                <w:rFonts w:ascii="宋体" w:hAnsi="宋体" w:eastAsia="宋体" w:cs="宋体"/>
                <w:spacing w:val="6"/>
                <w:sz w:val="20"/>
                <w:szCs w:val="20"/>
              </w:rPr>
              <w:t>去除效率</w:t>
            </w:r>
          </w:p>
        </w:tc>
        <w:tc>
          <w:tcPr>
            <w:tcW w:w="1871" w:type="dxa"/>
            <w:vAlign w:val="top"/>
          </w:tcPr>
          <w:p w14:paraId="6D74646C">
            <w:pPr>
              <w:spacing w:before="110"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vAlign w:val="top"/>
          </w:tcPr>
          <w:p w14:paraId="6AF83A16">
            <w:pPr>
              <w:spacing w:before="114" w:line="195" w:lineRule="auto"/>
              <w:ind w:left="16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65%</w:t>
            </w:r>
          </w:p>
        </w:tc>
        <w:tc>
          <w:tcPr>
            <w:tcW w:w="125" w:type="dxa"/>
            <w:vMerge w:val="continue"/>
            <w:tcBorders>
              <w:top w:val="nil"/>
              <w:bottom w:val="nil"/>
              <w:right w:val="single" w:color="000000" w:sz="6" w:space="0"/>
            </w:tcBorders>
            <w:vAlign w:val="top"/>
          </w:tcPr>
          <w:p w14:paraId="76FB36CC">
            <w:pPr>
              <w:rPr>
                <w:rFonts w:ascii="Arial"/>
                <w:sz w:val="21"/>
              </w:rPr>
            </w:pPr>
          </w:p>
        </w:tc>
      </w:tr>
      <w:tr w14:paraId="4F6C5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35" w:type="dxa"/>
            <w:vMerge w:val="continue"/>
            <w:tcBorders>
              <w:top w:val="nil"/>
              <w:left w:val="single" w:color="000000" w:sz="6" w:space="0"/>
              <w:bottom w:val="nil"/>
            </w:tcBorders>
            <w:vAlign w:val="top"/>
          </w:tcPr>
          <w:p w14:paraId="2A72DF17">
            <w:pPr>
              <w:rPr>
                <w:rFonts w:ascii="Arial"/>
                <w:sz w:val="21"/>
              </w:rPr>
            </w:pPr>
          </w:p>
        </w:tc>
        <w:tc>
          <w:tcPr>
            <w:tcW w:w="115" w:type="dxa"/>
            <w:tcBorders>
              <w:top w:val="nil"/>
              <w:bottom w:val="nil"/>
            </w:tcBorders>
            <w:vAlign w:val="top"/>
          </w:tcPr>
          <w:p w14:paraId="24BF38A9">
            <w:pPr>
              <w:rPr>
                <w:rFonts w:ascii="Arial"/>
                <w:sz w:val="21"/>
              </w:rPr>
            </w:pPr>
          </w:p>
        </w:tc>
        <w:tc>
          <w:tcPr>
            <w:tcW w:w="478" w:type="dxa"/>
            <w:vMerge w:val="continue"/>
            <w:tcBorders>
              <w:top w:val="nil"/>
            </w:tcBorders>
            <w:textDirection w:val="tbRlV"/>
            <w:vAlign w:val="top"/>
          </w:tcPr>
          <w:p w14:paraId="77999F63">
            <w:pPr>
              <w:rPr>
                <w:rFonts w:ascii="Arial"/>
                <w:sz w:val="21"/>
              </w:rPr>
            </w:pPr>
          </w:p>
        </w:tc>
        <w:tc>
          <w:tcPr>
            <w:tcW w:w="2842" w:type="dxa"/>
            <w:vAlign w:val="top"/>
          </w:tcPr>
          <w:p w14:paraId="4C8E285C">
            <w:pPr>
              <w:spacing w:before="63" w:line="228" w:lineRule="auto"/>
              <w:ind w:left="691"/>
              <w:rPr>
                <w:rFonts w:ascii="宋体" w:hAnsi="宋体" w:eastAsia="宋体" w:cs="宋体"/>
                <w:sz w:val="20"/>
                <w:szCs w:val="20"/>
              </w:rPr>
            </w:pPr>
            <w:r>
              <w:rPr>
                <w:rFonts w:ascii="宋体" w:hAnsi="宋体" w:eastAsia="宋体" w:cs="宋体"/>
                <w:spacing w:val="8"/>
                <w:sz w:val="20"/>
                <w:szCs w:val="20"/>
              </w:rPr>
              <w:t>是否为可行技术</w:t>
            </w:r>
          </w:p>
        </w:tc>
        <w:tc>
          <w:tcPr>
            <w:tcW w:w="1871" w:type="dxa"/>
            <w:vAlign w:val="top"/>
          </w:tcPr>
          <w:p w14:paraId="77C291F1">
            <w:pPr>
              <w:spacing w:before="102"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vAlign w:val="top"/>
          </w:tcPr>
          <w:p w14:paraId="491B02AB">
            <w:pPr>
              <w:spacing w:before="63" w:line="231" w:lineRule="auto"/>
              <w:ind w:left="1714"/>
              <w:rPr>
                <w:rFonts w:ascii="宋体" w:hAnsi="宋体" w:eastAsia="宋体" w:cs="宋体"/>
                <w:sz w:val="20"/>
                <w:szCs w:val="20"/>
              </w:rPr>
            </w:pPr>
            <w:r>
              <w:rPr>
                <w:rFonts w:ascii="宋体" w:hAnsi="宋体" w:eastAsia="宋体" w:cs="宋体"/>
                <w:sz w:val="20"/>
                <w:szCs w:val="20"/>
              </w:rPr>
              <w:t>是</w:t>
            </w:r>
          </w:p>
        </w:tc>
        <w:tc>
          <w:tcPr>
            <w:tcW w:w="125" w:type="dxa"/>
            <w:vMerge w:val="continue"/>
            <w:tcBorders>
              <w:top w:val="nil"/>
              <w:bottom w:val="nil"/>
              <w:right w:val="single" w:color="000000" w:sz="6" w:space="0"/>
            </w:tcBorders>
            <w:vAlign w:val="top"/>
          </w:tcPr>
          <w:p w14:paraId="768D1018">
            <w:pPr>
              <w:rPr>
                <w:rFonts w:ascii="Arial"/>
                <w:sz w:val="21"/>
              </w:rPr>
            </w:pPr>
          </w:p>
        </w:tc>
      </w:tr>
      <w:tr w14:paraId="59307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35" w:type="dxa"/>
            <w:vMerge w:val="continue"/>
            <w:tcBorders>
              <w:top w:val="nil"/>
              <w:left w:val="single" w:color="000000" w:sz="6" w:space="0"/>
              <w:bottom w:val="nil"/>
            </w:tcBorders>
            <w:vAlign w:val="top"/>
          </w:tcPr>
          <w:p w14:paraId="76A4956B">
            <w:pPr>
              <w:rPr>
                <w:rFonts w:ascii="Arial"/>
                <w:sz w:val="21"/>
              </w:rPr>
            </w:pPr>
          </w:p>
        </w:tc>
        <w:tc>
          <w:tcPr>
            <w:tcW w:w="115" w:type="dxa"/>
            <w:tcBorders>
              <w:top w:val="nil"/>
              <w:bottom w:val="nil"/>
            </w:tcBorders>
            <w:vAlign w:val="top"/>
          </w:tcPr>
          <w:p w14:paraId="10D186AE">
            <w:pPr>
              <w:rPr>
                <w:rFonts w:ascii="Arial"/>
                <w:sz w:val="21"/>
              </w:rPr>
            </w:pPr>
          </w:p>
        </w:tc>
        <w:tc>
          <w:tcPr>
            <w:tcW w:w="3320" w:type="dxa"/>
            <w:gridSpan w:val="2"/>
            <w:vAlign w:val="top"/>
          </w:tcPr>
          <w:p w14:paraId="44742B49">
            <w:pPr>
              <w:spacing w:before="45" w:line="212" w:lineRule="auto"/>
              <w:ind w:left="437"/>
              <w:rPr>
                <w:rFonts w:ascii="宋体" w:hAnsi="宋体" w:eastAsia="宋体" w:cs="宋体"/>
                <w:sz w:val="20"/>
                <w:szCs w:val="20"/>
              </w:rPr>
            </w:pPr>
            <w:r>
              <w:rPr>
                <w:rFonts w:ascii="宋体" w:hAnsi="宋体" w:eastAsia="宋体" w:cs="宋体"/>
                <w:spacing w:val="8"/>
                <w:sz w:val="20"/>
                <w:szCs w:val="20"/>
              </w:rPr>
              <w:t>污染物排放浓度（</w:t>
            </w:r>
            <w:r>
              <w:rPr>
                <w:rFonts w:ascii="Times New Roman" w:hAnsi="Times New Roman" w:eastAsia="Times New Roman" w:cs="Times New Roman"/>
                <w:sz w:val="20"/>
                <w:szCs w:val="20"/>
              </w:rPr>
              <w:t>mg</w:t>
            </w:r>
            <w:r>
              <w:rPr>
                <w:rFonts w:ascii="Times New Roman" w:hAnsi="Times New Roman" w:eastAsia="Times New Roman" w:cs="Times New Roman"/>
                <w:spacing w:val="8"/>
                <w:sz w:val="20"/>
                <w:szCs w:val="20"/>
              </w:rPr>
              <w:t>/m</w:t>
            </w:r>
            <w:r>
              <w:rPr>
                <w:rFonts w:ascii="Times New Roman" w:hAnsi="Times New Roman" w:eastAsia="Times New Roman" w:cs="Times New Roman"/>
                <w:spacing w:val="8"/>
                <w:position w:val="1"/>
                <w:sz w:val="13"/>
                <w:szCs w:val="13"/>
              </w:rPr>
              <w:t>3</w:t>
            </w:r>
            <w:r>
              <w:rPr>
                <w:rFonts w:ascii="宋体" w:hAnsi="宋体" w:eastAsia="宋体" w:cs="宋体"/>
                <w:spacing w:val="8"/>
                <w:position w:val="1"/>
                <w:sz w:val="20"/>
                <w:szCs w:val="20"/>
              </w:rPr>
              <w:t>）</w:t>
            </w:r>
          </w:p>
        </w:tc>
        <w:tc>
          <w:tcPr>
            <w:tcW w:w="1871" w:type="dxa"/>
            <w:vAlign w:val="top"/>
          </w:tcPr>
          <w:p w14:paraId="587CAC57">
            <w:pPr>
              <w:spacing w:before="84"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vAlign w:val="top"/>
          </w:tcPr>
          <w:p w14:paraId="610030EB">
            <w:pPr>
              <w:spacing w:before="88" w:line="195" w:lineRule="auto"/>
              <w:ind w:left="168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6.3</w:t>
            </w:r>
          </w:p>
        </w:tc>
        <w:tc>
          <w:tcPr>
            <w:tcW w:w="125" w:type="dxa"/>
            <w:vMerge w:val="continue"/>
            <w:tcBorders>
              <w:top w:val="nil"/>
              <w:bottom w:val="nil"/>
              <w:right w:val="single" w:color="000000" w:sz="6" w:space="0"/>
            </w:tcBorders>
            <w:vAlign w:val="top"/>
          </w:tcPr>
          <w:p w14:paraId="5B3E6CE1">
            <w:pPr>
              <w:rPr>
                <w:rFonts w:ascii="Arial"/>
                <w:sz w:val="21"/>
              </w:rPr>
            </w:pPr>
          </w:p>
        </w:tc>
      </w:tr>
      <w:tr w14:paraId="5C8F6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35" w:type="dxa"/>
            <w:vMerge w:val="continue"/>
            <w:tcBorders>
              <w:top w:val="nil"/>
              <w:left w:val="single" w:color="000000" w:sz="6" w:space="0"/>
              <w:bottom w:val="single" w:color="000000" w:sz="6" w:space="0"/>
            </w:tcBorders>
            <w:vAlign w:val="top"/>
          </w:tcPr>
          <w:p w14:paraId="5627BE8F">
            <w:pPr>
              <w:rPr>
                <w:rFonts w:ascii="Arial"/>
                <w:sz w:val="21"/>
              </w:rPr>
            </w:pPr>
          </w:p>
        </w:tc>
        <w:tc>
          <w:tcPr>
            <w:tcW w:w="115" w:type="dxa"/>
            <w:tcBorders>
              <w:top w:val="nil"/>
              <w:bottom w:val="single" w:color="000000" w:sz="6" w:space="0"/>
            </w:tcBorders>
            <w:vAlign w:val="top"/>
          </w:tcPr>
          <w:p w14:paraId="561CC228">
            <w:pPr>
              <w:rPr>
                <w:rFonts w:ascii="Arial"/>
                <w:sz w:val="21"/>
              </w:rPr>
            </w:pPr>
          </w:p>
        </w:tc>
        <w:tc>
          <w:tcPr>
            <w:tcW w:w="3320" w:type="dxa"/>
            <w:gridSpan w:val="2"/>
            <w:tcBorders>
              <w:bottom w:val="single" w:color="000000" w:sz="6" w:space="0"/>
            </w:tcBorders>
            <w:vAlign w:val="top"/>
          </w:tcPr>
          <w:p w14:paraId="2E0A50EA">
            <w:pPr>
              <w:spacing w:before="47" w:line="221" w:lineRule="auto"/>
              <w:ind w:left="531"/>
              <w:rPr>
                <w:rFonts w:ascii="宋体" w:hAnsi="宋体" w:eastAsia="宋体" w:cs="宋体"/>
                <w:sz w:val="20"/>
                <w:szCs w:val="20"/>
              </w:rPr>
            </w:pPr>
            <w:r>
              <w:rPr>
                <w:rFonts w:ascii="宋体" w:hAnsi="宋体" w:eastAsia="宋体" w:cs="宋体"/>
                <w:spacing w:val="7"/>
                <w:sz w:val="20"/>
                <w:szCs w:val="20"/>
              </w:rPr>
              <w:t>污染物排放速率（</w:t>
            </w:r>
            <w:r>
              <w:rPr>
                <w:rFonts w:ascii="Times New Roman" w:hAnsi="Times New Roman" w:eastAsia="Times New Roman" w:cs="Times New Roman"/>
                <w:sz w:val="20"/>
                <w:szCs w:val="20"/>
              </w:rPr>
              <w:t>kg</w:t>
            </w:r>
            <w:r>
              <w:rPr>
                <w:rFonts w:ascii="Times New Roman" w:hAnsi="Times New Roman" w:eastAsia="Times New Roman" w:cs="Times New Roman"/>
                <w:spacing w:val="7"/>
                <w:sz w:val="20"/>
                <w:szCs w:val="20"/>
              </w:rPr>
              <w:t>/h</w:t>
            </w:r>
            <w:r>
              <w:rPr>
                <w:rFonts w:ascii="宋体" w:hAnsi="宋体" w:eastAsia="宋体" w:cs="宋体"/>
                <w:spacing w:val="7"/>
                <w:sz w:val="20"/>
                <w:szCs w:val="20"/>
              </w:rPr>
              <w:t>）</w:t>
            </w:r>
          </w:p>
        </w:tc>
        <w:tc>
          <w:tcPr>
            <w:tcW w:w="1871" w:type="dxa"/>
            <w:tcBorders>
              <w:bottom w:val="single" w:color="000000" w:sz="6" w:space="0"/>
            </w:tcBorders>
            <w:vAlign w:val="top"/>
          </w:tcPr>
          <w:p w14:paraId="4F33EE0B">
            <w:pPr>
              <w:spacing w:before="86"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tcBorders>
              <w:bottom w:val="single" w:color="000000" w:sz="6" w:space="0"/>
            </w:tcBorders>
            <w:vAlign w:val="top"/>
          </w:tcPr>
          <w:p w14:paraId="7CA01721">
            <w:pPr>
              <w:spacing w:before="90" w:line="195" w:lineRule="auto"/>
              <w:ind w:left="15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0.7245</w:t>
            </w:r>
          </w:p>
        </w:tc>
        <w:tc>
          <w:tcPr>
            <w:tcW w:w="125" w:type="dxa"/>
            <w:vMerge w:val="continue"/>
            <w:tcBorders>
              <w:top w:val="nil"/>
              <w:bottom w:val="single" w:color="000000" w:sz="6" w:space="0"/>
              <w:right w:val="single" w:color="000000" w:sz="6" w:space="0"/>
            </w:tcBorders>
            <w:vAlign w:val="top"/>
          </w:tcPr>
          <w:p w14:paraId="63D7C41A">
            <w:pPr>
              <w:rPr>
                <w:rFonts w:ascii="Arial"/>
                <w:sz w:val="21"/>
              </w:rPr>
            </w:pPr>
          </w:p>
        </w:tc>
      </w:tr>
    </w:tbl>
    <w:p w14:paraId="644C349A">
      <w:pPr>
        <w:pStyle w:val="2"/>
      </w:pPr>
    </w:p>
    <w:p w14:paraId="2670BB3E">
      <w:pPr>
        <w:sectPr>
          <w:footerReference r:id="rId90" w:type="default"/>
          <w:pgSz w:w="11906" w:h="16839"/>
          <w:pgMar w:top="400" w:right="1055" w:bottom="1085" w:left="1054" w:header="0" w:footer="762" w:gutter="0"/>
          <w:cols w:space="720" w:num="1"/>
        </w:sectPr>
      </w:pPr>
    </w:p>
    <w:p w14:paraId="197AA8B6">
      <w:pPr>
        <w:spacing w:before="19"/>
      </w:pPr>
    </w:p>
    <w:p w14:paraId="1706146A">
      <w:pPr>
        <w:spacing w:before="19"/>
      </w:pPr>
    </w:p>
    <w:p w14:paraId="2B3EF463">
      <w:pPr>
        <w:spacing w:before="19"/>
      </w:pPr>
    </w:p>
    <w:p w14:paraId="083E8778">
      <w:pPr>
        <w:spacing w:before="18"/>
      </w:pPr>
    </w:p>
    <w:p w14:paraId="183A31C2">
      <w:pPr>
        <w:spacing w:before="18"/>
      </w:pPr>
    </w:p>
    <w:tbl>
      <w:tblPr>
        <w:tblStyle w:val="10"/>
        <w:tblW w:w="978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5"/>
        <w:gridCol w:w="115"/>
        <w:gridCol w:w="478"/>
        <w:gridCol w:w="2842"/>
        <w:gridCol w:w="1871"/>
        <w:gridCol w:w="3615"/>
        <w:gridCol w:w="125"/>
      </w:tblGrid>
      <w:tr w14:paraId="788D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735" w:type="dxa"/>
            <w:vMerge w:val="restart"/>
            <w:tcBorders>
              <w:top w:val="single" w:color="000000" w:sz="6" w:space="0"/>
              <w:left w:val="single" w:color="000000" w:sz="6" w:space="0"/>
              <w:bottom w:val="nil"/>
            </w:tcBorders>
            <w:vAlign w:val="top"/>
          </w:tcPr>
          <w:p w14:paraId="0D35C298">
            <w:pPr>
              <w:rPr>
                <w:rFonts w:ascii="Arial"/>
                <w:sz w:val="21"/>
              </w:rPr>
            </w:pPr>
          </w:p>
        </w:tc>
        <w:tc>
          <w:tcPr>
            <w:tcW w:w="115" w:type="dxa"/>
            <w:tcBorders>
              <w:top w:val="single" w:color="000000" w:sz="6" w:space="0"/>
              <w:bottom w:val="nil"/>
            </w:tcBorders>
            <w:vAlign w:val="top"/>
          </w:tcPr>
          <w:p w14:paraId="2AE0D5F5">
            <w:pPr>
              <w:rPr>
                <w:rFonts w:ascii="Arial"/>
                <w:sz w:val="21"/>
              </w:rPr>
            </w:pPr>
          </w:p>
        </w:tc>
        <w:tc>
          <w:tcPr>
            <w:tcW w:w="3320" w:type="dxa"/>
            <w:gridSpan w:val="2"/>
            <w:tcBorders>
              <w:top w:val="single" w:color="000000" w:sz="6" w:space="0"/>
            </w:tcBorders>
            <w:vAlign w:val="top"/>
          </w:tcPr>
          <w:p w14:paraId="35202706">
            <w:pPr>
              <w:spacing w:before="47" w:line="228" w:lineRule="auto"/>
              <w:ind w:left="716"/>
              <w:rPr>
                <w:rFonts w:ascii="宋体" w:hAnsi="宋体" w:eastAsia="宋体" w:cs="宋体"/>
                <w:sz w:val="20"/>
                <w:szCs w:val="20"/>
              </w:rPr>
            </w:pPr>
            <w:r>
              <w:rPr>
                <w:rFonts w:ascii="宋体" w:hAnsi="宋体" w:eastAsia="宋体" w:cs="宋体"/>
                <w:spacing w:val="6"/>
                <w:sz w:val="20"/>
                <w:szCs w:val="20"/>
              </w:rPr>
              <w:t>污染物排放量（</w:t>
            </w:r>
            <w:r>
              <w:rPr>
                <w:rFonts w:ascii="Times New Roman" w:hAnsi="Times New Roman" w:eastAsia="Times New Roman" w:cs="Times New Roman"/>
                <w:spacing w:val="6"/>
                <w:sz w:val="20"/>
                <w:szCs w:val="20"/>
              </w:rPr>
              <w:t>t/a</w:t>
            </w:r>
            <w:r>
              <w:rPr>
                <w:rFonts w:ascii="宋体" w:hAnsi="宋体" w:eastAsia="宋体" w:cs="宋体"/>
                <w:spacing w:val="6"/>
                <w:sz w:val="20"/>
                <w:szCs w:val="20"/>
              </w:rPr>
              <w:t>）</w:t>
            </w:r>
          </w:p>
        </w:tc>
        <w:tc>
          <w:tcPr>
            <w:tcW w:w="1871" w:type="dxa"/>
            <w:tcBorders>
              <w:top w:val="single" w:color="000000" w:sz="6" w:space="0"/>
            </w:tcBorders>
            <w:vAlign w:val="top"/>
          </w:tcPr>
          <w:p w14:paraId="3CB6B9F0">
            <w:pPr>
              <w:spacing w:before="86"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tcBorders>
              <w:top w:val="single" w:color="000000" w:sz="6" w:space="0"/>
            </w:tcBorders>
            <w:vAlign w:val="top"/>
          </w:tcPr>
          <w:p w14:paraId="0EB43DA9">
            <w:pPr>
              <w:spacing w:before="90" w:line="195" w:lineRule="auto"/>
              <w:ind w:left="1544"/>
              <w:rPr>
                <w:rFonts w:ascii="Times New Roman" w:hAnsi="Times New Roman" w:eastAsia="Times New Roman" w:cs="Times New Roman"/>
                <w:sz w:val="20"/>
                <w:szCs w:val="20"/>
              </w:rPr>
            </w:pPr>
            <w:r>
              <w:rPr>
                <w:rFonts w:ascii="Times New Roman" w:hAnsi="Times New Roman" w:eastAsia="Times New Roman" w:cs="Times New Roman"/>
                <w:sz w:val="20"/>
                <w:szCs w:val="20"/>
              </w:rPr>
              <w:t>1.7388</w:t>
            </w:r>
          </w:p>
        </w:tc>
        <w:tc>
          <w:tcPr>
            <w:tcW w:w="125" w:type="dxa"/>
            <w:tcBorders>
              <w:top w:val="single" w:color="000000" w:sz="6" w:space="0"/>
              <w:bottom w:val="nil"/>
              <w:right w:val="single" w:color="000000" w:sz="6" w:space="0"/>
            </w:tcBorders>
            <w:vAlign w:val="top"/>
          </w:tcPr>
          <w:p w14:paraId="26F61060">
            <w:pPr>
              <w:rPr>
                <w:rFonts w:ascii="Arial"/>
                <w:sz w:val="21"/>
              </w:rPr>
            </w:pPr>
          </w:p>
        </w:tc>
      </w:tr>
      <w:tr w14:paraId="520AF9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735" w:type="dxa"/>
            <w:vMerge w:val="continue"/>
            <w:tcBorders>
              <w:top w:val="nil"/>
              <w:left w:val="single" w:color="000000" w:sz="6" w:space="0"/>
              <w:bottom w:val="nil"/>
            </w:tcBorders>
            <w:vAlign w:val="top"/>
          </w:tcPr>
          <w:p w14:paraId="414E7CF8">
            <w:pPr>
              <w:rPr>
                <w:rFonts w:ascii="Arial"/>
                <w:sz w:val="21"/>
              </w:rPr>
            </w:pPr>
          </w:p>
        </w:tc>
        <w:tc>
          <w:tcPr>
            <w:tcW w:w="115" w:type="dxa"/>
            <w:tcBorders>
              <w:top w:val="nil"/>
              <w:bottom w:val="nil"/>
            </w:tcBorders>
            <w:vAlign w:val="top"/>
          </w:tcPr>
          <w:p w14:paraId="6AB1BFB5">
            <w:pPr>
              <w:rPr>
                <w:rFonts w:ascii="Arial"/>
                <w:sz w:val="21"/>
              </w:rPr>
            </w:pPr>
          </w:p>
        </w:tc>
        <w:tc>
          <w:tcPr>
            <w:tcW w:w="478" w:type="dxa"/>
            <w:vMerge w:val="restart"/>
            <w:tcBorders>
              <w:bottom w:val="nil"/>
            </w:tcBorders>
            <w:textDirection w:val="tbRlV"/>
            <w:vAlign w:val="top"/>
          </w:tcPr>
          <w:p w14:paraId="282F2DBB">
            <w:pPr>
              <w:spacing w:before="138" w:line="206" w:lineRule="auto"/>
              <w:ind w:left="55"/>
              <w:rPr>
                <w:rFonts w:ascii="宋体" w:hAnsi="宋体" w:eastAsia="宋体" w:cs="宋体"/>
                <w:sz w:val="20"/>
                <w:szCs w:val="20"/>
              </w:rPr>
            </w:pPr>
            <w:r>
              <w:rPr>
                <w:rFonts w:ascii="宋体" w:hAnsi="宋体" w:eastAsia="宋体" w:cs="宋体"/>
                <w:spacing w:val="8"/>
                <w:sz w:val="20"/>
                <w:szCs w:val="20"/>
              </w:rPr>
              <w:t>排</w:t>
            </w:r>
            <w:r>
              <w:rPr>
                <w:rFonts w:ascii="宋体" w:hAnsi="宋体" w:eastAsia="宋体" w:cs="宋体"/>
                <w:spacing w:val="103"/>
                <w:sz w:val="20"/>
                <w:szCs w:val="20"/>
              </w:rPr>
              <w:t xml:space="preserve"> </w:t>
            </w:r>
            <w:r>
              <w:rPr>
                <w:rFonts w:ascii="宋体" w:hAnsi="宋体" w:eastAsia="宋体" w:cs="宋体"/>
                <w:spacing w:val="8"/>
                <w:sz w:val="20"/>
                <w:szCs w:val="20"/>
              </w:rPr>
              <w:t>放</w:t>
            </w:r>
            <w:r>
              <w:rPr>
                <w:rFonts w:ascii="宋体" w:hAnsi="宋体" w:eastAsia="宋体" w:cs="宋体"/>
                <w:spacing w:val="99"/>
                <w:sz w:val="20"/>
                <w:szCs w:val="20"/>
              </w:rPr>
              <w:t xml:space="preserve"> </w:t>
            </w:r>
            <w:r>
              <w:rPr>
                <w:rFonts w:ascii="宋体" w:hAnsi="宋体" w:eastAsia="宋体" w:cs="宋体"/>
                <w:spacing w:val="8"/>
                <w:position w:val="1"/>
                <w:sz w:val="20"/>
                <w:szCs w:val="20"/>
              </w:rPr>
              <w:t>口</w:t>
            </w:r>
            <w:r>
              <w:rPr>
                <w:rFonts w:ascii="宋体" w:hAnsi="宋体" w:eastAsia="宋体" w:cs="宋体"/>
                <w:spacing w:val="100"/>
                <w:position w:val="1"/>
                <w:sz w:val="20"/>
                <w:szCs w:val="20"/>
              </w:rPr>
              <w:t xml:space="preserve"> </w:t>
            </w:r>
            <w:r>
              <w:rPr>
                <w:rFonts w:ascii="宋体" w:hAnsi="宋体" w:eastAsia="宋体" w:cs="宋体"/>
                <w:spacing w:val="8"/>
                <w:sz w:val="20"/>
                <w:szCs w:val="20"/>
              </w:rPr>
              <w:t>基</w:t>
            </w:r>
            <w:r>
              <w:rPr>
                <w:rFonts w:ascii="宋体" w:hAnsi="宋体" w:eastAsia="宋体" w:cs="宋体"/>
                <w:sz w:val="20"/>
                <w:szCs w:val="20"/>
              </w:rPr>
              <w:t xml:space="preserve">  </w:t>
            </w:r>
            <w:r>
              <w:rPr>
                <w:rFonts w:ascii="宋体" w:hAnsi="宋体" w:eastAsia="宋体" w:cs="宋体"/>
                <w:spacing w:val="8"/>
                <w:sz w:val="20"/>
                <w:szCs w:val="20"/>
              </w:rPr>
              <w:t>本</w:t>
            </w:r>
            <w:r>
              <w:rPr>
                <w:rFonts w:ascii="宋体" w:hAnsi="宋体" w:eastAsia="宋体" w:cs="宋体"/>
                <w:spacing w:val="101"/>
                <w:sz w:val="20"/>
                <w:szCs w:val="20"/>
              </w:rPr>
              <w:t xml:space="preserve"> </w:t>
            </w:r>
            <w:r>
              <w:rPr>
                <w:rFonts w:ascii="宋体" w:hAnsi="宋体" w:eastAsia="宋体" w:cs="宋体"/>
                <w:spacing w:val="8"/>
                <w:sz w:val="20"/>
                <w:szCs w:val="20"/>
              </w:rPr>
              <w:t>情</w:t>
            </w:r>
            <w:r>
              <w:rPr>
                <w:rFonts w:ascii="宋体" w:hAnsi="宋体" w:eastAsia="宋体" w:cs="宋体"/>
                <w:spacing w:val="99"/>
                <w:sz w:val="20"/>
                <w:szCs w:val="20"/>
              </w:rPr>
              <w:t xml:space="preserve"> </w:t>
            </w:r>
            <w:r>
              <w:rPr>
                <w:rFonts w:ascii="宋体" w:hAnsi="宋体" w:eastAsia="宋体" w:cs="宋体"/>
                <w:spacing w:val="8"/>
                <w:sz w:val="20"/>
                <w:szCs w:val="20"/>
              </w:rPr>
              <w:t>况</w:t>
            </w:r>
          </w:p>
        </w:tc>
        <w:tc>
          <w:tcPr>
            <w:tcW w:w="2842" w:type="dxa"/>
            <w:vAlign w:val="top"/>
          </w:tcPr>
          <w:p w14:paraId="6A33DD7D">
            <w:pPr>
              <w:spacing w:before="31" w:line="228" w:lineRule="auto"/>
              <w:ind w:left="926"/>
              <w:rPr>
                <w:rFonts w:ascii="宋体" w:hAnsi="宋体" w:eastAsia="宋体" w:cs="宋体"/>
                <w:sz w:val="20"/>
                <w:szCs w:val="20"/>
              </w:rPr>
            </w:pPr>
            <w:r>
              <w:rPr>
                <w:rFonts w:ascii="宋体" w:hAnsi="宋体" w:eastAsia="宋体" w:cs="宋体"/>
                <w:spacing w:val="4"/>
                <w:sz w:val="20"/>
                <w:szCs w:val="20"/>
              </w:rPr>
              <w:t>高度（</w:t>
            </w:r>
            <w:r>
              <w:rPr>
                <w:rFonts w:ascii="Times New Roman" w:hAnsi="Times New Roman" w:eastAsia="Times New Roman" w:cs="Times New Roman"/>
                <w:spacing w:val="4"/>
                <w:sz w:val="20"/>
                <w:szCs w:val="20"/>
              </w:rPr>
              <w:t>m</w:t>
            </w:r>
            <w:r>
              <w:rPr>
                <w:rFonts w:ascii="宋体" w:hAnsi="宋体" w:eastAsia="宋体" w:cs="宋体"/>
                <w:spacing w:val="4"/>
                <w:sz w:val="20"/>
                <w:szCs w:val="20"/>
              </w:rPr>
              <w:t>）</w:t>
            </w:r>
          </w:p>
        </w:tc>
        <w:tc>
          <w:tcPr>
            <w:tcW w:w="1871" w:type="dxa"/>
            <w:vAlign w:val="top"/>
          </w:tcPr>
          <w:p w14:paraId="1FD071EF">
            <w:pPr>
              <w:spacing w:before="70"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vAlign w:val="top"/>
          </w:tcPr>
          <w:p w14:paraId="32883263">
            <w:pPr>
              <w:spacing w:before="74" w:line="195" w:lineRule="auto"/>
              <w:ind w:left="172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125" w:type="dxa"/>
            <w:tcBorders>
              <w:top w:val="nil"/>
              <w:bottom w:val="nil"/>
              <w:right w:val="single" w:color="000000" w:sz="6" w:space="0"/>
            </w:tcBorders>
            <w:vAlign w:val="top"/>
          </w:tcPr>
          <w:p w14:paraId="2AE27DF7">
            <w:pPr>
              <w:rPr>
                <w:rFonts w:ascii="Arial"/>
                <w:sz w:val="21"/>
              </w:rPr>
            </w:pPr>
          </w:p>
        </w:tc>
      </w:tr>
      <w:tr w14:paraId="2C1EE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735" w:type="dxa"/>
            <w:vMerge w:val="continue"/>
            <w:tcBorders>
              <w:top w:val="nil"/>
              <w:left w:val="single" w:color="000000" w:sz="6" w:space="0"/>
              <w:bottom w:val="nil"/>
            </w:tcBorders>
            <w:vAlign w:val="top"/>
          </w:tcPr>
          <w:p w14:paraId="7FE870DA">
            <w:pPr>
              <w:rPr>
                <w:rFonts w:ascii="Arial"/>
                <w:sz w:val="21"/>
              </w:rPr>
            </w:pPr>
          </w:p>
        </w:tc>
        <w:tc>
          <w:tcPr>
            <w:tcW w:w="115" w:type="dxa"/>
            <w:tcBorders>
              <w:top w:val="nil"/>
              <w:bottom w:val="nil"/>
            </w:tcBorders>
            <w:vAlign w:val="top"/>
          </w:tcPr>
          <w:p w14:paraId="4AD5E00D">
            <w:pPr>
              <w:rPr>
                <w:rFonts w:ascii="Arial"/>
                <w:sz w:val="21"/>
              </w:rPr>
            </w:pPr>
          </w:p>
        </w:tc>
        <w:tc>
          <w:tcPr>
            <w:tcW w:w="478" w:type="dxa"/>
            <w:vMerge w:val="continue"/>
            <w:tcBorders>
              <w:top w:val="nil"/>
              <w:bottom w:val="nil"/>
            </w:tcBorders>
            <w:textDirection w:val="tbRlV"/>
            <w:vAlign w:val="top"/>
          </w:tcPr>
          <w:p w14:paraId="2F011655">
            <w:pPr>
              <w:rPr>
                <w:rFonts w:ascii="Arial"/>
                <w:sz w:val="21"/>
              </w:rPr>
            </w:pPr>
          </w:p>
        </w:tc>
        <w:tc>
          <w:tcPr>
            <w:tcW w:w="2842" w:type="dxa"/>
            <w:vAlign w:val="top"/>
          </w:tcPr>
          <w:p w14:paraId="0F0AB896">
            <w:pPr>
              <w:spacing w:before="42" w:line="228" w:lineRule="auto"/>
              <w:ind w:left="606"/>
              <w:rPr>
                <w:rFonts w:ascii="宋体" w:hAnsi="宋体" w:eastAsia="宋体" w:cs="宋体"/>
                <w:sz w:val="20"/>
                <w:szCs w:val="20"/>
              </w:rPr>
            </w:pPr>
            <w:r>
              <w:rPr>
                <w:rFonts w:ascii="宋体" w:hAnsi="宋体" w:eastAsia="宋体" w:cs="宋体"/>
                <w:spacing w:val="7"/>
                <w:sz w:val="20"/>
                <w:szCs w:val="20"/>
              </w:rPr>
              <w:t>排气筒内径（</w:t>
            </w:r>
            <w:r>
              <w:rPr>
                <w:rFonts w:ascii="Times New Roman" w:hAnsi="Times New Roman" w:eastAsia="Times New Roman" w:cs="Times New Roman"/>
                <w:spacing w:val="7"/>
                <w:sz w:val="20"/>
                <w:szCs w:val="20"/>
              </w:rPr>
              <w:t>m</w:t>
            </w:r>
            <w:r>
              <w:rPr>
                <w:rFonts w:ascii="宋体" w:hAnsi="宋体" w:eastAsia="宋体" w:cs="宋体"/>
                <w:spacing w:val="7"/>
                <w:sz w:val="20"/>
                <w:szCs w:val="20"/>
              </w:rPr>
              <w:t>）</w:t>
            </w:r>
          </w:p>
        </w:tc>
        <w:tc>
          <w:tcPr>
            <w:tcW w:w="1871" w:type="dxa"/>
            <w:vAlign w:val="top"/>
          </w:tcPr>
          <w:p w14:paraId="2171B060">
            <w:pPr>
              <w:spacing w:before="82"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vAlign w:val="top"/>
          </w:tcPr>
          <w:p w14:paraId="293D675C">
            <w:pPr>
              <w:spacing w:before="86" w:line="195" w:lineRule="auto"/>
              <w:ind w:left="1686"/>
              <w:rPr>
                <w:rFonts w:ascii="Times New Roman" w:hAnsi="Times New Roman" w:eastAsia="Times New Roman" w:cs="Times New Roman"/>
                <w:sz w:val="20"/>
                <w:szCs w:val="20"/>
              </w:rPr>
            </w:pPr>
            <w:r>
              <w:rPr>
                <w:rFonts w:ascii="Times New Roman" w:hAnsi="Times New Roman" w:eastAsia="Times New Roman" w:cs="Times New Roman"/>
                <w:sz w:val="20"/>
                <w:szCs w:val="20"/>
              </w:rPr>
              <w:t>0.7</w:t>
            </w:r>
          </w:p>
        </w:tc>
        <w:tc>
          <w:tcPr>
            <w:tcW w:w="125" w:type="dxa"/>
            <w:tcBorders>
              <w:top w:val="nil"/>
              <w:bottom w:val="nil"/>
              <w:right w:val="single" w:color="000000" w:sz="6" w:space="0"/>
            </w:tcBorders>
            <w:vAlign w:val="top"/>
          </w:tcPr>
          <w:p w14:paraId="24408E0D">
            <w:pPr>
              <w:rPr>
                <w:rFonts w:ascii="Arial"/>
                <w:sz w:val="21"/>
              </w:rPr>
            </w:pPr>
          </w:p>
        </w:tc>
      </w:tr>
      <w:tr w14:paraId="497D8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735" w:type="dxa"/>
            <w:vMerge w:val="continue"/>
            <w:tcBorders>
              <w:top w:val="nil"/>
              <w:left w:val="single" w:color="000000" w:sz="6" w:space="0"/>
              <w:bottom w:val="nil"/>
            </w:tcBorders>
            <w:vAlign w:val="top"/>
          </w:tcPr>
          <w:p w14:paraId="15670A8E">
            <w:pPr>
              <w:rPr>
                <w:rFonts w:ascii="Arial"/>
                <w:sz w:val="21"/>
              </w:rPr>
            </w:pPr>
          </w:p>
        </w:tc>
        <w:tc>
          <w:tcPr>
            <w:tcW w:w="115" w:type="dxa"/>
            <w:tcBorders>
              <w:top w:val="nil"/>
              <w:bottom w:val="nil"/>
            </w:tcBorders>
            <w:vAlign w:val="top"/>
          </w:tcPr>
          <w:p w14:paraId="3C5BF0A2">
            <w:pPr>
              <w:rPr>
                <w:rFonts w:ascii="Arial"/>
                <w:sz w:val="21"/>
              </w:rPr>
            </w:pPr>
          </w:p>
        </w:tc>
        <w:tc>
          <w:tcPr>
            <w:tcW w:w="478" w:type="dxa"/>
            <w:vMerge w:val="continue"/>
            <w:tcBorders>
              <w:top w:val="nil"/>
              <w:bottom w:val="nil"/>
            </w:tcBorders>
            <w:textDirection w:val="tbRlV"/>
            <w:vAlign w:val="top"/>
          </w:tcPr>
          <w:p w14:paraId="791B4AAC">
            <w:pPr>
              <w:rPr>
                <w:rFonts w:ascii="Arial"/>
                <w:sz w:val="21"/>
              </w:rPr>
            </w:pPr>
          </w:p>
        </w:tc>
        <w:tc>
          <w:tcPr>
            <w:tcW w:w="2842" w:type="dxa"/>
            <w:vAlign w:val="top"/>
          </w:tcPr>
          <w:p w14:paraId="70AF058E">
            <w:pPr>
              <w:spacing w:before="37" w:line="228" w:lineRule="auto"/>
              <w:ind w:left="895"/>
              <w:rPr>
                <w:rFonts w:ascii="宋体" w:hAnsi="宋体" w:eastAsia="宋体" w:cs="宋体"/>
                <w:sz w:val="20"/>
                <w:szCs w:val="20"/>
              </w:rPr>
            </w:pPr>
            <w:r>
              <w:rPr>
                <w:rFonts w:ascii="宋体" w:hAnsi="宋体" w:eastAsia="宋体" w:cs="宋体"/>
                <w:spacing w:val="1"/>
                <w:sz w:val="20"/>
                <w:szCs w:val="20"/>
              </w:rPr>
              <w:t>温度</w:t>
            </w:r>
            <w:r>
              <w:rPr>
                <w:rFonts w:ascii="宋体" w:hAnsi="宋体" w:eastAsia="宋体" w:cs="宋体"/>
                <w:spacing w:val="24"/>
                <w:sz w:val="20"/>
                <w:szCs w:val="20"/>
              </w:rPr>
              <w:t xml:space="preserve"> </w:t>
            </w:r>
            <w:r>
              <w:rPr>
                <w:rFonts w:ascii="宋体" w:hAnsi="宋体" w:eastAsia="宋体" w:cs="宋体"/>
                <w:spacing w:val="1"/>
                <w:sz w:val="20"/>
                <w:szCs w:val="20"/>
              </w:rPr>
              <w:t>(</w:t>
            </w:r>
            <w:r>
              <w:rPr>
                <w:rFonts w:ascii="Times New Roman" w:hAnsi="Times New Roman" w:eastAsia="Times New Roman" w:cs="Times New Roman"/>
                <w:spacing w:val="1"/>
                <w:sz w:val="20"/>
                <w:szCs w:val="20"/>
              </w:rPr>
              <w:t>℃</w:t>
            </w:r>
            <w:r>
              <w:rPr>
                <w:rFonts w:ascii="宋体" w:hAnsi="宋体" w:eastAsia="宋体" w:cs="宋体"/>
                <w:spacing w:val="1"/>
                <w:sz w:val="20"/>
                <w:szCs w:val="20"/>
              </w:rPr>
              <w:t>)</w:t>
            </w:r>
          </w:p>
        </w:tc>
        <w:tc>
          <w:tcPr>
            <w:tcW w:w="1871" w:type="dxa"/>
            <w:vAlign w:val="top"/>
          </w:tcPr>
          <w:p w14:paraId="4C1C717D">
            <w:pPr>
              <w:spacing w:before="76"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vAlign w:val="top"/>
          </w:tcPr>
          <w:p w14:paraId="7D08A77E">
            <w:pPr>
              <w:spacing w:before="80" w:line="195" w:lineRule="auto"/>
              <w:ind w:left="17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tc>
        <w:tc>
          <w:tcPr>
            <w:tcW w:w="125" w:type="dxa"/>
            <w:tcBorders>
              <w:top w:val="nil"/>
              <w:bottom w:val="nil"/>
              <w:right w:val="single" w:color="000000" w:sz="6" w:space="0"/>
            </w:tcBorders>
            <w:vAlign w:val="top"/>
          </w:tcPr>
          <w:p w14:paraId="43FF28C9">
            <w:pPr>
              <w:rPr>
                <w:rFonts w:ascii="Arial"/>
                <w:sz w:val="21"/>
              </w:rPr>
            </w:pPr>
          </w:p>
        </w:tc>
      </w:tr>
      <w:tr w14:paraId="6F820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735" w:type="dxa"/>
            <w:vMerge w:val="continue"/>
            <w:tcBorders>
              <w:top w:val="nil"/>
              <w:left w:val="single" w:color="000000" w:sz="6" w:space="0"/>
              <w:bottom w:val="nil"/>
            </w:tcBorders>
            <w:vAlign w:val="top"/>
          </w:tcPr>
          <w:p w14:paraId="3708C687">
            <w:pPr>
              <w:rPr>
                <w:rFonts w:ascii="Arial"/>
                <w:sz w:val="21"/>
              </w:rPr>
            </w:pPr>
          </w:p>
        </w:tc>
        <w:tc>
          <w:tcPr>
            <w:tcW w:w="115" w:type="dxa"/>
            <w:tcBorders>
              <w:top w:val="nil"/>
              <w:bottom w:val="nil"/>
            </w:tcBorders>
            <w:vAlign w:val="top"/>
          </w:tcPr>
          <w:p w14:paraId="752A0858">
            <w:pPr>
              <w:rPr>
                <w:rFonts w:ascii="Arial"/>
                <w:sz w:val="21"/>
              </w:rPr>
            </w:pPr>
          </w:p>
        </w:tc>
        <w:tc>
          <w:tcPr>
            <w:tcW w:w="478" w:type="dxa"/>
            <w:vMerge w:val="continue"/>
            <w:tcBorders>
              <w:top w:val="nil"/>
              <w:bottom w:val="nil"/>
            </w:tcBorders>
            <w:textDirection w:val="tbRlV"/>
            <w:vAlign w:val="top"/>
          </w:tcPr>
          <w:p w14:paraId="36D50375">
            <w:pPr>
              <w:rPr>
                <w:rFonts w:ascii="Arial"/>
                <w:sz w:val="21"/>
              </w:rPr>
            </w:pPr>
          </w:p>
        </w:tc>
        <w:tc>
          <w:tcPr>
            <w:tcW w:w="2842" w:type="dxa"/>
            <w:vAlign w:val="top"/>
          </w:tcPr>
          <w:p w14:paraId="1817D301">
            <w:pPr>
              <w:spacing w:before="51" w:line="228" w:lineRule="auto"/>
              <w:ind w:left="898"/>
              <w:rPr>
                <w:rFonts w:ascii="宋体" w:hAnsi="宋体" w:eastAsia="宋体" w:cs="宋体"/>
                <w:sz w:val="20"/>
                <w:szCs w:val="20"/>
              </w:rPr>
            </w:pPr>
            <w:r>
              <w:rPr>
                <w:rFonts w:ascii="宋体" w:hAnsi="宋体" w:eastAsia="宋体" w:cs="宋体"/>
                <w:spacing w:val="7"/>
                <w:sz w:val="20"/>
                <w:szCs w:val="20"/>
              </w:rPr>
              <w:t>编号及名称</w:t>
            </w:r>
          </w:p>
        </w:tc>
        <w:tc>
          <w:tcPr>
            <w:tcW w:w="1871" w:type="dxa"/>
            <w:vAlign w:val="top"/>
          </w:tcPr>
          <w:p w14:paraId="150DCA2F">
            <w:pPr>
              <w:spacing w:before="91"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vAlign w:val="top"/>
          </w:tcPr>
          <w:p w14:paraId="77BE9C18">
            <w:pPr>
              <w:spacing w:before="51" w:line="227" w:lineRule="auto"/>
              <w:ind w:left="667"/>
              <w:rPr>
                <w:rFonts w:ascii="宋体" w:hAnsi="宋体" w:eastAsia="宋体" w:cs="宋体"/>
                <w:sz w:val="20"/>
                <w:szCs w:val="20"/>
              </w:rPr>
            </w:pPr>
            <w:r>
              <w:rPr>
                <w:rFonts w:ascii="宋体" w:hAnsi="宋体" w:eastAsia="宋体" w:cs="宋体"/>
                <w:spacing w:val="8"/>
                <w:sz w:val="20"/>
                <w:szCs w:val="20"/>
              </w:rPr>
              <w:t>有机废气排口（</w:t>
            </w: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005</w:t>
            </w:r>
            <w:r>
              <w:rPr>
                <w:rFonts w:ascii="宋体" w:hAnsi="宋体" w:eastAsia="宋体" w:cs="宋体"/>
                <w:spacing w:val="8"/>
                <w:sz w:val="20"/>
                <w:szCs w:val="20"/>
              </w:rPr>
              <w:t>）</w:t>
            </w:r>
          </w:p>
        </w:tc>
        <w:tc>
          <w:tcPr>
            <w:tcW w:w="125" w:type="dxa"/>
            <w:tcBorders>
              <w:top w:val="nil"/>
              <w:bottom w:val="nil"/>
              <w:right w:val="single" w:color="000000" w:sz="6" w:space="0"/>
            </w:tcBorders>
            <w:vAlign w:val="top"/>
          </w:tcPr>
          <w:p w14:paraId="035DD876">
            <w:pPr>
              <w:rPr>
                <w:rFonts w:ascii="Arial"/>
                <w:sz w:val="21"/>
              </w:rPr>
            </w:pPr>
          </w:p>
        </w:tc>
      </w:tr>
      <w:tr w14:paraId="338A8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735" w:type="dxa"/>
            <w:vMerge w:val="continue"/>
            <w:tcBorders>
              <w:top w:val="nil"/>
              <w:left w:val="single" w:color="000000" w:sz="6" w:space="0"/>
              <w:bottom w:val="nil"/>
            </w:tcBorders>
            <w:vAlign w:val="top"/>
          </w:tcPr>
          <w:p w14:paraId="2CDA95C9">
            <w:pPr>
              <w:rPr>
                <w:rFonts w:ascii="Arial"/>
                <w:sz w:val="21"/>
              </w:rPr>
            </w:pPr>
          </w:p>
        </w:tc>
        <w:tc>
          <w:tcPr>
            <w:tcW w:w="115" w:type="dxa"/>
            <w:tcBorders>
              <w:top w:val="nil"/>
              <w:bottom w:val="nil"/>
            </w:tcBorders>
            <w:vAlign w:val="top"/>
          </w:tcPr>
          <w:p w14:paraId="7FC8635A">
            <w:pPr>
              <w:rPr>
                <w:rFonts w:ascii="Arial"/>
                <w:sz w:val="21"/>
              </w:rPr>
            </w:pPr>
          </w:p>
        </w:tc>
        <w:tc>
          <w:tcPr>
            <w:tcW w:w="478" w:type="dxa"/>
            <w:vMerge w:val="continue"/>
            <w:tcBorders>
              <w:top w:val="nil"/>
              <w:bottom w:val="nil"/>
            </w:tcBorders>
            <w:textDirection w:val="tbRlV"/>
            <w:vAlign w:val="top"/>
          </w:tcPr>
          <w:p w14:paraId="11B38D1B">
            <w:pPr>
              <w:rPr>
                <w:rFonts w:ascii="Arial"/>
                <w:sz w:val="21"/>
              </w:rPr>
            </w:pPr>
          </w:p>
        </w:tc>
        <w:tc>
          <w:tcPr>
            <w:tcW w:w="2842" w:type="dxa"/>
            <w:vAlign w:val="top"/>
          </w:tcPr>
          <w:p w14:paraId="72CE52FD">
            <w:pPr>
              <w:spacing w:before="43" w:line="228" w:lineRule="auto"/>
              <w:ind w:left="1213"/>
              <w:rPr>
                <w:rFonts w:ascii="宋体" w:hAnsi="宋体" w:eastAsia="宋体" w:cs="宋体"/>
                <w:sz w:val="20"/>
                <w:szCs w:val="20"/>
              </w:rPr>
            </w:pPr>
            <w:r>
              <w:rPr>
                <w:rFonts w:ascii="宋体" w:hAnsi="宋体" w:eastAsia="宋体" w:cs="宋体"/>
                <w:spacing w:val="4"/>
                <w:sz w:val="20"/>
                <w:szCs w:val="20"/>
              </w:rPr>
              <w:t>类型</w:t>
            </w:r>
          </w:p>
        </w:tc>
        <w:tc>
          <w:tcPr>
            <w:tcW w:w="1871" w:type="dxa"/>
            <w:vAlign w:val="top"/>
          </w:tcPr>
          <w:p w14:paraId="35EDAA3E">
            <w:pPr>
              <w:spacing w:before="82"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vAlign w:val="top"/>
          </w:tcPr>
          <w:p w14:paraId="1BBF07A6">
            <w:pPr>
              <w:spacing w:before="43" w:line="229" w:lineRule="auto"/>
              <w:ind w:left="1294"/>
              <w:rPr>
                <w:rFonts w:ascii="宋体" w:hAnsi="宋体" w:eastAsia="宋体" w:cs="宋体"/>
                <w:sz w:val="20"/>
                <w:szCs w:val="20"/>
              </w:rPr>
            </w:pPr>
            <w:r>
              <w:rPr>
                <w:rFonts w:ascii="宋体" w:hAnsi="宋体" w:eastAsia="宋体" w:cs="宋体"/>
                <w:spacing w:val="7"/>
                <w:sz w:val="20"/>
                <w:szCs w:val="20"/>
              </w:rPr>
              <w:t>一般排放口</w:t>
            </w:r>
          </w:p>
        </w:tc>
        <w:tc>
          <w:tcPr>
            <w:tcW w:w="125" w:type="dxa"/>
            <w:tcBorders>
              <w:top w:val="nil"/>
              <w:bottom w:val="nil"/>
              <w:right w:val="single" w:color="000000" w:sz="6" w:space="0"/>
            </w:tcBorders>
            <w:vAlign w:val="top"/>
          </w:tcPr>
          <w:p w14:paraId="431B30B5">
            <w:pPr>
              <w:rPr>
                <w:rFonts w:ascii="Arial"/>
                <w:sz w:val="21"/>
              </w:rPr>
            </w:pPr>
          </w:p>
        </w:tc>
      </w:tr>
      <w:tr w14:paraId="79B56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735" w:type="dxa"/>
            <w:vMerge w:val="continue"/>
            <w:tcBorders>
              <w:top w:val="nil"/>
              <w:left w:val="single" w:color="000000" w:sz="6" w:space="0"/>
              <w:bottom w:val="nil"/>
            </w:tcBorders>
            <w:vAlign w:val="top"/>
          </w:tcPr>
          <w:p w14:paraId="4D8C6287">
            <w:pPr>
              <w:rPr>
                <w:rFonts w:ascii="Arial"/>
                <w:sz w:val="21"/>
              </w:rPr>
            </w:pPr>
          </w:p>
        </w:tc>
        <w:tc>
          <w:tcPr>
            <w:tcW w:w="115" w:type="dxa"/>
            <w:tcBorders>
              <w:top w:val="nil"/>
              <w:bottom w:val="nil"/>
            </w:tcBorders>
            <w:vAlign w:val="top"/>
          </w:tcPr>
          <w:p w14:paraId="6E7C2A3F">
            <w:pPr>
              <w:rPr>
                <w:rFonts w:ascii="Arial"/>
                <w:sz w:val="21"/>
              </w:rPr>
            </w:pPr>
          </w:p>
        </w:tc>
        <w:tc>
          <w:tcPr>
            <w:tcW w:w="478" w:type="dxa"/>
            <w:vMerge w:val="continue"/>
            <w:tcBorders>
              <w:top w:val="nil"/>
            </w:tcBorders>
            <w:textDirection w:val="tbRlV"/>
            <w:vAlign w:val="top"/>
          </w:tcPr>
          <w:p w14:paraId="03A32D1F">
            <w:pPr>
              <w:rPr>
                <w:rFonts w:ascii="Arial"/>
                <w:sz w:val="21"/>
              </w:rPr>
            </w:pPr>
          </w:p>
        </w:tc>
        <w:tc>
          <w:tcPr>
            <w:tcW w:w="2842" w:type="dxa"/>
            <w:vAlign w:val="top"/>
          </w:tcPr>
          <w:p w14:paraId="5AE6CC46">
            <w:pPr>
              <w:spacing w:before="241" w:line="228" w:lineRule="auto"/>
              <w:ind w:left="1002"/>
              <w:rPr>
                <w:rFonts w:ascii="宋体" w:hAnsi="宋体" w:eastAsia="宋体" w:cs="宋体"/>
                <w:sz w:val="20"/>
                <w:szCs w:val="20"/>
              </w:rPr>
            </w:pPr>
            <w:r>
              <w:rPr>
                <w:rFonts w:ascii="宋体" w:hAnsi="宋体" w:eastAsia="宋体" w:cs="宋体"/>
                <w:spacing w:val="7"/>
                <w:sz w:val="20"/>
                <w:szCs w:val="20"/>
              </w:rPr>
              <w:t>地理坐标</w:t>
            </w:r>
          </w:p>
        </w:tc>
        <w:tc>
          <w:tcPr>
            <w:tcW w:w="1871" w:type="dxa"/>
            <w:vAlign w:val="top"/>
          </w:tcPr>
          <w:p w14:paraId="29639E38">
            <w:pPr>
              <w:spacing w:before="280"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vAlign w:val="top"/>
          </w:tcPr>
          <w:p w14:paraId="2975EBE7">
            <w:pPr>
              <w:spacing w:before="37" w:line="264" w:lineRule="exact"/>
              <w:ind w:left="984"/>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E</w:t>
            </w:r>
            <w:r>
              <w:rPr>
                <w:rFonts w:ascii="宋体" w:hAnsi="宋体" w:eastAsia="宋体" w:cs="宋体"/>
                <w:spacing w:val="2"/>
                <w:position w:val="1"/>
                <w:sz w:val="20"/>
                <w:szCs w:val="20"/>
              </w:rPr>
              <w:t>：</w:t>
            </w:r>
            <w:r>
              <w:rPr>
                <w:rFonts w:ascii="Times New Roman" w:hAnsi="Times New Roman" w:eastAsia="Times New Roman" w:cs="Times New Roman"/>
                <w:spacing w:val="2"/>
                <w:position w:val="1"/>
                <w:sz w:val="20"/>
                <w:szCs w:val="20"/>
              </w:rPr>
              <w:t>103°</w:t>
            </w:r>
            <w:r>
              <w:rPr>
                <w:rFonts w:ascii="Times New Roman" w:hAnsi="Times New Roman" w:eastAsia="Times New Roman" w:cs="Times New Roman"/>
                <w:spacing w:val="-11"/>
                <w:position w:val="1"/>
                <w:sz w:val="20"/>
                <w:szCs w:val="20"/>
              </w:rPr>
              <w:t xml:space="preserve"> </w:t>
            </w:r>
            <w:r>
              <w:rPr>
                <w:rFonts w:ascii="Times New Roman" w:hAnsi="Times New Roman" w:eastAsia="Times New Roman" w:cs="Times New Roman"/>
                <w:spacing w:val="2"/>
                <w:position w:val="1"/>
                <w:sz w:val="20"/>
                <w:szCs w:val="20"/>
              </w:rPr>
              <w:t>11′42.641″</w:t>
            </w:r>
          </w:p>
          <w:p w14:paraId="693563D0">
            <w:pPr>
              <w:spacing w:before="144" w:line="263" w:lineRule="exact"/>
              <w:ind w:left="1018"/>
              <w:rPr>
                <w:rFonts w:ascii="Times New Roman" w:hAnsi="Times New Roman" w:eastAsia="Times New Roman" w:cs="Times New Roman"/>
                <w:sz w:val="20"/>
                <w:szCs w:val="20"/>
              </w:rPr>
            </w:pPr>
            <w:r>
              <w:rPr>
                <w:rFonts w:ascii="Times New Roman" w:hAnsi="Times New Roman" w:eastAsia="Times New Roman" w:cs="Times New Roman"/>
                <w:spacing w:val="5"/>
                <w:position w:val="1"/>
                <w:sz w:val="20"/>
                <w:szCs w:val="20"/>
              </w:rPr>
              <w:t>N</w:t>
            </w:r>
            <w:r>
              <w:rPr>
                <w:rFonts w:ascii="宋体" w:hAnsi="宋体" w:eastAsia="宋体" w:cs="宋体"/>
                <w:spacing w:val="5"/>
                <w:position w:val="1"/>
                <w:sz w:val="20"/>
                <w:szCs w:val="20"/>
              </w:rPr>
              <w:t>：</w:t>
            </w:r>
            <w:r>
              <w:rPr>
                <w:rFonts w:ascii="Times New Roman" w:hAnsi="Times New Roman" w:eastAsia="Times New Roman" w:cs="Times New Roman"/>
                <w:spacing w:val="5"/>
                <w:position w:val="1"/>
                <w:sz w:val="20"/>
                <w:szCs w:val="20"/>
              </w:rPr>
              <w:t>25°33′47.456″</w:t>
            </w:r>
          </w:p>
        </w:tc>
        <w:tc>
          <w:tcPr>
            <w:tcW w:w="125" w:type="dxa"/>
            <w:tcBorders>
              <w:top w:val="nil"/>
              <w:bottom w:val="nil"/>
              <w:right w:val="single" w:color="000000" w:sz="6" w:space="0"/>
            </w:tcBorders>
            <w:vAlign w:val="top"/>
          </w:tcPr>
          <w:p w14:paraId="33D7A8C5">
            <w:pPr>
              <w:rPr>
                <w:rFonts w:ascii="Arial"/>
                <w:sz w:val="21"/>
              </w:rPr>
            </w:pPr>
          </w:p>
        </w:tc>
      </w:tr>
      <w:tr w14:paraId="5C70F8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7" w:hRule="atLeast"/>
        </w:trPr>
        <w:tc>
          <w:tcPr>
            <w:tcW w:w="735" w:type="dxa"/>
            <w:vMerge w:val="continue"/>
            <w:tcBorders>
              <w:top w:val="nil"/>
              <w:left w:val="single" w:color="000000" w:sz="6" w:space="0"/>
              <w:bottom w:val="nil"/>
            </w:tcBorders>
            <w:vAlign w:val="top"/>
          </w:tcPr>
          <w:p w14:paraId="4F5726DA">
            <w:pPr>
              <w:rPr>
                <w:rFonts w:ascii="Arial"/>
                <w:sz w:val="21"/>
              </w:rPr>
            </w:pPr>
          </w:p>
        </w:tc>
        <w:tc>
          <w:tcPr>
            <w:tcW w:w="115" w:type="dxa"/>
            <w:tcBorders>
              <w:top w:val="nil"/>
              <w:bottom w:val="nil"/>
            </w:tcBorders>
            <w:vAlign w:val="top"/>
          </w:tcPr>
          <w:p w14:paraId="51F8125D">
            <w:pPr>
              <w:rPr>
                <w:rFonts w:ascii="Arial"/>
                <w:sz w:val="21"/>
              </w:rPr>
            </w:pPr>
          </w:p>
        </w:tc>
        <w:tc>
          <w:tcPr>
            <w:tcW w:w="3320" w:type="dxa"/>
            <w:gridSpan w:val="2"/>
            <w:vAlign w:val="top"/>
          </w:tcPr>
          <w:p w14:paraId="35AE74BD">
            <w:pPr>
              <w:spacing w:line="274" w:lineRule="auto"/>
              <w:rPr>
                <w:rFonts w:ascii="Arial"/>
                <w:sz w:val="21"/>
              </w:rPr>
            </w:pPr>
          </w:p>
          <w:p w14:paraId="172E93CD">
            <w:pPr>
              <w:spacing w:before="65" w:line="228" w:lineRule="auto"/>
              <w:ind w:left="1240"/>
              <w:rPr>
                <w:rFonts w:ascii="宋体" w:hAnsi="宋体" w:eastAsia="宋体" w:cs="宋体"/>
                <w:sz w:val="20"/>
                <w:szCs w:val="20"/>
              </w:rPr>
            </w:pPr>
            <w:r>
              <w:rPr>
                <w:rFonts w:ascii="宋体" w:hAnsi="宋体" w:eastAsia="宋体" w:cs="宋体"/>
                <w:spacing w:val="7"/>
                <w:sz w:val="20"/>
                <w:szCs w:val="20"/>
              </w:rPr>
              <w:t>排放标准</w:t>
            </w:r>
          </w:p>
        </w:tc>
        <w:tc>
          <w:tcPr>
            <w:tcW w:w="5486" w:type="dxa"/>
            <w:gridSpan w:val="2"/>
            <w:vAlign w:val="top"/>
          </w:tcPr>
          <w:p w14:paraId="430C7C8E">
            <w:pPr>
              <w:spacing w:line="274" w:lineRule="auto"/>
              <w:rPr>
                <w:rFonts w:ascii="Arial"/>
                <w:sz w:val="21"/>
              </w:rPr>
            </w:pPr>
          </w:p>
          <w:p w14:paraId="3644C204">
            <w:pPr>
              <w:spacing w:before="65" w:line="228" w:lineRule="auto"/>
              <w:ind w:left="318"/>
              <w:rPr>
                <w:rFonts w:ascii="宋体" w:hAnsi="宋体" w:eastAsia="宋体" w:cs="宋体"/>
                <w:sz w:val="20"/>
                <w:szCs w:val="20"/>
              </w:rPr>
            </w:pPr>
            <w:r>
              <w:rPr>
                <w:rFonts w:ascii="宋体" w:hAnsi="宋体" w:eastAsia="宋体" w:cs="宋体"/>
                <w:spacing w:val="7"/>
                <w:sz w:val="20"/>
                <w:szCs w:val="20"/>
              </w:rPr>
              <w:t>《合成树脂工业污染物排放标准》（</w:t>
            </w:r>
            <w:r>
              <w:rPr>
                <w:rFonts w:ascii="Times New Roman" w:hAnsi="Times New Roman" w:eastAsia="Times New Roman" w:cs="Times New Roman"/>
                <w:sz w:val="20"/>
                <w:szCs w:val="20"/>
              </w:rPr>
              <w:t>GB</w:t>
            </w:r>
            <w:r>
              <w:rPr>
                <w:rFonts w:ascii="Times New Roman" w:hAnsi="Times New Roman" w:eastAsia="Times New Roman" w:cs="Times New Roman"/>
                <w:spacing w:val="7"/>
                <w:sz w:val="20"/>
                <w:szCs w:val="20"/>
              </w:rPr>
              <w:t>31572-2015</w:t>
            </w:r>
            <w:r>
              <w:rPr>
                <w:rFonts w:ascii="宋体" w:hAnsi="宋体" w:eastAsia="宋体" w:cs="宋体"/>
                <w:spacing w:val="7"/>
                <w:sz w:val="20"/>
                <w:szCs w:val="20"/>
              </w:rPr>
              <w:t>）</w:t>
            </w:r>
          </w:p>
        </w:tc>
        <w:tc>
          <w:tcPr>
            <w:tcW w:w="125" w:type="dxa"/>
            <w:tcBorders>
              <w:top w:val="nil"/>
              <w:bottom w:val="nil"/>
              <w:right w:val="single" w:color="000000" w:sz="6" w:space="0"/>
            </w:tcBorders>
            <w:vAlign w:val="top"/>
          </w:tcPr>
          <w:p w14:paraId="6CFF7E2D">
            <w:pPr>
              <w:rPr>
                <w:rFonts w:ascii="Arial"/>
                <w:sz w:val="21"/>
              </w:rPr>
            </w:pPr>
          </w:p>
        </w:tc>
      </w:tr>
      <w:tr w14:paraId="772B5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7" w:hRule="atLeast"/>
        </w:trPr>
        <w:tc>
          <w:tcPr>
            <w:tcW w:w="735" w:type="dxa"/>
            <w:vMerge w:val="continue"/>
            <w:tcBorders>
              <w:top w:val="nil"/>
              <w:left w:val="single" w:color="000000" w:sz="6" w:space="0"/>
              <w:bottom w:val="nil"/>
            </w:tcBorders>
            <w:vAlign w:val="top"/>
          </w:tcPr>
          <w:p w14:paraId="26226B25">
            <w:pPr>
              <w:rPr>
                <w:rFonts w:ascii="Arial"/>
                <w:sz w:val="21"/>
              </w:rPr>
            </w:pPr>
          </w:p>
        </w:tc>
        <w:tc>
          <w:tcPr>
            <w:tcW w:w="115" w:type="dxa"/>
            <w:tcBorders>
              <w:top w:val="nil"/>
              <w:bottom w:val="nil"/>
            </w:tcBorders>
            <w:vAlign w:val="top"/>
          </w:tcPr>
          <w:p w14:paraId="2D6C7620">
            <w:pPr>
              <w:rPr>
                <w:rFonts w:ascii="Arial"/>
                <w:sz w:val="21"/>
              </w:rPr>
            </w:pPr>
          </w:p>
        </w:tc>
        <w:tc>
          <w:tcPr>
            <w:tcW w:w="478" w:type="dxa"/>
            <w:vMerge w:val="restart"/>
            <w:tcBorders>
              <w:bottom w:val="nil"/>
            </w:tcBorders>
            <w:textDirection w:val="tbRlV"/>
            <w:vAlign w:val="top"/>
          </w:tcPr>
          <w:p w14:paraId="6BD5DEDD">
            <w:pPr>
              <w:spacing w:before="138" w:line="216" w:lineRule="auto"/>
              <w:ind w:left="454"/>
              <w:rPr>
                <w:rFonts w:ascii="宋体" w:hAnsi="宋体" w:eastAsia="宋体" w:cs="宋体"/>
                <w:sz w:val="20"/>
                <w:szCs w:val="20"/>
              </w:rPr>
            </w:pPr>
            <w:r>
              <w:rPr>
                <w:rFonts w:ascii="宋体" w:hAnsi="宋体" w:eastAsia="宋体" w:cs="宋体"/>
                <w:spacing w:val="8"/>
                <w:sz w:val="20"/>
                <w:szCs w:val="20"/>
              </w:rPr>
              <w:t>监</w:t>
            </w:r>
            <w:r>
              <w:rPr>
                <w:rFonts w:ascii="宋体" w:hAnsi="宋体" w:eastAsia="宋体" w:cs="宋体"/>
                <w:spacing w:val="101"/>
                <w:sz w:val="20"/>
                <w:szCs w:val="20"/>
              </w:rPr>
              <w:t xml:space="preserve"> </w:t>
            </w:r>
            <w:r>
              <w:rPr>
                <w:rFonts w:ascii="宋体" w:hAnsi="宋体" w:eastAsia="宋体" w:cs="宋体"/>
                <w:spacing w:val="8"/>
                <w:sz w:val="20"/>
                <w:szCs w:val="20"/>
              </w:rPr>
              <w:t>测</w:t>
            </w:r>
            <w:r>
              <w:rPr>
                <w:rFonts w:ascii="宋体" w:hAnsi="宋体" w:eastAsia="宋体" w:cs="宋体"/>
                <w:sz w:val="20"/>
                <w:szCs w:val="20"/>
              </w:rPr>
              <w:t xml:space="preserve">  </w:t>
            </w:r>
            <w:r>
              <w:rPr>
                <w:rFonts w:ascii="宋体" w:hAnsi="宋体" w:eastAsia="宋体" w:cs="宋体"/>
                <w:spacing w:val="8"/>
                <w:sz w:val="20"/>
                <w:szCs w:val="20"/>
              </w:rPr>
              <w:t>要</w:t>
            </w:r>
            <w:r>
              <w:rPr>
                <w:rFonts w:ascii="宋体" w:hAnsi="宋体" w:eastAsia="宋体" w:cs="宋体"/>
                <w:spacing w:val="101"/>
                <w:sz w:val="20"/>
                <w:szCs w:val="20"/>
              </w:rPr>
              <w:t xml:space="preserve"> </w:t>
            </w:r>
            <w:r>
              <w:rPr>
                <w:rFonts w:ascii="宋体" w:hAnsi="宋体" w:eastAsia="宋体" w:cs="宋体"/>
                <w:spacing w:val="8"/>
                <w:sz w:val="20"/>
                <w:szCs w:val="20"/>
              </w:rPr>
              <w:t>求</w:t>
            </w:r>
          </w:p>
        </w:tc>
        <w:tc>
          <w:tcPr>
            <w:tcW w:w="2842" w:type="dxa"/>
            <w:vAlign w:val="top"/>
          </w:tcPr>
          <w:p w14:paraId="0F10D5F3">
            <w:pPr>
              <w:spacing w:line="377" w:lineRule="auto"/>
              <w:rPr>
                <w:rFonts w:ascii="Arial"/>
                <w:sz w:val="21"/>
              </w:rPr>
            </w:pPr>
          </w:p>
          <w:p w14:paraId="48BBB2ED">
            <w:pPr>
              <w:spacing w:before="65" w:line="229" w:lineRule="auto"/>
              <w:ind w:left="1002"/>
              <w:rPr>
                <w:rFonts w:ascii="宋体" w:hAnsi="宋体" w:eastAsia="宋体" w:cs="宋体"/>
                <w:sz w:val="20"/>
                <w:szCs w:val="20"/>
              </w:rPr>
            </w:pPr>
            <w:r>
              <w:rPr>
                <w:rFonts w:ascii="宋体" w:hAnsi="宋体" w:eastAsia="宋体" w:cs="宋体"/>
                <w:spacing w:val="7"/>
                <w:sz w:val="20"/>
                <w:szCs w:val="20"/>
              </w:rPr>
              <w:t>监测点位</w:t>
            </w:r>
          </w:p>
        </w:tc>
        <w:tc>
          <w:tcPr>
            <w:tcW w:w="1871" w:type="dxa"/>
            <w:vAlign w:val="top"/>
          </w:tcPr>
          <w:p w14:paraId="648C6913">
            <w:pPr>
              <w:spacing w:before="36" w:line="228" w:lineRule="auto"/>
              <w:ind w:left="113"/>
              <w:rPr>
                <w:rFonts w:ascii="宋体" w:hAnsi="宋体" w:eastAsia="宋体" w:cs="宋体"/>
                <w:sz w:val="20"/>
                <w:szCs w:val="20"/>
              </w:rPr>
            </w:pPr>
            <w:r>
              <w:rPr>
                <w:rFonts w:ascii="宋体" w:hAnsi="宋体" w:eastAsia="宋体" w:cs="宋体"/>
                <w:spacing w:val="2"/>
                <w:sz w:val="20"/>
                <w:szCs w:val="20"/>
              </w:rPr>
              <w:t>上风向</w:t>
            </w:r>
            <w:r>
              <w:rPr>
                <w:rFonts w:ascii="宋体" w:hAnsi="宋体" w:eastAsia="宋体" w:cs="宋体"/>
                <w:spacing w:val="-23"/>
                <w:sz w:val="20"/>
                <w:szCs w:val="20"/>
              </w:rPr>
              <w:t xml:space="preserve"> </w:t>
            </w:r>
            <w:r>
              <w:rPr>
                <w:rFonts w:ascii="Times New Roman" w:hAnsi="Times New Roman" w:eastAsia="Times New Roman" w:cs="Times New Roman"/>
                <w:spacing w:val="2"/>
                <w:sz w:val="20"/>
                <w:szCs w:val="20"/>
              </w:rPr>
              <w:t xml:space="preserve">1 </w:t>
            </w:r>
            <w:r>
              <w:rPr>
                <w:rFonts w:ascii="宋体" w:hAnsi="宋体" w:eastAsia="宋体" w:cs="宋体"/>
                <w:spacing w:val="2"/>
                <w:sz w:val="20"/>
                <w:szCs w:val="20"/>
              </w:rPr>
              <w:t>个，下风</w:t>
            </w:r>
          </w:p>
          <w:p w14:paraId="3472F132">
            <w:pPr>
              <w:spacing w:before="160" w:line="228" w:lineRule="auto"/>
              <w:ind w:left="132"/>
              <w:rPr>
                <w:rFonts w:ascii="宋体" w:hAnsi="宋体" w:eastAsia="宋体" w:cs="宋体"/>
                <w:sz w:val="20"/>
                <w:szCs w:val="20"/>
              </w:rPr>
            </w:pPr>
            <w:r>
              <w:rPr>
                <w:rFonts w:ascii="宋体" w:hAnsi="宋体" w:eastAsia="宋体" w:cs="宋体"/>
                <w:spacing w:val="1"/>
                <w:sz w:val="20"/>
                <w:szCs w:val="20"/>
              </w:rPr>
              <w:t>向</w:t>
            </w:r>
            <w:r>
              <w:rPr>
                <w:rFonts w:ascii="宋体" w:hAnsi="宋体" w:eastAsia="宋体" w:cs="宋体"/>
                <w:spacing w:val="-34"/>
                <w:sz w:val="20"/>
                <w:szCs w:val="20"/>
              </w:rPr>
              <w:t xml:space="preserve"> </w:t>
            </w:r>
            <w:r>
              <w:rPr>
                <w:rFonts w:ascii="Times New Roman" w:hAnsi="Times New Roman" w:eastAsia="Times New Roman" w:cs="Times New Roman"/>
                <w:spacing w:val="1"/>
                <w:sz w:val="20"/>
                <w:szCs w:val="20"/>
              </w:rPr>
              <w:t xml:space="preserve">3 </w:t>
            </w:r>
            <w:r>
              <w:rPr>
                <w:rFonts w:ascii="宋体" w:hAnsi="宋体" w:eastAsia="宋体" w:cs="宋体"/>
                <w:spacing w:val="1"/>
                <w:sz w:val="20"/>
                <w:szCs w:val="20"/>
              </w:rPr>
              <w:t>个、厂房门口</w:t>
            </w:r>
          </w:p>
          <w:p w14:paraId="04590FB6">
            <w:pPr>
              <w:spacing w:before="160" w:line="228" w:lineRule="auto"/>
              <w:ind w:left="773"/>
              <w:rPr>
                <w:rFonts w:ascii="宋体" w:hAnsi="宋体" w:eastAsia="宋体" w:cs="宋体"/>
                <w:sz w:val="20"/>
                <w:szCs w:val="20"/>
              </w:rPr>
            </w:pPr>
            <w:r>
              <w:rPr>
                <w:rFonts w:ascii="Times New Roman" w:hAnsi="Times New Roman" w:eastAsia="Times New Roman" w:cs="Times New Roman"/>
                <w:spacing w:val="-10"/>
                <w:sz w:val="20"/>
                <w:szCs w:val="20"/>
              </w:rPr>
              <w:t>1</w:t>
            </w:r>
            <w:r>
              <w:rPr>
                <w:rFonts w:ascii="Times New Roman" w:hAnsi="Times New Roman" w:eastAsia="Times New Roman" w:cs="Times New Roman"/>
                <w:spacing w:val="9"/>
                <w:sz w:val="20"/>
                <w:szCs w:val="20"/>
              </w:rPr>
              <w:t xml:space="preserve"> </w:t>
            </w:r>
            <w:r>
              <w:rPr>
                <w:rFonts w:ascii="宋体" w:hAnsi="宋体" w:eastAsia="宋体" w:cs="宋体"/>
                <w:spacing w:val="-10"/>
                <w:sz w:val="20"/>
                <w:szCs w:val="20"/>
              </w:rPr>
              <w:t>个</w:t>
            </w:r>
          </w:p>
        </w:tc>
        <w:tc>
          <w:tcPr>
            <w:tcW w:w="3615" w:type="dxa"/>
            <w:vAlign w:val="top"/>
          </w:tcPr>
          <w:p w14:paraId="2D3C8917">
            <w:pPr>
              <w:spacing w:line="376" w:lineRule="auto"/>
              <w:rPr>
                <w:rFonts w:ascii="Arial"/>
                <w:sz w:val="21"/>
              </w:rPr>
            </w:pPr>
          </w:p>
          <w:p w14:paraId="0913C869">
            <w:pPr>
              <w:spacing w:before="65" w:line="228" w:lineRule="auto"/>
              <w:ind w:left="1187"/>
              <w:rPr>
                <w:rFonts w:ascii="宋体" w:hAnsi="宋体" w:eastAsia="宋体" w:cs="宋体"/>
                <w:sz w:val="20"/>
                <w:szCs w:val="20"/>
              </w:rPr>
            </w:pPr>
            <w:r>
              <w:rPr>
                <w:rFonts w:ascii="宋体" w:hAnsi="宋体" w:eastAsia="宋体" w:cs="宋体"/>
                <w:spacing w:val="8"/>
                <w:sz w:val="20"/>
                <w:szCs w:val="20"/>
              </w:rPr>
              <w:t>排气筒取样口</w:t>
            </w:r>
          </w:p>
        </w:tc>
        <w:tc>
          <w:tcPr>
            <w:tcW w:w="125" w:type="dxa"/>
            <w:tcBorders>
              <w:top w:val="nil"/>
              <w:bottom w:val="nil"/>
              <w:right w:val="single" w:color="000000" w:sz="6" w:space="0"/>
            </w:tcBorders>
            <w:vAlign w:val="top"/>
          </w:tcPr>
          <w:p w14:paraId="1629ABFE">
            <w:pPr>
              <w:rPr>
                <w:rFonts w:ascii="Arial"/>
                <w:sz w:val="21"/>
              </w:rPr>
            </w:pPr>
          </w:p>
        </w:tc>
      </w:tr>
      <w:tr w14:paraId="003DD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735" w:type="dxa"/>
            <w:vMerge w:val="continue"/>
            <w:tcBorders>
              <w:top w:val="nil"/>
              <w:left w:val="single" w:color="000000" w:sz="6" w:space="0"/>
              <w:bottom w:val="nil"/>
            </w:tcBorders>
            <w:vAlign w:val="top"/>
          </w:tcPr>
          <w:p w14:paraId="3A3BF374">
            <w:pPr>
              <w:rPr>
                <w:rFonts w:ascii="Arial"/>
                <w:sz w:val="21"/>
              </w:rPr>
            </w:pPr>
          </w:p>
        </w:tc>
        <w:tc>
          <w:tcPr>
            <w:tcW w:w="115" w:type="dxa"/>
            <w:tcBorders>
              <w:top w:val="nil"/>
              <w:bottom w:val="nil"/>
            </w:tcBorders>
            <w:vAlign w:val="top"/>
          </w:tcPr>
          <w:p w14:paraId="2584D3B7">
            <w:pPr>
              <w:rPr>
                <w:rFonts w:ascii="Arial"/>
                <w:sz w:val="21"/>
              </w:rPr>
            </w:pPr>
          </w:p>
        </w:tc>
        <w:tc>
          <w:tcPr>
            <w:tcW w:w="478" w:type="dxa"/>
            <w:vMerge w:val="continue"/>
            <w:tcBorders>
              <w:top w:val="nil"/>
              <w:bottom w:val="nil"/>
            </w:tcBorders>
            <w:textDirection w:val="tbRlV"/>
            <w:vAlign w:val="top"/>
          </w:tcPr>
          <w:p w14:paraId="2DDEF7DC">
            <w:pPr>
              <w:rPr>
                <w:rFonts w:ascii="Arial"/>
                <w:sz w:val="21"/>
              </w:rPr>
            </w:pPr>
          </w:p>
        </w:tc>
        <w:tc>
          <w:tcPr>
            <w:tcW w:w="2842" w:type="dxa"/>
            <w:vAlign w:val="top"/>
          </w:tcPr>
          <w:p w14:paraId="46599CDC">
            <w:pPr>
              <w:spacing w:before="244" w:line="228" w:lineRule="auto"/>
              <w:ind w:left="1002"/>
              <w:rPr>
                <w:rFonts w:ascii="宋体" w:hAnsi="宋体" w:eastAsia="宋体" w:cs="宋体"/>
                <w:sz w:val="20"/>
                <w:szCs w:val="20"/>
              </w:rPr>
            </w:pPr>
            <w:r>
              <w:rPr>
                <w:rFonts w:ascii="宋体" w:hAnsi="宋体" w:eastAsia="宋体" w:cs="宋体"/>
                <w:spacing w:val="7"/>
                <w:sz w:val="20"/>
                <w:szCs w:val="20"/>
              </w:rPr>
              <w:t>监测因子</w:t>
            </w:r>
          </w:p>
        </w:tc>
        <w:tc>
          <w:tcPr>
            <w:tcW w:w="1871" w:type="dxa"/>
            <w:vAlign w:val="top"/>
          </w:tcPr>
          <w:p w14:paraId="20BD3DC9">
            <w:pPr>
              <w:spacing w:before="41" w:line="353" w:lineRule="auto"/>
              <w:ind w:left="836" w:right="106" w:hanging="726"/>
              <w:rPr>
                <w:rFonts w:ascii="宋体" w:hAnsi="宋体" w:eastAsia="宋体" w:cs="宋体"/>
                <w:sz w:val="20"/>
                <w:szCs w:val="20"/>
              </w:rPr>
            </w:pPr>
            <w:r>
              <w:rPr>
                <w:rFonts w:ascii="宋体" w:hAnsi="宋体" w:eastAsia="宋体" w:cs="宋体"/>
                <w:spacing w:val="6"/>
                <w:sz w:val="20"/>
                <w:szCs w:val="20"/>
              </w:rPr>
              <w:t>颗粒物、非甲烷总</w:t>
            </w:r>
            <w:r>
              <w:rPr>
                <w:rFonts w:ascii="宋体" w:hAnsi="宋体" w:eastAsia="宋体" w:cs="宋体"/>
                <w:sz w:val="20"/>
                <w:szCs w:val="20"/>
              </w:rPr>
              <w:t>烃</w:t>
            </w:r>
          </w:p>
        </w:tc>
        <w:tc>
          <w:tcPr>
            <w:tcW w:w="3615" w:type="dxa"/>
            <w:vAlign w:val="top"/>
          </w:tcPr>
          <w:p w14:paraId="6C6FFF45">
            <w:pPr>
              <w:spacing w:before="244" w:line="228" w:lineRule="auto"/>
              <w:ind w:left="1294"/>
              <w:rPr>
                <w:rFonts w:ascii="宋体" w:hAnsi="宋体" w:eastAsia="宋体" w:cs="宋体"/>
                <w:sz w:val="20"/>
                <w:szCs w:val="20"/>
              </w:rPr>
            </w:pPr>
            <w:r>
              <w:rPr>
                <w:rFonts w:ascii="宋体" w:hAnsi="宋体" w:eastAsia="宋体" w:cs="宋体"/>
                <w:spacing w:val="7"/>
                <w:sz w:val="20"/>
                <w:szCs w:val="20"/>
              </w:rPr>
              <w:t>非甲烷总烃</w:t>
            </w:r>
          </w:p>
        </w:tc>
        <w:tc>
          <w:tcPr>
            <w:tcW w:w="125" w:type="dxa"/>
            <w:tcBorders>
              <w:top w:val="nil"/>
              <w:bottom w:val="nil"/>
              <w:right w:val="single" w:color="000000" w:sz="6" w:space="0"/>
            </w:tcBorders>
            <w:vAlign w:val="top"/>
          </w:tcPr>
          <w:p w14:paraId="1DF18992">
            <w:pPr>
              <w:rPr>
                <w:rFonts w:ascii="Arial"/>
                <w:sz w:val="21"/>
              </w:rPr>
            </w:pPr>
          </w:p>
        </w:tc>
      </w:tr>
      <w:tr w14:paraId="2D0DD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735" w:type="dxa"/>
            <w:vMerge w:val="continue"/>
            <w:tcBorders>
              <w:top w:val="nil"/>
              <w:left w:val="single" w:color="000000" w:sz="6" w:space="0"/>
              <w:bottom w:val="nil"/>
            </w:tcBorders>
            <w:vAlign w:val="top"/>
          </w:tcPr>
          <w:p w14:paraId="4CFAFF04">
            <w:pPr>
              <w:rPr>
                <w:rFonts w:ascii="Arial"/>
                <w:sz w:val="21"/>
              </w:rPr>
            </w:pPr>
          </w:p>
        </w:tc>
        <w:tc>
          <w:tcPr>
            <w:tcW w:w="115" w:type="dxa"/>
            <w:tcBorders>
              <w:top w:val="nil"/>
              <w:bottom w:val="nil"/>
            </w:tcBorders>
            <w:vAlign w:val="top"/>
          </w:tcPr>
          <w:p w14:paraId="5D25382C">
            <w:pPr>
              <w:rPr>
                <w:rFonts w:ascii="Arial"/>
                <w:sz w:val="21"/>
              </w:rPr>
            </w:pPr>
          </w:p>
        </w:tc>
        <w:tc>
          <w:tcPr>
            <w:tcW w:w="478" w:type="dxa"/>
            <w:vMerge w:val="continue"/>
            <w:tcBorders>
              <w:top w:val="nil"/>
            </w:tcBorders>
            <w:textDirection w:val="tbRlV"/>
            <w:vAlign w:val="top"/>
          </w:tcPr>
          <w:p w14:paraId="796EDB60">
            <w:pPr>
              <w:rPr>
                <w:rFonts w:ascii="Arial"/>
                <w:sz w:val="21"/>
              </w:rPr>
            </w:pPr>
          </w:p>
        </w:tc>
        <w:tc>
          <w:tcPr>
            <w:tcW w:w="2842" w:type="dxa"/>
            <w:vAlign w:val="top"/>
          </w:tcPr>
          <w:p w14:paraId="0E7E3049">
            <w:pPr>
              <w:spacing w:before="44" w:line="228" w:lineRule="auto"/>
              <w:ind w:left="1002"/>
              <w:rPr>
                <w:rFonts w:ascii="宋体" w:hAnsi="宋体" w:eastAsia="宋体" w:cs="宋体"/>
                <w:sz w:val="20"/>
                <w:szCs w:val="20"/>
              </w:rPr>
            </w:pPr>
            <w:r>
              <w:rPr>
                <w:rFonts w:ascii="宋体" w:hAnsi="宋体" w:eastAsia="宋体" w:cs="宋体"/>
                <w:spacing w:val="7"/>
                <w:sz w:val="20"/>
                <w:szCs w:val="20"/>
              </w:rPr>
              <w:t>监测频次</w:t>
            </w:r>
          </w:p>
        </w:tc>
        <w:tc>
          <w:tcPr>
            <w:tcW w:w="1871" w:type="dxa"/>
            <w:vAlign w:val="top"/>
          </w:tcPr>
          <w:p w14:paraId="13A0E90B">
            <w:pPr>
              <w:spacing w:before="44" w:line="228" w:lineRule="auto"/>
              <w:ind w:left="533"/>
              <w:rPr>
                <w:rFonts w:ascii="宋体" w:hAnsi="宋体" w:eastAsia="宋体" w:cs="宋体"/>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pacing w:val="18"/>
                <w:w w:val="101"/>
                <w:sz w:val="20"/>
                <w:szCs w:val="20"/>
              </w:rPr>
              <w:t xml:space="preserve"> </w:t>
            </w:r>
            <w:r>
              <w:rPr>
                <w:rFonts w:ascii="宋体" w:hAnsi="宋体" w:eastAsia="宋体" w:cs="宋体"/>
                <w:spacing w:val="-1"/>
                <w:sz w:val="20"/>
                <w:szCs w:val="20"/>
              </w:rPr>
              <w:t>次</w:t>
            </w:r>
            <w:r>
              <w:rPr>
                <w:rFonts w:ascii="Times New Roman" w:hAnsi="Times New Roman" w:eastAsia="Times New Roman" w:cs="Times New Roman"/>
                <w:spacing w:val="-1"/>
                <w:sz w:val="20"/>
                <w:szCs w:val="20"/>
              </w:rPr>
              <w:t>/</w:t>
            </w:r>
            <w:r>
              <w:rPr>
                <w:rFonts w:ascii="宋体" w:hAnsi="宋体" w:eastAsia="宋体" w:cs="宋体"/>
                <w:spacing w:val="-1"/>
                <w:sz w:val="20"/>
                <w:szCs w:val="20"/>
              </w:rPr>
              <w:t>半年</w:t>
            </w:r>
          </w:p>
        </w:tc>
        <w:tc>
          <w:tcPr>
            <w:tcW w:w="3615" w:type="dxa"/>
            <w:vAlign w:val="top"/>
          </w:tcPr>
          <w:p w14:paraId="6F14EF59">
            <w:pPr>
              <w:spacing w:before="44" w:line="228" w:lineRule="auto"/>
              <w:ind w:left="1410"/>
              <w:rPr>
                <w:rFonts w:ascii="宋体" w:hAnsi="宋体" w:eastAsia="宋体" w:cs="宋体"/>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pacing w:val="16"/>
                <w:w w:val="101"/>
                <w:sz w:val="20"/>
                <w:szCs w:val="20"/>
              </w:rPr>
              <w:t xml:space="preserve"> </w:t>
            </w:r>
            <w:r>
              <w:rPr>
                <w:rFonts w:ascii="宋体" w:hAnsi="宋体" w:eastAsia="宋体" w:cs="宋体"/>
                <w:spacing w:val="-1"/>
                <w:sz w:val="20"/>
                <w:szCs w:val="20"/>
              </w:rPr>
              <w:t>次</w:t>
            </w:r>
            <w:r>
              <w:rPr>
                <w:rFonts w:ascii="Times New Roman" w:hAnsi="Times New Roman" w:eastAsia="Times New Roman" w:cs="Times New Roman"/>
                <w:spacing w:val="-1"/>
                <w:sz w:val="20"/>
                <w:szCs w:val="20"/>
              </w:rPr>
              <w:t>/</w:t>
            </w:r>
            <w:r>
              <w:rPr>
                <w:rFonts w:ascii="宋体" w:hAnsi="宋体" w:eastAsia="宋体" w:cs="宋体"/>
                <w:spacing w:val="-1"/>
                <w:sz w:val="20"/>
                <w:szCs w:val="20"/>
              </w:rPr>
              <w:t>半年</w:t>
            </w:r>
          </w:p>
        </w:tc>
        <w:tc>
          <w:tcPr>
            <w:tcW w:w="125" w:type="dxa"/>
            <w:tcBorders>
              <w:top w:val="nil"/>
              <w:bottom w:val="nil"/>
              <w:right w:val="single" w:color="000000" w:sz="6" w:space="0"/>
            </w:tcBorders>
            <w:vAlign w:val="top"/>
          </w:tcPr>
          <w:p w14:paraId="541F5D82">
            <w:pPr>
              <w:rPr>
                <w:rFonts w:ascii="Arial"/>
                <w:sz w:val="21"/>
              </w:rPr>
            </w:pPr>
          </w:p>
        </w:tc>
      </w:tr>
      <w:tr w14:paraId="16356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0" w:hRule="atLeast"/>
        </w:trPr>
        <w:tc>
          <w:tcPr>
            <w:tcW w:w="735" w:type="dxa"/>
            <w:vMerge w:val="continue"/>
            <w:tcBorders>
              <w:top w:val="nil"/>
              <w:left w:val="single" w:color="000000" w:sz="6" w:space="0"/>
              <w:bottom w:val="single" w:color="000000" w:sz="6" w:space="0"/>
            </w:tcBorders>
            <w:vAlign w:val="top"/>
          </w:tcPr>
          <w:p w14:paraId="10A6C1BA">
            <w:pPr>
              <w:rPr>
                <w:rFonts w:ascii="Arial"/>
                <w:sz w:val="21"/>
              </w:rPr>
            </w:pPr>
          </w:p>
        </w:tc>
        <w:tc>
          <w:tcPr>
            <w:tcW w:w="9046" w:type="dxa"/>
            <w:gridSpan w:val="6"/>
            <w:tcBorders>
              <w:bottom w:val="single" w:color="000000" w:sz="6" w:space="0"/>
              <w:right w:val="single" w:color="000000" w:sz="6" w:space="0"/>
            </w:tcBorders>
            <w:vAlign w:val="top"/>
          </w:tcPr>
          <w:p w14:paraId="354E4E8E">
            <w:pPr>
              <w:spacing w:before="44" w:line="220" w:lineRule="auto"/>
              <w:ind w:left="582"/>
              <w:rPr>
                <w:rFonts w:ascii="宋体" w:hAnsi="宋体" w:eastAsia="宋体" w:cs="宋体"/>
                <w:sz w:val="24"/>
                <w:szCs w:val="24"/>
              </w:rPr>
            </w:pPr>
            <w:r>
              <w:rPr>
                <w:rFonts w:ascii="Times New Roman" w:hAnsi="Times New Roman" w:eastAsia="Times New Roman" w:cs="Times New Roman"/>
                <w:b/>
                <w:bCs/>
                <w:spacing w:val="-7"/>
                <w:sz w:val="24"/>
                <w:szCs w:val="24"/>
              </w:rPr>
              <w:t>3</w:t>
            </w:r>
            <w:r>
              <w:rPr>
                <w:rFonts w:ascii="Times New Roman" w:hAnsi="Times New Roman" w:eastAsia="Times New Roman" w:cs="Times New Roman"/>
                <w:b/>
                <w:bCs/>
                <w:spacing w:val="-31"/>
                <w:sz w:val="24"/>
                <w:szCs w:val="24"/>
              </w:rPr>
              <w:t xml:space="preserve"> </w:t>
            </w:r>
            <w:r>
              <w:rPr>
                <w:rFonts w:ascii="宋体" w:hAnsi="宋体" w:eastAsia="宋体" w:cs="宋体"/>
                <w:b/>
                <w:bCs/>
                <w:spacing w:val="-7"/>
                <w:sz w:val="24"/>
                <w:szCs w:val="24"/>
              </w:rPr>
              <w:t>、达标分析</w:t>
            </w:r>
          </w:p>
          <w:p w14:paraId="7C475025">
            <w:pPr>
              <w:spacing w:before="179" w:line="220" w:lineRule="auto"/>
              <w:ind w:left="599"/>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1</w:t>
            </w:r>
            <w:r>
              <w:rPr>
                <w:rFonts w:ascii="宋体" w:hAnsi="宋体" w:eastAsia="宋体" w:cs="宋体"/>
                <w:b/>
                <w:bCs/>
                <w:spacing w:val="-4"/>
                <w:sz w:val="24"/>
                <w:szCs w:val="24"/>
              </w:rPr>
              <w:t>）有组织排放废气达标分析</w:t>
            </w:r>
          </w:p>
          <w:p w14:paraId="66964276">
            <w:pPr>
              <w:spacing w:before="179" w:line="217" w:lineRule="auto"/>
              <w:ind w:left="587"/>
              <w:rPr>
                <w:rFonts w:ascii="宋体" w:hAnsi="宋体" w:eastAsia="宋体" w:cs="宋体"/>
                <w:sz w:val="24"/>
                <w:szCs w:val="24"/>
              </w:rPr>
            </w:pPr>
            <w:r>
              <w:rPr>
                <w:rFonts w:ascii="宋体" w:hAnsi="宋体" w:eastAsia="宋体" w:cs="宋体"/>
                <w:spacing w:val="-1"/>
                <w:sz w:val="24"/>
                <w:szCs w:val="24"/>
              </w:rPr>
              <w:t>①有组织废气处理措施可行性分析</w:t>
            </w:r>
          </w:p>
          <w:p w14:paraId="24EADA7C">
            <w:pPr>
              <w:spacing w:before="186" w:line="359" w:lineRule="auto"/>
              <w:ind w:left="112" w:right="102" w:firstLine="476"/>
              <w:jc w:val="both"/>
              <w:rPr>
                <w:rFonts w:ascii="宋体" w:hAnsi="宋体" w:eastAsia="宋体" w:cs="宋体"/>
                <w:sz w:val="24"/>
                <w:szCs w:val="24"/>
              </w:rPr>
            </w:pPr>
            <w:r>
              <w:rPr>
                <w:rFonts w:ascii="宋体" w:hAnsi="宋体" w:eastAsia="宋体" w:cs="宋体"/>
                <w:sz w:val="24"/>
                <w:szCs w:val="24"/>
              </w:rPr>
              <w:t>根据《排污许可申请与核发技术规范 橡胶和塑料制品工业》</w:t>
            </w:r>
            <w:r>
              <w:rPr>
                <w:rFonts w:ascii="宋体" w:hAnsi="宋体" w:eastAsia="宋体" w:cs="宋体"/>
                <w:spacing w:val="-1"/>
                <w:sz w:val="24"/>
                <w:szCs w:val="24"/>
              </w:rPr>
              <w:t>（</w:t>
            </w:r>
            <w:r>
              <w:rPr>
                <w:rFonts w:ascii="Times New Roman" w:hAnsi="Times New Roman" w:eastAsia="Times New Roman" w:cs="Times New Roman"/>
                <w:spacing w:val="-1"/>
                <w:sz w:val="24"/>
                <w:szCs w:val="24"/>
              </w:rPr>
              <w:t>HJ1122-2020</w:t>
            </w:r>
            <w:r>
              <w:rPr>
                <w:rFonts w:ascii="宋体" w:hAnsi="宋体" w:eastAsia="宋体" w:cs="宋体"/>
                <w:spacing w:val="-16"/>
                <w:sz w:val="24"/>
                <w:szCs w:val="24"/>
              </w:rPr>
              <w:t>），</w:t>
            </w:r>
            <w:r>
              <w:rPr>
                <w:rFonts w:ascii="宋体" w:hAnsi="宋体" w:eastAsia="宋体" w:cs="宋体"/>
                <w:spacing w:val="-2"/>
                <w:sz w:val="24"/>
                <w:szCs w:val="24"/>
              </w:rPr>
              <w:t>塑料包装箱及容器制造有机废气污染防治推荐可行技术主要有除尘、喷淋、吸附、热</w:t>
            </w:r>
            <w:r>
              <w:rPr>
                <w:rFonts w:ascii="宋体" w:hAnsi="宋体" w:eastAsia="宋体" w:cs="宋体"/>
                <w:spacing w:val="-1"/>
                <w:sz w:val="24"/>
                <w:szCs w:val="24"/>
              </w:rPr>
              <w:t>力燃烧、催化燃烧、低温等离子体、</w:t>
            </w:r>
            <w:r>
              <w:rPr>
                <w:rFonts w:ascii="Times New Roman" w:hAnsi="Times New Roman" w:eastAsia="Times New Roman" w:cs="Times New Roman"/>
                <w:spacing w:val="-1"/>
                <w:sz w:val="24"/>
                <w:szCs w:val="24"/>
              </w:rPr>
              <w:t xml:space="preserve">UV </w:t>
            </w:r>
            <w:r>
              <w:rPr>
                <w:rFonts w:ascii="宋体" w:hAnsi="宋体" w:eastAsia="宋体" w:cs="宋体"/>
                <w:spacing w:val="-1"/>
                <w:sz w:val="24"/>
                <w:szCs w:val="24"/>
              </w:rPr>
              <w:t>光氧化</w:t>
            </w:r>
            <w:r>
              <w:rPr>
                <w:rFonts w:ascii="Times New Roman" w:hAnsi="Times New Roman" w:eastAsia="Times New Roman" w:cs="Times New Roman"/>
                <w:spacing w:val="-1"/>
                <w:sz w:val="24"/>
                <w:szCs w:val="24"/>
              </w:rPr>
              <w:t>/</w:t>
            </w:r>
            <w:r>
              <w:rPr>
                <w:rFonts w:ascii="宋体" w:hAnsi="宋体" w:eastAsia="宋体" w:cs="宋体"/>
                <w:spacing w:val="-1"/>
                <w:sz w:val="24"/>
                <w:szCs w:val="24"/>
              </w:rPr>
              <w:t>光</w:t>
            </w:r>
            <w:r>
              <w:rPr>
                <w:rFonts w:ascii="宋体" w:hAnsi="宋体" w:eastAsia="宋体" w:cs="宋体"/>
                <w:spacing w:val="-2"/>
                <w:sz w:val="24"/>
                <w:szCs w:val="24"/>
              </w:rPr>
              <w:t>催化、生物法、以上组合技术，本</w:t>
            </w:r>
            <w:r>
              <w:rPr>
                <w:rFonts w:ascii="宋体" w:hAnsi="宋体" w:eastAsia="宋体" w:cs="宋体"/>
                <w:spacing w:val="-1"/>
                <w:sz w:val="24"/>
                <w:szCs w:val="24"/>
              </w:rPr>
              <w:t>项目采用三级活性炭吸附的组合技术，属于可行技术之一。</w:t>
            </w:r>
          </w:p>
          <w:p w14:paraId="0C1815DC">
            <w:pPr>
              <w:spacing w:line="218" w:lineRule="auto"/>
              <w:ind w:left="591"/>
              <w:rPr>
                <w:rFonts w:ascii="宋体" w:hAnsi="宋体" w:eastAsia="宋体" w:cs="宋体"/>
                <w:sz w:val="24"/>
                <w:szCs w:val="24"/>
              </w:rPr>
            </w:pPr>
            <w:r>
              <w:rPr>
                <w:rFonts w:ascii="宋体" w:hAnsi="宋体" w:eastAsia="宋体" w:cs="宋体"/>
                <w:spacing w:val="-1"/>
                <w:sz w:val="24"/>
                <w:szCs w:val="24"/>
              </w:rPr>
              <w:t>综上，本项目废气治理措施具备可行性。</w:t>
            </w:r>
          </w:p>
          <w:p w14:paraId="55FE0172">
            <w:pPr>
              <w:spacing w:before="184" w:line="217" w:lineRule="auto"/>
              <w:ind w:left="586"/>
              <w:rPr>
                <w:rFonts w:ascii="宋体" w:hAnsi="宋体" w:eastAsia="宋体" w:cs="宋体"/>
                <w:sz w:val="24"/>
                <w:szCs w:val="24"/>
              </w:rPr>
            </w:pPr>
            <w:r>
              <w:rPr>
                <w:rFonts w:ascii="宋体" w:hAnsi="宋体" w:eastAsia="宋体" w:cs="宋体"/>
                <w:spacing w:val="-2"/>
                <w:sz w:val="24"/>
                <w:szCs w:val="24"/>
              </w:rPr>
              <w:t>②排放达标分析</w:t>
            </w:r>
          </w:p>
          <w:p w14:paraId="7CCA3A63">
            <w:pPr>
              <w:spacing w:before="185" w:line="359" w:lineRule="auto"/>
              <w:ind w:left="110" w:right="102" w:firstLine="481"/>
              <w:rPr>
                <w:rFonts w:ascii="宋体" w:hAnsi="宋体" w:eastAsia="宋体" w:cs="宋体"/>
                <w:sz w:val="24"/>
                <w:szCs w:val="24"/>
              </w:rPr>
            </w:pPr>
            <w:r>
              <w:rPr>
                <w:rFonts w:ascii="宋体" w:hAnsi="宋体" w:eastAsia="宋体" w:cs="宋体"/>
                <w:spacing w:val="-2"/>
                <w:sz w:val="24"/>
                <w:szCs w:val="24"/>
              </w:rPr>
              <w:t>项目有组织排放废气为聚丙烯颗粒熔融注塑过程废气，排放执行《合成树脂工业</w:t>
            </w:r>
            <w:r>
              <w:rPr>
                <w:rFonts w:ascii="宋体" w:hAnsi="宋体" w:eastAsia="宋体" w:cs="宋体"/>
                <w:spacing w:val="-1"/>
                <w:sz w:val="24"/>
                <w:szCs w:val="24"/>
              </w:rPr>
              <w:t>污染物排放标准》（</w:t>
            </w:r>
            <w:r>
              <w:rPr>
                <w:rFonts w:ascii="Times New Roman" w:hAnsi="Times New Roman" w:eastAsia="Times New Roman" w:cs="Times New Roman"/>
                <w:spacing w:val="-1"/>
                <w:sz w:val="24"/>
                <w:szCs w:val="24"/>
              </w:rPr>
              <w:t>GB31572-2015</w:t>
            </w:r>
            <w:r>
              <w:rPr>
                <w:rFonts w:ascii="Times New Roman" w:hAnsi="Times New Roman" w:eastAsia="Times New Roman" w:cs="Times New Roman"/>
                <w:spacing w:val="-19"/>
                <w:sz w:val="24"/>
                <w:szCs w:val="24"/>
              </w:rPr>
              <w:t xml:space="preserve"> </w:t>
            </w:r>
            <w:r>
              <w:rPr>
                <w:rFonts w:ascii="宋体" w:hAnsi="宋体" w:eastAsia="宋体" w:cs="宋体"/>
                <w:spacing w:val="-1"/>
                <w:sz w:val="24"/>
                <w:szCs w:val="24"/>
              </w:rPr>
              <w:t>，及</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 xml:space="preserve">2024 </w:t>
            </w:r>
            <w:r>
              <w:rPr>
                <w:rFonts w:ascii="宋体" w:hAnsi="宋体" w:eastAsia="宋体" w:cs="宋体"/>
                <w:spacing w:val="-1"/>
                <w:sz w:val="24"/>
                <w:szCs w:val="24"/>
              </w:rPr>
              <w:t>年修改单）表</w:t>
            </w:r>
            <w:r>
              <w:rPr>
                <w:rFonts w:ascii="宋体" w:hAnsi="宋体" w:eastAsia="宋体" w:cs="宋体"/>
                <w:spacing w:val="-54"/>
                <w:sz w:val="24"/>
                <w:szCs w:val="24"/>
              </w:rPr>
              <w:t xml:space="preserve"> </w:t>
            </w:r>
            <w:r>
              <w:rPr>
                <w:rFonts w:ascii="Times New Roman" w:hAnsi="Times New Roman" w:eastAsia="Times New Roman" w:cs="Times New Roman"/>
                <w:spacing w:val="-1"/>
                <w:sz w:val="24"/>
                <w:szCs w:val="24"/>
              </w:rPr>
              <w:t xml:space="preserve">4 </w:t>
            </w:r>
            <w:r>
              <w:rPr>
                <w:rFonts w:ascii="宋体" w:hAnsi="宋体" w:eastAsia="宋体" w:cs="宋体"/>
                <w:spacing w:val="-1"/>
                <w:sz w:val="24"/>
                <w:szCs w:val="24"/>
              </w:rPr>
              <w:t>有组织排放标准限值要</w:t>
            </w:r>
            <w:r>
              <w:rPr>
                <w:rFonts w:ascii="宋体" w:hAnsi="宋体" w:eastAsia="宋体" w:cs="宋体"/>
                <w:spacing w:val="-2"/>
                <w:sz w:val="24"/>
                <w:szCs w:val="24"/>
              </w:rPr>
              <w:t>求及其他相关要求。</w:t>
            </w:r>
          </w:p>
          <w:p w14:paraId="497D4AB3">
            <w:pPr>
              <w:spacing w:before="1" w:line="219" w:lineRule="auto"/>
              <w:ind w:left="592"/>
              <w:rPr>
                <w:rFonts w:ascii="宋体" w:hAnsi="宋体" w:eastAsia="宋体" w:cs="宋体"/>
                <w:sz w:val="24"/>
                <w:szCs w:val="24"/>
              </w:rPr>
            </w:pPr>
            <w:r>
              <w:rPr>
                <w:rFonts w:ascii="宋体" w:hAnsi="宋体" w:eastAsia="宋体" w:cs="宋体"/>
                <w:spacing w:val="-2"/>
                <w:sz w:val="24"/>
                <w:szCs w:val="24"/>
              </w:rPr>
              <w:t>项目排气筒高度为</w:t>
            </w:r>
            <w:r>
              <w:rPr>
                <w:rFonts w:ascii="宋体" w:hAnsi="宋体" w:eastAsia="宋体" w:cs="宋体"/>
                <w:spacing w:val="-34"/>
                <w:sz w:val="24"/>
                <w:szCs w:val="24"/>
              </w:rPr>
              <w:t xml:space="preserve"> </w:t>
            </w:r>
            <w:r>
              <w:rPr>
                <w:rFonts w:ascii="Times New Roman" w:hAnsi="Times New Roman" w:eastAsia="Times New Roman" w:cs="Times New Roman"/>
                <w:spacing w:val="-2"/>
                <w:sz w:val="24"/>
                <w:szCs w:val="24"/>
              </w:rPr>
              <w:t>15m</w:t>
            </w:r>
            <w:r>
              <w:rPr>
                <w:rFonts w:ascii="Times New Roman" w:hAnsi="Times New Roman" w:eastAsia="Times New Roman" w:cs="Times New Roman"/>
                <w:spacing w:val="-30"/>
                <w:sz w:val="24"/>
                <w:szCs w:val="24"/>
              </w:rPr>
              <w:t xml:space="preserve"> </w:t>
            </w:r>
            <w:r>
              <w:rPr>
                <w:rFonts w:ascii="宋体" w:hAnsi="宋体" w:eastAsia="宋体" w:cs="宋体"/>
                <w:spacing w:val="-2"/>
                <w:sz w:val="24"/>
                <w:szCs w:val="24"/>
              </w:rPr>
              <w:t>，满足（</w:t>
            </w:r>
            <w:r>
              <w:rPr>
                <w:rFonts w:ascii="Times New Roman" w:hAnsi="Times New Roman" w:eastAsia="Times New Roman" w:cs="Times New Roman"/>
                <w:spacing w:val="-2"/>
                <w:sz w:val="24"/>
                <w:szCs w:val="24"/>
              </w:rPr>
              <w:t>GB31572-2015</w:t>
            </w:r>
            <w:r>
              <w:rPr>
                <w:rFonts w:ascii="Times New Roman" w:hAnsi="Times New Roman" w:eastAsia="Times New Roman" w:cs="Times New Roman"/>
                <w:spacing w:val="-29"/>
                <w:sz w:val="24"/>
                <w:szCs w:val="24"/>
              </w:rPr>
              <w:t xml:space="preserve"> </w:t>
            </w:r>
            <w:r>
              <w:rPr>
                <w:rFonts w:ascii="宋体" w:hAnsi="宋体" w:eastAsia="宋体" w:cs="宋体"/>
                <w:spacing w:val="-2"/>
                <w:sz w:val="24"/>
                <w:szCs w:val="24"/>
              </w:rPr>
              <w:t>，及</w:t>
            </w:r>
            <w:r>
              <w:rPr>
                <w:rFonts w:ascii="宋体" w:hAnsi="宋体" w:eastAsia="宋体" w:cs="宋体"/>
                <w:spacing w:val="-52"/>
                <w:sz w:val="24"/>
                <w:szCs w:val="24"/>
              </w:rPr>
              <w:t xml:space="preserve"> </w:t>
            </w: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年修改</w:t>
            </w:r>
            <w:r>
              <w:rPr>
                <w:rFonts w:ascii="宋体" w:hAnsi="宋体" w:eastAsia="宋体" w:cs="宋体"/>
                <w:spacing w:val="-3"/>
                <w:sz w:val="24"/>
                <w:szCs w:val="24"/>
              </w:rPr>
              <w:t>单）《合成树脂</w:t>
            </w:r>
          </w:p>
        </w:tc>
      </w:tr>
    </w:tbl>
    <w:p w14:paraId="3568E617">
      <w:pPr>
        <w:pStyle w:val="2"/>
      </w:pPr>
    </w:p>
    <w:p w14:paraId="0F9F1504">
      <w:pPr>
        <w:sectPr>
          <w:footerReference r:id="rId91" w:type="default"/>
          <w:pgSz w:w="11906" w:h="16839"/>
          <w:pgMar w:top="400" w:right="1055" w:bottom="1085" w:left="1054" w:header="0" w:footer="762" w:gutter="0"/>
          <w:cols w:space="720" w:num="1"/>
        </w:sectPr>
      </w:pPr>
    </w:p>
    <w:p w14:paraId="3062B829">
      <w:pPr>
        <w:spacing w:before="19"/>
      </w:pPr>
    </w:p>
    <w:p w14:paraId="2B170471">
      <w:pPr>
        <w:spacing w:before="19"/>
      </w:pPr>
    </w:p>
    <w:p w14:paraId="31FD36CF">
      <w:pPr>
        <w:spacing w:before="19"/>
      </w:pPr>
    </w:p>
    <w:p w14:paraId="490743C8">
      <w:pPr>
        <w:spacing w:before="18"/>
      </w:pPr>
    </w:p>
    <w:p w14:paraId="6300074A">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06232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49" w:hRule="atLeast"/>
        </w:trPr>
        <w:tc>
          <w:tcPr>
            <w:tcW w:w="734" w:type="dxa"/>
            <w:tcBorders>
              <w:right w:val="single" w:color="000000" w:sz="2" w:space="0"/>
            </w:tcBorders>
            <w:vAlign w:val="top"/>
          </w:tcPr>
          <w:p w14:paraId="15C6D5EB">
            <w:pPr>
              <w:rPr>
                <w:rFonts w:ascii="Arial"/>
                <w:sz w:val="21"/>
              </w:rPr>
            </w:pPr>
          </w:p>
        </w:tc>
        <w:tc>
          <w:tcPr>
            <w:tcW w:w="9047" w:type="dxa"/>
            <w:tcBorders>
              <w:left w:val="single" w:color="000000" w:sz="2" w:space="0"/>
            </w:tcBorders>
            <w:vAlign w:val="top"/>
          </w:tcPr>
          <w:p w14:paraId="297C2640">
            <w:pPr>
              <w:spacing w:before="40" w:line="350" w:lineRule="auto"/>
              <w:ind w:left="109" w:right="102" w:firstLine="2"/>
              <w:jc w:val="both"/>
              <w:rPr>
                <w:rFonts w:ascii="宋体" w:hAnsi="宋体" w:eastAsia="宋体" w:cs="宋体"/>
                <w:sz w:val="24"/>
                <w:szCs w:val="24"/>
              </w:rPr>
            </w:pPr>
            <w:r>
              <w:rPr>
                <w:rFonts w:ascii="宋体" w:hAnsi="宋体" w:eastAsia="宋体" w:cs="宋体"/>
                <w:spacing w:val="3"/>
                <w:sz w:val="24"/>
                <w:szCs w:val="24"/>
              </w:rPr>
              <w:t>工业污染物排放标准》</w:t>
            </w:r>
            <w:r>
              <w:rPr>
                <w:rFonts w:ascii="Times New Roman" w:hAnsi="Times New Roman" w:eastAsia="Times New Roman" w:cs="Times New Roman"/>
                <w:spacing w:val="3"/>
                <w:sz w:val="24"/>
                <w:szCs w:val="24"/>
              </w:rPr>
              <w:t xml:space="preserve">5.4.2 </w:t>
            </w:r>
            <w:r>
              <w:rPr>
                <w:rFonts w:ascii="宋体" w:hAnsi="宋体" w:eastAsia="宋体" w:cs="宋体"/>
                <w:spacing w:val="3"/>
                <w:sz w:val="24"/>
                <w:szCs w:val="24"/>
              </w:rPr>
              <w:t>排气筒高度应按环境影响评价要求确定，且至少不低于</w:t>
            </w:r>
            <w:r>
              <w:rPr>
                <w:rFonts w:ascii="Times New Roman" w:hAnsi="Times New Roman" w:eastAsia="Times New Roman" w:cs="Times New Roman"/>
                <w:spacing w:val="-3"/>
                <w:sz w:val="24"/>
                <w:szCs w:val="24"/>
              </w:rPr>
              <w:t>15m</w:t>
            </w:r>
            <w:r>
              <w:rPr>
                <w:rFonts w:ascii="Times New Roman" w:hAnsi="Times New Roman" w:eastAsia="Times New Roman" w:cs="Times New Roman"/>
                <w:spacing w:val="27"/>
                <w:sz w:val="24"/>
                <w:szCs w:val="24"/>
              </w:rPr>
              <w:t xml:space="preserve"> </w:t>
            </w:r>
            <w:r>
              <w:rPr>
                <w:rFonts w:ascii="宋体" w:hAnsi="宋体" w:eastAsia="宋体" w:cs="宋体"/>
                <w:spacing w:val="-3"/>
                <w:sz w:val="24"/>
                <w:szCs w:val="24"/>
              </w:rPr>
              <w:t>的要求。在采取上述措施后，项目有组织废气排放浓度为</w:t>
            </w:r>
            <w:r>
              <w:rPr>
                <w:rFonts w:ascii="宋体" w:hAnsi="宋体" w:eastAsia="宋体" w:cs="宋体"/>
                <w:spacing w:val="-56"/>
                <w:sz w:val="24"/>
                <w:szCs w:val="24"/>
              </w:rPr>
              <w:t xml:space="preserve"> </w:t>
            </w:r>
            <w:r>
              <w:rPr>
                <w:rFonts w:ascii="Times New Roman" w:hAnsi="Times New Roman" w:eastAsia="Times New Roman" w:cs="Times New Roman"/>
                <w:spacing w:val="-3"/>
                <w:sz w:val="24"/>
                <w:szCs w:val="24"/>
              </w:rPr>
              <w:t>4.5mg/m</w:t>
            </w:r>
            <w:r>
              <w:rPr>
                <w:rFonts w:ascii="Times New Roman" w:hAnsi="Times New Roman" w:eastAsia="Times New Roman" w:cs="Times New Roman"/>
                <w:spacing w:val="-3"/>
                <w:position w:val="8"/>
                <w:sz w:val="15"/>
                <w:szCs w:val="15"/>
              </w:rPr>
              <w:t>3</w:t>
            </w:r>
            <w:r>
              <w:rPr>
                <w:rFonts w:ascii="宋体" w:hAnsi="宋体" w:eastAsia="宋体" w:cs="宋体"/>
                <w:spacing w:val="-3"/>
                <w:sz w:val="24"/>
                <w:szCs w:val="24"/>
              </w:rPr>
              <w:t>，低于</w:t>
            </w:r>
            <w:r>
              <w:rPr>
                <w:rFonts w:ascii="宋体" w:hAnsi="宋体" w:eastAsia="宋体" w:cs="宋体"/>
                <w:spacing w:val="-4"/>
                <w:sz w:val="24"/>
                <w:szCs w:val="24"/>
              </w:rPr>
              <w:t>标准限值</w:t>
            </w:r>
            <w:r>
              <w:rPr>
                <w:rFonts w:ascii="宋体" w:hAnsi="宋体" w:eastAsia="宋体" w:cs="宋体"/>
                <w:spacing w:val="-29"/>
                <w:sz w:val="24"/>
                <w:szCs w:val="24"/>
              </w:rPr>
              <w:t xml:space="preserve"> </w:t>
            </w:r>
            <w:r>
              <w:rPr>
                <w:rFonts w:ascii="Times New Roman" w:hAnsi="Times New Roman" w:eastAsia="Times New Roman" w:cs="Times New Roman"/>
                <w:spacing w:val="-4"/>
                <w:sz w:val="24"/>
                <w:szCs w:val="24"/>
              </w:rPr>
              <w:t>100mg/m</w:t>
            </w:r>
            <w:r>
              <w:rPr>
                <w:rFonts w:ascii="Times New Roman" w:hAnsi="Times New Roman" w:eastAsia="Times New Roman" w:cs="Times New Roman"/>
                <w:spacing w:val="-4"/>
                <w:position w:val="7"/>
                <w:sz w:val="15"/>
                <w:szCs w:val="15"/>
              </w:rPr>
              <w:t>3</w:t>
            </w:r>
            <w:r>
              <w:rPr>
                <w:rFonts w:ascii="宋体" w:hAnsi="宋体" w:eastAsia="宋体" w:cs="宋体"/>
                <w:spacing w:val="-4"/>
                <w:sz w:val="24"/>
                <w:szCs w:val="24"/>
              </w:rPr>
              <w:t>。</w:t>
            </w:r>
          </w:p>
          <w:p w14:paraId="34A33D0E">
            <w:pPr>
              <w:spacing w:line="311" w:lineRule="auto"/>
              <w:ind w:left="120" w:right="117" w:firstLine="469"/>
              <w:rPr>
                <w:rFonts w:ascii="宋体" w:hAnsi="宋体" w:eastAsia="宋体" w:cs="宋体"/>
                <w:sz w:val="24"/>
                <w:szCs w:val="24"/>
              </w:rPr>
            </w:pPr>
            <w:r>
              <w:rPr>
                <w:rFonts w:ascii="宋体" w:hAnsi="宋体" w:eastAsia="宋体" w:cs="宋体"/>
                <w:spacing w:val="21"/>
                <w:sz w:val="24"/>
                <w:szCs w:val="24"/>
              </w:rPr>
              <w:t>本次评价对照《</w:t>
            </w:r>
            <w:r>
              <w:rPr>
                <w:rFonts w:ascii="宋体" w:hAnsi="宋体" w:eastAsia="宋体" w:cs="宋体"/>
                <w:spacing w:val="-64"/>
                <w:sz w:val="24"/>
                <w:szCs w:val="24"/>
              </w:rPr>
              <w:t xml:space="preserve"> </w:t>
            </w:r>
            <w:r>
              <w:fldChar w:fldCharType="begin"/>
            </w:r>
            <w:r>
              <w:instrText xml:space="preserve"> HYPERLINK "https://www.mee.gov.cn/ywgz/fgbz/bz/bzwb/pwxk/202004/W020200401327032592051.pdf" </w:instrText>
            </w:r>
            <w:r>
              <w:fldChar w:fldCharType="separate"/>
            </w:r>
            <w:r>
              <w:rPr>
                <w:rFonts w:ascii="宋体" w:hAnsi="宋体" w:eastAsia="宋体" w:cs="宋体"/>
                <w:spacing w:val="21"/>
                <w:sz w:val="24"/>
                <w:szCs w:val="24"/>
              </w:rPr>
              <w:t>排污许可证申请与核发技术规范</w:t>
            </w:r>
            <w:r>
              <w:rPr>
                <w:rFonts w:ascii="宋体" w:hAnsi="宋体" w:eastAsia="宋体" w:cs="宋体"/>
                <w:spacing w:val="61"/>
                <w:sz w:val="24"/>
                <w:szCs w:val="24"/>
              </w:rPr>
              <w:t xml:space="preserve"> </w:t>
            </w:r>
            <w:r>
              <w:rPr>
                <w:rFonts w:ascii="宋体" w:hAnsi="宋体" w:eastAsia="宋体" w:cs="宋体"/>
                <w:spacing w:val="21"/>
                <w:sz w:val="24"/>
                <w:szCs w:val="24"/>
              </w:rPr>
              <w:t>橡胶和塑料制品工业》</w:t>
            </w:r>
            <w:r>
              <w:rPr>
                <w:rFonts w:ascii="宋体" w:hAnsi="宋体" w:eastAsia="宋体" w:cs="宋体"/>
                <w:spacing w:val="21"/>
                <w:sz w:val="24"/>
                <w:szCs w:val="24"/>
              </w:rPr>
              <w:fldChar w:fldCharType="end"/>
            </w:r>
            <w:r>
              <w:rPr>
                <w:rFonts w:ascii="宋体" w:hAnsi="宋体" w:eastAsia="宋体" w:cs="宋体"/>
                <w:sz w:val="24"/>
                <w:szCs w:val="24"/>
              </w:rPr>
              <w:t xml:space="preserve"> </w:t>
            </w:r>
            <w:r>
              <w:fldChar w:fldCharType="begin"/>
            </w:r>
            <w:r>
              <w:instrText xml:space="preserve"> HYPERLINK "https://www.mee.gov.cn/ywgz/fgbz/bz/bzwb/pwxk/202004/W020200401327032592051.pdf" </w:instrText>
            </w:r>
            <w:r>
              <w:fldChar w:fldCharType="separate"/>
            </w:r>
            <w:r>
              <w:rPr>
                <w:rFonts w:ascii="宋体" w:hAnsi="宋体" w:eastAsia="宋体" w:cs="宋体"/>
                <w:spacing w:val="-1"/>
                <w:sz w:val="24"/>
                <w:szCs w:val="24"/>
              </w:rPr>
              <w:t>（</w:t>
            </w:r>
            <w:r>
              <w:rPr>
                <w:rFonts w:ascii="Times New Roman" w:hAnsi="Times New Roman" w:eastAsia="Times New Roman" w:cs="Times New Roman"/>
                <w:spacing w:val="-1"/>
                <w:sz w:val="24"/>
                <w:szCs w:val="24"/>
              </w:rPr>
              <w:t>HJ1122—2020</w:t>
            </w:r>
            <w:r>
              <w:rPr>
                <w:rFonts w:ascii="宋体" w:hAnsi="宋体" w:eastAsia="宋体" w:cs="宋体"/>
                <w:spacing w:val="-1"/>
                <w:sz w:val="24"/>
                <w:szCs w:val="24"/>
              </w:rPr>
              <w:t>）</w:t>
            </w:r>
            <w:r>
              <w:rPr>
                <w:rFonts w:ascii="宋体" w:hAnsi="宋体" w:eastAsia="宋体" w:cs="宋体"/>
                <w:spacing w:val="-1"/>
                <w:sz w:val="24"/>
                <w:szCs w:val="24"/>
              </w:rPr>
              <w:fldChar w:fldCharType="end"/>
            </w:r>
            <w:r>
              <w:rPr>
                <w:rFonts w:ascii="宋体" w:hAnsi="宋体" w:eastAsia="宋体" w:cs="宋体"/>
                <w:spacing w:val="-1"/>
                <w:sz w:val="24"/>
                <w:szCs w:val="24"/>
              </w:rPr>
              <w:t>进行废气治理技术的可行</w:t>
            </w:r>
            <w:r>
              <w:rPr>
                <w:rFonts w:ascii="宋体" w:hAnsi="宋体" w:eastAsia="宋体" w:cs="宋体"/>
                <w:spacing w:val="-2"/>
                <w:sz w:val="24"/>
                <w:szCs w:val="24"/>
              </w:rPr>
              <w:t>性分析。</w:t>
            </w:r>
          </w:p>
          <w:p w14:paraId="211E9BE7">
            <w:pPr>
              <w:spacing w:before="155" w:line="223" w:lineRule="auto"/>
              <w:ind w:left="3304"/>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28"/>
                <w:sz w:val="20"/>
                <w:szCs w:val="20"/>
              </w:rPr>
              <w:t xml:space="preserve"> </w:t>
            </w:r>
            <w:r>
              <w:rPr>
                <w:rFonts w:ascii="Times New Roman" w:hAnsi="Times New Roman" w:eastAsia="Times New Roman" w:cs="Times New Roman"/>
                <w:b/>
                <w:bCs/>
                <w:spacing w:val="5"/>
                <w:sz w:val="20"/>
                <w:szCs w:val="20"/>
              </w:rPr>
              <w:t xml:space="preserve">4-4    </w:t>
            </w:r>
            <w:r>
              <w:rPr>
                <w:rFonts w:ascii="宋体" w:hAnsi="宋体" w:eastAsia="宋体" w:cs="宋体"/>
                <w:b/>
                <w:bCs/>
                <w:spacing w:val="5"/>
                <w:sz w:val="20"/>
                <w:szCs w:val="20"/>
              </w:rPr>
              <w:t>废气治理可行性分析表</w:t>
            </w:r>
          </w:p>
          <w:tbl>
            <w:tblPr>
              <w:tblStyle w:val="10"/>
              <w:tblW w:w="8824" w:type="dxa"/>
              <w:tblInd w:w="1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9"/>
              <w:gridCol w:w="1110"/>
              <w:gridCol w:w="1267"/>
              <w:gridCol w:w="3013"/>
              <w:gridCol w:w="1207"/>
              <w:gridCol w:w="1238"/>
            </w:tblGrid>
            <w:tr w14:paraId="4EDDB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989" w:type="dxa"/>
                  <w:vAlign w:val="top"/>
                </w:tcPr>
                <w:p w14:paraId="1C29F126">
                  <w:pPr>
                    <w:spacing w:before="238" w:line="378" w:lineRule="auto"/>
                    <w:ind w:left="396" w:right="177" w:hanging="211"/>
                    <w:rPr>
                      <w:rFonts w:ascii="宋体" w:hAnsi="宋体" w:eastAsia="宋体" w:cs="宋体"/>
                      <w:sz w:val="20"/>
                      <w:szCs w:val="20"/>
                    </w:rPr>
                  </w:pPr>
                  <w:r>
                    <w:rPr>
                      <w:rFonts w:ascii="宋体" w:hAnsi="宋体" w:eastAsia="宋体" w:cs="宋体"/>
                      <w:b/>
                      <w:bCs/>
                      <w:spacing w:val="5"/>
                      <w:sz w:val="20"/>
                      <w:szCs w:val="20"/>
                    </w:rPr>
                    <w:t>生产单</w:t>
                  </w:r>
                  <w:r>
                    <w:rPr>
                      <w:rFonts w:ascii="宋体" w:hAnsi="宋体" w:eastAsia="宋体" w:cs="宋体"/>
                      <w:b/>
                      <w:bCs/>
                      <w:spacing w:val="-3"/>
                      <w:sz w:val="20"/>
                      <w:szCs w:val="20"/>
                    </w:rPr>
                    <w:t>元</w:t>
                  </w:r>
                </w:p>
              </w:tc>
              <w:tc>
                <w:tcPr>
                  <w:tcW w:w="1110" w:type="dxa"/>
                  <w:vAlign w:val="top"/>
                </w:tcPr>
                <w:p w14:paraId="60E1C0F6">
                  <w:pPr>
                    <w:spacing w:line="376" w:lineRule="auto"/>
                    <w:rPr>
                      <w:rFonts w:ascii="Arial"/>
                      <w:sz w:val="21"/>
                    </w:rPr>
                  </w:pPr>
                </w:p>
                <w:p w14:paraId="5556FADA">
                  <w:pPr>
                    <w:spacing w:before="65" w:line="228" w:lineRule="auto"/>
                    <w:ind w:left="139"/>
                    <w:rPr>
                      <w:rFonts w:ascii="宋体" w:hAnsi="宋体" w:eastAsia="宋体" w:cs="宋体"/>
                      <w:sz w:val="20"/>
                      <w:szCs w:val="20"/>
                    </w:rPr>
                  </w:pPr>
                  <w:r>
                    <w:rPr>
                      <w:rFonts w:ascii="宋体" w:hAnsi="宋体" w:eastAsia="宋体" w:cs="宋体"/>
                      <w:b/>
                      <w:bCs/>
                      <w:spacing w:val="6"/>
                      <w:sz w:val="20"/>
                      <w:szCs w:val="20"/>
                    </w:rPr>
                    <w:t>生产设施</w:t>
                  </w:r>
                </w:p>
              </w:tc>
              <w:tc>
                <w:tcPr>
                  <w:tcW w:w="1267" w:type="dxa"/>
                  <w:vAlign w:val="top"/>
                </w:tcPr>
                <w:p w14:paraId="7BE7FB93">
                  <w:pPr>
                    <w:spacing w:line="377" w:lineRule="auto"/>
                    <w:rPr>
                      <w:rFonts w:ascii="Arial"/>
                      <w:sz w:val="21"/>
                    </w:rPr>
                  </w:pPr>
                </w:p>
                <w:p w14:paraId="163B8B34">
                  <w:pPr>
                    <w:spacing w:before="65" w:line="228" w:lineRule="auto"/>
                    <w:ind w:left="217"/>
                    <w:rPr>
                      <w:rFonts w:ascii="宋体" w:hAnsi="宋体" w:eastAsia="宋体" w:cs="宋体"/>
                      <w:sz w:val="20"/>
                      <w:szCs w:val="20"/>
                    </w:rPr>
                  </w:pPr>
                  <w:r>
                    <w:rPr>
                      <w:rFonts w:ascii="宋体" w:hAnsi="宋体" w:eastAsia="宋体" w:cs="宋体"/>
                      <w:b/>
                      <w:bCs/>
                      <w:spacing w:val="6"/>
                      <w:sz w:val="20"/>
                      <w:szCs w:val="20"/>
                    </w:rPr>
                    <w:t>污染物体</w:t>
                  </w:r>
                </w:p>
              </w:tc>
              <w:tc>
                <w:tcPr>
                  <w:tcW w:w="3013" w:type="dxa"/>
                  <w:vAlign w:val="top"/>
                </w:tcPr>
                <w:p w14:paraId="470B1B0A">
                  <w:pPr>
                    <w:spacing w:line="377" w:lineRule="auto"/>
                    <w:rPr>
                      <w:rFonts w:ascii="Arial"/>
                      <w:sz w:val="21"/>
                    </w:rPr>
                  </w:pPr>
                </w:p>
                <w:p w14:paraId="32E42B2D">
                  <w:pPr>
                    <w:spacing w:before="65" w:line="228" w:lineRule="auto"/>
                    <w:ind w:left="130"/>
                    <w:rPr>
                      <w:rFonts w:ascii="宋体" w:hAnsi="宋体" w:eastAsia="宋体" w:cs="宋体"/>
                      <w:sz w:val="20"/>
                      <w:szCs w:val="20"/>
                    </w:rPr>
                  </w:pPr>
                  <w:r>
                    <w:rPr>
                      <w:rFonts w:ascii="宋体" w:hAnsi="宋体" w:eastAsia="宋体" w:cs="宋体"/>
                      <w:b/>
                      <w:bCs/>
                      <w:spacing w:val="5"/>
                      <w:sz w:val="20"/>
                      <w:szCs w:val="20"/>
                    </w:rPr>
                    <w:t>（</w:t>
                  </w:r>
                  <w:r>
                    <w:rPr>
                      <w:rFonts w:ascii="Times New Roman" w:hAnsi="Times New Roman" w:eastAsia="Times New Roman" w:cs="Times New Roman"/>
                      <w:b/>
                      <w:bCs/>
                      <w:sz w:val="20"/>
                      <w:szCs w:val="20"/>
                    </w:rPr>
                    <w:t>HJ</w:t>
                  </w:r>
                  <w:r>
                    <w:rPr>
                      <w:rFonts w:ascii="Times New Roman" w:hAnsi="Times New Roman" w:eastAsia="Times New Roman" w:cs="Times New Roman"/>
                      <w:b/>
                      <w:bCs/>
                      <w:spacing w:val="5"/>
                      <w:sz w:val="20"/>
                      <w:szCs w:val="20"/>
                    </w:rPr>
                    <w:t>1122—2020</w:t>
                  </w:r>
                  <w:r>
                    <w:rPr>
                      <w:rFonts w:ascii="宋体" w:hAnsi="宋体" w:eastAsia="宋体" w:cs="宋体"/>
                      <w:b/>
                      <w:bCs/>
                      <w:spacing w:val="5"/>
                      <w:sz w:val="20"/>
                      <w:szCs w:val="20"/>
                    </w:rPr>
                    <w:t>）中控制要求</w:t>
                  </w:r>
                </w:p>
              </w:tc>
              <w:tc>
                <w:tcPr>
                  <w:tcW w:w="1207" w:type="dxa"/>
                  <w:vAlign w:val="top"/>
                </w:tcPr>
                <w:p w14:paraId="5DFCD20B">
                  <w:pPr>
                    <w:spacing w:before="238" w:line="378" w:lineRule="auto"/>
                    <w:ind w:left="506" w:right="178" w:hanging="317"/>
                    <w:rPr>
                      <w:rFonts w:ascii="宋体" w:hAnsi="宋体" w:eastAsia="宋体" w:cs="宋体"/>
                      <w:sz w:val="20"/>
                      <w:szCs w:val="20"/>
                    </w:rPr>
                  </w:pPr>
                  <w:r>
                    <w:rPr>
                      <w:rFonts w:ascii="宋体" w:hAnsi="宋体" w:eastAsia="宋体" w:cs="宋体"/>
                      <w:b/>
                      <w:bCs/>
                      <w:spacing w:val="6"/>
                      <w:sz w:val="20"/>
                      <w:szCs w:val="20"/>
                    </w:rPr>
                    <w:t>本项目情</w:t>
                  </w:r>
                  <w:r>
                    <w:rPr>
                      <w:rFonts w:ascii="宋体" w:hAnsi="宋体" w:eastAsia="宋体" w:cs="宋体"/>
                      <w:b/>
                      <w:bCs/>
                      <w:spacing w:val="-3"/>
                      <w:sz w:val="20"/>
                      <w:szCs w:val="20"/>
                    </w:rPr>
                    <w:t>况</w:t>
                  </w:r>
                </w:p>
              </w:tc>
              <w:tc>
                <w:tcPr>
                  <w:tcW w:w="1238" w:type="dxa"/>
                  <w:vAlign w:val="top"/>
                </w:tcPr>
                <w:p w14:paraId="4289913C">
                  <w:pPr>
                    <w:spacing w:before="36" w:line="228" w:lineRule="auto"/>
                    <w:ind w:left="206"/>
                    <w:rPr>
                      <w:rFonts w:ascii="宋体" w:hAnsi="宋体" w:eastAsia="宋体" w:cs="宋体"/>
                      <w:sz w:val="20"/>
                      <w:szCs w:val="20"/>
                    </w:rPr>
                  </w:pPr>
                  <w:r>
                    <w:rPr>
                      <w:rFonts w:ascii="宋体" w:hAnsi="宋体" w:eastAsia="宋体" w:cs="宋体"/>
                      <w:b/>
                      <w:bCs/>
                      <w:spacing w:val="5"/>
                      <w:sz w:val="20"/>
                      <w:szCs w:val="20"/>
                    </w:rPr>
                    <w:t>是否属于</w:t>
                  </w:r>
                </w:p>
                <w:p w14:paraId="19885605">
                  <w:pPr>
                    <w:spacing w:before="160" w:line="359" w:lineRule="auto"/>
                    <w:ind w:left="519" w:right="195" w:hanging="314"/>
                    <w:rPr>
                      <w:rFonts w:ascii="宋体" w:hAnsi="宋体" w:eastAsia="宋体" w:cs="宋体"/>
                      <w:sz w:val="20"/>
                      <w:szCs w:val="20"/>
                    </w:rPr>
                  </w:pPr>
                  <w:r>
                    <w:rPr>
                      <w:rFonts w:ascii="宋体" w:hAnsi="宋体" w:eastAsia="宋体" w:cs="宋体"/>
                      <w:b/>
                      <w:bCs/>
                      <w:spacing w:val="6"/>
                      <w:sz w:val="20"/>
                      <w:szCs w:val="20"/>
                    </w:rPr>
                    <w:t>可行性技</w:t>
                  </w:r>
                  <w:r>
                    <w:rPr>
                      <w:rFonts w:ascii="宋体" w:hAnsi="宋体" w:eastAsia="宋体" w:cs="宋体"/>
                      <w:b/>
                      <w:bCs/>
                      <w:spacing w:val="-3"/>
                      <w:sz w:val="20"/>
                      <w:szCs w:val="20"/>
                    </w:rPr>
                    <w:t>术</w:t>
                  </w:r>
                </w:p>
              </w:tc>
            </w:tr>
            <w:tr w14:paraId="5DF61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1" w:hRule="atLeast"/>
              </w:trPr>
              <w:tc>
                <w:tcPr>
                  <w:tcW w:w="989" w:type="dxa"/>
                  <w:vAlign w:val="top"/>
                </w:tcPr>
                <w:p w14:paraId="64A478C4">
                  <w:pPr>
                    <w:spacing w:before="239" w:line="378" w:lineRule="auto"/>
                    <w:ind w:left="115" w:right="107" w:firstLine="8"/>
                    <w:jc w:val="both"/>
                    <w:rPr>
                      <w:rFonts w:ascii="宋体" w:hAnsi="宋体" w:eastAsia="宋体" w:cs="宋体"/>
                      <w:sz w:val="20"/>
                      <w:szCs w:val="20"/>
                    </w:rPr>
                  </w:pPr>
                  <w:r>
                    <w:rPr>
                      <w:rFonts w:ascii="宋体" w:hAnsi="宋体" w:eastAsia="宋体" w:cs="宋体"/>
                      <w:spacing w:val="-4"/>
                      <w:sz w:val="20"/>
                      <w:szCs w:val="20"/>
                    </w:rPr>
                    <w:t>聚</w:t>
                  </w:r>
                  <w:r>
                    <w:rPr>
                      <w:rFonts w:ascii="宋体" w:hAnsi="宋体" w:eastAsia="宋体" w:cs="宋体"/>
                      <w:spacing w:val="-18"/>
                      <w:sz w:val="20"/>
                      <w:szCs w:val="20"/>
                    </w:rPr>
                    <w:t xml:space="preserve"> </w:t>
                  </w:r>
                  <w:r>
                    <w:rPr>
                      <w:rFonts w:ascii="宋体" w:hAnsi="宋体" w:eastAsia="宋体" w:cs="宋体"/>
                      <w:spacing w:val="-4"/>
                      <w:sz w:val="20"/>
                      <w:szCs w:val="20"/>
                    </w:rPr>
                    <w:t>丙</w:t>
                  </w:r>
                  <w:r>
                    <w:rPr>
                      <w:rFonts w:ascii="宋体" w:hAnsi="宋体" w:eastAsia="宋体" w:cs="宋体"/>
                      <w:spacing w:val="-20"/>
                      <w:sz w:val="20"/>
                      <w:szCs w:val="20"/>
                    </w:rPr>
                    <w:t xml:space="preserve"> </w:t>
                  </w:r>
                  <w:r>
                    <w:rPr>
                      <w:rFonts w:ascii="宋体" w:hAnsi="宋体" w:eastAsia="宋体" w:cs="宋体"/>
                      <w:spacing w:val="-4"/>
                      <w:sz w:val="20"/>
                      <w:szCs w:val="20"/>
                    </w:rPr>
                    <w:t>烯</w:t>
                  </w:r>
                  <w:r>
                    <w:rPr>
                      <w:rFonts w:ascii="宋体" w:hAnsi="宋体" w:eastAsia="宋体" w:cs="宋体"/>
                      <w:sz w:val="20"/>
                      <w:szCs w:val="20"/>
                    </w:rPr>
                    <w:t>颗</w:t>
                  </w:r>
                  <w:r>
                    <w:rPr>
                      <w:rFonts w:ascii="宋体" w:hAnsi="宋体" w:eastAsia="宋体" w:cs="宋体"/>
                      <w:spacing w:val="-21"/>
                      <w:sz w:val="20"/>
                      <w:szCs w:val="20"/>
                    </w:rPr>
                    <w:t xml:space="preserve"> </w:t>
                  </w:r>
                  <w:r>
                    <w:rPr>
                      <w:rFonts w:ascii="宋体" w:hAnsi="宋体" w:eastAsia="宋体" w:cs="宋体"/>
                      <w:sz w:val="20"/>
                      <w:szCs w:val="20"/>
                    </w:rPr>
                    <w:t>粒</w:t>
                  </w:r>
                  <w:r>
                    <w:rPr>
                      <w:rFonts w:ascii="宋体" w:hAnsi="宋体" w:eastAsia="宋体" w:cs="宋体"/>
                      <w:spacing w:val="-20"/>
                      <w:sz w:val="20"/>
                      <w:szCs w:val="20"/>
                    </w:rPr>
                    <w:t xml:space="preserve"> </w:t>
                  </w:r>
                  <w:r>
                    <w:rPr>
                      <w:rFonts w:ascii="宋体" w:hAnsi="宋体" w:eastAsia="宋体" w:cs="宋体"/>
                      <w:sz w:val="20"/>
                      <w:szCs w:val="20"/>
                    </w:rPr>
                    <w:t>熔</w:t>
                  </w:r>
                  <w:r>
                    <w:rPr>
                      <w:rFonts w:ascii="宋体" w:hAnsi="宋体" w:eastAsia="宋体" w:cs="宋体"/>
                      <w:spacing w:val="7"/>
                      <w:sz w:val="20"/>
                      <w:szCs w:val="20"/>
                    </w:rPr>
                    <w:t>融注塑</w:t>
                  </w:r>
                </w:p>
              </w:tc>
              <w:tc>
                <w:tcPr>
                  <w:tcW w:w="1110" w:type="dxa"/>
                  <w:vAlign w:val="top"/>
                </w:tcPr>
                <w:p w14:paraId="5373CC5E">
                  <w:pPr>
                    <w:spacing w:line="289" w:lineRule="auto"/>
                    <w:rPr>
                      <w:rFonts w:ascii="Arial"/>
                      <w:sz w:val="21"/>
                    </w:rPr>
                  </w:pPr>
                </w:p>
                <w:p w14:paraId="3E25B537">
                  <w:pPr>
                    <w:spacing w:line="290" w:lineRule="auto"/>
                    <w:rPr>
                      <w:rFonts w:ascii="Arial"/>
                      <w:sz w:val="21"/>
                    </w:rPr>
                  </w:pPr>
                </w:p>
                <w:p w14:paraId="4A4CBAC5">
                  <w:pPr>
                    <w:spacing w:before="65" w:line="228" w:lineRule="auto"/>
                    <w:ind w:left="112"/>
                    <w:rPr>
                      <w:rFonts w:ascii="宋体" w:hAnsi="宋体" w:eastAsia="宋体" w:cs="宋体"/>
                      <w:sz w:val="20"/>
                      <w:szCs w:val="20"/>
                    </w:rPr>
                  </w:pPr>
                  <w:r>
                    <w:rPr>
                      <w:rFonts w:ascii="宋体" w:hAnsi="宋体" w:eastAsia="宋体" w:cs="宋体"/>
                      <w:spacing w:val="7"/>
                      <w:sz w:val="20"/>
                      <w:szCs w:val="20"/>
                    </w:rPr>
                    <w:t>熔融注塑</w:t>
                  </w:r>
                </w:p>
              </w:tc>
              <w:tc>
                <w:tcPr>
                  <w:tcW w:w="1267" w:type="dxa"/>
                  <w:vAlign w:val="top"/>
                </w:tcPr>
                <w:p w14:paraId="22621EE8">
                  <w:pPr>
                    <w:spacing w:line="289" w:lineRule="auto"/>
                    <w:rPr>
                      <w:rFonts w:ascii="Arial"/>
                      <w:sz w:val="21"/>
                    </w:rPr>
                  </w:pPr>
                </w:p>
                <w:p w14:paraId="235A7E36">
                  <w:pPr>
                    <w:spacing w:line="290" w:lineRule="auto"/>
                    <w:rPr>
                      <w:rFonts w:ascii="Arial"/>
                      <w:sz w:val="21"/>
                    </w:rPr>
                  </w:pPr>
                </w:p>
                <w:p w14:paraId="24F7988F">
                  <w:pPr>
                    <w:spacing w:before="65" w:line="228" w:lineRule="auto"/>
                    <w:ind w:left="116"/>
                    <w:rPr>
                      <w:rFonts w:ascii="宋体" w:hAnsi="宋体" w:eastAsia="宋体" w:cs="宋体"/>
                      <w:sz w:val="20"/>
                      <w:szCs w:val="20"/>
                    </w:rPr>
                  </w:pPr>
                  <w:r>
                    <w:rPr>
                      <w:rFonts w:ascii="宋体" w:hAnsi="宋体" w:eastAsia="宋体" w:cs="宋体"/>
                      <w:spacing w:val="7"/>
                      <w:sz w:val="20"/>
                      <w:szCs w:val="20"/>
                    </w:rPr>
                    <w:t>非甲烷总烃</w:t>
                  </w:r>
                </w:p>
              </w:tc>
              <w:tc>
                <w:tcPr>
                  <w:tcW w:w="3013" w:type="dxa"/>
                  <w:vAlign w:val="top"/>
                </w:tcPr>
                <w:p w14:paraId="64BFED5B">
                  <w:pPr>
                    <w:spacing w:before="35" w:line="226" w:lineRule="auto"/>
                    <w:ind w:right="12"/>
                    <w:jc w:val="right"/>
                    <w:rPr>
                      <w:rFonts w:ascii="宋体" w:hAnsi="宋体" w:eastAsia="宋体" w:cs="宋体"/>
                      <w:sz w:val="20"/>
                      <w:szCs w:val="20"/>
                    </w:rPr>
                  </w:pPr>
                  <w:r>
                    <w:rPr>
                      <w:rFonts w:ascii="宋体" w:hAnsi="宋体" w:eastAsia="宋体" w:cs="宋体"/>
                      <w:spacing w:val="5"/>
                      <w:sz w:val="20"/>
                      <w:szCs w:val="20"/>
                    </w:rPr>
                    <w:t>除尘、喷淋、吸附、热力燃烧、</w:t>
                  </w:r>
                </w:p>
                <w:p w14:paraId="431CE3B8">
                  <w:pPr>
                    <w:spacing w:before="162" w:line="227" w:lineRule="auto"/>
                    <w:ind w:left="112"/>
                    <w:rPr>
                      <w:rFonts w:ascii="Times New Roman" w:hAnsi="Times New Roman" w:eastAsia="Times New Roman" w:cs="Times New Roman"/>
                      <w:sz w:val="20"/>
                      <w:szCs w:val="20"/>
                    </w:rPr>
                  </w:pPr>
                  <w:r>
                    <w:rPr>
                      <w:rFonts w:ascii="宋体" w:hAnsi="宋体" w:eastAsia="宋体" w:cs="宋体"/>
                      <w:spacing w:val="8"/>
                      <w:sz w:val="20"/>
                      <w:szCs w:val="20"/>
                    </w:rPr>
                    <w:t>催化燃烧、低温等离子体、</w:t>
                  </w:r>
                  <w:r>
                    <w:rPr>
                      <w:rFonts w:ascii="Times New Roman" w:hAnsi="Times New Roman" w:eastAsia="Times New Roman" w:cs="Times New Roman"/>
                      <w:sz w:val="20"/>
                      <w:szCs w:val="20"/>
                    </w:rPr>
                    <w:t>UV</w:t>
                  </w:r>
                </w:p>
                <w:p w14:paraId="0BD7A797">
                  <w:pPr>
                    <w:spacing w:before="162" w:line="227" w:lineRule="auto"/>
                    <w:ind w:left="119"/>
                    <w:rPr>
                      <w:rFonts w:ascii="宋体" w:hAnsi="宋体" w:eastAsia="宋体" w:cs="宋体"/>
                      <w:sz w:val="20"/>
                      <w:szCs w:val="20"/>
                    </w:rPr>
                  </w:pPr>
                  <w:r>
                    <w:rPr>
                      <w:rFonts w:ascii="宋体" w:hAnsi="宋体" w:eastAsia="宋体" w:cs="宋体"/>
                      <w:spacing w:val="8"/>
                      <w:sz w:val="20"/>
                      <w:szCs w:val="20"/>
                    </w:rPr>
                    <w:t>光氧化</w:t>
                  </w:r>
                  <w:r>
                    <w:rPr>
                      <w:rFonts w:ascii="Times New Roman" w:hAnsi="Times New Roman" w:eastAsia="Times New Roman" w:cs="Times New Roman"/>
                      <w:spacing w:val="8"/>
                      <w:sz w:val="20"/>
                      <w:szCs w:val="20"/>
                    </w:rPr>
                    <w:t>/</w:t>
                  </w:r>
                  <w:r>
                    <w:rPr>
                      <w:rFonts w:ascii="宋体" w:hAnsi="宋体" w:eastAsia="宋体" w:cs="宋体"/>
                      <w:spacing w:val="8"/>
                      <w:sz w:val="20"/>
                      <w:szCs w:val="20"/>
                    </w:rPr>
                    <w:t>光催化、生物法、以上</w:t>
                  </w:r>
                </w:p>
                <w:p w14:paraId="04605219">
                  <w:pPr>
                    <w:spacing w:before="161" w:line="228" w:lineRule="auto"/>
                    <w:ind w:left="1094"/>
                    <w:rPr>
                      <w:rFonts w:ascii="宋体" w:hAnsi="宋体" w:eastAsia="宋体" w:cs="宋体"/>
                      <w:sz w:val="20"/>
                      <w:szCs w:val="20"/>
                    </w:rPr>
                  </w:pPr>
                  <w:r>
                    <w:rPr>
                      <w:rFonts w:ascii="宋体" w:hAnsi="宋体" w:eastAsia="宋体" w:cs="宋体"/>
                      <w:spacing w:val="6"/>
                      <w:sz w:val="20"/>
                      <w:szCs w:val="20"/>
                    </w:rPr>
                    <w:t>组合技术</w:t>
                  </w:r>
                </w:p>
              </w:tc>
              <w:tc>
                <w:tcPr>
                  <w:tcW w:w="1207" w:type="dxa"/>
                  <w:vAlign w:val="top"/>
                </w:tcPr>
                <w:p w14:paraId="3C8BD4B5">
                  <w:pPr>
                    <w:spacing w:line="375" w:lineRule="auto"/>
                    <w:rPr>
                      <w:rFonts w:ascii="Arial"/>
                      <w:sz w:val="21"/>
                    </w:rPr>
                  </w:pPr>
                </w:p>
                <w:p w14:paraId="6192C2A1">
                  <w:pPr>
                    <w:spacing w:before="65" w:line="379" w:lineRule="auto"/>
                    <w:ind w:left="117" w:right="104" w:hanging="3"/>
                    <w:rPr>
                      <w:rFonts w:ascii="宋体" w:hAnsi="宋体" w:eastAsia="宋体" w:cs="宋体"/>
                      <w:sz w:val="20"/>
                      <w:szCs w:val="20"/>
                    </w:rPr>
                  </w:pPr>
                  <w:r>
                    <w:rPr>
                      <w:rFonts w:ascii="宋体" w:hAnsi="宋体" w:eastAsia="宋体" w:cs="宋体"/>
                      <w:spacing w:val="-2"/>
                      <w:sz w:val="20"/>
                      <w:szCs w:val="20"/>
                    </w:rPr>
                    <w:t>三</w:t>
                  </w:r>
                  <w:r>
                    <w:rPr>
                      <w:rFonts w:ascii="宋体" w:hAnsi="宋体" w:eastAsia="宋体" w:cs="宋体"/>
                      <w:spacing w:val="-35"/>
                      <w:sz w:val="20"/>
                      <w:szCs w:val="20"/>
                    </w:rPr>
                    <w:t xml:space="preserve"> </w:t>
                  </w:r>
                  <w:r>
                    <w:rPr>
                      <w:rFonts w:ascii="宋体" w:hAnsi="宋体" w:eastAsia="宋体" w:cs="宋体"/>
                      <w:spacing w:val="-2"/>
                      <w:sz w:val="20"/>
                      <w:szCs w:val="20"/>
                    </w:rPr>
                    <w:t>级</w:t>
                  </w:r>
                  <w:r>
                    <w:rPr>
                      <w:rFonts w:ascii="宋体" w:hAnsi="宋体" w:eastAsia="宋体" w:cs="宋体"/>
                      <w:spacing w:val="-39"/>
                      <w:sz w:val="20"/>
                      <w:szCs w:val="20"/>
                    </w:rPr>
                    <w:t xml:space="preserve"> </w:t>
                  </w:r>
                  <w:r>
                    <w:rPr>
                      <w:rFonts w:ascii="宋体" w:hAnsi="宋体" w:eastAsia="宋体" w:cs="宋体"/>
                      <w:spacing w:val="-2"/>
                      <w:sz w:val="20"/>
                      <w:szCs w:val="20"/>
                    </w:rPr>
                    <w:t>活</w:t>
                  </w:r>
                  <w:r>
                    <w:rPr>
                      <w:rFonts w:ascii="宋体" w:hAnsi="宋体" w:eastAsia="宋体" w:cs="宋体"/>
                      <w:spacing w:val="-36"/>
                      <w:sz w:val="20"/>
                      <w:szCs w:val="20"/>
                    </w:rPr>
                    <w:t xml:space="preserve"> </w:t>
                  </w:r>
                  <w:r>
                    <w:rPr>
                      <w:rFonts w:ascii="宋体" w:hAnsi="宋体" w:eastAsia="宋体" w:cs="宋体"/>
                      <w:spacing w:val="-2"/>
                      <w:sz w:val="20"/>
                      <w:szCs w:val="20"/>
                    </w:rPr>
                    <w:t>性</w:t>
                  </w:r>
                  <w:r>
                    <w:rPr>
                      <w:rFonts w:ascii="宋体" w:hAnsi="宋体" w:eastAsia="宋体" w:cs="宋体"/>
                      <w:sz w:val="20"/>
                      <w:szCs w:val="20"/>
                    </w:rPr>
                    <w:t>炭</w:t>
                  </w:r>
                </w:p>
              </w:tc>
              <w:tc>
                <w:tcPr>
                  <w:tcW w:w="1238" w:type="dxa"/>
                  <w:vAlign w:val="top"/>
                </w:tcPr>
                <w:p w14:paraId="5A4CA6F2">
                  <w:pPr>
                    <w:spacing w:line="289" w:lineRule="auto"/>
                    <w:rPr>
                      <w:rFonts w:ascii="Arial"/>
                      <w:sz w:val="21"/>
                    </w:rPr>
                  </w:pPr>
                </w:p>
                <w:p w14:paraId="0021F62D">
                  <w:pPr>
                    <w:spacing w:line="290" w:lineRule="auto"/>
                    <w:rPr>
                      <w:rFonts w:ascii="Arial"/>
                      <w:sz w:val="21"/>
                    </w:rPr>
                  </w:pPr>
                </w:p>
                <w:p w14:paraId="5DBE065A">
                  <w:pPr>
                    <w:spacing w:before="65" w:line="231" w:lineRule="auto"/>
                    <w:ind w:left="523"/>
                    <w:rPr>
                      <w:rFonts w:ascii="宋体" w:hAnsi="宋体" w:eastAsia="宋体" w:cs="宋体"/>
                      <w:sz w:val="20"/>
                      <w:szCs w:val="20"/>
                    </w:rPr>
                  </w:pPr>
                  <w:r>
                    <w:rPr>
                      <w:rFonts w:ascii="宋体" w:hAnsi="宋体" w:eastAsia="宋体" w:cs="宋体"/>
                      <w:sz w:val="20"/>
                      <w:szCs w:val="20"/>
                    </w:rPr>
                    <w:t>是</w:t>
                  </w:r>
                </w:p>
              </w:tc>
            </w:tr>
          </w:tbl>
          <w:p w14:paraId="524A9495">
            <w:pPr>
              <w:spacing w:before="35" w:line="219" w:lineRule="auto"/>
              <w:ind w:left="712"/>
              <w:rPr>
                <w:rFonts w:ascii="宋体" w:hAnsi="宋体" w:eastAsia="宋体" w:cs="宋体"/>
                <w:sz w:val="24"/>
                <w:szCs w:val="24"/>
              </w:rPr>
            </w:pPr>
            <w:r>
              <w:rPr>
                <w:rFonts w:ascii="宋体" w:hAnsi="宋体" w:eastAsia="宋体" w:cs="宋体"/>
                <w:spacing w:val="-1"/>
                <w:sz w:val="24"/>
                <w:szCs w:val="24"/>
              </w:rPr>
              <w:t>综上，改扩建项目有组织废气处理措施可行可靠。</w:t>
            </w:r>
          </w:p>
          <w:p w14:paraId="15D41C43">
            <w:pPr>
              <w:spacing w:before="183" w:line="217" w:lineRule="auto"/>
              <w:ind w:left="587"/>
              <w:rPr>
                <w:rFonts w:ascii="宋体" w:hAnsi="宋体" w:eastAsia="宋体" w:cs="宋体"/>
                <w:sz w:val="24"/>
                <w:szCs w:val="24"/>
              </w:rPr>
            </w:pPr>
            <w:r>
              <w:rPr>
                <w:rFonts w:ascii="宋体" w:hAnsi="宋体" w:eastAsia="宋体" w:cs="宋体"/>
                <w:spacing w:val="-1"/>
                <w:sz w:val="24"/>
                <w:szCs w:val="24"/>
              </w:rPr>
              <w:t>③集气罩风速达标分析</w:t>
            </w:r>
          </w:p>
          <w:p w14:paraId="26E01E25">
            <w:pPr>
              <w:spacing w:before="185" w:line="219" w:lineRule="auto"/>
              <w:ind w:left="1169"/>
              <w:rPr>
                <w:rFonts w:ascii="宋体" w:hAnsi="宋体" w:eastAsia="宋体" w:cs="宋体"/>
                <w:sz w:val="24"/>
                <w:szCs w:val="24"/>
              </w:rPr>
            </w:pPr>
            <w:r>
              <w:rPr>
                <w:rFonts w:ascii="宋体" w:hAnsi="宋体" w:eastAsia="宋体" w:cs="宋体"/>
                <w:spacing w:val="-1"/>
                <w:sz w:val="24"/>
                <w:szCs w:val="24"/>
              </w:rPr>
              <w:t>项目采用顶吸式密闭罩进行废气收集，矩形顶吸罩风量计算公式为：</w:t>
            </w:r>
          </w:p>
          <w:p w14:paraId="6300D4AF">
            <w:pPr>
              <w:spacing w:before="119" w:line="323" w:lineRule="exact"/>
              <w:ind w:left="4150"/>
              <w:rPr>
                <w:rFonts w:ascii="Times New Roman" w:hAnsi="Times New Roman" w:eastAsia="Times New Roman" w:cs="Times New Roman"/>
                <w:sz w:val="24"/>
                <w:szCs w:val="24"/>
              </w:rPr>
            </w:pPr>
            <w:r>
              <w:rPr>
                <w:rFonts w:ascii="Times New Roman" w:hAnsi="Times New Roman" w:eastAsia="Times New Roman" w:cs="Times New Roman"/>
                <w:spacing w:val="-1"/>
                <w:position w:val="4"/>
                <w:sz w:val="24"/>
                <w:szCs w:val="24"/>
              </w:rPr>
              <w:t>Q=3600ν</w:t>
            </w:r>
            <w:r>
              <w:rPr>
                <w:rFonts w:ascii="Times New Roman" w:hAnsi="Times New Roman" w:eastAsia="Times New Roman" w:cs="Times New Roman"/>
                <w:spacing w:val="-1"/>
                <w:position w:val="3"/>
                <w:sz w:val="15"/>
                <w:szCs w:val="15"/>
              </w:rPr>
              <w:t>0</w:t>
            </w:r>
            <w:r>
              <w:rPr>
                <w:rFonts w:ascii="Times New Roman" w:hAnsi="Times New Roman" w:eastAsia="Times New Roman" w:cs="Times New Roman"/>
                <w:spacing w:val="-1"/>
                <w:position w:val="4"/>
                <w:sz w:val="24"/>
                <w:szCs w:val="24"/>
              </w:rPr>
              <w:t>Fβ</w:t>
            </w:r>
          </w:p>
          <w:p w14:paraId="16C70DD9">
            <w:pPr>
              <w:spacing w:before="109" w:line="323" w:lineRule="exact"/>
              <w:ind w:left="3594"/>
              <w:rPr>
                <w:rFonts w:ascii="Times New Roman" w:hAnsi="Times New Roman" w:eastAsia="Times New Roman" w:cs="Times New Roman"/>
                <w:sz w:val="24"/>
                <w:szCs w:val="24"/>
              </w:rPr>
            </w:pPr>
            <w:r>
              <w:rPr>
                <w:rFonts w:ascii="Times New Roman" w:hAnsi="Times New Roman" w:eastAsia="Times New Roman" w:cs="Times New Roman"/>
                <w:spacing w:val="-1"/>
                <w:position w:val="1"/>
                <w:sz w:val="24"/>
                <w:szCs w:val="24"/>
              </w:rPr>
              <w:t>ν</w:t>
            </w:r>
            <w:r>
              <w:rPr>
                <w:rFonts w:ascii="Times New Roman" w:hAnsi="Times New Roman" w:eastAsia="Times New Roman" w:cs="Times New Roman"/>
                <w:spacing w:val="-1"/>
                <w:sz w:val="15"/>
                <w:szCs w:val="15"/>
              </w:rPr>
              <w:t>0</w:t>
            </w:r>
            <w:r>
              <w:rPr>
                <w:rFonts w:ascii="Times New Roman" w:hAnsi="Times New Roman" w:eastAsia="Times New Roman" w:cs="Times New Roman"/>
                <w:spacing w:val="-1"/>
                <w:position w:val="1"/>
                <w:sz w:val="24"/>
                <w:szCs w:val="24"/>
              </w:rPr>
              <w:t>=0.75</w:t>
            </w:r>
            <w:r>
              <w:rPr>
                <w:rFonts w:ascii="宋体" w:hAnsi="宋体" w:eastAsia="宋体" w:cs="宋体"/>
                <w:spacing w:val="-1"/>
                <w:position w:val="1"/>
                <w:sz w:val="24"/>
                <w:szCs w:val="24"/>
              </w:rPr>
              <w:t>（</w:t>
            </w:r>
            <w:r>
              <w:rPr>
                <w:rFonts w:ascii="Times New Roman" w:hAnsi="Times New Roman" w:eastAsia="Times New Roman" w:cs="Times New Roman"/>
                <w:spacing w:val="-1"/>
                <w:position w:val="1"/>
                <w:sz w:val="24"/>
                <w:szCs w:val="24"/>
              </w:rPr>
              <w:t>10h</w:t>
            </w:r>
            <w:r>
              <w:rPr>
                <w:rFonts w:ascii="Times New Roman" w:hAnsi="Times New Roman" w:eastAsia="Times New Roman" w:cs="Times New Roman"/>
                <w:spacing w:val="-1"/>
                <w:position w:val="8"/>
                <w:sz w:val="15"/>
                <w:szCs w:val="15"/>
              </w:rPr>
              <w:t>2</w:t>
            </w:r>
            <w:r>
              <w:rPr>
                <w:rFonts w:ascii="Times New Roman" w:hAnsi="Times New Roman" w:eastAsia="Times New Roman" w:cs="Times New Roman"/>
                <w:spacing w:val="-1"/>
                <w:position w:val="1"/>
                <w:sz w:val="24"/>
                <w:szCs w:val="24"/>
              </w:rPr>
              <w:t>+F</w:t>
            </w:r>
            <w:r>
              <w:rPr>
                <w:rFonts w:ascii="宋体" w:hAnsi="宋体" w:eastAsia="宋体" w:cs="宋体"/>
                <w:spacing w:val="-1"/>
                <w:position w:val="1"/>
                <w:sz w:val="24"/>
                <w:szCs w:val="24"/>
              </w:rPr>
              <w:t>）</w:t>
            </w:r>
            <w:r>
              <w:rPr>
                <w:rFonts w:ascii="Times New Roman" w:hAnsi="Times New Roman" w:eastAsia="Times New Roman" w:cs="Times New Roman"/>
                <w:spacing w:val="-1"/>
                <w:position w:val="1"/>
                <w:sz w:val="24"/>
                <w:szCs w:val="24"/>
              </w:rPr>
              <w:t>ν</w:t>
            </w:r>
            <w:r>
              <w:rPr>
                <w:rFonts w:ascii="Times New Roman" w:hAnsi="Times New Roman" w:eastAsia="Times New Roman" w:cs="Times New Roman"/>
                <w:spacing w:val="-29"/>
                <w:position w:val="1"/>
                <w:sz w:val="24"/>
                <w:szCs w:val="24"/>
              </w:rPr>
              <w:t xml:space="preserve"> </w:t>
            </w:r>
            <w:r>
              <w:rPr>
                <w:rFonts w:ascii="Times New Roman" w:hAnsi="Times New Roman" w:eastAsia="Times New Roman" w:cs="Times New Roman"/>
                <w:spacing w:val="-1"/>
                <w:sz w:val="15"/>
                <w:szCs w:val="15"/>
              </w:rPr>
              <w:t>1</w:t>
            </w:r>
            <w:r>
              <w:rPr>
                <w:rFonts w:ascii="Times New Roman" w:hAnsi="Times New Roman" w:eastAsia="Times New Roman" w:cs="Times New Roman"/>
                <w:spacing w:val="-1"/>
                <w:position w:val="1"/>
                <w:sz w:val="24"/>
                <w:szCs w:val="24"/>
              </w:rPr>
              <w:t>/F</w:t>
            </w:r>
          </w:p>
          <w:p w14:paraId="27FB04F4">
            <w:pPr>
              <w:spacing w:before="126" w:line="323" w:lineRule="exact"/>
              <w:ind w:left="4459"/>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F=AB</w:t>
            </w:r>
          </w:p>
          <w:p w14:paraId="74654A26">
            <w:pPr>
              <w:spacing w:before="92" w:line="323" w:lineRule="exact"/>
              <w:ind w:left="4273"/>
              <w:rPr>
                <w:rFonts w:ascii="Times New Roman" w:hAnsi="Times New Roman" w:eastAsia="Times New Roman" w:cs="Times New Roman"/>
                <w:sz w:val="24"/>
                <w:szCs w:val="24"/>
              </w:rPr>
            </w:pPr>
            <w:r>
              <w:rPr>
                <w:rFonts w:ascii="Times New Roman" w:hAnsi="Times New Roman" w:eastAsia="Times New Roman" w:cs="Times New Roman"/>
                <w:spacing w:val="-1"/>
                <w:position w:val="2"/>
                <w:sz w:val="24"/>
                <w:szCs w:val="24"/>
              </w:rPr>
              <w:t>A=a+0.4h</w:t>
            </w:r>
          </w:p>
          <w:p w14:paraId="4162AB46">
            <w:pPr>
              <w:spacing w:before="90" w:line="323" w:lineRule="exact"/>
              <w:ind w:left="4275"/>
              <w:rPr>
                <w:rFonts w:ascii="Times New Roman" w:hAnsi="Times New Roman" w:eastAsia="Times New Roman" w:cs="Times New Roman"/>
                <w:sz w:val="24"/>
                <w:szCs w:val="24"/>
              </w:rPr>
            </w:pPr>
            <w:r>
              <w:rPr>
                <w:rFonts w:ascii="Times New Roman" w:hAnsi="Times New Roman" w:eastAsia="Times New Roman" w:cs="Times New Roman"/>
                <w:spacing w:val="-1"/>
                <w:position w:val="2"/>
                <w:sz w:val="24"/>
                <w:szCs w:val="24"/>
              </w:rPr>
              <w:t>B=b+0.4h</w:t>
            </w:r>
          </w:p>
          <w:p w14:paraId="3CC45AB3">
            <w:pPr>
              <w:spacing w:before="153" w:line="354" w:lineRule="auto"/>
              <w:ind w:left="574" w:right="3312" w:firstLine="19"/>
              <w:rPr>
                <w:rFonts w:ascii="宋体" w:hAnsi="宋体" w:eastAsia="宋体" w:cs="宋体"/>
                <w:sz w:val="24"/>
                <w:szCs w:val="24"/>
              </w:rPr>
            </w:pPr>
            <w:r>
              <w:rPr>
                <w:rFonts w:ascii="宋体" w:hAnsi="宋体" w:eastAsia="宋体" w:cs="宋体"/>
                <w:spacing w:val="-5"/>
                <w:sz w:val="24"/>
                <w:szCs w:val="24"/>
              </w:rPr>
              <w:t>式中：</w:t>
            </w:r>
            <w:r>
              <w:rPr>
                <w:rFonts w:ascii="Times New Roman" w:hAnsi="Times New Roman" w:eastAsia="Times New Roman" w:cs="Times New Roman"/>
                <w:spacing w:val="-5"/>
                <w:sz w:val="24"/>
                <w:szCs w:val="24"/>
              </w:rPr>
              <w:t>Q——</w:t>
            </w:r>
            <w:r>
              <w:rPr>
                <w:rFonts w:ascii="宋体" w:hAnsi="宋体" w:eastAsia="宋体" w:cs="宋体"/>
                <w:spacing w:val="-5"/>
                <w:sz w:val="24"/>
                <w:szCs w:val="24"/>
              </w:rPr>
              <w:t>风量（</w:t>
            </w:r>
            <w:r>
              <w:rPr>
                <w:rFonts w:ascii="Times New Roman" w:hAnsi="Times New Roman" w:eastAsia="Times New Roman" w:cs="Times New Roman"/>
                <w:spacing w:val="-5"/>
                <w:sz w:val="24"/>
                <w:szCs w:val="24"/>
              </w:rPr>
              <w:t>m</w:t>
            </w:r>
            <w:r>
              <w:rPr>
                <w:rFonts w:ascii="Times New Roman" w:hAnsi="Times New Roman" w:eastAsia="Times New Roman" w:cs="Times New Roman"/>
                <w:spacing w:val="-5"/>
                <w:position w:val="7"/>
                <w:sz w:val="15"/>
                <w:szCs w:val="15"/>
              </w:rPr>
              <w:t>3</w:t>
            </w:r>
            <w:r>
              <w:rPr>
                <w:rFonts w:ascii="Times New Roman" w:hAnsi="Times New Roman" w:eastAsia="Times New Roman" w:cs="Times New Roman"/>
                <w:spacing w:val="-5"/>
                <w:sz w:val="24"/>
                <w:szCs w:val="24"/>
              </w:rPr>
              <w:t>/h</w:t>
            </w:r>
            <w:r>
              <w:rPr>
                <w:rFonts w:ascii="宋体" w:hAnsi="宋体" w:eastAsia="宋体" w:cs="宋体"/>
                <w:spacing w:val="13"/>
                <w:sz w:val="24"/>
                <w:szCs w:val="24"/>
              </w:rPr>
              <w:t>），</w:t>
            </w:r>
            <w:r>
              <w:rPr>
                <w:rFonts w:ascii="宋体" w:hAnsi="宋体" w:eastAsia="宋体" w:cs="宋体"/>
                <w:spacing w:val="-5"/>
                <w:sz w:val="24"/>
                <w:szCs w:val="24"/>
              </w:rPr>
              <w:t>计算得</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115000m</w:t>
            </w:r>
            <w:r>
              <w:rPr>
                <w:rFonts w:ascii="Times New Roman" w:hAnsi="Times New Roman" w:eastAsia="Times New Roman" w:cs="Times New Roman"/>
                <w:spacing w:val="-5"/>
                <w:position w:val="7"/>
                <w:sz w:val="15"/>
                <w:szCs w:val="15"/>
              </w:rPr>
              <w:t>3</w:t>
            </w:r>
            <w:r>
              <w:rPr>
                <w:rFonts w:ascii="Times New Roman" w:hAnsi="Times New Roman" w:eastAsia="Times New Roman" w:cs="Times New Roman"/>
                <w:spacing w:val="-5"/>
                <w:sz w:val="24"/>
                <w:szCs w:val="24"/>
              </w:rPr>
              <w:t>/h</w:t>
            </w:r>
            <w:r>
              <w:rPr>
                <w:rFonts w:ascii="宋体" w:hAnsi="宋体" w:eastAsia="宋体" w:cs="宋体"/>
                <w:spacing w:val="-5"/>
                <w:sz w:val="24"/>
                <w:szCs w:val="24"/>
              </w:rPr>
              <w:t>；</w:t>
            </w:r>
            <w:r>
              <w:rPr>
                <w:rFonts w:ascii="宋体" w:hAnsi="宋体" w:eastAsia="宋体" w:cs="宋体"/>
                <w:sz w:val="24"/>
                <w:szCs w:val="24"/>
              </w:rPr>
              <w:t xml:space="preserve"> </w:t>
            </w:r>
            <w:r>
              <w:rPr>
                <w:rFonts w:ascii="Times New Roman" w:hAnsi="Times New Roman" w:eastAsia="Times New Roman" w:cs="Times New Roman"/>
                <w:spacing w:val="-2"/>
                <w:sz w:val="24"/>
                <w:szCs w:val="24"/>
              </w:rPr>
              <w:t>ν</w:t>
            </w:r>
            <w:r>
              <w:rPr>
                <w:rFonts w:ascii="Times New Roman" w:hAnsi="Times New Roman" w:eastAsia="Times New Roman" w:cs="Times New Roman"/>
                <w:spacing w:val="-2"/>
                <w:position w:val="-1"/>
                <w:sz w:val="15"/>
                <w:szCs w:val="15"/>
              </w:rPr>
              <w:t>0</w:t>
            </w:r>
            <w:r>
              <w:rPr>
                <w:rFonts w:ascii="Times New Roman" w:hAnsi="Times New Roman" w:eastAsia="Times New Roman" w:cs="Times New Roman"/>
                <w:spacing w:val="-2"/>
                <w:sz w:val="24"/>
                <w:szCs w:val="24"/>
              </w:rPr>
              <w:t>——</w:t>
            </w:r>
            <w:r>
              <w:rPr>
                <w:rFonts w:ascii="宋体" w:hAnsi="宋体" w:eastAsia="宋体" w:cs="宋体"/>
                <w:spacing w:val="-2"/>
                <w:sz w:val="24"/>
                <w:szCs w:val="24"/>
              </w:rPr>
              <w:t>罩口平均风速（</w:t>
            </w:r>
            <w:r>
              <w:rPr>
                <w:rFonts w:ascii="Times New Roman" w:hAnsi="Times New Roman" w:eastAsia="Times New Roman" w:cs="Times New Roman"/>
                <w:spacing w:val="-2"/>
                <w:sz w:val="24"/>
                <w:szCs w:val="24"/>
              </w:rPr>
              <w:t>m/s</w:t>
            </w:r>
            <w:r>
              <w:rPr>
                <w:rFonts w:ascii="宋体" w:hAnsi="宋体" w:eastAsia="宋体" w:cs="宋体"/>
                <w:spacing w:val="11"/>
                <w:sz w:val="24"/>
                <w:szCs w:val="24"/>
              </w:rPr>
              <w:t>），</w:t>
            </w:r>
            <w:r>
              <w:rPr>
                <w:rFonts w:ascii="宋体" w:hAnsi="宋体" w:eastAsia="宋体" w:cs="宋体"/>
                <w:spacing w:val="-2"/>
                <w:sz w:val="24"/>
                <w:szCs w:val="24"/>
              </w:rPr>
              <w:t>计算得</w:t>
            </w:r>
            <w:r>
              <w:rPr>
                <w:rFonts w:ascii="宋体" w:hAnsi="宋体" w:eastAsia="宋体" w:cs="宋体"/>
                <w:spacing w:val="-31"/>
                <w:sz w:val="24"/>
                <w:szCs w:val="24"/>
              </w:rPr>
              <w:t xml:space="preserve"> </w:t>
            </w:r>
            <w:r>
              <w:rPr>
                <w:rFonts w:ascii="Times New Roman" w:hAnsi="Times New Roman" w:eastAsia="Times New Roman" w:cs="Times New Roman"/>
                <w:spacing w:val="-2"/>
                <w:sz w:val="24"/>
                <w:szCs w:val="24"/>
              </w:rPr>
              <w:t>16m/s</w:t>
            </w:r>
            <w:r>
              <w:rPr>
                <w:rFonts w:ascii="宋体" w:hAnsi="宋体" w:eastAsia="宋体" w:cs="宋体"/>
                <w:spacing w:val="-2"/>
                <w:sz w:val="24"/>
                <w:szCs w:val="24"/>
              </w:rPr>
              <w:t>；</w:t>
            </w:r>
          </w:p>
          <w:p w14:paraId="6ECF2AE1">
            <w:pPr>
              <w:spacing w:before="15" w:line="219" w:lineRule="auto"/>
              <w:ind w:left="574"/>
              <w:rPr>
                <w:rFonts w:ascii="宋体" w:hAnsi="宋体" w:eastAsia="宋体" w:cs="宋体"/>
                <w:sz w:val="24"/>
                <w:szCs w:val="24"/>
              </w:rPr>
            </w:pPr>
            <w:r>
              <w:rPr>
                <w:rFonts w:ascii="Times New Roman" w:hAnsi="Times New Roman" w:eastAsia="Times New Roman" w:cs="Times New Roman"/>
                <w:spacing w:val="5"/>
                <w:sz w:val="24"/>
                <w:szCs w:val="24"/>
              </w:rPr>
              <w:t>ν</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pacing w:val="-1"/>
                <w:position w:val="-1"/>
                <w:sz w:val="15"/>
                <w:szCs w:val="15"/>
              </w:rPr>
              <w:t>1</w:t>
            </w:r>
            <w:r>
              <w:rPr>
                <w:rFonts w:ascii="Times New Roman" w:hAnsi="Times New Roman" w:eastAsia="Times New Roman" w:cs="Times New Roman"/>
                <w:spacing w:val="-1"/>
                <w:sz w:val="24"/>
                <w:szCs w:val="24"/>
              </w:rPr>
              <w:t>——</w:t>
            </w:r>
            <w:r>
              <w:rPr>
                <w:rFonts w:ascii="宋体" w:hAnsi="宋体" w:eastAsia="宋体" w:cs="宋体"/>
                <w:spacing w:val="-1"/>
                <w:sz w:val="24"/>
                <w:szCs w:val="24"/>
              </w:rPr>
              <w:t>有害物散发面处最小控制风速（</w:t>
            </w:r>
            <w:r>
              <w:rPr>
                <w:rFonts w:ascii="Times New Roman" w:hAnsi="Times New Roman" w:eastAsia="Times New Roman" w:cs="Times New Roman"/>
                <w:spacing w:val="-1"/>
                <w:sz w:val="24"/>
                <w:szCs w:val="24"/>
              </w:rPr>
              <w:t>m/s</w:t>
            </w:r>
            <w:r>
              <w:rPr>
                <w:rFonts w:ascii="宋体" w:hAnsi="宋体" w:eastAsia="宋体" w:cs="宋体"/>
                <w:sz w:val="24"/>
                <w:szCs w:val="24"/>
              </w:rPr>
              <w:t>）；</w:t>
            </w:r>
          </w:p>
          <w:p w14:paraId="691F9AA4">
            <w:pPr>
              <w:spacing w:before="180" w:line="212" w:lineRule="auto"/>
              <w:ind w:left="583"/>
              <w:rPr>
                <w:rFonts w:ascii="宋体" w:hAnsi="宋体" w:eastAsia="宋体" w:cs="宋体"/>
                <w:sz w:val="24"/>
                <w:szCs w:val="24"/>
              </w:rPr>
            </w:pPr>
            <w:r>
              <w:rPr>
                <w:rFonts w:ascii="Times New Roman" w:hAnsi="Times New Roman" w:eastAsia="Times New Roman" w:cs="Times New Roman"/>
                <w:spacing w:val="-2"/>
                <w:sz w:val="24"/>
                <w:szCs w:val="24"/>
              </w:rPr>
              <w:t>F——</w:t>
            </w:r>
            <w:r>
              <w:rPr>
                <w:rFonts w:ascii="宋体" w:hAnsi="宋体" w:eastAsia="宋体" w:cs="宋体"/>
                <w:spacing w:val="-2"/>
                <w:sz w:val="24"/>
                <w:szCs w:val="24"/>
              </w:rPr>
              <w:t>罩口面积（</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2"/>
                <w:position w:val="1"/>
                <w:sz w:val="15"/>
                <w:szCs w:val="15"/>
              </w:rPr>
              <w:t>2</w:t>
            </w:r>
            <w:r>
              <w:rPr>
                <w:rFonts w:ascii="宋体" w:hAnsi="宋体" w:eastAsia="宋体" w:cs="宋体"/>
                <w:spacing w:val="4"/>
                <w:position w:val="1"/>
                <w:sz w:val="24"/>
                <w:szCs w:val="24"/>
              </w:rPr>
              <w:t>）</w:t>
            </w:r>
            <w:r>
              <w:rPr>
                <w:rFonts w:ascii="宋体" w:hAnsi="宋体" w:eastAsia="宋体" w:cs="宋体"/>
                <w:spacing w:val="4"/>
                <w:sz w:val="24"/>
                <w:szCs w:val="24"/>
              </w:rPr>
              <w:t>，</w:t>
            </w:r>
            <w:r>
              <w:rPr>
                <w:rFonts w:ascii="宋体" w:hAnsi="宋体" w:eastAsia="宋体" w:cs="宋体"/>
                <w:spacing w:val="-2"/>
                <w:sz w:val="24"/>
                <w:szCs w:val="24"/>
              </w:rPr>
              <w:t>计算得</w:t>
            </w:r>
            <w:r>
              <w:rPr>
                <w:rFonts w:ascii="宋体" w:hAnsi="宋体" w:eastAsia="宋体" w:cs="宋体"/>
                <w:spacing w:val="-31"/>
                <w:sz w:val="24"/>
                <w:szCs w:val="24"/>
              </w:rPr>
              <w:t xml:space="preserve"> </w:t>
            </w:r>
            <w:r>
              <w:rPr>
                <w:rFonts w:ascii="Times New Roman" w:hAnsi="Times New Roman" w:eastAsia="Times New Roman" w:cs="Times New Roman"/>
                <w:spacing w:val="-2"/>
                <w:sz w:val="24"/>
                <w:szCs w:val="24"/>
              </w:rPr>
              <w:t>1.8m</w:t>
            </w:r>
            <w:r>
              <w:rPr>
                <w:rFonts w:ascii="Times New Roman" w:hAnsi="Times New Roman" w:eastAsia="Times New Roman" w:cs="Times New Roman"/>
                <w:spacing w:val="-2"/>
                <w:position w:val="7"/>
                <w:sz w:val="15"/>
                <w:szCs w:val="15"/>
              </w:rPr>
              <w:t>2</w:t>
            </w:r>
            <w:r>
              <w:rPr>
                <w:rFonts w:ascii="宋体" w:hAnsi="宋体" w:eastAsia="宋体" w:cs="宋体"/>
                <w:spacing w:val="-2"/>
                <w:sz w:val="24"/>
                <w:szCs w:val="24"/>
              </w:rPr>
              <w:t>；</w:t>
            </w:r>
          </w:p>
          <w:p w14:paraId="25E901DC">
            <w:pPr>
              <w:spacing w:before="183" w:line="210" w:lineRule="auto"/>
              <w:ind w:left="592"/>
              <w:rPr>
                <w:rFonts w:ascii="宋体" w:hAnsi="宋体" w:eastAsia="宋体" w:cs="宋体"/>
                <w:sz w:val="24"/>
                <w:szCs w:val="24"/>
              </w:rPr>
            </w:pPr>
            <w:r>
              <w:rPr>
                <w:rFonts w:ascii="Times New Roman" w:hAnsi="Times New Roman" w:eastAsia="Times New Roman" w:cs="Times New Roman"/>
                <w:spacing w:val="-4"/>
                <w:sz w:val="24"/>
                <w:szCs w:val="24"/>
              </w:rPr>
              <w:t>β——</w:t>
            </w:r>
            <w:r>
              <w:rPr>
                <w:rFonts w:ascii="宋体" w:hAnsi="宋体" w:eastAsia="宋体" w:cs="宋体"/>
                <w:spacing w:val="-4"/>
                <w:sz w:val="24"/>
                <w:szCs w:val="24"/>
              </w:rPr>
              <w:t>安全系数，密闭罩一般取</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1.05~</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4"/>
                <w:sz w:val="24"/>
                <w:szCs w:val="24"/>
              </w:rPr>
              <w:t>1.1</w:t>
            </w:r>
            <w:r>
              <w:rPr>
                <w:rFonts w:ascii="Times New Roman" w:hAnsi="Times New Roman" w:eastAsia="Times New Roman" w:cs="Times New Roman"/>
                <w:spacing w:val="-33"/>
                <w:sz w:val="24"/>
                <w:szCs w:val="24"/>
              </w:rPr>
              <w:t xml:space="preserve"> </w:t>
            </w:r>
            <w:r>
              <w:rPr>
                <w:rFonts w:ascii="宋体" w:hAnsi="宋体" w:eastAsia="宋体" w:cs="宋体"/>
                <w:spacing w:val="-4"/>
                <w:sz w:val="24"/>
                <w:szCs w:val="24"/>
              </w:rPr>
              <w:t>，</w:t>
            </w:r>
            <w:r>
              <w:rPr>
                <w:rFonts w:ascii="宋体" w:hAnsi="宋体" w:eastAsia="宋体" w:cs="宋体"/>
                <w:spacing w:val="-5"/>
                <w:sz w:val="24"/>
                <w:szCs w:val="24"/>
              </w:rPr>
              <w:t>本次取</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1.1</w:t>
            </w:r>
            <w:r>
              <w:rPr>
                <w:rFonts w:ascii="宋体" w:hAnsi="宋体" w:eastAsia="宋体" w:cs="宋体"/>
                <w:spacing w:val="-5"/>
                <w:sz w:val="24"/>
                <w:szCs w:val="24"/>
              </w:rPr>
              <w:t>；</w:t>
            </w:r>
          </w:p>
          <w:p w14:paraId="17377CE3">
            <w:pPr>
              <w:spacing w:before="193" w:line="219" w:lineRule="auto"/>
              <w:ind w:left="581"/>
              <w:rPr>
                <w:rFonts w:ascii="宋体" w:hAnsi="宋体" w:eastAsia="宋体" w:cs="宋体"/>
                <w:sz w:val="24"/>
                <w:szCs w:val="24"/>
              </w:rPr>
            </w:pPr>
            <w:r>
              <w:rPr>
                <w:rFonts w:ascii="Times New Roman" w:hAnsi="Times New Roman" w:eastAsia="Times New Roman" w:cs="Times New Roman"/>
                <w:spacing w:val="-4"/>
                <w:sz w:val="24"/>
                <w:szCs w:val="24"/>
              </w:rPr>
              <w:t>A</w:t>
            </w:r>
            <w:r>
              <w:rPr>
                <w:rFonts w:ascii="Times New Roman" w:hAnsi="Times New Roman" w:eastAsia="Times New Roman" w:cs="Times New Roman"/>
                <w:spacing w:val="-34"/>
                <w:sz w:val="24"/>
                <w:szCs w:val="24"/>
              </w:rPr>
              <w:t xml:space="preserve"> </w:t>
            </w:r>
            <w:r>
              <w:rPr>
                <w:rFonts w:ascii="宋体" w:hAnsi="宋体" w:eastAsia="宋体" w:cs="宋体"/>
                <w:spacing w:val="-4"/>
                <w:sz w:val="24"/>
                <w:szCs w:val="24"/>
              </w:rPr>
              <w:t>、</w:t>
            </w:r>
            <w:r>
              <w:rPr>
                <w:rFonts w:ascii="Times New Roman" w:hAnsi="Times New Roman" w:eastAsia="Times New Roman" w:cs="Times New Roman"/>
                <w:spacing w:val="-4"/>
                <w:sz w:val="24"/>
                <w:szCs w:val="24"/>
              </w:rPr>
              <w:t>B——</w:t>
            </w:r>
            <w:r>
              <w:rPr>
                <w:rFonts w:ascii="宋体" w:hAnsi="宋体" w:eastAsia="宋体" w:cs="宋体"/>
                <w:spacing w:val="-4"/>
                <w:sz w:val="24"/>
                <w:szCs w:val="24"/>
              </w:rPr>
              <w:t>矩形顶吸罩两边（</w:t>
            </w:r>
            <w:r>
              <w:rPr>
                <w:rFonts w:ascii="Times New Roman" w:hAnsi="Times New Roman" w:eastAsia="Times New Roman" w:cs="Times New Roman"/>
                <w:spacing w:val="-4"/>
                <w:sz w:val="24"/>
                <w:szCs w:val="24"/>
              </w:rPr>
              <w:t>m</w:t>
            </w:r>
            <w:r>
              <w:rPr>
                <w:rFonts w:ascii="宋体" w:hAnsi="宋体" w:eastAsia="宋体" w:cs="宋体"/>
                <w:spacing w:val="7"/>
                <w:sz w:val="24"/>
                <w:szCs w:val="24"/>
              </w:rPr>
              <w:t>），</w:t>
            </w:r>
            <w:r>
              <w:rPr>
                <w:rFonts w:ascii="宋体" w:hAnsi="宋体" w:eastAsia="宋体" w:cs="宋体"/>
                <w:spacing w:val="-4"/>
                <w:sz w:val="24"/>
                <w:szCs w:val="24"/>
              </w:rPr>
              <w:t>计算得</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1.8m</w:t>
            </w:r>
            <w:r>
              <w:rPr>
                <w:rFonts w:ascii="Times New Roman" w:hAnsi="Times New Roman" w:eastAsia="Times New Roman" w:cs="Times New Roman"/>
                <w:spacing w:val="-33"/>
                <w:sz w:val="24"/>
                <w:szCs w:val="24"/>
              </w:rPr>
              <w:t xml:space="preserve"> </w:t>
            </w:r>
            <w:r>
              <w:rPr>
                <w:rFonts w:ascii="宋体" w:hAnsi="宋体" w:eastAsia="宋体" w:cs="宋体"/>
                <w:spacing w:val="-4"/>
                <w:sz w:val="24"/>
                <w:szCs w:val="24"/>
              </w:rPr>
              <w:t>、</w:t>
            </w:r>
            <w:r>
              <w:rPr>
                <w:rFonts w:ascii="Times New Roman" w:hAnsi="Times New Roman" w:eastAsia="Times New Roman" w:cs="Times New Roman"/>
                <w:spacing w:val="-4"/>
                <w:sz w:val="24"/>
                <w:szCs w:val="24"/>
              </w:rPr>
              <w:t>1m</w:t>
            </w:r>
            <w:r>
              <w:rPr>
                <w:rFonts w:ascii="宋体" w:hAnsi="宋体" w:eastAsia="宋体" w:cs="宋体"/>
                <w:spacing w:val="-4"/>
                <w:sz w:val="24"/>
                <w:szCs w:val="24"/>
              </w:rPr>
              <w:t>；</w:t>
            </w:r>
          </w:p>
          <w:p w14:paraId="3CBE6D49">
            <w:pPr>
              <w:spacing w:before="180" w:line="360" w:lineRule="auto"/>
              <w:ind w:left="581" w:right="1793" w:firstLine="7"/>
              <w:rPr>
                <w:rFonts w:ascii="宋体" w:hAnsi="宋体" w:eastAsia="宋体" w:cs="宋体"/>
                <w:sz w:val="24"/>
                <w:szCs w:val="24"/>
              </w:rPr>
            </w:pPr>
            <w:r>
              <w:rPr>
                <w:rFonts w:ascii="Times New Roman" w:hAnsi="Times New Roman" w:eastAsia="Times New Roman" w:cs="Times New Roman"/>
                <w:spacing w:val="-5"/>
                <w:sz w:val="24"/>
                <w:szCs w:val="24"/>
              </w:rPr>
              <w:t>a</w:t>
            </w:r>
            <w:r>
              <w:rPr>
                <w:rFonts w:ascii="Times New Roman" w:hAnsi="Times New Roman" w:eastAsia="Times New Roman" w:cs="Times New Roman"/>
                <w:spacing w:val="-34"/>
                <w:sz w:val="24"/>
                <w:szCs w:val="24"/>
              </w:rPr>
              <w:t xml:space="preserve"> </w:t>
            </w:r>
            <w:r>
              <w:rPr>
                <w:rFonts w:ascii="宋体" w:hAnsi="宋体" w:eastAsia="宋体" w:cs="宋体"/>
                <w:spacing w:val="-5"/>
                <w:sz w:val="24"/>
                <w:szCs w:val="24"/>
              </w:rPr>
              <w:t>、</w:t>
            </w:r>
            <w:r>
              <w:rPr>
                <w:rFonts w:ascii="Times New Roman" w:hAnsi="Times New Roman" w:eastAsia="Times New Roman" w:cs="Times New Roman"/>
                <w:spacing w:val="-5"/>
                <w:sz w:val="24"/>
                <w:szCs w:val="24"/>
              </w:rPr>
              <w:t>b——</w:t>
            </w:r>
            <w:r>
              <w:rPr>
                <w:rFonts w:ascii="宋体" w:hAnsi="宋体" w:eastAsia="宋体" w:cs="宋体"/>
                <w:spacing w:val="-5"/>
                <w:sz w:val="24"/>
                <w:szCs w:val="24"/>
              </w:rPr>
              <w:t>有害物散发矩形平面两边（</w:t>
            </w:r>
            <w:r>
              <w:rPr>
                <w:rFonts w:ascii="Times New Roman" w:hAnsi="Times New Roman" w:eastAsia="Times New Roman" w:cs="Times New Roman"/>
                <w:spacing w:val="-5"/>
                <w:sz w:val="24"/>
                <w:szCs w:val="24"/>
              </w:rPr>
              <w:t>m</w:t>
            </w:r>
            <w:r>
              <w:rPr>
                <w:rFonts w:ascii="宋体" w:hAnsi="宋体" w:eastAsia="宋体" w:cs="宋体"/>
                <w:spacing w:val="6"/>
                <w:sz w:val="24"/>
                <w:szCs w:val="24"/>
              </w:rPr>
              <w:t>），</w:t>
            </w:r>
            <w:r>
              <w:rPr>
                <w:rFonts w:ascii="宋体" w:hAnsi="宋体" w:eastAsia="宋体" w:cs="宋体"/>
                <w:spacing w:val="-5"/>
                <w:sz w:val="24"/>
                <w:szCs w:val="24"/>
              </w:rPr>
              <w:t>分别为</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1</w:t>
            </w:r>
            <w:r>
              <w:rPr>
                <w:rFonts w:ascii="Times New Roman" w:hAnsi="Times New Roman" w:eastAsia="Times New Roman" w:cs="Times New Roman"/>
                <w:spacing w:val="-6"/>
                <w:sz w:val="24"/>
                <w:szCs w:val="24"/>
              </w:rPr>
              <w:t>.6m</w:t>
            </w:r>
            <w:r>
              <w:rPr>
                <w:rFonts w:ascii="Times New Roman" w:hAnsi="Times New Roman" w:eastAsia="Times New Roman" w:cs="Times New Roman"/>
                <w:spacing w:val="-35"/>
                <w:sz w:val="24"/>
                <w:szCs w:val="24"/>
              </w:rPr>
              <w:t xml:space="preserve"> </w:t>
            </w:r>
            <w:r>
              <w:rPr>
                <w:rFonts w:ascii="宋体" w:hAnsi="宋体" w:eastAsia="宋体" w:cs="宋体"/>
                <w:spacing w:val="-6"/>
                <w:sz w:val="24"/>
                <w:szCs w:val="24"/>
              </w:rPr>
              <w:t>、</w:t>
            </w:r>
            <w:r>
              <w:rPr>
                <w:rFonts w:ascii="Times New Roman" w:hAnsi="Times New Roman" w:eastAsia="Times New Roman" w:cs="Times New Roman"/>
                <w:spacing w:val="-6"/>
                <w:sz w:val="24"/>
                <w:szCs w:val="24"/>
              </w:rPr>
              <w:t>0.8m</w:t>
            </w:r>
            <w:r>
              <w:rPr>
                <w:rFonts w:ascii="宋体" w:hAnsi="宋体" w:eastAsia="宋体" w:cs="宋体"/>
                <w:spacing w:val="-6"/>
                <w:sz w:val="24"/>
                <w:szCs w:val="24"/>
              </w:rPr>
              <w:t>；</w:t>
            </w:r>
            <w:r>
              <w:rPr>
                <w:rFonts w:ascii="宋体" w:hAnsi="宋体" w:eastAsia="宋体" w:cs="宋体"/>
                <w:sz w:val="24"/>
                <w:szCs w:val="24"/>
              </w:rPr>
              <w:t xml:space="preserve"> </w:t>
            </w:r>
            <w:r>
              <w:rPr>
                <w:rFonts w:ascii="Times New Roman" w:hAnsi="Times New Roman" w:eastAsia="Times New Roman" w:cs="Times New Roman"/>
                <w:spacing w:val="-2"/>
                <w:sz w:val="24"/>
                <w:szCs w:val="24"/>
              </w:rPr>
              <w:t>h——</w:t>
            </w:r>
            <w:r>
              <w:rPr>
                <w:rFonts w:ascii="宋体" w:hAnsi="宋体" w:eastAsia="宋体" w:cs="宋体"/>
                <w:spacing w:val="-2"/>
                <w:sz w:val="24"/>
                <w:szCs w:val="24"/>
              </w:rPr>
              <w:t>罩口与有害物面的高度（</w:t>
            </w:r>
            <w:r>
              <w:rPr>
                <w:rFonts w:ascii="Times New Roman" w:hAnsi="Times New Roman" w:eastAsia="Times New Roman" w:cs="Times New Roman"/>
                <w:spacing w:val="-2"/>
                <w:sz w:val="24"/>
                <w:szCs w:val="24"/>
              </w:rPr>
              <w:t>m</w:t>
            </w:r>
            <w:r>
              <w:rPr>
                <w:rFonts w:ascii="宋体" w:hAnsi="宋体" w:eastAsia="宋体" w:cs="宋体"/>
                <w:spacing w:val="14"/>
                <w:sz w:val="24"/>
                <w:szCs w:val="24"/>
              </w:rPr>
              <w:t>），</w:t>
            </w:r>
            <w:r>
              <w:rPr>
                <w:rFonts w:ascii="宋体" w:hAnsi="宋体" w:eastAsia="宋体" w:cs="宋体"/>
                <w:spacing w:val="-2"/>
                <w:sz w:val="24"/>
                <w:szCs w:val="24"/>
              </w:rPr>
              <w:t>取</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0.5m</w:t>
            </w:r>
            <w:r>
              <w:rPr>
                <w:rFonts w:ascii="宋体" w:hAnsi="宋体" w:eastAsia="宋体" w:cs="宋体"/>
                <w:spacing w:val="-2"/>
                <w:sz w:val="24"/>
                <w:szCs w:val="24"/>
              </w:rPr>
              <w:t>。</w:t>
            </w:r>
          </w:p>
          <w:p w14:paraId="20A9B623">
            <w:pPr>
              <w:spacing w:before="1" w:line="219" w:lineRule="auto"/>
              <w:ind w:left="589"/>
              <w:rPr>
                <w:rFonts w:ascii="宋体" w:hAnsi="宋体" w:eastAsia="宋体" w:cs="宋体"/>
                <w:sz w:val="24"/>
                <w:szCs w:val="24"/>
              </w:rPr>
            </w:pPr>
            <w:r>
              <w:rPr>
                <w:rFonts w:ascii="宋体" w:hAnsi="宋体" w:eastAsia="宋体" w:cs="宋体"/>
                <w:sz w:val="24"/>
                <w:szCs w:val="24"/>
              </w:rPr>
              <w:t>根据上述公式，计算得有害物散发面处最小控制风速为</w:t>
            </w:r>
            <w:r>
              <w:rPr>
                <w:rFonts w:ascii="宋体" w:hAnsi="宋体" w:eastAsia="宋体" w:cs="宋体"/>
                <w:spacing w:val="-45"/>
                <w:sz w:val="24"/>
                <w:szCs w:val="24"/>
              </w:rPr>
              <w:t xml:space="preserve"> </w:t>
            </w:r>
            <w:r>
              <w:rPr>
                <w:rFonts w:ascii="Times New Roman" w:hAnsi="Times New Roman" w:eastAsia="Times New Roman" w:cs="Times New Roman"/>
                <w:sz w:val="24"/>
                <w:szCs w:val="24"/>
              </w:rPr>
              <w:t>8.9</w:t>
            </w:r>
            <w:r>
              <w:rPr>
                <w:rFonts w:ascii="Times New Roman" w:hAnsi="Times New Roman" w:eastAsia="Times New Roman" w:cs="Times New Roman"/>
                <w:spacing w:val="-1"/>
                <w:sz w:val="24"/>
                <w:szCs w:val="24"/>
              </w:rPr>
              <w:t>m/s</w:t>
            </w:r>
            <w:r>
              <w:rPr>
                <w:rFonts w:ascii="宋体" w:hAnsi="宋体" w:eastAsia="宋体" w:cs="宋体"/>
                <w:spacing w:val="-1"/>
                <w:sz w:val="24"/>
                <w:szCs w:val="24"/>
              </w:rPr>
              <w:t>＞</w:t>
            </w:r>
            <w:r>
              <w:rPr>
                <w:rFonts w:ascii="Times New Roman" w:hAnsi="Times New Roman" w:eastAsia="Times New Roman" w:cs="Times New Roman"/>
                <w:spacing w:val="-1"/>
                <w:sz w:val="24"/>
                <w:szCs w:val="24"/>
              </w:rPr>
              <w:t>0.3m/s</w:t>
            </w:r>
            <w:r>
              <w:rPr>
                <w:rFonts w:ascii="Times New Roman" w:hAnsi="Times New Roman" w:eastAsia="Times New Roman" w:cs="Times New Roman"/>
                <w:spacing w:val="-31"/>
                <w:sz w:val="24"/>
                <w:szCs w:val="24"/>
              </w:rPr>
              <w:t xml:space="preserve"> </w:t>
            </w:r>
            <w:r>
              <w:rPr>
                <w:rFonts w:ascii="宋体" w:hAnsi="宋体" w:eastAsia="宋体" w:cs="宋体"/>
                <w:spacing w:val="-1"/>
                <w:sz w:val="24"/>
                <w:szCs w:val="24"/>
              </w:rPr>
              <w:t>，项目有</w:t>
            </w:r>
          </w:p>
        </w:tc>
      </w:tr>
    </w:tbl>
    <w:p w14:paraId="33C4992E">
      <w:pPr>
        <w:pStyle w:val="2"/>
      </w:pPr>
    </w:p>
    <w:p w14:paraId="27D7357B">
      <w:pPr>
        <w:sectPr>
          <w:footerReference r:id="rId92" w:type="default"/>
          <w:pgSz w:w="11906" w:h="16839"/>
          <w:pgMar w:top="400" w:right="1055" w:bottom="1085" w:left="1054" w:header="0" w:footer="762" w:gutter="0"/>
          <w:cols w:space="720" w:num="1"/>
        </w:sectPr>
      </w:pPr>
    </w:p>
    <w:p w14:paraId="1669BA55">
      <w:pPr>
        <w:spacing w:before="19"/>
      </w:pPr>
    </w:p>
    <w:p w14:paraId="60C59FD2">
      <w:pPr>
        <w:spacing w:before="19"/>
      </w:pPr>
    </w:p>
    <w:p w14:paraId="55AF9CF4">
      <w:pPr>
        <w:spacing w:before="19"/>
      </w:pPr>
    </w:p>
    <w:p w14:paraId="1FA0FBCF">
      <w:pPr>
        <w:spacing w:before="18"/>
      </w:pPr>
    </w:p>
    <w:p w14:paraId="0E461B5E">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2996E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93" w:hRule="atLeast"/>
        </w:trPr>
        <w:tc>
          <w:tcPr>
            <w:tcW w:w="734" w:type="dxa"/>
            <w:tcBorders>
              <w:right w:val="single" w:color="000000" w:sz="2" w:space="0"/>
            </w:tcBorders>
            <w:vAlign w:val="top"/>
          </w:tcPr>
          <w:p w14:paraId="326C3B70">
            <w:pPr>
              <w:rPr>
                <w:rFonts w:ascii="Arial"/>
                <w:sz w:val="21"/>
              </w:rPr>
            </w:pPr>
          </w:p>
        </w:tc>
        <w:tc>
          <w:tcPr>
            <w:tcW w:w="9047" w:type="dxa"/>
            <w:tcBorders>
              <w:left w:val="single" w:color="000000" w:sz="2" w:space="0"/>
            </w:tcBorders>
            <w:vAlign w:val="top"/>
          </w:tcPr>
          <w:p w14:paraId="33DAE190">
            <w:pPr>
              <w:spacing w:before="39" w:line="220" w:lineRule="auto"/>
              <w:ind w:left="112"/>
              <w:rPr>
                <w:rFonts w:ascii="宋体" w:hAnsi="宋体" w:eastAsia="宋体" w:cs="宋体"/>
                <w:sz w:val="24"/>
                <w:szCs w:val="24"/>
              </w:rPr>
            </w:pPr>
            <w:r>
              <w:rPr>
                <w:rFonts w:ascii="宋体" w:hAnsi="宋体" w:eastAsia="宋体" w:cs="宋体"/>
                <w:spacing w:val="-1"/>
                <w:sz w:val="24"/>
                <w:szCs w:val="24"/>
              </w:rPr>
              <w:t>组织排放的非甲烷总烃可达标排放。</w:t>
            </w:r>
          </w:p>
          <w:p w14:paraId="47AD5ED0">
            <w:pPr>
              <w:spacing w:before="182" w:line="220" w:lineRule="auto"/>
              <w:ind w:left="600"/>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2</w:t>
            </w:r>
            <w:r>
              <w:rPr>
                <w:rFonts w:ascii="宋体" w:hAnsi="宋体" w:eastAsia="宋体" w:cs="宋体"/>
                <w:b/>
                <w:bCs/>
                <w:spacing w:val="-4"/>
                <w:sz w:val="24"/>
                <w:szCs w:val="24"/>
              </w:rPr>
              <w:t>）无组织排放废气达标分析</w:t>
            </w:r>
          </w:p>
          <w:p w14:paraId="5B7F743C">
            <w:pPr>
              <w:spacing w:before="179" w:line="359" w:lineRule="auto"/>
              <w:ind w:left="108" w:right="41" w:firstLine="482"/>
              <w:jc w:val="both"/>
              <w:rPr>
                <w:rFonts w:ascii="宋体" w:hAnsi="宋体" w:eastAsia="宋体" w:cs="宋体"/>
                <w:sz w:val="24"/>
                <w:szCs w:val="24"/>
              </w:rPr>
            </w:pPr>
            <w:r>
              <w:rPr>
                <w:rFonts w:ascii="宋体" w:hAnsi="宋体" w:eastAsia="宋体" w:cs="宋体"/>
                <w:spacing w:val="5"/>
                <w:sz w:val="24"/>
                <w:szCs w:val="24"/>
              </w:rPr>
              <w:t>无组织废气污染物厂界达标性分析，采用</w:t>
            </w:r>
            <w:r>
              <w:rPr>
                <w:rFonts w:ascii="Times New Roman" w:hAnsi="Times New Roman" w:eastAsia="Times New Roman" w:cs="Times New Roman"/>
                <w:sz w:val="24"/>
                <w:szCs w:val="24"/>
              </w:rPr>
              <w:t>ARESCREEN</w:t>
            </w:r>
            <w:r>
              <w:rPr>
                <w:rFonts w:ascii="Times New Roman" w:hAnsi="Times New Roman" w:eastAsia="Times New Roman" w:cs="Times New Roman"/>
                <w:spacing w:val="5"/>
                <w:sz w:val="24"/>
                <w:szCs w:val="24"/>
              </w:rPr>
              <w:t xml:space="preserve"> </w:t>
            </w:r>
            <w:r>
              <w:rPr>
                <w:rFonts w:ascii="宋体" w:hAnsi="宋体" w:eastAsia="宋体" w:cs="宋体"/>
                <w:spacing w:val="5"/>
                <w:sz w:val="24"/>
                <w:szCs w:val="24"/>
              </w:rPr>
              <w:t>模型估算，计算起始距</w:t>
            </w:r>
            <w:r>
              <w:rPr>
                <w:rFonts w:ascii="宋体" w:hAnsi="宋体" w:eastAsia="宋体" w:cs="宋体"/>
                <w:sz w:val="24"/>
                <w:szCs w:val="24"/>
              </w:rPr>
              <w:t>离为厂界外</w:t>
            </w:r>
            <w:r>
              <w:rPr>
                <w:rFonts w:ascii="宋体" w:hAnsi="宋体" w:eastAsia="宋体" w:cs="宋体"/>
                <w:spacing w:val="-29"/>
                <w:sz w:val="24"/>
                <w:szCs w:val="24"/>
              </w:rPr>
              <w:t xml:space="preserve"> </w:t>
            </w:r>
            <w:r>
              <w:rPr>
                <w:rFonts w:ascii="Times New Roman" w:hAnsi="Times New Roman" w:eastAsia="Times New Roman" w:cs="Times New Roman"/>
                <w:sz w:val="24"/>
                <w:szCs w:val="24"/>
              </w:rPr>
              <w:t>1m</w:t>
            </w:r>
            <w:r>
              <w:rPr>
                <w:rFonts w:ascii="Times New Roman" w:hAnsi="Times New Roman" w:eastAsia="Times New Roman" w:cs="Times New Roman"/>
                <w:spacing w:val="-30"/>
                <w:sz w:val="24"/>
                <w:szCs w:val="24"/>
              </w:rPr>
              <w:t xml:space="preserve"> </w:t>
            </w:r>
            <w:r>
              <w:rPr>
                <w:rFonts w:ascii="宋体" w:hAnsi="宋体" w:eastAsia="宋体" w:cs="宋体"/>
                <w:sz w:val="24"/>
                <w:szCs w:val="24"/>
              </w:rPr>
              <w:t>，根据估算模式结果，项目无组织排放的颗粒物污染物最大地</w:t>
            </w:r>
            <w:r>
              <w:rPr>
                <w:rFonts w:ascii="宋体" w:hAnsi="宋体" w:eastAsia="宋体" w:cs="宋体"/>
                <w:spacing w:val="-1"/>
                <w:sz w:val="24"/>
                <w:szCs w:val="24"/>
              </w:rPr>
              <w:t>面落地浓度距离源距离为源下风向</w:t>
            </w:r>
            <w:r>
              <w:rPr>
                <w:rFonts w:ascii="宋体" w:hAnsi="宋体" w:eastAsia="宋体" w:cs="宋体"/>
                <w:spacing w:val="-47"/>
                <w:sz w:val="24"/>
                <w:szCs w:val="24"/>
              </w:rPr>
              <w:t xml:space="preserve"> </w:t>
            </w:r>
            <w:r>
              <w:rPr>
                <w:rFonts w:ascii="Times New Roman" w:hAnsi="Times New Roman" w:eastAsia="Times New Roman" w:cs="Times New Roman"/>
                <w:spacing w:val="-1"/>
                <w:sz w:val="24"/>
                <w:szCs w:val="24"/>
              </w:rPr>
              <w:t>32m</w:t>
            </w:r>
            <w:r>
              <w:rPr>
                <w:rFonts w:ascii="Times New Roman" w:hAnsi="Times New Roman" w:eastAsia="Times New Roman" w:cs="Times New Roman"/>
                <w:spacing w:val="17"/>
                <w:sz w:val="24"/>
                <w:szCs w:val="24"/>
              </w:rPr>
              <w:t xml:space="preserve"> </w:t>
            </w:r>
            <w:r>
              <w:rPr>
                <w:rFonts w:ascii="宋体" w:hAnsi="宋体" w:eastAsia="宋体" w:cs="宋体"/>
                <w:spacing w:val="-1"/>
                <w:sz w:val="24"/>
                <w:szCs w:val="24"/>
              </w:rPr>
              <w:t>处，最大落地</w:t>
            </w:r>
            <w:r>
              <w:rPr>
                <w:rFonts w:ascii="宋体" w:hAnsi="宋体" w:eastAsia="宋体" w:cs="宋体"/>
                <w:spacing w:val="-2"/>
                <w:sz w:val="24"/>
                <w:szCs w:val="24"/>
              </w:rPr>
              <w:t>度为</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4.99ug/m</w:t>
            </w:r>
            <w:r>
              <w:rPr>
                <w:rFonts w:ascii="Times New Roman" w:hAnsi="Times New Roman" w:eastAsia="Times New Roman" w:cs="Times New Roman"/>
                <w:spacing w:val="-2"/>
                <w:position w:val="7"/>
                <w:sz w:val="15"/>
                <w:szCs w:val="15"/>
              </w:rPr>
              <w:t xml:space="preserve">3 </w:t>
            </w:r>
            <w:r>
              <w:rPr>
                <w:rFonts w:ascii="宋体" w:hAnsi="宋体" w:eastAsia="宋体" w:cs="宋体"/>
                <w:spacing w:val="-2"/>
                <w:sz w:val="24"/>
                <w:szCs w:val="24"/>
              </w:rPr>
              <w:t>，</w:t>
            </w:r>
            <w:r>
              <w:rPr>
                <w:rFonts w:ascii="宋体" w:hAnsi="宋体" w:eastAsia="宋体" w:cs="宋体"/>
                <w:spacing w:val="-68"/>
                <w:sz w:val="24"/>
                <w:szCs w:val="24"/>
              </w:rPr>
              <w:t xml:space="preserve"> </w:t>
            </w:r>
            <w:r>
              <w:rPr>
                <w:rFonts w:ascii="宋体" w:hAnsi="宋体" w:eastAsia="宋体" w:cs="宋体"/>
                <w:spacing w:val="-2"/>
                <w:sz w:val="24"/>
                <w:szCs w:val="24"/>
              </w:rPr>
              <w:t>占标率为</w:t>
            </w:r>
            <w:r>
              <w:rPr>
                <w:rFonts w:ascii="宋体" w:hAnsi="宋体" w:eastAsia="宋体" w:cs="宋体"/>
                <w:spacing w:val="-47"/>
                <w:sz w:val="24"/>
                <w:szCs w:val="24"/>
              </w:rPr>
              <w:t xml:space="preserve"> </w:t>
            </w:r>
            <w:r>
              <w:rPr>
                <w:rFonts w:ascii="Times New Roman" w:hAnsi="Times New Roman" w:eastAsia="Times New Roman" w:cs="Times New Roman"/>
                <w:spacing w:val="-2"/>
                <w:sz w:val="24"/>
                <w:szCs w:val="24"/>
              </w:rPr>
              <w:t>0.55%</w:t>
            </w:r>
            <w:r>
              <w:rPr>
                <w:rFonts w:ascii="宋体" w:hAnsi="宋体" w:eastAsia="宋体" w:cs="宋体"/>
                <w:spacing w:val="-2"/>
                <w:sz w:val="24"/>
                <w:szCs w:val="24"/>
              </w:rPr>
              <w:t>；无</w:t>
            </w:r>
            <w:r>
              <w:rPr>
                <w:rFonts w:ascii="宋体" w:hAnsi="宋体" w:eastAsia="宋体" w:cs="宋体"/>
                <w:spacing w:val="-3"/>
                <w:sz w:val="24"/>
                <w:szCs w:val="24"/>
              </w:rPr>
              <w:t>组织非甲烷总烃污染物最大地面落地浓度距离源距离为</w:t>
            </w:r>
            <w:r>
              <w:rPr>
                <w:rFonts w:ascii="宋体" w:hAnsi="宋体" w:eastAsia="宋体" w:cs="宋体"/>
                <w:spacing w:val="-4"/>
                <w:sz w:val="24"/>
                <w:szCs w:val="24"/>
              </w:rPr>
              <w:t>源下风向</w:t>
            </w:r>
            <w:r>
              <w:rPr>
                <w:rFonts w:ascii="宋体" w:hAnsi="宋体" w:eastAsia="宋体" w:cs="宋体"/>
                <w:spacing w:val="-50"/>
                <w:sz w:val="24"/>
                <w:szCs w:val="24"/>
              </w:rPr>
              <w:t xml:space="preserve"> </w:t>
            </w:r>
            <w:r>
              <w:rPr>
                <w:rFonts w:ascii="Times New Roman" w:hAnsi="Times New Roman" w:eastAsia="Times New Roman" w:cs="Times New Roman"/>
                <w:spacing w:val="-4"/>
                <w:sz w:val="24"/>
                <w:szCs w:val="24"/>
              </w:rPr>
              <w:t xml:space="preserve">32m </w:t>
            </w:r>
            <w:r>
              <w:rPr>
                <w:rFonts w:ascii="宋体" w:hAnsi="宋体" w:eastAsia="宋体" w:cs="宋体"/>
                <w:spacing w:val="-4"/>
                <w:sz w:val="24"/>
                <w:szCs w:val="24"/>
              </w:rPr>
              <w:t>处，最大落地度</w:t>
            </w:r>
            <w:r>
              <w:rPr>
                <w:rFonts w:ascii="宋体" w:hAnsi="宋体" w:eastAsia="宋体" w:cs="宋体"/>
                <w:spacing w:val="-2"/>
                <w:sz w:val="24"/>
                <w:szCs w:val="24"/>
              </w:rPr>
              <w:t>为</w:t>
            </w:r>
            <w:r>
              <w:rPr>
                <w:rFonts w:ascii="宋体" w:hAnsi="宋体" w:eastAsia="宋体" w:cs="宋体"/>
                <w:spacing w:val="-57"/>
                <w:sz w:val="24"/>
                <w:szCs w:val="24"/>
              </w:rPr>
              <w:t xml:space="preserve"> </w:t>
            </w:r>
            <w:r>
              <w:rPr>
                <w:rFonts w:ascii="Times New Roman" w:hAnsi="Times New Roman" w:eastAsia="Times New Roman" w:cs="Times New Roman"/>
                <w:spacing w:val="-2"/>
                <w:sz w:val="24"/>
                <w:szCs w:val="24"/>
              </w:rPr>
              <w:t>66.49ug/m</w:t>
            </w:r>
            <w:r>
              <w:rPr>
                <w:rFonts w:ascii="Times New Roman" w:hAnsi="Times New Roman" w:eastAsia="Times New Roman" w:cs="Times New Roman"/>
                <w:spacing w:val="-2"/>
                <w:position w:val="8"/>
                <w:sz w:val="15"/>
                <w:szCs w:val="15"/>
              </w:rPr>
              <w:t>3</w:t>
            </w:r>
            <w:r>
              <w:rPr>
                <w:rFonts w:ascii="宋体" w:hAnsi="宋体" w:eastAsia="宋体" w:cs="宋体"/>
                <w:spacing w:val="-16"/>
                <w:sz w:val="24"/>
                <w:szCs w:val="24"/>
              </w:rPr>
              <w:t>，占标率为</w:t>
            </w:r>
            <w:r>
              <w:rPr>
                <w:rFonts w:ascii="宋体" w:hAnsi="宋体" w:eastAsia="宋体" w:cs="宋体"/>
                <w:spacing w:val="-65"/>
                <w:sz w:val="24"/>
                <w:szCs w:val="24"/>
              </w:rPr>
              <w:t xml:space="preserve"> </w:t>
            </w:r>
            <w:r>
              <w:rPr>
                <w:rFonts w:ascii="Times New Roman" w:hAnsi="Times New Roman" w:eastAsia="Times New Roman" w:cs="Times New Roman"/>
                <w:spacing w:val="-16"/>
                <w:sz w:val="24"/>
                <w:szCs w:val="24"/>
              </w:rPr>
              <w:t>3.32%</w:t>
            </w:r>
            <w:r>
              <w:rPr>
                <w:rFonts w:ascii="宋体" w:hAnsi="宋体" w:eastAsia="宋体" w:cs="宋体"/>
                <w:spacing w:val="-16"/>
                <w:sz w:val="24"/>
                <w:szCs w:val="24"/>
              </w:rPr>
              <w:t>；满足《合成树脂工业污染物排放标准》（</w:t>
            </w:r>
            <w:r>
              <w:rPr>
                <w:rFonts w:ascii="Times New Roman" w:hAnsi="Times New Roman" w:eastAsia="Times New Roman" w:cs="Times New Roman"/>
                <w:spacing w:val="-16"/>
                <w:sz w:val="24"/>
                <w:szCs w:val="24"/>
              </w:rPr>
              <w:t>GB31571-2015</w:t>
            </w:r>
            <w:r>
              <w:rPr>
                <w:rFonts w:ascii="宋体" w:hAnsi="宋体" w:eastAsia="宋体" w:cs="宋体"/>
                <w:spacing w:val="-16"/>
                <w:sz w:val="24"/>
                <w:szCs w:val="24"/>
              </w:rPr>
              <w:t>，</w:t>
            </w:r>
            <w:r>
              <w:rPr>
                <w:rFonts w:ascii="宋体" w:hAnsi="宋体" w:eastAsia="宋体" w:cs="宋体"/>
                <w:sz w:val="24"/>
                <w:szCs w:val="24"/>
              </w:rPr>
              <w:t>及</w:t>
            </w:r>
            <w:r>
              <w:rPr>
                <w:rFonts w:ascii="宋体" w:hAnsi="宋体" w:eastAsia="宋体" w:cs="宋体"/>
                <w:spacing w:val="-42"/>
                <w:sz w:val="24"/>
                <w:szCs w:val="24"/>
              </w:rPr>
              <w:t xml:space="preserve"> </w:t>
            </w:r>
            <w:r>
              <w:rPr>
                <w:rFonts w:ascii="Times New Roman" w:hAnsi="Times New Roman" w:eastAsia="Times New Roman" w:cs="Times New Roman"/>
                <w:sz w:val="24"/>
                <w:szCs w:val="24"/>
              </w:rPr>
              <w:t xml:space="preserve">2024 </w:t>
            </w:r>
            <w:r>
              <w:rPr>
                <w:rFonts w:ascii="宋体" w:hAnsi="宋体" w:eastAsia="宋体" w:cs="宋体"/>
                <w:sz w:val="24"/>
                <w:szCs w:val="24"/>
              </w:rPr>
              <w:t>年修改单）表</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9</w:t>
            </w:r>
            <w:r>
              <w:rPr>
                <w:rFonts w:ascii="Times New Roman" w:hAnsi="Times New Roman" w:eastAsia="Times New Roman" w:cs="Times New Roman"/>
                <w:spacing w:val="34"/>
                <w:w w:val="101"/>
                <w:sz w:val="24"/>
                <w:szCs w:val="24"/>
              </w:rPr>
              <w:t xml:space="preserve"> </w:t>
            </w:r>
            <w:r>
              <w:rPr>
                <w:rFonts w:ascii="宋体" w:hAnsi="宋体" w:eastAsia="宋体" w:cs="宋体"/>
                <w:sz w:val="24"/>
                <w:szCs w:val="24"/>
              </w:rPr>
              <w:t>中厂界无组织排放监控浓度，可实现厂界达标排放，对周围</w:t>
            </w:r>
            <w:r>
              <w:rPr>
                <w:rFonts w:ascii="宋体" w:hAnsi="宋体" w:eastAsia="宋体" w:cs="宋体"/>
                <w:spacing w:val="-2"/>
                <w:sz w:val="24"/>
                <w:szCs w:val="24"/>
              </w:rPr>
              <w:t>环境影响较小。</w:t>
            </w:r>
          </w:p>
          <w:p w14:paraId="3BB56BDF">
            <w:pPr>
              <w:spacing w:before="2" w:line="220" w:lineRule="auto"/>
              <w:ind w:left="600"/>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3</w:t>
            </w:r>
            <w:r>
              <w:rPr>
                <w:rFonts w:ascii="宋体" w:hAnsi="宋体" w:eastAsia="宋体" w:cs="宋体"/>
                <w:b/>
                <w:bCs/>
                <w:spacing w:val="-4"/>
                <w:sz w:val="24"/>
                <w:szCs w:val="24"/>
              </w:rPr>
              <w:t>）环保设施非正常工况</w:t>
            </w:r>
          </w:p>
          <w:p w14:paraId="0498FBC5">
            <w:pPr>
              <w:spacing w:before="177" w:line="359" w:lineRule="auto"/>
              <w:ind w:left="109" w:right="102" w:firstLine="483"/>
              <w:jc w:val="both"/>
              <w:rPr>
                <w:rFonts w:ascii="宋体" w:hAnsi="宋体" w:eastAsia="宋体" w:cs="宋体"/>
                <w:sz w:val="24"/>
                <w:szCs w:val="24"/>
              </w:rPr>
            </w:pPr>
            <w:r>
              <w:rPr>
                <w:rFonts w:ascii="宋体" w:hAnsi="宋体" w:eastAsia="宋体" w:cs="宋体"/>
                <w:spacing w:val="-2"/>
                <w:sz w:val="24"/>
                <w:szCs w:val="24"/>
              </w:rPr>
              <w:t>项目发生非正常排放，即废气处理设施发生故障时，项目区内的废气处理效率下</w:t>
            </w:r>
            <w:r>
              <w:rPr>
                <w:rFonts w:ascii="宋体" w:hAnsi="宋体" w:eastAsia="宋体" w:cs="宋体"/>
                <w:spacing w:val="-6"/>
                <w:sz w:val="24"/>
                <w:szCs w:val="24"/>
              </w:rPr>
              <w:t>降甚至完全失效，本次环评主要考虑三级活性炭处理效</w:t>
            </w:r>
            <w:r>
              <w:rPr>
                <w:rFonts w:ascii="宋体" w:hAnsi="宋体" w:eastAsia="宋体" w:cs="宋体"/>
                <w:spacing w:val="-7"/>
                <w:sz w:val="24"/>
                <w:szCs w:val="24"/>
              </w:rPr>
              <w:t>率降至</w:t>
            </w:r>
            <w:r>
              <w:rPr>
                <w:rFonts w:ascii="宋体" w:hAnsi="宋体" w:eastAsia="宋体" w:cs="宋体"/>
                <w:spacing w:val="-51"/>
                <w:sz w:val="24"/>
                <w:szCs w:val="24"/>
              </w:rPr>
              <w:t xml:space="preserve"> </w:t>
            </w:r>
            <w:r>
              <w:rPr>
                <w:rFonts w:ascii="Times New Roman" w:hAnsi="Times New Roman" w:eastAsia="Times New Roman" w:cs="Times New Roman"/>
                <w:spacing w:val="-7"/>
                <w:sz w:val="24"/>
                <w:szCs w:val="24"/>
              </w:rPr>
              <w:t>0%</w:t>
            </w:r>
            <w:r>
              <w:rPr>
                <w:rFonts w:ascii="宋体" w:hAnsi="宋体" w:eastAsia="宋体" w:cs="宋体"/>
                <w:spacing w:val="-7"/>
                <w:sz w:val="24"/>
                <w:szCs w:val="24"/>
              </w:rPr>
              <w:t>的情况。此时</w:t>
            </w:r>
            <w:r>
              <w:rPr>
                <w:rFonts w:ascii="宋体" w:hAnsi="宋体" w:eastAsia="宋体" w:cs="宋体"/>
                <w:spacing w:val="-56"/>
                <w:sz w:val="24"/>
                <w:szCs w:val="24"/>
              </w:rPr>
              <w:t xml:space="preserve"> </w:t>
            </w:r>
            <w:r>
              <w:rPr>
                <w:rFonts w:ascii="Times New Roman" w:hAnsi="Times New Roman" w:eastAsia="Times New Roman" w:cs="Times New Roman"/>
                <w:spacing w:val="-7"/>
                <w:sz w:val="24"/>
                <w:szCs w:val="24"/>
              </w:rPr>
              <w:t>DA005</w:t>
            </w:r>
            <w:r>
              <w:rPr>
                <w:rFonts w:ascii="宋体" w:hAnsi="宋体" w:eastAsia="宋体" w:cs="宋体"/>
                <w:spacing w:val="-2"/>
                <w:sz w:val="24"/>
                <w:szCs w:val="24"/>
              </w:rPr>
              <w:t>排气筒中污染物浓度大幅增加，对周围环境影响较大。项目非正常排放条件下废气排放情况详见下表。</w:t>
            </w:r>
          </w:p>
          <w:p w14:paraId="48A692CF">
            <w:pPr>
              <w:spacing w:line="222" w:lineRule="auto"/>
              <w:ind w:left="2197"/>
              <w:rPr>
                <w:rFonts w:ascii="宋体" w:hAnsi="宋体" w:eastAsia="宋体" w:cs="宋体"/>
                <w:sz w:val="20"/>
                <w:szCs w:val="20"/>
              </w:rPr>
            </w:pPr>
            <w:r>
              <w:rPr>
                <w:rFonts w:ascii="宋体" w:hAnsi="宋体" w:eastAsia="宋体" w:cs="宋体"/>
                <w:b/>
                <w:bCs/>
                <w:spacing w:val="7"/>
                <w:sz w:val="20"/>
                <w:szCs w:val="20"/>
              </w:rPr>
              <w:t>表</w:t>
            </w:r>
            <w:r>
              <w:rPr>
                <w:rFonts w:ascii="宋体" w:hAnsi="宋体" w:eastAsia="宋体" w:cs="宋体"/>
                <w:spacing w:val="-41"/>
                <w:sz w:val="20"/>
                <w:szCs w:val="20"/>
              </w:rPr>
              <w:t xml:space="preserve"> </w:t>
            </w:r>
            <w:r>
              <w:rPr>
                <w:rFonts w:ascii="Times New Roman" w:hAnsi="Times New Roman" w:eastAsia="Times New Roman" w:cs="Times New Roman"/>
                <w:b/>
                <w:bCs/>
                <w:spacing w:val="7"/>
                <w:sz w:val="20"/>
                <w:szCs w:val="20"/>
              </w:rPr>
              <w:t xml:space="preserve">4-5  </w:t>
            </w:r>
            <w:r>
              <w:rPr>
                <w:rFonts w:ascii="宋体" w:hAnsi="宋体" w:eastAsia="宋体" w:cs="宋体"/>
                <w:b/>
                <w:bCs/>
                <w:spacing w:val="7"/>
                <w:sz w:val="20"/>
                <w:szCs w:val="20"/>
              </w:rPr>
              <w:t>项目非正常排放条件下废气排放情况一览表</w:t>
            </w:r>
          </w:p>
          <w:tbl>
            <w:tblPr>
              <w:tblStyle w:val="10"/>
              <w:tblW w:w="8824" w:type="dxa"/>
              <w:tblInd w:w="1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8"/>
              <w:gridCol w:w="947"/>
              <w:gridCol w:w="1571"/>
              <w:gridCol w:w="766"/>
              <w:gridCol w:w="1168"/>
              <w:gridCol w:w="943"/>
              <w:gridCol w:w="1103"/>
              <w:gridCol w:w="988"/>
              <w:gridCol w:w="850"/>
            </w:tblGrid>
            <w:tr w14:paraId="5DE74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488" w:type="dxa"/>
                  <w:textDirection w:val="tbRlV"/>
                  <w:vAlign w:val="top"/>
                </w:tcPr>
                <w:p w14:paraId="2A4177EB">
                  <w:pPr>
                    <w:spacing w:before="138" w:line="218" w:lineRule="auto"/>
                    <w:ind w:left="238"/>
                    <w:rPr>
                      <w:rFonts w:ascii="宋体" w:hAnsi="宋体" w:eastAsia="宋体" w:cs="宋体"/>
                      <w:sz w:val="20"/>
                      <w:szCs w:val="20"/>
                    </w:rPr>
                  </w:pPr>
                  <w:r>
                    <w:rPr>
                      <w:rFonts w:ascii="宋体" w:hAnsi="宋体" w:eastAsia="宋体" w:cs="宋体"/>
                      <w:b/>
                      <w:bCs/>
                      <w:spacing w:val="6"/>
                      <w:sz w:val="20"/>
                      <w:szCs w:val="20"/>
                    </w:rPr>
                    <w:t>序</w:t>
                  </w:r>
                  <w:r>
                    <w:rPr>
                      <w:rFonts w:ascii="宋体" w:hAnsi="宋体" w:eastAsia="宋体" w:cs="宋体"/>
                      <w:spacing w:val="99"/>
                      <w:sz w:val="20"/>
                      <w:szCs w:val="20"/>
                    </w:rPr>
                    <w:t xml:space="preserve"> </w:t>
                  </w:r>
                  <w:r>
                    <w:rPr>
                      <w:rFonts w:ascii="宋体" w:hAnsi="宋体" w:eastAsia="宋体" w:cs="宋体"/>
                      <w:b/>
                      <w:bCs/>
                      <w:spacing w:val="6"/>
                      <w:sz w:val="20"/>
                      <w:szCs w:val="20"/>
                    </w:rPr>
                    <w:t>号</w:t>
                  </w:r>
                </w:p>
              </w:tc>
              <w:tc>
                <w:tcPr>
                  <w:tcW w:w="947" w:type="dxa"/>
                  <w:vAlign w:val="top"/>
                </w:tcPr>
                <w:p w14:paraId="0AEB60C6">
                  <w:pPr>
                    <w:spacing w:line="375" w:lineRule="auto"/>
                    <w:rPr>
                      <w:rFonts w:ascii="Arial"/>
                      <w:sz w:val="21"/>
                    </w:rPr>
                  </w:pPr>
                </w:p>
                <w:p w14:paraId="64376436">
                  <w:pPr>
                    <w:spacing w:before="65" w:line="228" w:lineRule="auto"/>
                    <w:ind w:left="163"/>
                    <w:rPr>
                      <w:rFonts w:ascii="宋体" w:hAnsi="宋体" w:eastAsia="宋体" w:cs="宋体"/>
                      <w:sz w:val="20"/>
                      <w:szCs w:val="20"/>
                    </w:rPr>
                  </w:pPr>
                  <w:r>
                    <w:rPr>
                      <w:rFonts w:ascii="宋体" w:hAnsi="宋体" w:eastAsia="宋体" w:cs="宋体"/>
                      <w:b/>
                      <w:bCs/>
                      <w:spacing w:val="5"/>
                      <w:sz w:val="20"/>
                      <w:szCs w:val="20"/>
                    </w:rPr>
                    <w:t>污染源</w:t>
                  </w:r>
                </w:p>
              </w:tc>
              <w:tc>
                <w:tcPr>
                  <w:tcW w:w="1571" w:type="dxa"/>
                  <w:vAlign w:val="top"/>
                </w:tcPr>
                <w:p w14:paraId="2C8B6225">
                  <w:pPr>
                    <w:spacing w:before="239" w:line="379" w:lineRule="auto"/>
                    <w:ind w:left="698" w:right="154" w:hanging="538"/>
                    <w:rPr>
                      <w:rFonts w:ascii="宋体" w:hAnsi="宋体" w:eastAsia="宋体" w:cs="宋体"/>
                      <w:sz w:val="20"/>
                      <w:szCs w:val="20"/>
                    </w:rPr>
                  </w:pPr>
                  <w:r>
                    <w:rPr>
                      <w:rFonts w:ascii="宋体" w:hAnsi="宋体" w:eastAsia="宋体" w:cs="宋体"/>
                      <w:b/>
                      <w:bCs/>
                      <w:spacing w:val="6"/>
                      <w:sz w:val="20"/>
                      <w:szCs w:val="20"/>
                    </w:rPr>
                    <w:t>非正常排放原</w:t>
                  </w:r>
                  <w:r>
                    <w:rPr>
                      <w:rFonts w:ascii="宋体" w:hAnsi="宋体" w:eastAsia="宋体" w:cs="宋体"/>
                      <w:b/>
                      <w:bCs/>
                      <w:spacing w:val="-3"/>
                      <w:sz w:val="20"/>
                      <w:szCs w:val="20"/>
                    </w:rPr>
                    <w:t>因</w:t>
                  </w:r>
                </w:p>
              </w:tc>
              <w:tc>
                <w:tcPr>
                  <w:tcW w:w="766" w:type="dxa"/>
                  <w:vAlign w:val="top"/>
                </w:tcPr>
                <w:p w14:paraId="122A667D">
                  <w:pPr>
                    <w:spacing w:before="237" w:line="379" w:lineRule="auto"/>
                    <w:ind w:left="280" w:right="171" w:hanging="101"/>
                    <w:rPr>
                      <w:rFonts w:ascii="宋体" w:hAnsi="宋体" w:eastAsia="宋体" w:cs="宋体"/>
                      <w:sz w:val="20"/>
                      <w:szCs w:val="20"/>
                    </w:rPr>
                  </w:pPr>
                  <w:r>
                    <w:rPr>
                      <w:rFonts w:ascii="宋体" w:hAnsi="宋体" w:eastAsia="宋体" w:cs="宋体"/>
                      <w:b/>
                      <w:bCs/>
                      <w:spacing w:val="3"/>
                      <w:sz w:val="20"/>
                      <w:szCs w:val="20"/>
                    </w:rPr>
                    <w:t>污染</w:t>
                  </w:r>
                  <w:r>
                    <w:rPr>
                      <w:rFonts w:ascii="宋体" w:hAnsi="宋体" w:eastAsia="宋体" w:cs="宋体"/>
                      <w:b/>
                      <w:bCs/>
                      <w:spacing w:val="-2"/>
                      <w:sz w:val="20"/>
                      <w:szCs w:val="20"/>
                    </w:rPr>
                    <w:t>物</w:t>
                  </w:r>
                </w:p>
              </w:tc>
              <w:tc>
                <w:tcPr>
                  <w:tcW w:w="1168" w:type="dxa"/>
                  <w:vAlign w:val="top"/>
                </w:tcPr>
                <w:p w14:paraId="27928F66">
                  <w:pPr>
                    <w:spacing w:before="58" w:line="228" w:lineRule="auto"/>
                    <w:ind w:left="171"/>
                    <w:rPr>
                      <w:rFonts w:ascii="宋体" w:hAnsi="宋体" w:eastAsia="宋体" w:cs="宋体"/>
                      <w:sz w:val="20"/>
                      <w:szCs w:val="20"/>
                    </w:rPr>
                  </w:pPr>
                  <w:r>
                    <w:rPr>
                      <w:rFonts w:ascii="宋体" w:hAnsi="宋体" w:eastAsia="宋体" w:cs="宋体"/>
                      <w:b/>
                      <w:bCs/>
                      <w:spacing w:val="5"/>
                      <w:sz w:val="20"/>
                      <w:szCs w:val="20"/>
                    </w:rPr>
                    <w:t>非正常排</w:t>
                  </w:r>
                </w:p>
                <w:p w14:paraId="6E89C50C">
                  <w:pPr>
                    <w:spacing w:before="160" w:line="370" w:lineRule="auto"/>
                    <w:ind w:left="298" w:right="268" w:hanging="25"/>
                    <w:rPr>
                      <w:rFonts w:ascii="Times New Roman" w:hAnsi="Times New Roman" w:eastAsia="Times New Roman" w:cs="Times New Roman"/>
                      <w:sz w:val="13"/>
                      <w:szCs w:val="13"/>
                    </w:rPr>
                  </w:pPr>
                  <w:r>
                    <w:rPr>
                      <w:rFonts w:ascii="宋体" w:hAnsi="宋体" w:eastAsia="宋体" w:cs="宋体"/>
                      <w:b/>
                      <w:bCs/>
                      <w:spacing w:val="4"/>
                      <w:sz w:val="20"/>
                      <w:szCs w:val="20"/>
                    </w:rPr>
                    <w:t>放浓度</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6"/>
                      <w:sz w:val="20"/>
                      <w:szCs w:val="20"/>
                    </w:rPr>
                    <w:t>/m</w:t>
                  </w:r>
                  <w:r>
                    <w:rPr>
                      <w:rFonts w:ascii="Times New Roman" w:hAnsi="Times New Roman" w:eastAsia="Times New Roman" w:cs="Times New Roman"/>
                      <w:b/>
                      <w:bCs/>
                      <w:spacing w:val="6"/>
                      <w:position w:val="6"/>
                      <w:sz w:val="13"/>
                      <w:szCs w:val="13"/>
                    </w:rPr>
                    <w:t>3</w:t>
                  </w:r>
                </w:p>
              </w:tc>
              <w:tc>
                <w:tcPr>
                  <w:tcW w:w="943" w:type="dxa"/>
                  <w:vAlign w:val="top"/>
                </w:tcPr>
                <w:p w14:paraId="09E1437B">
                  <w:pPr>
                    <w:spacing w:before="58" w:line="228" w:lineRule="auto"/>
                    <w:ind w:left="164"/>
                    <w:rPr>
                      <w:rFonts w:ascii="宋体" w:hAnsi="宋体" w:eastAsia="宋体" w:cs="宋体"/>
                      <w:sz w:val="20"/>
                      <w:szCs w:val="20"/>
                    </w:rPr>
                  </w:pPr>
                  <w:r>
                    <w:rPr>
                      <w:rFonts w:ascii="宋体" w:hAnsi="宋体" w:eastAsia="宋体" w:cs="宋体"/>
                      <w:b/>
                      <w:bCs/>
                      <w:spacing w:val="4"/>
                      <w:sz w:val="20"/>
                      <w:szCs w:val="20"/>
                    </w:rPr>
                    <w:t>非正常</w:t>
                  </w:r>
                </w:p>
                <w:p w14:paraId="706FB5E8">
                  <w:pPr>
                    <w:spacing w:before="160" w:line="229" w:lineRule="auto"/>
                    <w:ind w:left="161"/>
                    <w:rPr>
                      <w:rFonts w:ascii="宋体" w:hAnsi="宋体" w:eastAsia="宋体" w:cs="宋体"/>
                      <w:sz w:val="20"/>
                      <w:szCs w:val="20"/>
                    </w:rPr>
                  </w:pPr>
                  <w:r>
                    <w:rPr>
                      <w:rFonts w:ascii="宋体" w:hAnsi="宋体" w:eastAsia="宋体" w:cs="宋体"/>
                      <w:b/>
                      <w:bCs/>
                      <w:spacing w:val="4"/>
                      <w:sz w:val="20"/>
                      <w:szCs w:val="20"/>
                    </w:rPr>
                    <w:t>排放量</w:t>
                  </w:r>
                </w:p>
                <w:p w14:paraId="70CD5E44">
                  <w:pPr>
                    <w:spacing w:before="181" w:line="195" w:lineRule="auto"/>
                    <w:ind w:left="356"/>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t/a</w:t>
                  </w:r>
                </w:p>
              </w:tc>
              <w:tc>
                <w:tcPr>
                  <w:tcW w:w="1103" w:type="dxa"/>
                  <w:vAlign w:val="top"/>
                </w:tcPr>
                <w:p w14:paraId="52B8A4EE">
                  <w:pPr>
                    <w:spacing w:before="58" w:line="228" w:lineRule="auto"/>
                    <w:ind w:left="138"/>
                    <w:rPr>
                      <w:rFonts w:ascii="宋体" w:hAnsi="宋体" w:eastAsia="宋体" w:cs="宋体"/>
                      <w:sz w:val="20"/>
                      <w:szCs w:val="20"/>
                    </w:rPr>
                  </w:pPr>
                  <w:r>
                    <w:rPr>
                      <w:rFonts w:ascii="宋体" w:hAnsi="宋体" w:eastAsia="宋体" w:cs="宋体"/>
                      <w:b/>
                      <w:bCs/>
                      <w:spacing w:val="5"/>
                      <w:sz w:val="20"/>
                      <w:szCs w:val="20"/>
                    </w:rPr>
                    <w:t>非正常排</w:t>
                  </w:r>
                </w:p>
                <w:p w14:paraId="3AC9032E">
                  <w:pPr>
                    <w:spacing w:before="160" w:line="228" w:lineRule="auto"/>
                    <w:ind w:left="240"/>
                    <w:rPr>
                      <w:rFonts w:ascii="宋体" w:hAnsi="宋体" w:eastAsia="宋体" w:cs="宋体"/>
                      <w:sz w:val="20"/>
                      <w:szCs w:val="20"/>
                    </w:rPr>
                  </w:pPr>
                  <w:r>
                    <w:rPr>
                      <w:rFonts w:ascii="宋体" w:hAnsi="宋体" w:eastAsia="宋体" w:cs="宋体"/>
                      <w:b/>
                      <w:bCs/>
                      <w:spacing w:val="5"/>
                      <w:sz w:val="20"/>
                      <w:szCs w:val="20"/>
                    </w:rPr>
                    <w:t>放速率</w:t>
                  </w:r>
                </w:p>
                <w:p w14:paraId="056A9090">
                  <w:pPr>
                    <w:spacing w:before="182" w:line="197" w:lineRule="auto"/>
                    <w:ind w:left="321"/>
                    <w:rPr>
                      <w:rFonts w:ascii="Times New Roman" w:hAnsi="Times New Roman" w:eastAsia="Times New Roman" w:cs="Times New Roman"/>
                      <w:sz w:val="20"/>
                      <w:szCs w:val="20"/>
                    </w:rPr>
                  </w:pPr>
                  <w:r>
                    <w:rPr>
                      <w:rFonts w:ascii="Times New Roman" w:hAnsi="Times New Roman" w:eastAsia="Times New Roman" w:cs="Times New Roman"/>
                      <w:b/>
                      <w:bCs/>
                      <w:spacing w:val="6"/>
                      <w:sz w:val="20"/>
                      <w:szCs w:val="20"/>
                    </w:rPr>
                    <w:t>/</w:t>
                  </w:r>
                  <w:r>
                    <w:rPr>
                      <w:rFonts w:ascii="Times New Roman" w:hAnsi="Times New Roman" w:eastAsia="Times New Roman" w:cs="Times New Roman"/>
                      <w:b/>
                      <w:bCs/>
                      <w:sz w:val="20"/>
                      <w:szCs w:val="20"/>
                    </w:rPr>
                    <w:t>kg</w:t>
                  </w:r>
                  <w:r>
                    <w:rPr>
                      <w:rFonts w:ascii="Times New Roman" w:hAnsi="Times New Roman" w:eastAsia="Times New Roman" w:cs="Times New Roman"/>
                      <w:b/>
                      <w:bCs/>
                      <w:spacing w:val="6"/>
                      <w:sz w:val="20"/>
                      <w:szCs w:val="20"/>
                    </w:rPr>
                    <w:t>/h</w:t>
                  </w:r>
                </w:p>
              </w:tc>
              <w:tc>
                <w:tcPr>
                  <w:tcW w:w="988" w:type="dxa"/>
                  <w:vAlign w:val="top"/>
                </w:tcPr>
                <w:p w14:paraId="034B1F59">
                  <w:pPr>
                    <w:spacing w:before="58" w:line="228" w:lineRule="auto"/>
                    <w:ind w:left="185"/>
                    <w:rPr>
                      <w:rFonts w:ascii="宋体" w:hAnsi="宋体" w:eastAsia="宋体" w:cs="宋体"/>
                      <w:sz w:val="20"/>
                      <w:szCs w:val="20"/>
                    </w:rPr>
                  </w:pPr>
                  <w:r>
                    <w:rPr>
                      <w:rFonts w:ascii="宋体" w:hAnsi="宋体" w:eastAsia="宋体" w:cs="宋体"/>
                      <w:b/>
                      <w:bCs/>
                      <w:spacing w:val="5"/>
                      <w:sz w:val="20"/>
                      <w:szCs w:val="20"/>
                    </w:rPr>
                    <w:t>单次持</w:t>
                  </w:r>
                </w:p>
                <w:p w14:paraId="34FDDCC4">
                  <w:pPr>
                    <w:spacing w:before="161" w:line="370" w:lineRule="auto"/>
                    <w:ind w:left="405" w:right="175" w:hanging="219"/>
                    <w:rPr>
                      <w:rFonts w:ascii="Times New Roman" w:hAnsi="Times New Roman" w:eastAsia="Times New Roman" w:cs="Times New Roman"/>
                      <w:sz w:val="20"/>
                      <w:szCs w:val="20"/>
                    </w:rPr>
                  </w:pPr>
                  <w:r>
                    <w:rPr>
                      <w:rFonts w:ascii="宋体" w:hAnsi="宋体" w:eastAsia="宋体" w:cs="宋体"/>
                      <w:b/>
                      <w:bCs/>
                      <w:spacing w:val="4"/>
                      <w:sz w:val="20"/>
                      <w:szCs w:val="20"/>
                    </w:rPr>
                    <w:t>续时间</w:t>
                  </w:r>
                  <w:r>
                    <w:rPr>
                      <w:rFonts w:ascii="Times New Roman" w:hAnsi="Times New Roman" w:eastAsia="Times New Roman" w:cs="Times New Roman"/>
                      <w:b/>
                      <w:bCs/>
                      <w:spacing w:val="3"/>
                      <w:sz w:val="20"/>
                      <w:szCs w:val="20"/>
                    </w:rPr>
                    <w:t>/h</w:t>
                  </w:r>
                </w:p>
              </w:tc>
              <w:tc>
                <w:tcPr>
                  <w:tcW w:w="850" w:type="dxa"/>
                  <w:vAlign w:val="top"/>
                </w:tcPr>
                <w:p w14:paraId="1CD4D3DB">
                  <w:pPr>
                    <w:spacing w:before="34" w:line="228" w:lineRule="auto"/>
                    <w:ind w:left="221"/>
                    <w:rPr>
                      <w:rFonts w:ascii="宋体" w:hAnsi="宋体" w:eastAsia="宋体" w:cs="宋体"/>
                      <w:sz w:val="20"/>
                      <w:szCs w:val="20"/>
                    </w:rPr>
                  </w:pPr>
                  <w:r>
                    <w:rPr>
                      <w:rFonts w:ascii="宋体" w:hAnsi="宋体" w:eastAsia="宋体" w:cs="宋体"/>
                      <w:b/>
                      <w:bCs/>
                      <w:spacing w:val="3"/>
                      <w:sz w:val="20"/>
                      <w:szCs w:val="20"/>
                    </w:rPr>
                    <w:t>年发</w:t>
                  </w:r>
                </w:p>
                <w:p w14:paraId="514B18EC">
                  <w:pPr>
                    <w:spacing w:before="160" w:line="360" w:lineRule="auto"/>
                    <w:ind w:left="195" w:right="183" w:firstLine="27"/>
                    <w:rPr>
                      <w:rFonts w:ascii="宋体" w:hAnsi="宋体" w:eastAsia="宋体" w:cs="宋体"/>
                      <w:sz w:val="20"/>
                      <w:szCs w:val="20"/>
                    </w:rPr>
                  </w:pPr>
                  <w:r>
                    <w:rPr>
                      <w:rFonts w:ascii="宋体" w:hAnsi="宋体" w:eastAsia="宋体" w:cs="宋体"/>
                      <w:b/>
                      <w:bCs/>
                      <w:spacing w:val="3"/>
                      <w:sz w:val="20"/>
                      <w:szCs w:val="20"/>
                    </w:rPr>
                    <w:t>生频</w:t>
                  </w:r>
                  <w:r>
                    <w:rPr>
                      <w:rFonts w:ascii="宋体" w:hAnsi="宋体" w:eastAsia="宋体" w:cs="宋体"/>
                      <w:b/>
                      <w:bCs/>
                      <w:spacing w:val="2"/>
                      <w:sz w:val="20"/>
                      <w:szCs w:val="20"/>
                    </w:rPr>
                    <w:t>次</w:t>
                  </w:r>
                  <w:r>
                    <w:rPr>
                      <w:rFonts w:ascii="Times New Roman" w:hAnsi="Times New Roman" w:eastAsia="Times New Roman" w:cs="Times New Roman"/>
                      <w:b/>
                      <w:bCs/>
                      <w:spacing w:val="2"/>
                      <w:sz w:val="20"/>
                      <w:szCs w:val="20"/>
                    </w:rPr>
                    <w:t>/</w:t>
                  </w:r>
                  <w:r>
                    <w:rPr>
                      <w:rFonts w:ascii="宋体" w:hAnsi="宋体" w:eastAsia="宋体" w:cs="宋体"/>
                      <w:b/>
                      <w:bCs/>
                      <w:spacing w:val="2"/>
                      <w:sz w:val="20"/>
                      <w:szCs w:val="20"/>
                    </w:rPr>
                    <w:t>次</w:t>
                  </w:r>
                </w:p>
              </w:tc>
            </w:tr>
            <w:tr w14:paraId="28F40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1" w:hRule="atLeast"/>
              </w:trPr>
              <w:tc>
                <w:tcPr>
                  <w:tcW w:w="488" w:type="dxa"/>
                  <w:vAlign w:val="top"/>
                </w:tcPr>
                <w:p w14:paraId="1C2AF57B">
                  <w:pPr>
                    <w:spacing w:line="314" w:lineRule="auto"/>
                    <w:rPr>
                      <w:rFonts w:ascii="Arial"/>
                      <w:sz w:val="21"/>
                    </w:rPr>
                  </w:pPr>
                </w:p>
                <w:p w14:paraId="218DD49E">
                  <w:pPr>
                    <w:spacing w:line="315" w:lineRule="auto"/>
                    <w:rPr>
                      <w:rFonts w:ascii="Arial"/>
                      <w:sz w:val="21"/>
                    </w:rPr>
                  </w:pPr>
                </w:p>
                <w:p w14:paraId="720EA016">
                  <w:pPr>
                    <w:spacing w:before="58" w:line="195" w:lineRule="auto"/>
                    <w:ind w:left="212"/>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947" w:type="dxa"/>
                  <w:vAlign w:val="top"/>
                </w:tcPr>
                <w:p w14:paraId="53A4EC06">
                  <w:pPr>
                    <w:spacing w:line="426" w:lineRule="auto"/>
                    <w:rPr>
                      <w:rFonts w:ascii="Arial"/>
                      <w:sz w:val="21"/>
                    </w:rPr>
                  </w:pPr>
                </w:p>
                <w:p w14:paraId="4EE0BA33">
                  <w:pPr>
                    <w:spacing w:before="58" w:line="395" w:lineRule="auto"/>
                    <w:ind w:left="161" w:right="159" w:firstLine="2"/>
                    <w:rPr>
                      <w:rFonts w:ascii="宋体" w:hAnsi="宋体" w:eastAsia="宋体" w:cs="宋体"/>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7"/>
                      <w:sz w:val="20"/>
                      <w:szCs w:val="20"/>
                    </w:rPr>
                    <w:t>005</w:t>
                  </w:r>
                  <w:r>
                    <w:rPr>
                      <w:rFonts w:ascii="宋体" w:hAnsi="宋体" w:eastAsia="宋体" w:cs="宋体"/>
                      <w:spacing w:val="6"/>
                      <w:sz w:val="20"/>
                      <w:szCs w:val="20"/>
                    </w:rPr>
                    <w:t>排气筒</w:t>
                  </w:r>
                </w:p>
              </w:tc>
              <w:tc>
                <w:tcPr>
                  <w:tcW w:w="1571" w:type="dxa"/>
                  <w:vAlign w:val="top"/>
                </w:tcPr>
                <w:p w14:paraId="47D12534">
                  <w:pPr>
                    <w:spacing w:before="33" w:line="228" w:lineRule="auto"/>
                    <w:ind w:left="159"/>
                    <w:rPr>
                      <w:rFonts w:ascii="宋体" w:hAnsi="宋体" w:eastAsia="宋体" w:cs="宋体"/>
                      <w:sz w:val="20"/>
                      <w:szCs w:val="20"/>
                    </w:rPr>
                  </w:pPr>
                  <w:r>
                    <w:rPr>
                      <w:rFonts w:ascii="宋体" w:hAnsi="宋体" w:eastAsia="宋体" w:cs="宋体"/>
                      <w:spacing w:val="8"/>
                      <w:sz w:val="20"/>
                      <w:szCs w:val="20"/>
                    </w:rPr>
                    <w:t>废气处理设备</w:t>
                  </w:r>
                </w:p>
                <w:p w14:paraId="793AF423">
                  <w:pPr>
                    <w:spacing w:before="160" w:line="228" w:lineRule="auto"/>
                    <w:ind w:left="163"/>
                    <w:rPr>
                      <w:rFonts w:ascii="宋体" w:hAnsi="宋体" w:eastAsia="宋体" w:cs="宋体"/>
                      <w:sz w:val="20"/>
                      <w:szCs w:val="20"/>
                    </w:rPr>
                  </w:pPr>
                  <w:r>
                    <w:rPr>
                      <w:rFonts w:ascii="宋体" w:hAnsi="宋体" w:eastAsia="宋体" w:cs="宋体"/>
                      <w:spacing w:val="7"/>
                      <w:sz w:val="20"/>
                      <w:szCs w:val="20"/>
                    </w:rPr>
                    <w:t>未及时进行维</w:t>
                  </w:r>
                </w:p>
                <w:p w14:paraId="11499078">
                  <w:pPr>
                    <w:spacing w:before="163" w:line="228" w:lineRule="auto"/>
                    <w:ind w:left="160"/>
                    <w:rPr>
                      <w:rFonts w:ascii="宋体" w:hAnsi="宋体" w:eastAsia="宋体" w:cs="宋体"/>
                      <w:sz w:val="20"/>
                      <w:szCs w:val="20"/>
                    </w:rPr>
                  </w:pPr>
                  <w:r>
                    <w:rPr>
                      <w:rFonts w:ascii="宋体" w:hAnsi="宋体" w:eastAsia="宋体" w:cs="宋体"/>
                      <w:spacing w:val="8"/>
                      <w:sz w:val="20"/>
                      <w:szCs w:val="20"/>
                    </w:rPr>
                    <w:t>护、更换或出</w:t>
                  </w:r>
                </w:p>
                <w:p w14:paraId="0F40F33F">
                  <w:pPr>
                    <w:spacing w:before="160" w:line="228" w:lineRule="auto"/>
                    <w:ind w:left="476"/>
                    <w:rPr>
                      <w:rFonts w:ascii="宋体" w:hAnsi="宋体" w:eastAsia="宋体" w:cs="宋体"/>
                      <w:sz w:val="20"/>
                      <w:szCs w:val="20"/>
                    </w:rPr>
                  </w:pPr>
                  <w:r>
                    <w:rPr>
                      <w:rFonts w:ascii="宋体" w:hAnsi="宋体" w:eastAsia="宋体" w:cs="宋体"/>
                      <w:spacing w:val="6"/>
                      <w:sz w:val="20"/>
                      <w:szCs w:val="20"/>
                    </w:rPr>
                    <w:t>现故障</w:t>
                  </w:r>
                </w:p>
              </w:tc>
              <w:tc>
                <w:tcPr>
                  <w:tcW w:w="766" w:type="dxa"/>
                  <w:vAlign w:val="top"/>
                </w:tcPr>
                <w:p w14:paraId="72E8D7EB">
                  <w:pPr>
                    <w:spacing w:before="237" w:line="379" w:lineRule="auto"/>
                    <w:ind w:left="178" w:right="173" w:firstLine="2"/>
                    <w:jc w:val="both"/>
                    <w:rPr>
                      <w:rFonts w:ascii="宋体" w:hAnsi="宋体" w:eastAsia="宋体" w:cs="宋体"/>
                      <w:sz w:val="20"/>
                      <w:szCs w:val="20"/>
                    </w:rPr>
                  </w:pPr>
                  <w:r>
                    <w:rPr>
                      <w:rFonts w:ascii="宋体" w:hAnsi="宋体" w:eastAsia="宋体" w:cs="宋体"/>
                      <w:spacing w:val="3"/>
                      <w:sz w:val="20"/>
                      <w:szCs w:val="20"/>
                    </w:rPr>
                    <w:t>非甲</w:t>
                  </w:r>
                  <w:r>
                    <w:rPr>
                      <w:rFonts w:ascii="宋体" w:hAnsi="宋体" w:eastAsia="宋体" w:cs="宋体"/>
                      <w:spacing w:val="4"/>
                      <w:sz w:val="20"/>
                      <w:szCs w:val="20"/>
                    </w:rPr>
                    <w:t>烷总</w:t>
                  </w:r>
                  <w:r>
                    <w:rPr>
                      <w:rFonts w:ascii="宋体" w:hAnsi="宋体" w:eastAsia="宋体" w:cs="宋体"/>
                      <w:spacing w:val="31"/>
                      <w:w w:val="137"/>
                      <w:sz w:val="20"/>
                      <w:szCs w:val="20"/>
                    </w:rPr>
                    <w:t>烃</w:t>
                  </w:r>
                </w:p>
              </w:tc>
              <w:tc>
                <w:tcPr>
                  <w:tcW w:w="1168" w:type="dxa"/>
                  <w:vAlign w:val="top"/>
                </w:tcPr>
                <w:p w14:paraId="25CDDA37">
                  <w:pPr>
                    <w:spacing w:line="314" w:lineRule="auto"/>
                    <w:rPr>
                      <w:rFonts w:ascii="Arial"/>
                      <w:sz w:val="21"/>
                    </w:rPr>
                  </w:pPr>
                </w:p>
                <w:p w14:paraId="29D2A1D9">
                  <w:pPr>
                    <w:spacing w:line="315" w:lineRule="auto"/>
                    <w:rPr>
                      <w:rFonts w:ascii="Arial"/>
                      <w:sz w:val="21"/>
                    </w:rPr>
                  </w:pPr>
                </w:p>
                <w:p w14:paraId="74D2C73D">
                  <w:pPr>
                    <w:spacing w:before="58" w:line="195" w:lineRule="auto"/>
                    <w:ind w:left="4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22.5</w:t>
                  </w:r>
                </w:p>
              </w:tc>
              <w:tc>
                <w:tcPr>
                  <w:tcW w:w="943" w:type="dxa"/>
                  <w:vAlign w:val="top"/>
                </w:tcPr>
                <w:p w14:paraId="4CAE9B2F">
                  <w:pPr>
                    <w:spacing w:line="314" w:lineRule="auto"/>
                    <w:rPr>
                      <w:rFonts w:ascii="Arial"/>
                      <w:sz w:val="21"/>
                    </w:rPr>
                  </w:pPr>
                </w:p>
                <w:p w14:paraId="3189402D">
                  <w:pPr>
                    <w:spacing w:line="315" w:lineRule="auto"/>
                    <w:rPr>
                      <w:rFonts w:ascii="Arial"/>
                      <w:sz w:val="21"/>
                    </w:rPr>
                  </w:pPr>
                </w:p>
                <w:p w14:paraId="22A343F8">
                  <w:pPr>
                    <w:spacing w:before="58"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0.0026</w:t>
                  </w:r>
                </w:p>
              </w:tc>
              <w:tc>
                <w:tcPr>
                  <w:tcW w:w="1103" w:type="dxa"/>
                  <w:vAlign w:val="top"/>
                </w:tcPr>
                <w:p w14:paraId="3F911EE0">
                  <w:pPr>
                    <w:spacing w:line="314" w:lineRule="auto"/>
                    <w:rPr>
                      <w:rFonts w:ascii="Arial"/>
                      <w:sz w:val="21"/>
                    </w:rPr>
                  </w:pPr>
                </w:p>
                <w:p w14:paraId="7F7EEB2F">
                  <w:pPr>
                    <w:spacing w:line="315" w:lineRule="auto"/>
                    <w:rPr>
                      <w:rFonts w:ascii="Arial"/>
                      <w:sz w:val="21"/>
                    </w:rPr>
                  </w:pPr>
                </w:p>
                <w:p w14:paraId="4B2E7B0D">
                  <w:pPr>
                    <w:spacing w:before="58"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2.588</w:t>
                  </w:r>
                </w:p>
              </w:tc>
              <w:tc>
                <w:tcPr>
                  <w:tcW w:w="988" w:type="dxa"/>
                  <w:vAlign w:val="top"/>
                </w:tcPr>
                <w:p w14:paraId="504B7CBD">
                  <w:pPr>
                    <w:spacing w:line="314" w:lineRule="auto"/>
                    <w:rPr>
                      <w:rFonts w:ascii="Arial"/>
                      <w:sz w:val="21"/>
                    </w:rPr>
                  </w:pPr>
                </w:p>
                <w:p w14:paraId="677B0DA0">
                  <w:pPr>
                    <w:spacing w:line="315" w:lineRule="auto"/>
                    <w:rPr>
                      <w:rFonts w:ascii="Arial"/>
                      <w:sz w:val="21"/>
                    </w:rPr>
                  </w:pPr>
                </w:p>
                <w:p w14:paraId="79E46DC5">
                  <w:pPr>
                    <w:spacing w:before="58" w:line="195" w:lineRule="auto"/>
                    <w:ind w:left="46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850" w:type="dxa"/>
                  <w:vAlign w:val="top"/>
                </w:tcPr>
                <w:p w14:paraId="1CC99E1D">
                  <w:pPr>
                    <w:spacing w:line="314" w:lineRule="auto"/>
                    <w:rPr>
                      <w:rFonts w:ascii="Arial"/>
                      <w:sz w:val="21"/>
                    </w:rPr>
                  </w:pPr>
                </w:p>
                <w:p w14:paraId="47456BE2">
                  <w:pPr>
                    <w:spacing w:line="315" w:lineRule="auto"/>
                    <w:rPr>
                      <w:rFonts w:ascii="Arial"/>
                      <w:sz w:val="21"/>
                    </w:rPr>
                  </w:pPr>
                </w:p>
                <w:p w14:paraId="371145C5">
                  <w:pPr>
                    <w:spacing w:before="58" w:line="195" w:lineRule="auto"/>
                    <w:ind w:left="393"/>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bl>
          <w:p w14:paraId="6E83F724">
            <w:pPr>
              <w:spacing w:before="37" w:line="359" w:lineRule="auto"/>
              <w:ind w:left="109" w:right="102" w:firstLine="480"/>
              <w:jc w:val="both"/>
              <w:rPr>
                <w:rFonts w:ascii="宋体" w:hAnsi="宋体" w:eastAsia="宋体" w:cs="宋体"/>
                <w:sz w:val="24"/>
                <w:szCs w:val="24"/>
              </w:rPr>
            </w:pPr>
            <w:r>
              <w:rPr>
                <w:rFonts w:ascii="宋体" w:hAnsi="宋体" w:eastAsia="宋体" w:cs="宋体"/>
                <w:spacing w:val="-2"/>
                <w:sz w:val="24"/>
                <w:szCs w:val="24"/>
              </w:rPr>
              <w:t>根据以上分析，项目区运营期非正常排放情况下排气筒非甲烷总烃排放浓度未超</w:t>
            </w:r>
            <w:r>
              <w:rPr>
                <w:rFonts w:ascii="宋体" w:hAnsi="宋体" w:eastAsia="宋体" w:cs="宋体"/>
                <w:spacing w:val="-1"/>
                <w:sz w:val="24"/>
                <w:szCs w:val="24"/>
              </w:rPr>
              <w:t>过《合成树脂工业污染物排放标准》（</w:t>
            </w:r>
            <w:r>
              <w:rPr>
                <w:rFonts w:ascii="Times New Roman" w:hAnsi="Times New Roman" w:eastAsia="Times New Roman" w:cs="Times New Roman"/>
                <w:spacing w:val="-1"/>
                <w:sz w:val="24"/>
                <w:szCs w:val="24"/>
              </w:rPr>
              <w:t>GB31571-2015</w:t>
            </w:r>
            <w:r>
              <w:rPr>
                <w:rFonts w:ascii="Times New Roman" w:hAnsi="Times New Roman" w:eastAsia="Times New Roman" w:cs="Times New Roman"/>
                <w:spacing w:val="-30"/>
                <w:sz w:val="24"/>
                <w:szCs w:val="24"/>
              </w:rPr>
              <w:t xml:space="preserve"> </w:t>
            </w:r>
            <w:r>
              <w:rPr>
                <w:rFonts w:ascii="宋体" w:hAnsi="宋体" w:eastAsia="宋体" w:cs="宋体"/>
                <w:spacing w:val="-1"/>
                <w:sz w:val="24"/>
                <w:szCs w:val="24"/>
              </w:rPr>
              <w:t>，及</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 xml:space="preserve">2024 </w:t>
            </w:r>
            <w:r>
              <w:rPr>
                <w:rFonts w:ascii="宋体" w:hAnsi="宋体" w:eastAsia="宋体" w:cs="宋体"/>
                <w:spacing w:val="-1"/>
                <w:sz w:val="24"/>
                <w:szCs w:val="24"/>
              </w:rPr>
              <w:t>年修改单</w:t>
            </w:r>
            <w:r>
              <w:rPr>
                <w:rFonts w:ascii="宋体" w:hAnsi="宋体" w:eastAsia="宋体" w:cs="宋体"/>
                <w:spacing w:val="8"/>
                <w:sz w:val="24"/>
                <w:szCs w:val="24"/>
              </w:rPr>
              <w:t>），</w:t>
            </w:r>
            <w:r>
              <w:rPr>
                <w:rFonts w:ascii="宋体" w:hAnsi="宋体" w:eastAsia="宋体" w:cs="宋体"/>
                <w:spacing w:val="-1"/>
                <w:sz w:val="24"/>
                <w:szCs w:val="24"/>
              </w:rPr>
              <w:t>对周围</w:t>
            </w:r>
            <w:r>
              <w:rPr>
                <w:rFonts w:ascii="宋体" w:hAnsi="宋体" w:eastAsia="宋体" w:cs="宋体"/>
                <w:spacing w:val="-2"/>
                <w:sz w:val="24"/>
                <w:szCs w:val="24"/>
              </w:rPr>
              <w:t>环境影响较小。</w:t>
            </w:r>
          </w:p>
          <w:p w14:paraId="7C2DAADA">
            <w:pPr>
              <w:spacing w:before="3" w:line="358" w:lineRule="auto"/>
              <w:ind w:left="107" w:right="102" w:firstLine="480"/>
              <w:jc w:val="both"/>
              <w:rPr>
                <w:rFonts w:ascii="宋体" w:hAnsi="宋体" w:eastAsia="宋体" w:cs="宋体"/>
                <w:sz w:val="24"/>
                <w:szCs w:val="24"/>
              </w:rPr>
            </w:pPr>
            <w:r>
              <w:rPr>
                <w:rFonts w:ascii="宋体" w:hAnsi="宋体" w:eastAsia="宋体" w:cs="宋体"/>
                <w:spacing w:val="-2"/>
                <w:sz w:val="24"/>
                <w:szCs w:val="24"/>
              </w:rPr>
              <w:t>但与正常情况相比排放量增加，会对周围环境有一定的影响，故当活性炭吸附装</w:t>
            </w:r>
            <w:r>
              <w:rPr>
                <w:rFonts w:ascii="宋体" w:hAnsi="宋体" w:eastAsia="宋体" w:cs="宋体"/>
                <w:spacing w:val="-1"/>
                <w:sz w:val="24"/>
                <w:szCs w:val="24"/>
              </w:rPr>
              <w:t>置设施故障时，应及时对设备及故障进行排</w:t>
            </w:r>
            <w:r>
              <w:rPr>
                <w:rFonts w:ascii="宋体" w:hAnsi="宋体" w:eastAsia="宋体" w:cs="宋体"/>
                <w:spacing w:val="-2"/>
                <w:sz w:val="24"/>
                <w:szCs w:val="24"/>
              </w:rPr>
              <w:t>查。项目运营期应加强检修、加强管理人</w:t>
            </w:r>
            <w:r>
              <w:rPr>
                <w:rFonts w:ascii="宋体" w:hAnsi="宋体" w:eastAsia="宋体" w:cs="宋体"/>
                <w:spacing w:val="-1"/>
                <w:sz w:val="24"/>
                <w:szCs w:val="24"/>
              </w:rPr>
              <w:t>员业务培训，规范操作。尽量避免非正常情况的发生。</w:t>
            </w:r>
          </w:p>
          <w:p w14:paraId="35DD0F33">
            <w:pPr>
              <w:spacing w:before="1" w:line="220" w:lineRule="auto"/>
              <w:ind w:left="600"/>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4</w:t>
            </w:r>
            <w:r>
              <w:rPr>
                <w:rFonts w:ascii="宋体" w:hAnsi="宋体" w:eastAsia="宋体" w:cs="宋体"/>
                <w:b/>
                <w:bCs/>
                <w:spacing w:val="-5"/>
                <w:sz w:val="24"/>
                <w:szCs w:val="24"/>
              </w:rPr>
              <w:t>）监测要求</w:t>
            </w:r>
          </w:p>
        </w:tc>
      </w:tr>
    </w:tbl>
    <w:p w14:paraId="1F218EFB">
      <w:pPr>
        <w:pStyle w:val="2"/>
      </w:pPr>
    </w:p>
    <w:p w14:paraId="11DEC3E1">
      <w:pPr>
        <w:sectPr>
          <w:footerReference r:id="rId93" w:type="default"/>
          <w:pgSz w:w="11906" w:h="16839"/>
          <w:pgMar w:top="400" w:right="1055" w:bottom="1085" w:left="1054" w:header="0" w:footer="762" w:gutter="0"/>
          <w:cols w:space="720" w:num="1"/>
        </w:sectPr>
      </w:pPr>
    </w:p>
    <w:p w14:paraId="09239165">
      <w:pPr>
        <w:spacing w:before="19"/>
      </w:pPr>
    </w:p>
    <w:p w14:paraId="6364670A">
      <w:pPr>
        <w:spacing w:before="19"/>
      </w:pPr>
    </w:p>
    <w:p w14:paraId="35A4C8F2">
      <w:pPr>
        <w:spacing w:before="19"/>
      </w:pPr>
    </w:p>
    <w:p w14:paraId="5DFFE6A3">
      <w:pPr>
        <w:spacing w:before="18"/>
      </w:pPr>
    </w:p>
    <w:p w14:paraId="337B769A">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66B68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64" w:hRule="atLeast"/>
        </w:trPr>
        <w:tc>
          <w:tcPr>
            <w:tcW w:w="734" w:type="dxa"/>
            <w:tcBorders>
              <w:right w:val="single" w:color="000000" w:sz="2" w:space="0"/>
            </w:tcBorders>
            <w:vAlign w:val="top"/>
          </w:tcPr>
          <w:p w14:paraId="0FF543AC">
            <w:pPr>
              <w:rPr>
                <w:rFonts w:ascii="Arial"/>
                <w:sz w:val="21"/>
              </w:rPr>
            </w:pPr>
          </w:p>
        </w:tc>
        <w:tc>
          <w:tcPr>
            <w:tcW w:w="9047" w:type="dxa"/>
            <w:tcBorders>
              <w:left w:val="single" w:color="000000" w:sz="2" w:space="0"/>
            </w:tcBorders>
            <w:vAlign w:val="top"/>
          </w:tcPr>
          <w:p w14:paraId="0A98D00D">
            <w:pPr>
              <w:spacing w:before="5" w:line="466" w:lineRule="exact"/>
              <w:ind w:left="597"/>
              <w:outlineLvl w:val="0"/>
              <w:rPr>
                <w:rFonts w:ascii="宋体" w:hAnsi="宋体" w:eastAsia="宋体" w:cs="宋体"/>
                <w:sz w:val="24"/>
                <w:szCs w:val="24"/>
              </w:rPr>
            </w:pPr>
            <w:r>
              <w:rPr>
                <w:rFonts w:ascii="宋体" w:hAnsi="宋体" w:eastAsia="宋体" w:cs="宋体"/>
                <w:spacing w:val="2"/>
                <w:position w:val="5"/>
                <w:sz w:val="24"/>
                <w:szCs w:val="24"/>
              </w:rPr>
              <w:t>改扩建项目运营期废气监测计划执行《</w:t>
            </w:r>
            <w:r>
              <w:fldChar w:fldCharType="begin"/>
            </w:r>
            <w:r>
              <w:instrText xml:space="preserve"> HYPERLINK "https://www.mee.gov.cn/ywgz/fgbz/bz/bzwb/pwxk/202004/W020200401327032592051.pdf" </w:instrText>
            </w:r>
            <w:r>
              <w:fldChar w:fldCharType="separate"/>
            </w:r>
            <w:r>
              <w:rPr>
                <w:rFonts w:ascii="宋体" w:hAnsi="宋体" w:eastAsia="宋体" w:cs="宋体"/>
                <w:spacing w:val="2"/>
                <w:position w:val="5"/>
                <w:sz w:val="24"/>
                <w:szCs w:val="24"/>
              </w:rPr>
              <w:t>排污许</w:t>
            </w:r>
            <w:r>
              <w:rPr>
                <w:rFonts w:ascii="宋体" w:hAnsi="宋体" w:eastAsia="宋体" w:cs="宋体"/>
                <w:spacing w:val="1"/>
                <w:position w:val="5"/>
                <w:sz w:val="24"/>
                <w:szCs w:val="24"/>
              </w:rPr>
              <w:t>可证申请与核发技术规范 橡胶和</w:t>
            </w:r>
            <w:r>
              <w:rPr>
                <w:rFonts w:ascii="宋体" w:hAnsi="宋体" w:eastAsia="宋体" w:cs="宋体"/>
                <w:spacing w:val="1"/>
                <w:position w:val="5"/>
                <w:sz w:val="24"/>
                <w:szCs w:val="24"/>
              </w:rPr>
              <w:fldChar w:fldCharType="end"/>
            </w:r>
          </w:p>
          <w:p w14:paraId="672978FD">
            <w:pPr>
              <w:spacing w:before="37" w:line="358" w:lineRule="auto"/>
              <w:ind w:left="103" w:right="102" w:firstLine="10"/>
              <w:jc w:val="both"/>
              <w:rPr>
                <w:rFonts w:ascii="宋体" w:hAnsi="宋体" w:eastAsia="宋体" w:cs="宋体"/>
                <w:sz w:val="24"/>
                <w:szCs w:val="24"/>
              </w:rPr>
            </w:pPr>
            <w:r>
              <w:fldChar w:fldCharType="begin"/>
            </w:r>
            <w:r>
              <w:instrText xml:space="preserve"> HYPERLINK "https://www.mee.gov.cn/ywgz/fgbz/bz/bzwb/pwxk/202004/W020200401327032592051.pdf" </w:instrText>
            </w:r>
            <w:r>
              <w:fldChar w:fldCharType="separate"/>
            </w:r>
            <w:r>
              <w:rPr>
                <w:rFonts w:ascii="宋体" w:hAnsi="宋体" w:eastAsia="宋体" w:cs="宋体"/>
                <w:spacing w:val="-2"/>
                <w:sz w:val="24"/>
                <w:szCs w:val="24"/>
              </w:rPr>
              <w:t>塑料制品工业》（</w:t>
            </w:r>
            <w:r>
              <w:rPr>
                <w:rFonts w:ascii="Times New Roman" w:hAnsi="Times New Roman" w:eastAsia="Times New Roman" w:cs="Times New Roman"/>
                <w:spacing w:val="-2"/>
                <w:sz w:val="24"/>
                <w:szCs w:val="24"/>
              </w:rPr>
              <w:t>HJ1122—2020</w:t>
            </w:r>
            <w:r>
              <w:rPr>
                <w:rFonts w:ascii="宋体" w:hAnsi="宋体" w:eastAsia="宋体" w:cs="宋体"/>
                <w:spacing w:val="-2"/>
                <w:sz w:val="24"/>
                <w:szCs w:val="24"/>
              </w:rPr>
              <w:t>）</w:t>
            </w:r>
            <w:r>
              <w:rPr>
                <w:rFonts w:ascii="宋体" w:hAnsi="宋体" w:eastAsia="宋体" w:cs="宋体"/>
                <w:spacing w:val="-2"/>
                <w:sz w:val="24"/>
                <w:szCs w:val="24"/>
              </w:rPr>
              <w:fldChar w:fldCharType="end"/>
            </w:r>
            <w:r>
              <w:rPr>
                <w:rFonts w:ascii="宋体" w:hAnsi="宋体" w:eastAsia="宋体" w:cs="宋体"/>
                <w:spacing w:val="-2"/>
                <w:sz w:val="24"/>
                <w:szCs w:val="24"/>
              </w:rPr>
              <w:t>相关要求，本项目废气监测点位、因子及</w:t>
            </w:r>
            <w:r>
              <w:rPr>
                <w:rFonts w:ascii="宋体" w:hAnsi="宋体" w:eastAsia="宋体" w:cs="宋体"/>
                <w:spacing w:val="-3"/>
                <w:sz w:val="24"/>
                <w:szCs w:val="24"/>
              </w:rPr>
              <w:t>频次见表</w:t>
            </w:r>
            <w:r>
              <w:rPr>
                <w:rFonts w:ascii="Times New Roman" w:hAnsi="Times New Roman" w:eastAsia="Times New Roman" w:cs="Times New Roman"/>
                <w:spacing w:val="-3"/>
                <w:sz w:val="24"/>
                <w:szCs w:val="24"/>
              </w:rPr>
              <w:t>4-6</w:t>
            </w:r>
            <w:r>
              <w:rPr>
                <w:rFonts w:ascii="宋体" w:hAnsi="宋体" w:eastAsia="宋体" w:cs="宋体"/>
                <w:spacing w:val="-3"/>
                <w:sz w:val="24"/>
                <w:szCs w:val="24"/>
              </w:rPr>
              <w:t>。排气筒必须按照</w:t>
            </w:r>
            <w:r>
              <w:rPr>
                <w:rFonts w:ascii="Times New Roman" w:hAnsi="Times New Roman" w:eastAsia="Times New Roman" w:cs="Times New Roman"/>
                <w:spacing w:val="-3"/>
                <w:sz w:val="24"/>
                <w:szCs w:val="24"/>
              </w:rPr>
              <w:t>“</w:t>
            </w:r>
            <w:r>
              <w:rPr>
                <w:rFonts w:ascii="宋体" w:hAnsi="宋体" w:eastAsia="宋体" w:cs="宋体"/>
                <w:spacing w:val="-3"/>
                <w:sz w:val="24"/>
                <w:szCs w:val="24"/>
              </w:rPr>
              <w:t>便于采集样品、便于计量监测、</w:t>
            </w:r>
            <w:r>
              <w:rPr>
                <w:rFonts w:ascii="宋体" w:hAnsi="宋体" w:eastAsia="宋体" w:cs="宋体"/>
                <w:spacing w:val="-4"/>
                <w:sz w:val="24"/>
                <w:szCs w:val="24"/>
              </w:rPr>
              <w:t>便于日常现场监督检查</w:t>
            </w:r>
            <w:r>
              <w:rPr>
                <w:rFonts w:ascii="Times New Roman" w:hAnsi="Times New Roman" w:eastAsia="Times New Roman" w:cs="Times New Roman"/>
                <w:spacing w:val="-4"/>
                <w:sz w:val="24"/>
                <w:szCs w:val="24"/>
              </w:rPr>
              <w:t>”</w:t>
            </w:r>
            <w:r>
              <w:rPr>
                <w:rFonts w:ascii="Times New Roman" w:hAnsi="Times New Roman" w:eastAsia="Times New Roman" w:cs="Times New Roman"/>
                <w:spacing w:val="-30"/>
                <w:sz w:val="24"/>
                <w:szCs w:val="24"/>
              </w:rPr>
              <w:t xml:space="preserve"> </w:t>
            </w:r>
            <w:r>
              <w:rPr>
                <w:rFonts w:ascii="宋体" w:hAnsi="宋体" w:eastAsia="宋体" w:cs="宋体"/>
                <w:spacing w:val="-4"/>
                <w:sz w:val="24"/>
                <w:szCs w:val="24"/>
              </w:rPr>
              <w:t>的原则</w:t>
            </w:r>
            <w:r>
              <w:rPr>
                <w:rFonts w:ascii="宋体" w:hAnsi="宋体" w:eastAsia="宋体" w:cs="宋体"/>
                <w:spacing w:val="-1"/>
                <w:sz w:val="24"/>
                <w:szCs w:val="24"/>
              </w:rPr>
              <w:t>和规范化要求设监测取样口，在排气筒相应高度设监</w:t>
            </w:r>
            <w:r>
              <w:rPr>
                <w:rFonts w:ascii="宋体" w:hAnsi="宋体" w:eastAsia="宋体" w:cs="宋体"/>
                <w:spacing w:val="-2"/>
                <w:sz w:val="24"/>
                <w:szCs w:val="24"/>
              </w:rPr>
              <w:t>测取样口，并按国家标准设标识标牌。</w:t>
            </w:r>
          </w:p>
          <w:p w14:paraId="5E401137">
            <w:pPr>
              <w:spacing w:line="228" w:lineRule="auto"/>
              <w:ind w:left="2932"/>
              <w:outlineLvl w:val="0"/>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39"/>
                <w:sz w:val="20"/>
                <w:szCs w:val="20"/>
              </w:rPr>
              <w:t xml:space="preserve"> </w:t>
            </w:r>
            <w:r>
              <w:rPr>
                <w:rFonts w:ascii="Times New Roman" w:hAnsi="Times New Roman" w:eastAsia="Times New Roman" w:cs="Times New Roman"/>
                <w:b/>
                <w:bCs/>
                <w:spacing w:val="6"/>
                <w:sz w:val="20"/>
                <w:szCs w:val="20"/>
              </w:rPr>
              <w:t xml:space="preserve">4-6    </w:t>
            </w:r>
            <w:r>
              <w:rPr>
                <w:rFonts w:ascii="宋体" w:hAnsi="宋体" w:eastAsia="宋体" w:cs="宋体"/>
                <w:b/>
                <w:bCs/>
                <w:spacing w:val="6"/>
                <w:sz w:val="20"/>
                <w:szCs w:val="20"/>
              </w:rPr>
              <w:t>扩建项目运营期废气监测计划</w:t>
            </w:r>
          </w:p>
          <w:p w14:paraId="0968CC86">
            <w:pPr>
              <w:spacing w:line="130" w:lineRule="exact"/>
            </w:pPr>
          </w:p>
          <w:tbl>
            <w:tblPr>
              <w:tblStyle w:val="10"/>
              <w:tblW w:w="8829"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0"/>
              <w:gridCol w:w="1670"/>
              <w:gridCol w:w="936"/>
              <w:gridCol w:w="1309"/>
              <w:gridCol w:w="1018"/>
              <w:gridCol w:w="2956"/>
            </w:tblGrid>
            <w:tr w14:paraId="59E4D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940" w:type="dxa"/>
                  <w:vAlign w:val="top"/>
                </w:tcPr>
                <w:p w14:paraId="13E5A849">
                  <w:pPr>
                    <w:spacing w:before="238" w:line="228" w:lineRule="auto"/>
                    <w:ind w:left="264"/>
                    <w:outlineLvl w:val="0"/>
                    <w:rPr>
                      <w:rFonts w:ascii="宋体" w:hAnsi="宋体" w:eastAsia="宋体" w:cs="宋体"/>
                      <w:sz w:val="20"/>
                      <w:szCs w:val="20"/>
                    </w:rPr>
                  </w:pPr>
                  <w:r>
                    <w:rPr>
                      <w:rFonts w:ascii="宋体" w:hAnsi="宋体" w:eastAsia="宋体" w:cs="宋体"/>
                      <w:b/>
                      <w:bCs/>
                      <w:spacing w:val="3"/>
                      <w:sz w:val="20"/>
                      <w:szCs w:val="20"/>
                    </w:rPr>
                    <w:t>类别</w:t>
                  </w:r>
                </w:p>
              </w:tc>
              <w:tc>
                <w:tcPr>
                  <w:tcW w:w="1670" w:type="dxa"/>
                  <w:vAlign w:val="top"/>
                </w:tcPr>
                <w:p w14:paraId="017F7E53">
                  <w:pPr>
                    <w:spacing w:before="35" w:line="360" w:lineRule="auto"/>
                    <w:ind w:left="311" w:right="108" w:hanging="199"/>
                    <w:outlineLvl w:val="0"/>
                    <w:rPr>
                      <w:rFonts w:ascii="宋体" w:hAnsi="宋体" w:eastAsia="宋体" w:cs="宋体"/>
                      <w:sz w:val="20"/>
                      <w:szCs w:val="20"/>
                    </w:rPr>
                  </w:pPr>
                  <w:r>
                    <w:rPr>
                      <w:rFonts w:ascii="宋体" w:hAnsi="宋体" w:eastAsia="宋体" w:cs="宋体"/>
                      <w:b/>
                      <w:bCs/>
                      <w:spacing w:val="4"/>
                      <w:sz w:val="20"/>
                      <w:szCs w:val="20"/>
                    </w:rPr>
                    <w:t>监测点位置（排气筒编号）</w:t>
                  </w:r>
                </w:p>
              </w:tc>
              <w:tc>
                <w:tcPr>
                  <w:tcW w:w="936" w:type="dxa"/>
                  <w:vAlign w:val="top"/>
                </w:tcPr>
                <w:p w14:paraId="6F70C083">
                  <w:pPr>
                    <w:spacing w:before="34" w:line="229" w:lineRule="auto"/>
                    <w:ind w:left="155"/>
                    <w:outlineLvl w:val="0"/>
                    <w:rPr>
                      <w:rFonts w:ascii="宋体" w:hAnsi="宋体" w:eastAsia="宋体" w:cs="宋体"/>
                      <w:sz w:val="20"/>
                      <w:szCs w:val="20"/>
                    </w:rPr>
                  </w:pPr>
                  <w:r>
                    <w:rPr>
                      <w:rFonts w:ascii="宋体" w:hAnsi="宋体" w:eastAsia="宋体" w:cs="宋体"/>
                      <w:b/>
                      <w:bCs/>
                      <w:spacing w:val="5"/>
                      <w:sz w:val="20"/>
                      <w:szCs w:val="20"/>
                    </w:rPr>
                    <w:t>排放形</w:t>
                  </w:r>
                </w:p>
                <w:p w14:paraId="1A9A0FFF">
                  <w:pPr>
                    <w:spacing w:before="159" w:line="229" w:lineRule="auto"/>
                    <w:ind w:left="371"/>
                    <w:rPr>
                      <w:rFonts w:ascii="宋体" w:hAnsi="宋体" w:eastAsia="宋体" w:cs="宋体"/>
                      <w:sz w:val="20"/>
                      <w:szCs w:val="20"/>
                    </w:rPr>
                  </w:pPr>
                  <w:r>
                    <w:rPr>
                      <w:rFonts w:ascii="宋体" w:hAnsi="宋体" w:eastAsia="宋体" w:cs="宋体"/>
                      <w:b/>
                      <w:bCs/>
                      <w:spacing w:val="-3"/>
                      <w:sz w:val="20"/>
                      <w:szCs w:val="20"/>
                    </w:rPr>
                    <w:t>式</w:t>
                  </w:r>
                </w:p>
              </w:tc>
              <w:tc>
                <w:tcPr>
                  <w:tcW w:w="1309" w:type="dxa"/>
                  <w:vAlign w:val="top"/>
                </w:tcPr>
                <w:p w14:paraId="058AC6C7">
                  <w:pPr>
                    <w:spacing w:before="239" w:line="228" w:lineRule="auto"/>
                    <w:ind w:left="238"/>
                    <w:outlineLvl w:val="0"/>
                    <w:rPr>
                      <w:rFonts w:ascii="宋体" w:hAnsi="宋体" w:eastAsia="宋体" w:cs="宋体"/>
                      <w:sz w:val="20"/>
                      <w:szCs w:val="20"/>
                    </w:rPr>
                  </w:pPr>
                  <w:r>
                    <w:rPr>
                      <w:rFonts w:ascii="宋体" w:hAnsi="宋体" w:eastAsia="宋体" w:cs="宋体"/>
                      <w:b/>
                      <w:bCs/>
                      <w:spacing w:val="6"/>
                      <w:sz w:val="20"/>
                      <w:szCs w:val="20"/>
                    </w:rPr>
                    <w:t>监测因子</w:t>
                  </w:r>
                </w:p>
              </w:tc>
              <w:tc>
                <w:tcPr>
                  <w:tcW w:w="1018" w:type="dxa"/>
                  <w:vAlign w:val="top"/>
                </w:tcPr>
                <w:p w14:paraId="13CB93AF">
                  <w:pPr>
                    <w:spacing w:before="34" w:line="229" w:lineRule="auto"/>
                    <w:ind w:left="198"/>
                    <w:outlineLvl w:val="0"/>
                    <w:rPr>
                      <w:rFonts w:ascii="宋体" w:hAnsi="宋体" w:eastAsia="宋体" w:cs="宋体"/>
                      <w:sz w:val="20"/>
                      <w:szCs w:val="20"/>
                    </w:rPr>
                  </w:pPr>
                  <w:r>
                    <w:rPr>
                      <w:rFonts w:ascii="宋体" w:hAnsi="宋体" w:eastAsia="宋体" w:cs="宋体"/>
                      <w:b/>
                      <w:bCs/>
                      <w:spacing w:val="5"/>
                      <w:sz w:val="20"/>
                      <w:szCs w:val="20"/>
                    </w:rPr>
                    <w:t>监测频</w:t>
                  </w:r>
                </w:p>
                <w:p w14:paraId="0C161DC9">
                  <w:pPr>
                    <w:spacing w:before="159" w:line="228" w:lineRule="auto"/>
                    <w:ind w:left="410"/>
                    <w:rPr>
                      <w:rFonts w:ascii="宋体" w:hAnsi="宋体" w:eastAsia="宋体" w:cs="宋体"/>
                      <w:sz w:val="20"/>
                      <w:szCs w:val="20"/>
                    </w:rPr>
                  </w:pPr>
                  <w:r>
                    <w:rPr>
                      <w:rFonts w:ascii="宋体" w:hAnsi="宋体" w:eastAsia="宋体" w:cs="宋体"/>
                      <w:b/>
                      <w:bCs/>
                      <w:spacing w:val="-3"/>
                      <w:sz w:val="20"/>
                      <w:szCs w:val="20"/>
                    </w:rPr>
                    <w:t>率</w:t>
                  </w:r>
                </w:p>
              </w:tc>
              <w:tc>
                <w:tcPr>
                  <w:tcW w:w="2956" w:type="dxa"/>
                  <w:vAlign w:val="top"/>
                </w:tcPr>
                <w:p w14:paraId="2D96DBC0">
                  <w:pPr>
                    <w:spacing w:before="238" w:line="228" w:lineRule="auto"/>
                    <w:ind w:left="1061"/>
                    <w:outlineLvl w:val="0"/>
                    <w:rPr>
                      <w:rFonts w:ascii="宋体" w:hAnsi="宋体" w:eastAsia="宋体" w:cs="宋体"/>
                      <w:sz w:val="20"/>
                      <w:szCs w:val="20"/>
                    </w:rPr>
                  </w:pPr>
                  <w:r>
                    <w:rPr>
                      <w:rFonts w:ascii="宋体" w:hAnsi="宋体" w:eastAsia="宋体" w:cs="宋体"/>
                      <w:b/>
                      <w:bCs/>
                      <w:spacing w:val="6"/>
                      <w:sz w:val="20"/>
                      <w:szCs w:val="20"/>
                    </w:rPr>
                    <w:t>执行标准</w:t>
                  </w:r>
                </w:p>
              </w:tc>
            </w:tr>
            <w:tr w14:paraId="044580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940" w:type="dxa"/>
                  <w:vAlign w:val="top"/>
                </w:tcPr>
                <w:p w14:paraId="78296762">
                  <w:pPr>
                    <w:spacing w:line="288" w:lineRule="auto"/>
                    <w:rPr>
                      <w:rFonts w:ascii="Arial"/>
                      <w:sz w:val="21"/>
                    </w:rPr>
                  </w:pPr>
                </w:p>
                <w:p w14:paraId="31FB3484">
                  <w:pPr>
                    <w:spacing w:line="288" w:lineRule="auto"/>
                    <w:rPr>
                      <w:rFonts w:ascii="Arial"/>
                      <w:sz w:val="21"/>
                    </w:rPr>
                  </w:pPr>
                </w:p>
                <w:p w14:paraId="7F3FD3C1">
                  <w:pPr>
                    <w:spacing w:before="65" w:line="228" w:lineRule="auto"/>
                    <w:ind w:left="162"/>
                    <w:outlineLvl w:val="0"/>
                    <w:rPr>
                      <w:rFonts w:ascii="宋体" w:hAnsi="宋体" w:eastAsia="宋体" w:cs="宋体"/>
                      <w:sz w:val="20"/>
                      <w:szCs w:val="20"/>
                    </w:rPr>
                  </w:pPr>
                  <w:r>
                    <w:rPr>
                      <w:rFonts w:ascii="宋体" w:hAnsi="宋体" w:eastAsia="宋体" w:cs="宋体"/>
                      <w:spacing w:val="6"/>
                      <w:sz w:val="20"/>
                      <w:szCs w:val="20"/>
                    </w:rPr>
                    <w:t>有组织</w:t>
                  </w:r>
                </w:p>
              </w:tc>
              <w:tc>
                <w:tcPr>
                  <w:tcW w:w="1670" w:type="dxa"/>
                  <w:vAlign w:val="top"/>
                </w:tcPr>
                <w:p w14:paraId="62E4E0EE">
                  <w:pPr>
                    <w:spacing w:line="313" w:lineRule="auto"/>
                    <w:rPr>
                      <w:rFonts w:ascii="Arial"/>
                      <w:sz w:val="21"/>
                    </w:rPr>
                  </w:pPr>
                </w:p>
                <w:p w14:paraId="51AF878F">
                  <w:pPr>
                    <w:spacing w:line="313" w:lineRule="auto"/>
                    <w:rPr>
                      <w:rFonts w:ascii="Arial"/>
                      <w:sz w:val="21"/>
                    </w:rPr>
                  </w:pPr>
                </w:p>
                <w:p w14:paraId="06C54D6D">
                  <w:pPr>
                    <w:spacing w:before="58" w:line="195" w:lineRule="auto"/>
                    <w:ind w:left="549"/>
                    <w:outlineLvl w:val="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DA005</w:t>
                  </w:r>
                </w:p>
              </w:tc>
              <w:tc>
                <w:tcPr>
                  <w:tcW w:w="936" w:type="dxa"/>
                  <w:vAlign w:val="top"/>
                </w:tcPr>
                <w:p w14:paraId="037CF957">
                  <w:pPr>
                    <w:spacing w:line="288" w:lineRule="auto"/>
                    <w:rPr>
                      <w:rFonts w:ascii="Arial"/>
                      <w:sz w:val="21"/>
                    </w:rPr>
                  </w:pPr>
                </w:p>
                <w:p w14:paraId="78C62485">
                  <w:pPr>
                    <w:spacing w:line="288" w:lineRule="auto"/>
                    <w:rPr>
                      <w:rFonts w:ascii="Arial"/>
                      <w:sz w:val="21"/>
                    </w:rPr>
                  </w:pPr>
                </w:p>
                <w:p w14:paraId="3108EB7F">
                  <w:pPr>
                    <w:spacing w:before="65" w:line="228" w:lineRule="auto"/>
                    <w:ind w:left="158"/>
                    <w:outlineLvl w:val="0"/>
                    <w:rPr>
                      <w:rFonts w:ascii="宋体" w:hAnsi="宋体" w:eastAsia="宋体" w:cs="宋体"/>
                      <w:sz w:val="20"/>
                      <w:szCs w:val="20"/>
                    </w:rPr>
                  </w:pPr>
                  <w:r>
                    <w:rPr>
                      <w:rFonts w:ascii="宋体" w:hAnsi="宋体" w:eastAsia="宋体" w:cs="宋体"/>
                      <w:spacing w:val="6"/>
                      <w:sz w:val="20"/>
                      <w:szCs w:val="20"/>
                    </w:rPr>
                    <w:t>有组织</w:t>
                  </w:r>
                </w:p>
              </w:tc>
              <w:tc>
                <w:tcPr>
                  <w:tcW w:w="1309" w:type="dxa"/>
                  <w:vAlign w:val="top"/>
                </w:tcPr>
                <w:p w14:paraId="59433C75">
                  <w:pPr>
                    <w:spacing w:line="288" w:lineRule="auto"/>
                    <w:rPr>
                      <w:rFonts w:ascii="Arial"/>
                      <w:sz w:val="21"/>
                    </w:rPr>
                  </w:pPr>
                </w:p>
                <w:p w14:paraId="091B4843">
                  <w:pPr>
                    <w:spacing w:line="288" w:lineRule="auto"/>
                    <w:rPr>
                      <w:rFonts w:ascii="Arial"/>
                      <w:sz w:val="21"/>
                    </w:rPr>
                  </w:pPr>
                </w:p>
                <w:p w14:paraId="2A1BAB9B">
                  <w:pPr>
                    <w:spacing w:before="65" w:line="228" w:lineRule="auto"/>
                    <w:ind w:left="137"/>
                    <w:outlineLvl w:val="0"/>
                    <w:rPr>
                      <w:rFonts w:ascii="宋体" w:hAnsi="宋体" w:eastAsia="宋体" w:cs="宋体"/>
                      <w:sz w:val="20"/>
                      <w:szCs w:val="20"/>
                    </w:rPr>
                  </w:pPr>
                  <w:r>
                    <w:rPr>
                      <w:rFonts w:ascii="宋体" w:hAnsi="宋体" w:eastAsia="宋体" w:cs="宋体"/>
                      <w:spacing w:val="7"/>
                      <w:sz w:val="20"/>
                      <w:szCs w:val="20"/>
                    </w:rPr>
                    <w:t>非甲烷总烃</w:t>
                  </w:r>
                </w:p>
              </w:tc>
              <w:tc>
                <w:tcPr>
                  <w:tcW w:w="1018" w:type="dxa"/>
                  <w:vAlign w:val="top"/>
                </w:tcPr>
                <w:p w14:paraId="7103D2CB">
                  <w:pPr>
                    <w:spacing w:line="373" w:lineRule="auto"/>
                    <w:rPr>
                      <w:rFonts w:ascii="Arial"/>
                      <w:sz w:val="21"/>
                    </w:rPr>
                  </w:pPr>
                </w:p>
                <w:p w14:paraId="24F0DCE4">
                  <w:pPr>
                    <w:spacing w:before="65" w:line="228" w:lineRule="auto"/>
                    <w:ind w:left="203"/>
                    <w:outlineLvl w:val="0"/>
                    <w:rPr>
                      <w:rFonts w:ascii="宋体" w:hAnsi="宋体" w:eastAsia="宋体" w:cs="宋体"/>
                      <w:sz w:val="20"/>
                      <w:szCs w:val="20"/>
                    </w:rPr>
                  </w:pPr>
                  <w:r>
                    <w:rPr>
                      <w:rFonts w:ascii="宋体" w:hAnsi="宋体" w:eastAsia="宋体" w:cs="宋体"/>
                      <w:spacing w:val="6"/>
                      <w:sz w:val="20"/>
                      <w:szCs w:val="20"/>
                    </w:rPr>
                    <w:t>半年一</w:t>
                  </w:r>
                </w:p>
                <w:p w14:paraId="356C34CB">
                  <w:pPr>
                    <w:spacing w:before="161" w:line="228" w:lineRule="auto"/>
                    <w:ind w:left="414"/>
                    <w:rPr>
                      <w:rFonts w:ascii="宋体" w:hAnsi="宋体" w:eastAsia="宋体" w:cs="宋体"/>
                      <w:sz w:val="20"/>
                      <w:szCs w:val="20"/>
                    </w:rPr>
                  </w:pPr>
                  <w:r>
                    <w:rPr>
                      <w:rFonts w:ascii="宋体" w:hAnsi="宋体" w:eastAsia="宋体" w:cs="宋体"/>
                      <w:sz w:val="20"/>
                      <w:szCs w:val="20"/>
                    </w:rPr>
                    <w:t>次</w:t>
                  </w:r>
                </w:p>
              </w:tc>
              <w:tc>
                <w:tcPr>
                  <w:tcW w:w="2956" w:type="dxa"/>
                  <w:vAlign w:val="top"/>
                </w:tcPr>
                <w:p w14:paraId="75F1BDB8">
                  <w:pPr>
                    <w:spacing w:before="32" w:line="228" w:lineRule="auto"/>
                    <w:ind w:left="123"/>
                    <w:rPr>
                      <w:rFonts w:ascii="宋体" w:hAnsi="宋体" w:eastAsia="宋体" w:cs="宋体"/>
                      <w:sz w:val="20"/>
                      <w:szCs w:val="20"/>
                    </w:rPr>
                  </w:pPr>
                  <w:r>
                    <w:rPr>
                      <w:rFonts w:ascii="宋体" w:hAnsi="宋体" w:eastAsia="宋体" w:cs="宋体"/>
                      <w:spacing w:val="8"/>
                      <w:sz w:val="20"/>
                      <w:szCs w:val="20"/>
                    </w:rPr>
                    <w:t>《合成树脂工业污染物排放标</w:t>
                  </w:r>
                </w:p>
                <w:p w14:paraId="3161ABB2">
                  <w:pPr>
                    <w:spacing w:before="161" w:line="228" w:lineRule="auto"/>
                    <w:ind w:left="117"/>
                    <w:outlineLvl w:val="0"/>
                    <w:rPr>
                      <w:rFonts w:ascii="Times New Roman" w:hAnsi="Times New Roman" w:eastAsia="Times New Roman" w:cs="Times New Roman"/>
                      <w:sz w:val="20"/>
                      <w:szCs w:val="20"/>
                    </w:rPr>
                  </w:pPr>
                  <w:r>
                    <w:rPr>
                      <w:rFonts w:ascii="宋体" w:hAnsi="宋体" w:eastAsia="宋体" w:cs="宋体"/>
                      <w:spacing w:val="1"/>
                      <w:sz w:val="20"/>
                      <w:szCs w:val="20"/>
                    </w:rPr>
                    <w:t>准》（</w:t>
                  </w:r>
                  <w:r>
                    <w:rPr>
                      <w:rFonts w:ascii="Times New Roman" w:hAnsi="Times New Roman" w:eastAsia="Times New Roman" w:cs="Times New Roman"/>
                      <w:sz w:val="20"/>
                      <w:szCs w:val="20"/>
                    </w:rPr>
                    <w:t>GB</w:t>
                  </w:r>
                  <w:r>
                    <w:rPr>
                      <w:rFonts w:ascii="Times New Roman" w:hAnsi="Times New Roman" w:eastAsia="Times New Roman" w:cs="Times New Roman"/>
                      <w:spacing w:val="1"/>
                      <w:sz w:val="20"/>
                      <w:szCs w:val="20"/>
                    </w:rPr>
                    <w:t>31572-2015</w:t>
                  </w:r>
                  <w:r>
                    <w:rPr>
                      <w:rFonts w:ascii="宋体" w:hAnsi="宋体" w:eastAsia="宋体" w:cs="宋体"/>
                      <w:spacing w:val="1"/>
                      <w:sz w:val="20"/>
                      <w:szCs w:val="20"/>
                    </w:rPr>
                    <w:t>，含</w:t>
                  </w:r>
                  <w:r>
                    <w:rPr>
                      <w:rFonts w:ascii="宋体" w:hAnsi="宋体" w:eastAsia="宋体" w:cs="宋体"/>
                      <w:spacing w:val="-40"/>
                      <w:sz w:val="20"/>
                      <w:szCs w:val="20"/>
                    </w:rPr>
                    <w:t xml:space="preserve"> </w:t>
                  </w:r>
                  <w:r>
                    <w:rPr>
                      <w:rFonts w:ascii="Times New Roman" w:hAnsi="Times New Roman" w:eastAsia="Times New Roman" w:cs="Times New Roman"/>
                      <w:spacing w:val="1"/>
                      <w:sz w:val="20"/>
                      <w:szCs w:val="20"/>
                    </w:rPr>
                    <w:t>2024</w:t>
                  </w:r>
                </w:p>
                <w:p w14:paraId="5BD05CF3">
                  <w:pPr>
                    <w:spacing w:before="161" w:line="228" w:lineRule="auto"/>
                    <w:ind w:left="119"/>
                    <w:rPr>
                      <w:rFonts w:ascii="宋体" w:hAnsi="宋体" w:eastAsia="宋体" w:cs="宋体"/>
                      <w:sz w:val="20"/>
                      <w:szCs w:val="20"/>
                    </w:rPr>
                  </w:pPr>
                  <w:r>
                    <w:rPr>
                      <w:rFonts w:ascii="宋体" w:hAnsi="宋体" w:eastAsia="宋体" w:cs="宋体"/>
                      <w:spacing w:val="8"/>
                      <w:sz w:val="20"/>
                      <w:szCs w:val="20"/>
                    </w:rPr>
                    <w:t>年修改单）中表</w:t>
                  </w:r>
                  <w:r>
                    <w:rPr>
                      <w:rFonts w:ascii="宋体" w:hAnsi="宋体" w:eastAsia="宋体" w:cs="宋体"/>
                      <w:spacing w:val="-44"/>
                      <w:sz w:val="20"/>
                      <w:szCs w:val="20"/>
                    </w:rPr>
                    <w:t xml:space="preserve"> </w:t>
                  </w:r>
                  <w:r>
                    <w:rPr>
                      <w:rFonts w:ascii="Times New Roman" w:hAnsi="Times New Roman" w:eastAsia="Times New Roman" w:cs="Times New Roman"/>
                      <w:spacing w:val="8"/>
                      <w:sz w:val="20"/>
                      <w:szCs w:val="20"/>
                    </w:rPr>
                    <w:t xml:space="preserve">4 </w:t>
                  </w:r>
                  <w:r>
                    <w:rPr>
                      <w:rFonts w:ascii="宋体" w:hAnsi="宋体" w:eastAsia="宋体" w:cs="宋体"/>
                      <w:spacing w:val="8"/>
                      <w:sz w:val="20"/>
                      <w:szCs w:val="20"/>
                    </w:rPr>
                    <w:t>大气污染物</w:t>
                  </w:r>
                </w:p>
                <w:p w14:paraId="25FC0D2B">
                  <w:pPr>
                    <w:spacing w:before="161" w:line="228" w:lineRule="auto"/>
                    <w:ind w:left="1063"/>
                    <w:rPr>
                      <w:rFonts w:ascii="宋体" w:hAnsi="宋体" w:eastAsia="宋体" w:cs="宋体"/>
                      <w:sz w:val="20"/>
                      <w:szCs w:val="20"/>
                    </w:rPr>
                  </w:pPr>
                  <w:r>
                    <w:rPr>
                      <w:rFonts w:ascii="宋体" w:hAnsi="宋体" w:eastAsia="宋体" w:cs="宋体"/>
                      <w:spacing w:val="7"/>
                      <w:sz w:val="20"/>
                      <w:szCs w:val="20"/>
                    </w:rPr>
                    <w:t>排放限值</w:t>
                  </w:r>
                </w:p>
              </w:tc>
            </w:tr>
            <w:tr w14:paraId="2039D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2" w:hRule="atLeast"/>
              </w:trPr>
              <w:tc>
                <w:tcPr>
                  <w:tcW w:w="940" w:type="dxa"/>
                  <w:vAlign w:val="top"/>
                </w:tcPr>
                <w:p w14:paraId="5FAAB8C7">
                  <w:pPr>
                    <w:spacing w:line="289" w:lineRule="auto"/>
                    <w:rPr>
                      <w:rFonts w:ascii="Arial"/>
                      <w:sz w:val="21"/>
                    </w:rPr>
                  </w:pPr>
                </w:p>
                <w:p w14:paraId="35357D72">
                  <w:pPr>
                    <w:spacing w:line="289" w:lineRule="auto"/>
                    <w:rPr>
                      <w:rFonts w:ascii="Arial"/>
                      <w:sz w:val="21"/>
                    </w:rPr>
                  </w:pPr>
                </w:p>
                <w:p w14:paraId="195C880D">
                  <w:pPr>
                    <w:spacing w:before="65" w:line="228" w:lineRule="auto"/>
                    <w:ind w:left="163"/>
                    <w:outlineLvl w:val="0"/>
                    <w:rPr>
                      <w:rFonts w:ascii="宋体" w:hAnsi="宋体" w:eastAsia="宋体" w:cs="宋体"/>
                      <w:sz w:val="20"/>
                      <w:szCs w:val="20"/>
                    </w:rPr>
                  </w:pPr>
                  <w:r>
                    <w:rPr>
                      <w:rFonts w:ascii="宋体" w:hAnsi="宋体" w:eastAsia="宋体" w:cs="宋体"/>
                      <w:spacing w:val="6"/>
                      <w:sz w:val="20"/>
                      <w:szCs w:val="20"/>
                    </w:rPr>
                    <w:t>无组织</w:t>
                  </w:r>
                </w:p>
              </w:tc>
              <w:tc>
                <w:tcPr>
                  <w:tcW w:w="1670" w:type="dxa"/>
                  <w:vAlign w:val="top"/>
                </w:tcPr>
                <w:p w14:paraId="53302EE6">
                  <w:pPr>
                    <w:tabs>
                      <w:tab w:val="left" w:pos="419"/>
                    </w:tabs>
                    <w:spacing w:before="33" w:line="369" w:lineRule="auto"/>
                    <w:ind w:left="116" w:right="108" w:hanging="2"/>
                    <w:outlineLvl w:val="0"/>
                    <w:rPr>
                      <w:rFonts w:ascii="宋体" w:hAnsi="宋体" w:eastAsia="宋体" w:cs="宋体"/>
                      <w:sz w:val="20"/>
                      <w:szCs w:val="20"/>
                    </w:rPr>
                  </w:pPr>
                  <w:r>
                    <w:rPr>
                      <w:rFonts w:ascii="宋体" w:hAnsi="宋体" w:eastAsia="宋体" w:cs="宋体"/>
                      <w:spacing w:val="5"/>
                      <w:sz w:val="20"/>
                      <w:szCs w:val="20"/>
                    </w:rPr>
                    <w:t>厂界（上风向厂</w:t>
                  </w:r>
                  <w:r>
                    <w:rPr>
                      <w:rFonts w:ascii="宋体" w:hAnsi="宋体" w:eastAsia="宋体" w:cs="宋体"/>
                      <w:spacing w:val="1"/>
                      <w:sz w:val="20"/>
                      <w:szCs w:val="20"/>
                    </w:rPr>
                    <w:t>界外</w:t>
                  </w:r>
                  <w:r>
                    <w:rPr>
                      <w:rFonts w:ascii="宋体" w:hAnsi="宋体" w:eastAsia="宋体" w:cs="宋体"/>
                      <w:spacing w:val="-20"/>
                      <w:sz w:val="20"/>
                      <w:szCs w:val="20"/>
                    </w:rPr>
                    <w:t xml:space="preserve"> </w:t>
                  </w:r>
                  <w:r>
                    <w:rPr>
                      <w:rFonts w:ascii="Times New Roman" w:hAnsi="Times New Roman" w:eastAsia="Times New Roman" w:cs="Times New Roman"/>
                      <w:spacing w:val="1"/>
                      <w:sz w:val="20"/>
                      <w:szCs w:val="20"/>
                    </w:rPr>
                    <w:t xml:space="preserve">1 </w:t>
                  </w:r>
                  <w:r>
                    <w:rPr>
                      <w:rFonts w:ascii="宋体" w:hAnsi="宋体" w:eastAsia="宋体" w:cs="宋体"/>
                      <w:spacing w:val="1"/>
                      <w:sz w:val="20"/>
                      <w:szCs w:val="20"/>
                    </w:rPr>
                    <w:t>个点位，</w:t>
                  </w:r>
                  <w:r>
                    <w:rPr>
                      <w:rFonts w:ascii="宋体" w:hAnsi="宋体" w:eastAsia="宋体" w:cs="宋体"/>
                      <w:spacing w:val="5"/>
                      <w:sz w:val="20"/>
                      <w:szCs w:val="20"/>
                    </w:rPr>
                    <w:t>下风向厂界外</w:t>
                  </w:r>
                  <w:r>
                    <w:rPr>
                      <w:rFonts w:ascii="宋体" w:hAnsi="宋体" w:eastAsia="宋体" w:cs="宋体"/>
                      <w:spacing w:val="-32"/>
                      <w:sz w:val="20"/>
                      <w:szCs w:val="20"/>
                    </w:rPr>
                    <w:t xml:space="preserve"> </w:t>
                  </w:r>
                  <w:r>
                    <w:rPr>
                      <w:rFonts w:ascii="Times New Roman" w:hAnsi="Times New Roman" w:eastAsia="Times New Roman" w:cs="Times New Roman"/>
                      <w:spacing w:val="5"/>
                      <w:sz w:val="20"/>
                      <w:szCs w:val="20"/>
                    </w:rPr>
                    <w:t>3</w:t>
                  </w:r>
                  <w:r>
                    <w:rPr>
                      <w:rFonts w:ascii="宋体" w:hAnsi="宋体" w:eastAsia="宋体" w:cs="宋体"/>
                      <w:sz w:val="20"/>
                      <w:szCs w:val="20"/>
                    </w:rPr>
                    <w:tab/>
                  </w:r>
                  <w:r>
                    <w:rPr>
                      <w:rFonts w:ascii="宋体" w:hAnsi="宋体" w:eastAsia="宋体" w:cs="宋体"/>
                      <w:spacing w:val="5"/>
                      <w:sz w:val="20"/>
                      <w:szCs w:val="20"/>
                    </w:rPr>
                    <w:t>个点位）</w:t>
                  </w:r>
                </w:p>
              </w:tc>
              <w:tc>
                <w:tcPr>
                  <w:tcW w:w="936" w:type="dxa"/>
                  <w:vAlign w:val="top"/>
                </w:tcPr>
                <w:p w14:paraId="485F99EC">
                  <w:pPr>
                    <w:spacing w:line="289" w:lineRule="auto"/>
                    <w:rPr>
                      <w:rFonts w:ascii="Arial"/>
                      <w:sz w:val="21"/>
                    </w:rPr>
                  </w:pPr>
                </w:p>
                <w:p w14:paraId="55467BF1">
                  <w:pPr>
                    <w:spacing w:line="289" w:lineRule="auto"/>
                    <w:rPr>
                      <w:rFonts w:ascii="Arial"/>
                      <w:sz w:val="21"/>
                    </w:rPr>
                  </w:pPr>
                </w:p>
                <w:p w14:paraId="619999BC">
                  <w:pPr>
                    <w:spacing w:before="65" w:line="228" w:lineRule="auto"/>
                    <w:ind w:left="159"/>
                    <w:outlineLvl w:val="0"/>
                    <w:rPr>
                      <w:rFonts w:ascii="宋体" w:hAnsi="宋体" w:eastAsia="宋体" w:cs="宋体"/>
                      <w:sz w:val="20"/>
                      <w:szCs w:val="20"/>
                    </w:rPr>
                  </w:pPr>
                  <w:r>
                    <w:rPr>
                      <w:rFonts w:ascii="宋体" w:hAnsi="宋体" w:eastAsia="宋体" w:cs="宋体"/>
                      <w:spacing w:val="6"/>
                      <w:sz w:val="20"/>
                      <w:szCs w:val="20"/>
                    </w:rPr>
                    <w:t>无组织</w:t>
                  </w:r>
                </w:p>
              </w:tc>
              <w:tc>
                <w:tcPr>
                  <w:tcW w:w="1309" w:type="dxa"/>
                  <w:vAlign w:val="top"/>
                </w:tcPr>
                <w:p w14:paraId="6E6A636D">
                  <w:pPr>
                    <w:spacing w:line="376" w:lineRule="auto"/>
                    <w:rPr>
                      <w:rFonts w:ascii="Arial"/>
                      <w:sz w:val="21"/>
                    </w:rPr>
                  </w:pPr>
                </w:p>
                <w:p w14:paraId="226FCC09">
                  <w:pPr>
                    <w:spacing w:before="65" w:line="378" w:lineRule="auto"/>
                    <w:ind w:left="134" w:right="129" w:firstLine="108"/>
                    <w:outlineLvl w:val="0"/>
                    <w:rPr>
                      <w:rFonts w:ascii="宋体" w:hAnsi="宋体" w:eastAsia="宋体" w:cs="宋体"/>
                      <w:sz w:val="20"/>
                      <w:szCs w:val="20"/>
                    </w:rPr>
                  </w:pPr>
                  <w:r>
                    <w:rPr>
                      <w:rFonts w:ascii="宋体" w:hAnsi="宋体" w:eastAsia="宋体" w:cs="宋体"/>
                      <w:spacing w:val="6"/>
                      <w:sz w:val="20"/>
                      <w:szCs w:val="20"/>
                    </w:rPr>
                    <w:t>非甲烷总</w:t>
                  </w:r>
                  <w:r>
                    <w:rPr>
                      <w:rFonts w:ascii="宋体" w:hAnsi="宋体" w:eastAsia="宋体" w:cs="宋体"/>
                      <w:spacing w:val="7"/>
                      <w:sz w:val="20"/>
                      <w:szCs w:val="20"/>
                    </w:rPr>
                    <w:t>烃、颗粒物</w:t>
                  </w:r>
                </w:p>
              </w:tc>
              <w:tc>
                <w:tcPr>
                  <w:tcW w:w="1018" w:type="dxa"/>
                  <w:vAlign w:val="top"/>
                </w:tcPr>
                <w:p w14:paraId="3C6CBC72">
                  <w:pPr>
                    <w:spacing w:line="375" w:lineRule="auto"/>
                    <w:rPr>
                      <w:rFonts w:ascii="Arial"/>
                      <w:sz w:val="21"/>
                    </w:rPr>
                  </w:pPr>
                </w:p>
                <w:p w14:paraId="23BC3746">
                  <w:pPr>
                    <w:spacing w:before="65" w:line="228" w:lineRule="auto"/>
                    <w:ind w:left="200"/>
                    <w:outlineLvl w:val="0"/>
                    <w:rPr>
                      <w:rFonts w:ascii="宋体" w:hAnsi="宋体" w:eastAsia="宋体" w:cs="宋体"/>
                      <w:sz w:val="20"/>
                      <w:szCs w:val="20"/>
                    </w:rPr>
                  </w:pPr>
                  <w:r>
                    <w:rPr>
                      <w:rFonts w:ascii="宋体" w:hAnsi="宋体" w:eastAsia="宋体" w:cs="宋体"/>
                      <w:spacing w:val="7"/>
                      <w:sz w:val="20"/>
                      <w:szCs w:val="20"/>
                    </w:rPr>
                    <w:t>每年一</w:t>
                  </w:r>
                </w:p>
                <w:p w14:paraId="5B50E61F">
                  <w:pPr>
                    <w:spacing w:before="160" w:line="228" w:lineRule="auto"/>
                    <w:ind w:left="414"/>
                    <w:rPr>
                      <w:rFonts w:ascii="宋体" w:hAnsi="宋体" w:eastAsia="宋体" w:cs="宋体"/>
                      <w:sz w:val="20"/>
                      <w:szCs w:val="20"/>
                    </w:rPr>
                  </w:pPr>
                  <w:r>
                    <w:rPr>
                      <w:rFonts w:ascii="宋体" w:hAnsi="宋体" w:eastAsia="宋体" w:cs="宋体"/>
                      <w:sz w:val="20"/>
                      <w:szCs w:val="20"/>
                    </w:rPr>
                    <w:t>次</w:t>
                  </w:r>
                </w:p>
              </w:tc>
              <w:tc>
                <w:tcPr>
                  <w:tcW w:w="2956" w:type="dxa"/>
                  <w:vAlign w:val="top"/>
                </w:tcPr>
                <w:p w14:paraId="7BCCF2C4">
                  <w:pPr>
                    <w:spacing w:before="34" w:line="228" w:lineRule="auto"/>
                    <w:ind w:left="118"/>
                    <w:rPr>
                      <w:rFonts w:ascii="宋体" w:hAnsi="宋体" w:eastAsia="宋体" w:cs="宋体"/>
                      <w:sz w:val="20"/>
                      <w:szCs w:val="20"/>
                    </w:rPr>
                  </w:pPr>
                  <w:r>
                    <w:rPr>
                      <w:rFonts w:ascii="宋体" w:hAnsi="宋体" w:eastAsia="宋体" w:cs="宋体"/>
                      <w:spacing w:val="9"/>
                      <w:sz w:val="20"/>
                      <w:szCs w:val="20"/>
                    </w:rPr>
                    <w:t>执行《合成树脂工业污染物排</w:t>
                  </w:r>
                </w:p>
                <w:p w14:paraId="7693FC05">
                  <w:pPr>
                    <w:spacing w:before="160" w:line="228" w:lineRule="auto"/>
                    <w:ind w:left="115"/>
                    <w:outlineLvl w:val="0"/>
                    <w:rPr>
                      <w:rFonts w:ascii="宋体" w:hAnsi="宋体" w:eastAsia="宋体" w:cs="宋体"/>
                      <w:sz w:val="20"/>
                      <w:szCs w:val="20"/>
                    </w:rPr>
                  </w:pPr>
                  <w:r>
                    <w:rPr>
                      <w:rFonts w:ascii="宋体" w:hAnsi="宋体" w:eastAsia="宋体" w:cs="宋体"/>
                      <w:spacing w:val="3"/>
                      <w:sz w:val="20"/>
                      <w:szCs w:val="20"/>
                    </w:rPr>
                    <w:t>放标准》（</w:t>
                  </w:r>
                  <w:r>
                    <w:rPr>
                      <w:rFonts w:ascii="Times New Roman" w:hAnsi="Times New Roman" w:eastAsia="Times New Roman" w:cs="Times New Roman"/>
                      <w:sz w:val="20"/>
                      <w:szCs w:val="20"/>
                    </w:rPr>
                    <w:t>GB</w:t>
                  </w:r>
                  <w:r>
                    <w:rPr>
                      <w:rFonts w:ascii="Times New Roman" w:hAnsi="Times New Roman" w:eastAsia="Times New Roman" w:cs="Times New Roman"/>
                      <w:spacing w:val="3"/>
                      <w:sz w:val="20"/>
                      <w:szCs w:val="20"/>
                    </w:rPr>
                    <w:t>31572-2015</w:t>
                  </w:r>
                  <w:r>
                    <w:rPr>
                      <w:rFonts w:ascii="Times New Roman" w:hAnsi="Times New Roman" w:eastAsia="Times New Roman" w:cs="Times New Roman"/>
                      <w:spacing w:val="-21"/>
                      <w:sz w:val="20"/>
                      <w:szCs w:val="20"/>
                    </w:rPr>
                    <w:t xml:space="preserve"> </w:t>
                  </w:r>
                  <w:r>
                    <w:rPr>
                      <w:rFonts w:ascii="宋体" w:hAnsi="宋体" w:eastAsia="宋体" w:cs="宋体"/>
                      <w:spacing w:val="3"/>
                      <w:sz w:val="20"/>
                      <w:szCs w:val="20"/>
                    </w:rPr>
                    <w:t>，含</w:t>
                  </w:r>
                </w:p>
                <w:p w14:paraId="183F7422">
                  <w:pPr>
                    <w:spacing w:before="160" w:line="361" w:lineRule="auto"/>
                    <w:ind w:left="331" w:right="109" w:hanging="219"/>
                    <w:rPr>
                      <w:rFonts w:ascii="宋体" w:hAnsi="宋体" w:eastAsia="宋体" w:cs="宋体"/>
                      <w:sz w:val="20"/>
                      <w:szCs w:val="20"/>
                    </w:rPr>
                  </w:pPr>
                  <w:r>
                    <w:rPr>
                      <w:rFonts w:ascii="Times New Roman" w:hAnsi="Times New Roman" w:eastAsia="Times New Roman" w:cs="Times New Roman"/>
                      <w:spacing w:val="3"/>
                      <w:sz w:val="20"/>
                      <w:szCs w:val="20"/>
                    </w:rPr>
                    <w:t xml:space="preserve">2024 </w:t>
                  </w:r>
                  <w:r>
                    <w:rPr>
                      <w:rFonts w:ascii="宋体" w:hAnsi="宋体" w:eastAsia="宋体" w:cs="宋体"/>
                      <w:spacing w:val="3"/>
                      <w:sz w:val="20"/>
                      <w:szCs w:val="20"/>
                    </w:rPr>
                    <w:t>年修改单）中表</w:t>
                  </w:r>
                  <w:r>
                    <w:rPr>
                      <w:rFonts w:ascii="宋体" w:hAnsi="宋体" w:eastAsia="宋体" w:cs="宋体"/>
                      <w:spacing w:val="-23"/>
                      <w:sz w:val="20"/>
                      <w:szCs w:val="20"/>
                    </w:rPr>
                    <w:t xml:space="preserve"> </w:t>
                  </w:r>
                  <w:r>
                    <w:rPr>
                      <w:rFonts w:ascii="Times New Roman" w:hAnsi="Times New Roman" w:eastAsia="Times New Roman" w:cs="Times New Roman"/>
                      <w:spacing w:val="3"/>
                      <w:sz w:val="20"/>
                      <w:szCs w:val="20"/>
                    </w:rPr>
                    <w:t xml:space="preserve">9 </w:t>
                  </w:r>
                  <w:r>
                    <w:rPr>
                      <w:rFonts w:ascii="宋体" w:hAnsi="宋体" w:eastAsia="宋体" w:cs="宋体"/>
                      <w:spacing w:val="3"/>
                      <w:sz w:val="20"/>
                      <w:szCs w:val="20"/>
                    </w:rPr>
                    <w:t>企业边</w:t>
                  </w:r>
                  <w:r>
                    <w:rPr>
                      <w:rFonts w:ascii="宋体" w:hAnsi="宋体" w:eastAsia="宋体" w:cs="宋体"/>
                      <w:spacing w:val="7"/>
                      <w:sz w:val="20"/>
                      <w:szCs w:val="20"/>
                    </w:rPr>
                    <w:t>界大气污染物浓度限值；</w:t>
                  </w:r>
                </w:p>
              </w:tc>
            </w:tr>
          </w:tbl>
          <w:p w14:paraId="0B4747E0">
            <w:pPr>
              <w:spacing w:before="35" w:line="220" w:lineRule="auto"/>
              <w:ind w:left="586"/>
              <w:rPr>
                <w:rFonts w:ascii="宋体" w:hAnsi="宋体" w:eastAsia="宋体" w:cs="宋体"/>
                <w:sz w:val="24"/>
                <w:szCs w:val="24"/>
              </w:rPr>
            </w:pPr>
            <w:r>
              <w:rPr>
                <w:rFonts w:ascii="Times New Roman" w:hAnsi="Times New Roman" w:eastAsia="Times New Roman" w:cs="Times New Roman"/>
                <w:b/>
                <w:bCs/>
                <w:spacing w:val="-5"/>
                <w:sz w:val="24"/>
                <w:szCs w:val="24"/>
              </w:rPr>
              <w:t>4</w:t>
            </w:r>
            <w:r>
              <w:rPr>
                <w:rFonts w:ascii="Times New Roman" w:hAnsi="Times New Roman" w:eastAsia="Times New Roman" w:cs="Times New Roman"/>
                <w:b/>
                <w:bCs/>
                <w:spacing w:val="-33"/>
                <w:sz w:val="24"/>
                <w:szCs w:val="24"/>
              </w:rPr>
              <w:t xml:space="preserve"> </w:t>
            </w:r>
            <w:r>
              <w:rPr>
                <w:rFonts w:ascii="宋体" w:hAnsi="宋体" w:eastAsia="宋体" w:cs="宋体"/>
                <w:b/>
                <w:bCs/>
                <w:spacing w:val="-5"/>
                <w:sz w:val="24"/>
                <w:szCs w:val="24"/>
              </w:rPr>
              <w:t>、大气影响分析结论</w:t>
            </w:r>
          </w:p>
          <w:p w14:paraId="393263A9">
            <w:pPr>
              <w:spacing w:before="181" w:line="359" w:lineRule="auto"/>
              <w:ind w:left="110" w:right="102" w:firstLine="480"/>
              <w:jc w:val="both"/>
              <w:rPr>
                <w:rFonts w:ascii="宋体" w:hAnsi="宋体" w:eastAsia="宋体" w:cs="宋体"/>
                <w:sz w:val="24"/>
                <w:szCs w:val="24"/>
              </w:rPr>
            </w:pPr>
            <w:r>
              <w:rPr>
                <w:rFonts w:ascii="宋体" w:hAnsi="宋体" w:eastAsia="宋体" w:cs="宋体"/>
                <w:spacing w:val="-2"/>
                <w:sz w:val="24"/>
                <w:szCs w:val="24"/>
              </w:rPr>
              <w:t>本项目所在地区环境空气质量现状良好，项目采取的大气污染防治技术可行，有组织排放废气为聚丙烯颗粒熔融注塑过程废气，排放执行《合成树脂工业污染物排放</w:t>
            </w:r>
            <w:r>
              <w:rPr>
                <w:rFonts w:ascii="宋体" w:hAnsi="宋体" w:eastAsia="宋体" w:cs="宋体"/>
                <w:spacing w:val="-1"/>
                <w:sz w:val="24"/>
                <w:szCs w:val="24"/>
              </w:rPr>
              <w:t>标准》（</w:t>
            </w:r>
            <w:r>
              <w:rPr>
                <w:rFonts w:ascii="Times New Roman" w:hAnsi="Times New Roman" w:eastAsia="Times New Roman" w:cs="Times New Roman"/>
                <w:spacing w:val="-1"/>
                <w:sz w:val="24"/>
                <w:szCs w:val="24"/>
              </w:rPr>
              <w:t>GB31572-2015</w:t>
            </w:r>
            <w:r>
              <w:rPr>
                <w:rFonts w:ascii="Times New Roman" w:hAnsi="Times New Roman" w:eastAsia="Times New Roman" w:cs="Times New Roman"/>
                <w:spacing w:val="-16"/>
                <w:sz w:val="24"/>
                <w:szCs w:val="24"/>
              </w:rPr>
              <w:t xml:space="preserve"> </w:t>
            </w:r>
            <w:r>
              <w:rPr>
                <w:rFonts w:ascii="宋体" w:hAnsi="宋体" w:eastAsia="宋体" w:cs="宋体"/>
                <w:spacing w:val="-1"/>
                <w:sz w:val="24"/>
                <w:szCs w:val="24"/>
              </w:rPr>
              <w:t>，及</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 xml:space="preserve">2024 </w:t>
            </w:r>
            <w:r>
              <w:rPr>
                <w:rFonts w:ascii="宋体" w:hAnsi="宋体" w:eastAsia="宋体" w:cs="宋体"/>
                <w:spacing w:val="-1"/>
                <w:sz w:val="24"/>
                <w:szCs w:val="24"/>
              </w:rPr>
              <w:t>年修改单）表</w:t>
            </w:r>
            <w:r>
              <w:rPr>
                <w:rFonts w:ascii="宋体" w:hAnsi="宋体" w:eastAsia="宋体" w:cs="宋体"/>
                <w:spacing w:val="-56"/>
                <w:sz w:val="24"/>
                <w:szCs w:val="24"/>
              </w:rPr>
              <w:t xml:space="preserve"> </w:t>
            </w:r>
            <w:r>
              <w:rPr>
                <w:rFonts w:ascii="Times New Roman" w:hAnsi="Times New Roman" w:eastAsia="Times New Roman" w:cs="Times New Roman"/>
                <w:spacing w:val="-1"/>
                <w:sz w:val="24"/>
                <w:szCs w:val="24"/>
              </w:rPr>
              <w:t xml:space="preserve">4 </w:t>
            </w:r>
            <w:r>
              <w:rPr>
                <w:rFonts w:ascii="宋体" w:hAnsi="宋体" w:eastAsia="宋体" w:cs="宋体"/>
                <w:spacing w:val="-1"/>
                <w:sz w:val="24"/>
                <w:szCs w:val="24"/>
              </w:rPr>
              <w:t>有组织排放标准限值要求及其他相</w:t>
            </w:r>
            <w:r>
              <w:rPr>
                <w:rFonts w:ascii="宋体" w:hAnsi="宋体" w:eastAsia="宋体" w:cs="宋体"/>
                <w:spacing w:val="-2"/>
                <w:sz w:val="24"/>
                <w:szCs w:val="24"/>
              </w:rPr>
              <w:t>关要求；无组织排放的颗粒物浓度和非甲烷总烃浓度满足《合成树脂工业污染物排放标准》（</w:t>
            </w:r>
            <w:r>
              <w:rPr>
                <w:rFonts w:ascii="Times New Roman" w:hAnsi="Times New Roman" w:eastAsia="Times New Roman" w:cs="Times New Roman"/>
                <w:spacing w:val="-2"/>
                <w:sz w:val="24"/>
                <w:szCs w:val="24"/>
              </w:rPr>
              <w:t>GB31571-2015</w:t>
            </w:r>
            <w:r>
              <w:rPr>
                <w:rFonts w:ascii="Times New Roman" w:hAnsi="Times New Roman" w:eastAsia="Times New Roman" w:cs="Times New Roman"/>
                <w:spacing w:val="-31"/>
                <w:sz w:val="24"/>
                <w:szCs w:val="24"/>
              </w:rPr>
              <w:t xml:space="preserve"> </w:t>
            </w:r>
            <w:r>
              <w:rPr>
                <w:rFonts w:ascii="宋体" w:hAnsi="宋体" w:eastAsia="宋体" w:cs="宋体"/>
                <w:spacing w:val="-2"/>
                <w:sz w:val="24"/>
                <w:szCs w:val="24"/>
              </w:rPr>
              <w:t>，及</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2024 </w:t>
            </w:r>
            <w:r>
              <w:rPr>
                <w:rFonts w:ascii="宋体" w:hAnsi="宋体" w:eastAsia="宋体" w:cs="宋体"/>
                <w:spacing w:val="-2"/>
                <w:sz w:val="24"/>
                <w:szCs w:val="24"/>
              </w:rPr>
              <w:t>年修改单）表</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9</w:t>
            </w:r>
            <w:r>
              <w:rPr>
                <w:rFonts w:ascii="Times New Roman" w:hAnsi="Times New Roman" w:eastAsia="Times New Roman" w:cs="Times New Roman"/>
                <w:spacing w:val="32"/>
                <w:sz w:val="24"/>
                <w:szCs w:val="24"/>
              </w:rPr>
              <w:t xml:space="preserve"> </w:t>
            </w:r>
            <w:r>
              <w:rPr>
                <w:rFonts w:ascii="宋体" w:hAnsi="宋体" w:eastAsia="宋体" w:cs="宋体"/>
                <w:spacing w:val="-2"/>
                <w:sz w:val="24"/>
                <w:szCs w:val="24"/>
              </w:rPr>
              <w:t>中厂界无组织排放监控浓</w:t>
            </w:r>
            <w:r>
              <w:rPr>
                <w:rFonts w:ascii="宋体" w:hAnsi="宋体" w:eastAsia="宋体" w:cs="宋体"/>
                <w:spacing w:val="-3"/>
                <w:sz w:val="24"/>
                <w:szCs w:val="24"/>
              </w:rPr>
              <w:t>度。</w:t>
            </w:r>
          </w:p>
          <w:p w14:paraId="3D76CAE9">
            <w:pPr>
              <w:spacing w:before="1" w:line="359" w:lineRule="auto"/>
              <w:ind w:left="109" w:right="102" w:firstLine="480"/>
              <w:jc w:val="both"/>
              <w:rPr>
                <w:rFonts w:ascii="宋体" w:hAnsi="宋体" w:eastAsia="宋体" w:cs="宋体"/>
                <w:sz w:val="24"/>
                <w:szCs w:val="24"/>
              </w:rPr>
            </w:pPr>
            <w:r>
              <w:rPr>
                <w:rFonts w:ascii="宋体" w:hAnsi="宋体" w:eastAsia="宋体" w:cs="宋体"/>
                <w:spacing w:val="-3"/>
                <w:sz w:val="24"/>
                <w:szCs w:val="24"/>
              </w:rPr>
              <w:t>根据《</w:t>
            </w:r>
            <w:r>
              <w:rPr>
                <w:rFonts w:ascii="Times New Roman" w:hAnsi="Times New Roman" w:eastAsia="Times New Roman" w:cs="Times New Roman"/>
                <w:spacing w:val="-3"/>
                <w:sz w:val="24"/>
                <w:szCs w:val="24"/>
              </w:rPr>
              <w:t xml:space="preserve">2024 </w:t>
            </w:r>
            <w:r>
              <w:rPr>
                <w:rFonts w:ascii="宋体" w:hAnsi="宋体" w:eastAsia="宋体" w:cs="宋体"/>
                <w:spacing w:val="-3"/>
                <w:sz w:val="24"/>
                <w:szCs w:val="24"/>
              </w:rPr>
              <w:t>年度昆明市生态环境状况公报》，全市环境空气质量达到国家二</w:t>
            </w:r>
            <w:r>
              <w:rPr>
                <w:rFonts w:ascii="宋体" w:hAnsi="宋体" w:eastAsia="宋体" w:cs="宋体"/>
                <w:spacing w:val="-4"/>
                <w:sz w:val="24"/>
                <w:szCs w:val="24"/>
              </w:rPr>
              <w:t>级标</w:t>
            </w:r>
            <w:r>
              <w:rPr>
                <w:rFonts w:ascii="宋体" w:hAnsi="宋体" w:eastAsia="宋体" w:cs="宋体"/>
                <w:spacing w:val="-1"/>
                <w:sz w:val="24"/>
                <w:szCs w:val="24"/>
              </w:rPr>
              <w:t>准，建设项目所在区域为环境空气二类区，项目区非甲烷总烃、</w:t>
            </w:r>
            <w:r>
              <w:rPr>
                <w:rFonts w:ascii="Times New Roman" w:hAnsi="Times New Roman" w:eastAsia="Times New Roman" w:cs="Times New Roman"/>
                <w:spacing w:val="-2"/>
                <w:sz w:val="24"/>
                <w:szCs w:val="24"/>
              </w:rPr>
              <w:t xml:space="preserve">TSP </w:t>
            </w:r>
            <w:r>
              <w:rPr>
                <w:rFonts w:ascii="宋体" w:hAnsi="宋体" w:eastAsia="宋体" w:cs="宋体"/>
                <w:spacing w:val="-2"/>
                <w:sz w:val="24"/>
                <w:szCs w:val="24"/>
              </w:rPr>
              <w:t>均可满足《大气污染物综合排放标准详解》标准限值。且大气环境容量充裕，项目的建设不会造成区</w:t>
            </w:r>
            <w:r>
              <w:rPr>
                <w:rFonts w:ascii="宋体" w:hAnsi="宋体" w:eastAsia="宋体" w:cs="宋体"/>
                <w:spacing w:val="-1"/>
                <w:sz w:val="24"/>
                <w:szCs w:val="24"/>
              </w:rPr>
              <w:t>域环境质量降低。根据现场勘察，项目周边</w:t>
            </w:r>
            <w:r>
              <w:rPr>
                <w:rFonts w:ascii="宋体" w:hAnsi="宋体" w:eastAsia="宋体" w:cs="宋体"/>
                <w:spacing w:val="-41"/>
                <w:sz w:val="24"/>
                <w:szCs w:val="24"/>
              </w:rPr>
              <w:t xml:space="preserve"> </w:t>
            </w:r>
            <w:r>
              <w:rPr>
                <w:rFonts w:ascii="Times New Roman" w:hAnsi="Times New Roman" w:eastAsia="Times New Roman" w:cs="Times New Roman"/>
                <w:spacing w:val="-1"/>
                <w:sz w:val="24"/>
                <w:szCs w:val="24"/>
              </w:rPr>
              <w:t>500m</w:t>
            </w:r>
            <w:r>
              <w:rPr>
                <w:rFonts w:ascii="Times New Roman" w:hAnsi="Times New Roman" w:eastAsia="Times New Roman" w:cs="Times New Roman"/>
                <w:spacing w:val="16"/>
                <w:sz w:val="24"/>
                <w:szCs w:val="24"/>
              </w:rPr>
              <w:t xml:space="preserve"> </w:t>
            </w:r>
            <w:r>
              <w:rPr>
                <w:rFonts w:ascii="宋体" w:hAnsi="宋体" w:eastAsia="宋体" w:cs="宋体"/>
                <w:spacing w:val="-1"/>
                <w:sz w:val="24"/>
                <w:szCs w:val="24"/>
              </w:rPr>
              <w:t>范围内主要分布工厂，北侧散户位</w:t>
            </w:r>
            <w:r>
              <w:rPr>
                <w:rFonts w:ascii="宋体" w:hAnsi="宋体" w:eastAsia="宋体" w:cs="宋体"/>
                <w:sz w:val="24"/>
                <w:szCs w:val="24"/>
              </w:rPr>
              <w:t>于项目上风向，距离项目区</w:t>
            </w:r>
            <w:r>
              <w:rPr>
                <w:rFonts w:ascii="宋体" w:hAnsi="宋体" w:eastAsia="宋体" w:cs="宋体"/>
                <w:spacing w:val="-35"/>
                <w:sz w:val="24"/>
                <w:szCs w:val="24"/>
              </w:rPr>
              <w:t xml:space="preserve"> </w:t>
            </w:r>
            <w:r>
              <w:rPr>
                <w:rFonts w:ascii="Times New Roman" w:hAnsi="Times New Roman" w:eastAsia="Times New Roman" w:cs="Times New Roman"/>
                <w:sz w:val="24"/>
                <w:szCs w:val="24"/>
              </w:rPr>
              <w:t>425m</w:t>
            </w:r>
            <w:r>
              <w:rPr>
                <w:rFonts w:ascii="Times New Roman" w:hAnsi="Times New Roman" w:eastAsia="Times New Roman" w:cs="Times New Roman"/>
                <w:spacing w:val="-31"/>
                <w:sz w:val="24"/>
                <w:szCs w:val="24"/>
              </w:rPr>
              <w:t xml:space="preserve"> </w:t>
            </w:r>
            <w:r>
              <w:rPr>
                <w:rFonts w:ascii="宋体" w:hAnsi="宋体" w:eastAsia="宋体" w:cs="宋体"/>
                <w:sz w:val="24"/>
                <w:szCs w:val="24"/>
              </w:rPr>
              <w:t>，项目产生的废气对居民区影响较小。项目区空气</w:t>
            </w:r>
            <w:r>
              <w:rPr>
                <w:rFonts w:ascii="宋体" w:hAnsi="宋体" w:eastAsia="宋体" w:cs="宋体"/>
                <w:spacing w:val="-1"/>
                <w:sz w:val="24"/>
                <w:szCs w:val="24"/>
              </w:rPr>
              <w:t>扩散条件较好，对周围大气环境影响较小。</w:t>
            </w:r>
          </w:p>
          <w:p w14:paraId="48376067">
            <w:pPr>
              <w:spacing w:line="218" w:lineRule="auto"/>
              <w:ind w:left="592"/>
              <w:rPr>
                <w:rFonts w:ascii="宋体" w:hAnsi="宋体" w:eastAsia="宋体" w:cs="宋体"/>
                <w:sz w:val="24"/>
                <w:szCs w:val="24"/>
              </w:rPr>
            </w:pPr>
            <w:r>
              <w:rPr>
                <w:rFonts w:ascii="宋体" w:hAnsi="宋体" w:eastAsia="宋体" w:cs="宋体"/>
                <w:spacing w:val="-2"/>
                <w:sz w:val="24"/>
                <w:szCs w:val="24"/>
              </w:rPr>
              <w:t>综上所述，本项目无废气产生。综上所述，项目运营期间产生的大气污染物种类</w:t>
            </w:r>
          </w:p>
        </w:tc>
      </w:tr>
    </w:tbl>
    <w:p w14:paraId="5951363B">
      <w:pPr>
        <w:pStyle w:val="2"/>
      </w:pPr>
    </w:p>
    <w:p w14:paraId="3A22CC16">
      <w:pPr>
        <w:sectPr>
          <w:footerReference r:id="rId94" w:type="default"/>
          <w:pgSz w:w="11906" w:h="16839"/>
          <w:pgMar w:top="400" w:right="1055" w:bottom="1085" w:left="1054" w:header="0" w:footer="762" w:gutter="0"/>
          <w:cols w:space="720" w:num="1"/>
        </w:sectPr>
      </w:pPr>
    </w:p>
    <w:p w14:paraId="66551DB4">
      <w:pPr>
        <w:spacing w:before="19"/>
      </w:pPr>
      <w:r>
        <w:pict>
          <v:shape id="_x0000_s1055" o:spid="_x0000_s1055" style="position:absolute;left:0pt;margin-left:94.9pt;margin-top:754.7pt;height:0.5pt;width:441.55pt;mso-position-horizontal-relative:page;mso-position-vertical-relative:page;z-index:-251635712;mso-width-relative:page;mso-height-relative:page;" filled="f" stroked="t" coordsize="8830,10" o:allowincell="f" path="m0,4l8830,4e">
            <v:fill on="f" focussize="0,0"/>
            <v:stroke weight="0.48pt" color="#000000" miterlimit="2" joinstyle="bevel"/>
            <v:imagedata o:title=""/>
            <o:lock v:ext="edit"/>
          </v:shape>
        </w:pict>
      </w:r>
    </w:p>
    <w:p w14:paraId="34E5C518">
      <w:pPr>
        <w:spacing w:before="19"/>
      </w:pPr>
    </w:p>
    <w:p w14:paraId="49147BBB">
      <w:pPr>
        <w:spacing w:before="19"/>
      </w:pPr>
    </w:p>
    <w:p w14:paraId="58115758">
      <w:pPr>
        <w:spacing w:before="18"/>
      </w:pPr>
    </w:p>
    <w:p w14:paraId="4DC122CE">
      <w:pPr>
        <w:spacing w:before="18"/>
      </w:pPr>
    </w:p>
    <w:tbl>
      <w:tblPr>
        <w:tblStyle w:val="10"/>
        <w:tblW w:w="978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5"/>
        <w:gridCol w:w="113"/>
        <w:gridCol w:w="567"/>
        <w:gridCol w:w="567"/>
        <w:gridCol w:w="567"/>
        <w:gridCol w:w="1299"/>
        <w:gridCol w:w="1140"/>
        <w:gridCol w:w="567"/>
        <w:gridCol w:w="800"/>
        <w:gridCol w:w="845"/>
        <w:gridCol w:w="567"/>
        <w:gridCol w:w="612"/>
        <w:gridCol w:w="619"/>
        <w:gridCol w:w="657"/>
        <w:gridCol w:w="126"/>
      </w:tblGrid>
      <w:tr w14:paraId="32167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0" w:hRule="atLeast"/>
        </w:trPr>
        <w:tc>
          <w:tcPr>
            <w:tcW w:w="735" w:type="dxa"/>
            <w:vMerge w:val="restart"/>
            <w:tcBorders>
              <w:top w:val="single" w:color="000000" w:sz="6" w:space="0"/>
              <w:left w:val="single" w:color="000000" w:sz="6" w:space="0"/>
              <w:bottom w:val="nil"/>
            </w:tcBorders>
            <w:vAlign w:val="top"/>
          </w:tcPr>
          <w:p w14:paraId="761FA1A9">
            <w:pPr>
              <w:rPr>
                <w:rFonts w:ascii="Arial"/>
                <w:sz w:val="21"/>
              </w:rPr>
            </w:pPr>
          </w:p>
        </w:tc>
        <w:tc>
          <w:tcPr>
            <w:tcW w:w="9046" w:type="dxa"/>
            <w:gridSpan w:val="14"/>
            <w:tcBorders>
              <w:top w:val="single" w:color="000000" w:sz="6" w:space="0"/>
              <w:right w:val="single" w:color="000000" w:sz="6" w:space="0"/>
            </w:tcBorders>
            <w:vAlign w:val="top"/>
          </w:tcPr>
          <w:p w14:paraId="0D3F5BBE">
            <w:pPr>
              <w:spacing w:before="39" w:line="359" w:lineRule="auto"/>
              <w:ind w:left="109" w:right="102"/>
              <w:rPr>
                <w:rFonts w:ascii="宋体" w:hAnsi="宋体" w:eastAsia="宋体" w:cs="宋体"/>
                <w:sz w:val="24"/>
                <w:szCs w:val="24"/>
              </w:rPr>
            </w:pPr>
            <w:r>
              <w:rPr>
                <w:rFonts w:ascii="宋体" w:hAnsi="宋体" w:eastAsia="宋体" w:cs="宋体"/>
                <w:spacing w:val="-2"/>
                <w:sz w:val="24"/>
                <w:szCs w:val="24"/>
              </w:rPr>
              <w:t>单一，不会长时间持续排放，项目区地域开阔，有利于废气的无组织扩散，不会对大</w:t>
            </w:r>
            <w:r>
              <w:rPr>
                <w:rFonts w:ascii="宋体" w:hAnsi="宋体" w:eastAsia="宋体" w:cs="宋体"/>
                <w:spacing w:val="-1"/>
                <w:sz w:val="24"/>
                <w:szCs w:val="24"/>
              </w:rPr>
              <w:t>气环境造成明显不良影响。</w:t>
            </w:r>
          </w:p>
          <w:p w14:paraId="3FC1562D">
            <w:pPr>
              <w:spacing w:line="219" w:lineRule="auto"/>
              <w:ind w:left="551"/>
              <w:rPr>
                <w:rFonts w:ascii="宋体" w:hAnsi="宋体" w:eastAsia="宋体" w:cs="宋体"/>
                <w:sz w:val="24"/>
                <w:szCs w:val="24"/>
              </w:rPr>
            </w:pPr>
            <w:r>
              <w:rPr>
                <w:rFonts w:ascii="宋体" w:hAnsi="宋体" w:eastAsia="宋体" w:cs="宋体"/>
                <w:b/>
                <w:bCs/>
                <w:spacing w:val="-16"/>
                <w:sz w:val="24"/>
                <w:szCs w:val="24"/>
              </w:rPr>
              <w:t>二、废水</w:t>
            </w:r>
          </w:p>
          <w:p w14:paraId="3BCC3CB0">
            <w:pPr>
              <w:spacing w:before="183" w:line="219" w:lineRule="auto"/>
              <w:ind w:left="594"/>
              <w:rPr>
                <w:rFonts w:ascii="宋体" w:hAnsi="宋体" w:eastAsia="宋体" w:cs="宋体"/>
                <w:sz w:val="24"/>
                <w:szCs w:val="24"/>
              </w:rPr>
            </w:pPr>
            <w:r>
              <w:rPr>
                <w:rFonts w:ascii="Times New Roman" w:hAnsi="Times New Roman" w:eastAsia="Times New Roman" w:cs="Times New Roman"/>
                <w:b/>
                <w:bCs/>
                <w:spacing w:val="-7"/>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b/>
                <w:bCs/>
                <w:spacing w:val="-7"/>
                <w:sz w:val="24"/>
                <w:szCs w:val="24"/>
              </w:rPr>
              <w:t>、废水影响分析</w:t>
            </w:r>
          </w:p>
          <w:p w14:paraId="46D4CCF5">
            <w:pPr>
              <w:spacing w:before="181" w:line="359" w:lineRule="auto"/>
              <w:ind w:left="108" w:right="100" w:firstLine="480"/>
              <w:jc w:val="both"/>
              <w:rPr>
                <w:rFonts w:ascii="宋体" w:hAnsi="宋体" w:eastAsia="宋体" w:cs="宋体"/>
                <w:sz w:val="24"/>
                <w:szCs w:val="24"/>
              </w:rPr>
            </w:pPr>
            <w:r>
              <w:rPr>
                <w:rFonts w:ascii="宋体" w:hAnsi="宋体" w:eastAsia="宋体" w:cs="宋体"/>
                <w:spacing w:val="-2"/>
                <w:sz w:val="24"/>
                <w:szCs w:val="24"/>
              </w:rPr>
              <w:t>根据水平衡分析，本项目用水为生活用水及冷却塔补充用水，产生的废水为生活</w:t>
            </w:r>
            <w:r>
              <w:rPr>
                <w:rFonts w:ascii="宋体" w:hAnsi="宋体" w:eastAsia="宋体" w:cs="宋体"/>
                <w:spacing w:val="-1"/>
                <w:sz w:val="24"/>
                <w:szCs w:val="24"/>
              </w:rPr>
              <w:t>污水</w:t>
            </w:r>
            <w:r>
              <w:rPr>
                <w:rFonts w:ascii="宋体" w:hAnsi="宋体" w:eastAsia="宋体" w:cs="宋体"/>
                <w:spacing w:val="-51"/>
                <w:sz w:val="24"/>
                <w:szCs w:val="24"/>
              </w:rPr>
              <w:t xml:space="preserve"> </w:t>
            </w:r>
            <w:r>
              <w:rPr>
                <w:rFonts w:ascii="Times New Roman" w:hAnsi="Times New Roman" w:eastAsia="Times New Roman" w:cs="Times New Roman"/>
                <w:spacing w:val="-1"/>
                <w:sz w:val="24"/>
                <w:szCs w:val="24"/>
              </w:rPr>
              <w:t>0.24m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4"/>
                <w:szCs w:val="24"/>
              </w:rPr>
              <w:t>/d</w:t>
            </w:r>
            <w:r>
              <w:rPr>
                <w:rFonts w:ascii="Times New Roman" w:hAnsi="Times New Roman" w:eastAsia="Times New Roman" w:cs="Times New Roman"/>
                <w:spacing w:val="-29"/>
                <w:sz w:val="24"/>
                <w:szCs w:val="24"/>
              </w:rPr>
              <w:t xml:space="preserve"> </w:t>
            </w:r>
            <w:r>
              <w:rPr>
                <w:rFonts w:ascii="宋体" w:hAnsi="宋体" w:eastAsia="宋体" w:cs="宋体"/>
                <w:spacing w:val="-1"/>
                <w:sz w:val="24"/>
                <w:szCs w:val="24"/>
              </w:rPr>
              <w:t>，</w:t>
            </w:r>
            <w:r>
              <w:rPr>
                <w:rFonts w:ascii="Times New Roman" w:hAnsi="Times New Roman" w:eastAsia="Times New Roman" w:cs="Times New Roman"/>
                <w:spacing w:val="-1"/>
                <w:sz w:val="24"/>
                <w:szCs w:val="24"/>
              </w:rPr>
              <w:t>72m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4"/>
                <w:szCs w:val="24"/>
              </w:rPr>
              <w:t>/a</w:t>
            </w:r>
            <w:r>
              <w:rPr>
                <w:rFonts w:ascii="Times New Roman" w:hAnsi="Times New Roman" w:eastAsia="Times New Roman" w:cs="Times New Roman"/>
                <w:spacing w:val="-32"/>
                <w:sz w:val="24"/>
                <w:szCs w:val="24"/>
              </w:rPr>
              <w:t xml:space="preserve"> </w:t>
            </w:r>
            <w:r>
              <w:rPr>
                <w:rFonts w:ascii="宋体" w:hAnsi="宋体" w:eastAsia="宋体" w:cs="宋体"/>
                <w:spacing w:val="-1"/>
                <w:sz w:val="24"/>
                <w:szCs w:val="24"/>
              </w:rPr>
              <w:t>，使用冷却水塔对塑料筐进行间接冷却，冷却水循环</w:t>
            </w:r>
            <w:r>
              <w:rPr>
                <w:rFonts w:ascii="宋体" w:hAnsi="宋体" w:eastAsia="宋体" w:cs="宋体"/>
                <w:spacing w:val="-2"/>
                <w:sz w:val="24"/>
                <w:szCs w:val="24"/>
              </w:rPr>
              <w:t>使用不外</w:t>
            </w:r>
            <w:r>
              <w:rPr>
                <w:rFonts w:ascii="宋体" w:hAnsi="宋体" w:eastAsia="宋体" w:cs="宋体"/>
                <w:spacing w:val="1"/>
                <w:sz w:val="24"/>
                <w:szCs w:val="24"/>
              </w:rPr>
              <w:t>排。生活废水经已建化粪池</w:t>
            </w:r>
            <w:r>
              <w:rPr>
                <w:rFonts w:ascii="Times New Roman" w:hAnsi="Times New Roman" w:eastAsia="Times New Roman" w:cs="Times New Roman"/>
                <w:spacing w:val="1"/>
                <w:sz w:val="24"/>
                <w:szCs w:val="24"/>
              </w:rPr>
              <w:t>+</w:t>
            </w:r>
            <w:r>
              <w:rPr>
                <w:rFonts w:ascii="宋体" w:hAnsi="宋体" w:eastAsia="宋体" w:cs="宋体"/>
                <w:spacing w:val="1"/>
                <w:sz w:val="24"/>
                <w:szCs w:val="24"/>
              </w:rPr>
              <w:t>一体化污水处理设施处理后，达到《城市污水再生利用</w:t>
            </w:r>
            <w:r>
              <w:rPr>
                <w:rFonts w:ascii="宋体" w:hAnsi="宋体" w:eastAsia="宋体" w:cs="宋体"/>
                <w:sz w:val="24"/>
                <w:szCs w:val="24"/>
              </w:rPr>
              <w:t>城市杂用水水质》</w:t>
            </w:r>
            <w:r>
              <w:rPr>
                <w:rFonts w:ascii="Times New Roman" w:hAnsi="Times New Roman" w:eastAsia="Times New Roman" w:cs="Times New Roman"/>
                <w:sz w:val="24"/>
                <w:szCs w:val="24"/>
              </w:rPr>
              <w:t>(GB/T18920-2020)</w:t>
            </w:r>
            <w:r>
              <w:rPr>
                <w:rFonts w:ascii="宋体" w:hAnsi="宋体" w:eastAsia="宋体" w:cs="宋体"/>
                <w:sz w:val="24"/>
                <w:szCs w:val="24"/>
              </w:rPr>
              <w:t>标准，晴天回用作为绿化浇灌，雨天储存于蓄水</w:t>
            </w:r>
            <w:r>
              <w:rPr>
                <w:rFonts w:ascii="宋体" w:hAnsi="宋体" w:eastAsia="宋体" w:cs="宋体"/>
                <w:spacing w:val="-1"/>
                <w:sz w:val="24"/>
                <w:szCs w:val="24"/>
              </w:rPr>
              <w:t>池中待晴天再回用绿化浇灌。</w:t>
            </w:r>
          </w:p>
          <w:p w14:paraId="6EDB7546">
            <w:pPr>
              <w:spacing w:before="5" w:line="357" w:lineRule="auto"/>
              <w:ind w:left="103" w:right="22" w:firstLine="485"/>
              <w:jc w:val="both"/>
              <w:rPr>
                <w:rFonts w:ascii="宋体" w:hAnsi="宋体" w:eastAsia="宋体" w:cs="宋体"/>
                <w:sz w:val="24"/>
                <w:szCs w:val="24"/>
              </w:rPr>
            </w:pPr>
            <w:r>
              <w:rPr>
                <w:rFonts w:ascii="宋体" w:hAnsi="宋体" w:eastAsia="宋体" w:cs="宋体"/>
                <w:spacing w:val="1"/>
                <w:sz w:val="24"/>
                <w:szCs w:val="24"/>
              </w:rPr>
              <w:t>根据验收监测报告，厂区生活污水经化粪池</w:t>
            </w:r>
            <w:r>
              <w:rPr>
                <w:rFonts w:ascii="Times New Roman" w:hAnsi="Times New Roman" w:eastAsia="Times New Roman" w:cs="Times New Roman"/>
                <w:spacing w:val="1"/>
                <w:sz w:val="24"/>
                <w:szCs w:val="24"/>
              </w:rPr>
              <w:t>+</w:t>
            </w:r>
            <w:r>
              <w:rPr>
                <w:rFonts w:ascii="宋体" w:hAnsi="宋体" w:eastAsia="宋体" w:cs="宋体"/>
                <w:spacing w:val="1"/>
                <w:sz w:val="24"/>
                <w:szCs w:val="24"/>
              </w:rPr>
              <w:t>一体化污水处理设施处理后的出水</w:t>
            </w:r>
            <w:r>
              <w:rPr>
                <w:rFonts w:ascii="宋体" w:hAnsi="宋体" w:eastAsia="宋体" w:cs="宋体"/>
                <w:spacing w:val="-4"/>
                <w:sz w:val="24"/>
                <w:szCs w:val="24"/>
              </w:rPr>
              <w:t>浓度为：监测期间</w:t>
            </w:r>
            <w:r>
              <w:rPr>
                <w:rFonts w:ascii="宋体" w:hAnsi="宋体" w:eastAsia="宋体" w:cs="宋体"/>
                <w:spacing w:val="-60"/>
                <w:sz w:val="24"/>
                <w:szCs w:val="24"/>
              </w:rPr>
              <w:t xml:space="preserve"> </w:t>
            </w:r>
            <w:r>
              <w:rPr>
                <w:rFonts w:ascii="Times New Roman" w:hAnsi="Times New Roman" w:eastAsia="Times New Roman" w:cs="Times New Roman"/>
                <w:spacing w:val="-4"/>
                <w:sz w:val="24"/>
                <w:szCs w:val="24"/>
              </w:rPr>
              <w:t xml:space="preserve">pH </w:t>
            </w:r>
            <w:r>
              <w:rPr>
                <w:rFonts w:ascii="宋体" w:hAnsi="宋体" w:eastAsia="宋体" w:cs="宋体"/>
                <w:spacing w:val="-4"/>
                <w:sz w:val="24"/>
                <w:szCs w:val="24"/>
              </w:rPr>
              <w:t>为</w:t>
            </w:r>
            <w:r>
              <w:rPr>
                <w:rFonts w:ascii="宋体" w:hAnsi="宋体" w:eastAsia="宋体" w:cs="宋体"/>
                <w:spacing w:val="-46"/>
                <w:sz w:val="24"/>
                <w:szCs w:val="24"/>
              </w:rPr>
              <w:t xml:space="preserve"> </w:t>
            </w:r>
            <w:r>
              <w:rPr>
                <w:rFonts w:ascii="Times New Roman" w:hAnsi="Times New Roman" w:eastAsia="Times New Roman" w:cs="Times New Roman"/>
                <w:spacing w:val="-4"/>
                <w:sz w:val="24"/>
                <w:szCs w:val="24"/>
              </w:rPr>
              <w:t>8.24</w:t>
            </w:r>
            <w:r>
              <w:rPr>
                <w:rFonts w:ascii="宋体" w:hAnsi="宋体" w:eastAsia="宋体" w:cs="宋体"/>
                <w:spacing w:val="-4"/>
                <w:sz w:val="24"/>
                <w:szCs w:val="24"/>
              </w:rPr>
              <w:t>、浊度为</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1.8</w:t>
            </w:r>
            <w:r>
              <w:rPr>
                <w:rFonts w:ascii="宋体" w:hAnsi="宋体" w:eastAsia="宋体" w:cs="宋体"/>
                <w:spacing w:val="-4"/>
                <w:sz w:val="24"/>
                <w:szCs w:val="24"/>
              </w:rPr>
              <w:t>、氨氮为</w:t>
            </w:r>
            <w:r>
              <w:rPr>
                <w:rFonts w:ascii="宋体" w:hAnsi="宋体" w:eastAsia="宋体" w:cs="宋体"/>
                <w:spacing w:val="-51"/>
                <w:sz w:val="24"/>
                <w:szCs w:val="24"/>
              </w:rPr>
              <w:t xml:space="preserve"> </w:t>
            </w:r>
            <w:r>
              <w:rPr>
                <w:rFonts w:ascii="Times New Roman" w:hAnsi="Times New Roman" w:eastAsia="Times New Roman" w:cs="Times New Roman"/>
                <w:spacing w:val="-4"/>
                <w:sz w:val="24"/>
                <w:szCs w:val="24"/>
              </w:rPr>
              <w:t>7.85.45mg</w:t>
            </w:r>
            <w:r>
              <w:rPr>
                <w:rFonts w:ascii="Times New Roman" w:hAnsi="Times New Roman" w:eastAsia="Times New Roman" w:cs="Times New Roman"/>
                <w:spacing w:val="-5"/>
                <w:sz w:val="24"/>
                <w:szCs w:val="24"/>
              </w:rPr>
              <w:t>/L</w:t>
            </w:r>
            <w:r>
              <w:rPr>
                <w:rFonts w:ascii="宋体" w:hAnsi="宋体" w:eastAsia="宋体" w:cs="宋体"/>
                <w:spacing w:val="-5"/>
                <w:sz w:val="24"/>
                <w:szCs w:val="24"/>
              </w:rPr>
              <w:t>、总余氯为</w:t>
            </w:r>
            <w:r>
              <w:rPr>
                <w:rFonts w:ascii="宋体" w:hAnsi="宋体" w:eastAsia="宋体" w:cs="宋体"/>
                <w:spacing w:val="-51"/>
                <w:sz w:val="24"/>
                <w:szCs w:val="24"/>
              </w:rPr>
              <w:t xml:space="preserve"> </w:t>
            </w:r>
            <w:r>
              <w:rPr>
                <w:rFonts w:ascii="Times New Roman" w:hAnsi="Times New Roman" w:eastAsia="Times New Roman" w:cs="Times New Roman"/>
                <w:spacing w:val="-5"/>
                <w:sz w:val="24"/>
                <w:szCs w:val="24"/>
              </w:rPr>
              <w:t>0.35mg/L</w:t>
            </w:r>
            <w:r>
              <w:rPr>
                <w:rFonts w:ascii="宋体" w:hAnsi="宋体" w:eastAsia="宋体" w:cs="宋体"/>
                <w:spacing w:val="-5"/>
                <w:sz w:val="24"/>
                <w:szCs w:val="24"/>
              </w:rPr>
              <w:t>、</w:t>
            </w:r>
            <w:r>
              <w:rPr>
                <w:rFonts w:ascii="宋体" w:hAnsi="宋体" w:eastAsia="宋体" w:cs="宋体"/>
                <w:sz w:val="24"/>
                <w:szCs w:val="24"/>
              </w:rPr>
              <w:t xml:space="preserve"> </w:t>
            </w:r>
            <w:r>
              <w:rPr>
                <w:rFonts w:ascii="Times New Roman" w:hAnsi="Times New Roman" w:eastAsia="Times New Roman" w:cs="Times New Roman"/>
                <w:spacing w:val="-3"/>
                <w:sz w:val="24"/>
                <w:szCs w:val="24"/>
              </w:rPr>
              <w:t>BOD</w:t>
            </w:r>
            <w:r>
              <w:rPr>
                <w:rFonts w:ascii="Times New Roman" w:hAnsi="Times New Roman" w:eastAsia="Times New Roman" w:cs="Times New Roman"/>
                <w:spacing w:val="-3"/>
                <w:position w:val="-1"/>
                <w:sz w:val="15"/>
                <w:szCs w:val="15"/>
              </w:rPr>
              <w:t>5</w:t>
            </w:r>
            <w:r>
              <w:rPr>
                <w:rFonts w:ascii="Times New Roman" w:hAnsi="Times New Roman" w:eastAsia="Times New Roman" w:cs="Times New Roman"/>
                <w:spacing w:val="13"/>
                <w:w w:val="101"/>
                <w:position w:val="-1"/>
                <w:sz w:val="15"/>
                <w:szCs w:val="15"/>
              </w:rPr>
              <w:t xml:space="preserve"> </w:t>
            </w:r>
            <w:r>
              <w:rPr>
                <w:rFonts w:ascii="宋体" w:hAnsi="宋体" w:eastAsia="宋体" w:cs="宋体"/>
                <w:spacing w:val="-3"/>
                <w:sz w:val="24"/>
                <w:szCs w:val="24"/>
              </w:rPr>
              <w:t>为</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3.2mg/L</w:t>
            </w:r>
            <w:r>
              <w:rPr>
                <w:rFonts w:ascii="宋体" w:hAnsi="宋体" w:eastAsia="宋体" w:cs="宋体"/>
                <w:spacing w:val="-10"/>
                <w:sz w:val="24"/>
                <w:szCs w:val="24"/>
              </w:rPr>
              <w:t>、</w:t>
            </w:r>
            <w:r>
              <w:rPr>
                <w:rFonts w:ascii="Times New Roman" w:hAnsi="Times New Roman" w:eastAsia="Times New Roman" w:cs="Times New Roman"/>
                <w:spacing w:val="-10"/>
                <w:sz w:val="24"/>
                <w:szCs w:val="24"/>
              </w:rPr>
              <w:t xml:space="preserve">COD </w:t>
            </w:r>
            <w:r>
              <w:rPr>
                <w:rFonts w:ascii="宋体" w:hAnsi="宋体" w:eastAsia="宋体" w:cs="宋体"/>
                <w:spacing w:val="-10"/>
                <w:sz w:val="24"/>
                <w:szCs w:val="24"/>
              </w:rPr>
              <w:t>为</w:t>
            </w:r>
            <w:r>
              <w:rPr>
                <w:rFonts w:ascii="宋体" w:hAnsi="宋体" w:eastAsia="宋体" w:cs="宋体"/>
                <w:spacing w:val="-59"/>
                <w:sz w:val="24"/>
                <w:szCs w:val="24"/>
              </w:rPr>
              <w:t xml:space="preserve"> </w:t>
            </w:r>
            <w:r>
              <w:rPr>
                <w:rFonts w:ascii="Times New Roman" w:hAnsi="Times New Roman" w:eastAsia="Times New Roman" w:cs="Times New Roman"/>
                <w:spacing w:val="-10"/>
                <w:sz w:val="24"/>
                <w:szCs w:val="24"/>
              </w:rPr>
              <w:t>45mg/L</w:t>
            </w:r>
            <w:r>
              <w:rPr>
                <w:rFonts w:ascii="宋体" w:hAnsi="宋体" w:eastAsia="宋体" w:cs="宋体"/>
                <w:spacing w:val="-10"/>
                <w:sz w:val="24"/>
                <w:szCs w:val="24"/>
              </w:rPr>
              <w:t>、阴离子表面活性剂为</w:t>
            </w:r>
            <w:r>
              <w:rPr>
                <w:rFonts w:ascii="宋体" w:hAnsi="宋体" w:eastAsia="宋体" w:cs="宋体"/>
                <w:spacing w:val="-54"/>
                <w:sz w:val="24"/>
                <w:szCs w:val="24"/>
              </w:rPr>
              <w:t xml:space="preserve"> </w:t>
            </w:r>
            <w:r>
              <w:rPr>
                <w:rFonts w:ascii="Times New Roman" w:hAnsi="Times New Roman" w:eastAsia="Times New Roman" w:cs="Times New Roman"/>
                <w:spacing w:val="-10"/>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0"/>
                <w:sz w:val="24"/>
                <w:szCs w:val="24"/>
              </w:rPr>
              <w:t>14mg/L</w:t>
            </w:r>
            <w:r>
              <w:rPr>
                <w:rFonts w:ascii="宋体" w:hAnsi="宋体" w:eastAsia="宋体" w:cs="宋体"/>
                <w:spacing w:val="-10"/>
                <w:sz w:val="24"/>
                <w:szCs w:val="24"/>
              </w:rPr>
              <w:t>、</w:t>
            </w:r>
            <w:r>
              <w:rPr>
                <w:rFonts w:ascii="宋体" w:hAnsi="宋体" w:eastAsia="宋体" w:cs="宋体"/>
                <w:spacing w:val="-11"/>
                <w:sz w:val="24"/>
                <w:szCs w:val="24"/>
              </w:rPr>
              <w:t>溶解氧为</w:t>
            </w:r>
            <w:r>
              <w:rPr>
                <w:rFonts w:ascii="宋体" w:hAnsi="宋体" w:eastAsia="宋体" w:cs="宋体"/>
                <w:spacing w:val="-52"/>
                <w:sz w:val="24"/>
                <w:szCs w:val="24"/>
              </w:rPr>
              <w:t xml:space="preserve"> </w:t>
            </w:r>
            <w:r>
              <w:rPr>
                <w:rFonts w:ascii="Times New Roman" w:hAnsi="Times New Roman" w:eastAsia="Times New Roman" w:cs="Times New Roman"/>
                <w:spacing w:val="-11"/>
                <w:sz w:val="24"/>
                <w:szCs w:val="24"/>
              </w:rPr>
              <w:t>3.7mg/L</w:t>
            </w:r>
            <w:r>
              <w:rPr>
                <w:rFonts w:ascii="宋体" w:hAnsi="宋体" w:eastAsia="宋体" w:cs="宋体"/>
                <w:spacing w:val="-11"/>
                <w:sz w:val="24"/>
                <w:szCs w:val="24"/>
              </w:rPr>
              <w:t>、</w:t>
            </w:r>
            <w:r>
              <w:rPr>
                <w:rFonts w:ascii="宋体" w:hAnsi="宋体" w:eastAsia="宋体" w:cs="宋体"/>
                <w:spacing w:val="-3"/>
                <w:sz w:val="24"/>
                <w:szCs w:val="24"/>
              </w:rPr>
              <w:t>溶解性总固体为</w:t>
            </w:r>
            <w:r>
              <w:rPr>
                <w:rFonts w:ascii="宋体" w:hAnsi="宋体" w:eastAsia="宋体" w:cs="宋体"/>
                <w:spacing w:val="-48"/>
                <w:sz w:val="24"/>
                <w:szCs w:val="24"/>
              </w:rPr>
              <w:t xml:space="preserve"> </w:t>
            </w:r>
            <w:r>
              <w:rPr>
                <w:rFonts w:ascii="Times New Roman" w:hAnsi="Times New Roman" w:eastAsia="Times New Roman" w:cs="Times New Roman"/>
                <w:spacing w:val="-3"/>
                <w:sz w:val="24"/>
                <w:szCs w:val="24"/>
              </w:rPr>
              <w:t>568mg/L</w:t>
            </w:r>
            <w:r>
              <w:rPr>
                <w:rFonts w:ascii="Times New Roman" w:hAnsi="Times New Roman" w:eastAsia="Times New Roman" w:cs="Times New Roman"/>
                <w:spacing w:val="-34"/>
                <w:sz w:val="24"/>
                <w:szCs w:val="24"/>
              </w:rPr>
              <w:t xml:space="preserve"> </w:t>
            </w:r>
            <w:r>
              <w:rPr>
                <w:rFonts w:ascii="宋体" w:hAnsi="宋体" w:eastAsia="宋体" w:cs="宋体"/>
                <w:spacing w:val="-3"/>
                <w:sz w:val="24"/>
                <w:szCs w:val="24"/>
              </w:rPr>
              <w:t>、大肠埃希氏菌</w:t>
            </w:r>
            <w:r>
              <w:rPr>
                <w:rFonts w:ascii="Times New Roman" w:hAnsi="Times New Roman" w:eastAsia="Times New Roman" w:cs="Times New Roman"/>
                <w:spacing w:val="-3"/>
                <w:sz w:val="24"/>
                <w:szCs w:val="24"/>
              </w:rPr>
              <w:t>\</w:t>
            </w:r>
            <w:r>
              <w:rPr>
                <w:rFonts w:ascii="宋体" w:hAnsi="宋体" w:eastAsia="宋体" w:cs="宋体"/>
                <w:spacing w:val="-3"/>
                <w:sz w:val="24"/>
                <w:szCs w:val="24"/>
              </w:rPr>
              <w:t>锰、铁未检出</w:t>
            </w:r>
            <w:r>
              <w:rPr>
                <w:rFonts w:ascii="宋体" w:hAnsi="宋体" w:eastAsia="宋体" w:cs="宋体"/>
                <w:spacing w:val="-4"/>
                <w:sz w:val="24"/>
                <w:szCs w:val="24"/>
              </w:rPr>
              <w:t>，各指标浓度均达到《城市污</w:t>
            </w:r>
            <w:r>
              <w:rPr>
                <w:rFonts w:ascii="宋体" w:hAnsi="宋体" w:eastAsia="宋体" w:cs="宋体"/>
                <w:spacing w:val="-2"/>
                <w:sz w:val="24"/>
                <w:szCs w:val="24"/>
              </w:rPr>
              <w:t>水再生利用城市杂用水水质》（</w:t>
            </w:r>
            <w:r>
              <w:rPr>
                <w:rFonts w:ascii="Times New Roman" w:hAnsi="Times New Roman" w:eastAsia="Times New Roman" w:cs="Times New Roman"/>
                <w:spacing w:val="-2"/>
                <w:sz w:val="24"/>
                <w:szCs w:val="24"/>
              </w:rPr>
              <w:t>GB-T18920-2020</w:t>
            </w:r>
            <w:r>
              <w:rPr>
                <w:rFonts w:ascii="宋体" w:hAnsi="宋体" w:eastAsia="宋体" w:cs="宋体"/>
                <w:spacing w:val="-2"/>
                <w:sz w:val="24"/>
                <w:szCs w:val="24"/>
              </w:rPr>
              <w:t>）城市绿化、道路清扫、标准</w:t>
            </w:r>
            <w:r>
              <w:rPr>
                <w:rFonts w:ascii="宋体" w:hAnsi="宋体" w:eastAsia="宋体" w:cs="宋体"/>
                <w:spacing w:val="-3"/>
                <w:sz w:val="24"/>
                <w:szCs w:val="24"/>
              </w:rPr>
              <w:t>。项目</w:t>
            </w:r>
            <w:r>
              <w:rPr>
                <w:rFonts w:ascii="宋体" w:hAnsi="宋体" w:eastAsia="宋体" w:cs="宋体"/>
                <w:spacing w:val="-1"/>
                <w:sz w:val="24"/>
                <w:szCs w:val="24"/>
              </w:rPr>
              <w:t>废水达标回用。</w:t>
            </w:r>
          </w:p>
          <w:p w14:paraId="0F80899C">
            <w:pPr>
              <w:spacing w:before="12" w:line="219" w:lineRule="auto"/>
              <w:ind w:left="584"/>
              <w:rPr>
                <w:rFonts w:ascii="宋体" w:hAnsi="宋体" w:eastAsia="宋体" w:cs="宋体"/>
                <w:sz w:val="24"/>
                <w:szCs w:val="24"/>
              </w:rPr>
            </w:pPr>
            <w:r>
              <w:rPr>
                <w:rFonts w:ascii="Times New Roman" w:hAnsi="Times New Roman" w:eastAsia="Times New Roman" w:cs="Times New Roman"/>
                <w:b/>
                <w:bCs/>
                <w:spacing w:val="-4"/>
                <w:sz w:val="24"/>
                <w:szCs w:val="24"/>
              </w:rPr>
              <w:t>2</w:t>
            </w:r>
            <w:r>
              <w:rPr>
                <w:rFonts w:ascii="Times New Roman" w:hAnsi="Times New Roman" w:eastAsia="Times New Roman" w:cs="Times New Roman"/>
                <w:b/>
                <w:bCs/>
                <w:spacing w:val="-20"/>
                <w:sz w:val="24"/>
                <w:szCs w:val="24"/>
              </w:rPr>
              <w:t xml:space="preserve"> </w:t>
            </w:r>
            <w:r>
              <w:rPr>
                <w:rFonts w:ascii="宋体" w:hAnsi="宋体" w:eastAsia="宋体" w:cs="宋体"/>
                <w:b/>
                <w:bCs/>
                <w:spacing w:val="-4"/>
                <w:sz w:val="24"/>
                <w:szCs w:val="24"/>
              </w:rPr>
              <w:t>、项目废水处理设施及排放信息情况统计</w:t>
            </w:r>
          </w:p>
          <w:p w14:paraId="26D98C31">
            <w:pPr>
              <w:spacing w:before="178" w:line="228" w:lineRule="auto"/>
              <w:ind w:left="2302"/>
              <w:rPr>
                <w:rFonts w:ascii="宋体" w:hAnsi="宋体" w:eastAsia="宋体" w:cs="宋体"/>
                <w:sz w:val="20"/>
                <w:szCs w:val="20"/>
              </w:rPr>
            </w:pPr>
            <w:r>
              <w:rPr>
                <w:rFonts w:ascii="宋体" w:hAnsi="宋体" w:eastAsia="宋体" w:cs="宋体"/>
                <w:b/>
                <w:bCs/>
                <w:spacing w:val="7"/>
                <w:sz w:val="20"/>
                <w:szCs w:val="20"/>
              </w:rPr>
              <w:t>表</w:t>
            </w:r>
            <w:r>
              <w:rPr>
                <w:rFonts w:ascii="宋体" w:hAnsi="宋体" w:eastAsia="宋体" w:cs="宋体"/>
                <w:spacing w:val="-43"/>
                <w:sz w:val="20"/>
                <w:szCs w:val="20"/>
              </w:rPr>
              <w:t xml:space="preserve"> </w:t>
            </w:r>
            <w:r>
              <w:rPr>
                <w:rFonts w:ascii="Times New Roman" w:hAnsi="Times New Roman" w:eastAsia="Times New Roman" w:cs="Times New Roman"/>
                <w:b/>
                <w:bCs/>
                <w:spacing w:val="7"/>
                <w:sz w:val="20"/>
                <w:szCs w:val="20"/>
              </w:rPr>
              <w:t xml:space="preserve">4-7  </w:t>
            </w:r>
            <w:r>
              <w:rPr>
                <w:rFonts w:ascii="宋体" w:hAnsi="宋体" w:eastAsia="宋体" w:cs="宋体"/>
                <w:b/>
                <w:bCs/>
                <w:spacing w:val="7"/>
                <w:sz w:val="20"/>
                <w:szCs w:val="20"/>
              </w:rPr>
              <w:t>废水类别、污染物及污染治理设施信息表</w:t>
            </w:r>
          </w:p>
        </w:tc>
      </w:tr>
      <w:tr w14:paraId="68C30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735" w:type="dxa"/>
            <w:vMerge w:val="continue"/>
            <w:tcBorders>
              <w:top w:val="nil"/>
              <w:left w:val="single" w:color="000000" w:sz="6" w:space="0"/>
              <w:bottom w:val="nil"/>
            </w:tcBorders>
            <w:vAlign w:val="top"/>
          </w:tcPr>
          <w:p w14:paraId="5D8FD156">
            <w:pPr>
              <w:rPr>
                <w:rFonts w:ascii="Arial"/>
                <w:sz w:val="21"/>
              </w:rPr>
            </w:pPr>
          </w:p>
        </w:tc>
        <w:tc>
          <w:tcPr>
            <w:tcW w:w="113" w:type="dxa"/>
            <w:tcBorders>
              <w:top w:val="nil"/>
              <w:bottom w:val="nil"/>
            </w:tcBorders>
            <w:vAlign w:val="top"/>
          </w:tcPr>
          <w:p w14:paraId="03A93D41">
            <w:pPr>
              <w:rPr>
                <w:rFonts w:ascii="Arial"/>
                <w:sz w:val="21"/>
              </w:rPr>
            </w:pPr>
          </w:p>
        </w:tc>
        <w:tc>
          <w:tcPr>
            <w:tcW w:w="567" w:type="dxa"/>
            <w:vMerge w:val="restart"/>
            <w:tcBorders>
              <w:bottom w:val="nil"/>
            </w:tcBorders>
            <w:textDirection w:val="tbRlV"/>
            <w:vAlign w:val="top"/>
          </w:tcPr>
          <w:p w14:paraId="59F752B2">
            <w:pPr>
              <w:spacing w:before="184" w:line="218" w:lineRule="auto"/>
              <w:ind w:left="859"/>
              <w:rPr>
                <w:rFonts w:ascii="宋体" w:hAnsi="宋体" w:eastAsia="宋体" w:cs="宋体"/>
                <w:sz w:val="20"/>
                <w:szCs w:val="20"/>
              </w:rPr>
            </w:pPr>
            <w:r>
              <w:rPr>
                <w:rFonts w:ascii="宋体" w:hAnsi="宋体" w:eastAsia="宋体" w:cs="宋体"/>
                <w:b/>
                <w:bCs/>
                <w:spacing w:val="6"/>
                <w:sz w:val="20"/>
                <w:szCs w:val="20"/>
              </w:rPr>
              <w:t>序</w:t>
            </w:r>
            <w:r>
              <w:rPr>
                <w:rFonts w:ascii="宋体" w:hAnsi="宋体" w:eastAsia="宋体" w:cs="宋体"/>
                <w:spacing w:val="-35"/>
                <w:sz w:val="20"/>
                <w:szCs w:val="20"/>
              </w:rPr>
              <w:t xml:space="preserve"> </w:t>
            </w:r>
            <w:r>
              <w:rPr>
                <w:rFonts w:ascii="宋体" w:hAnsi="宋体" w:eastAsia="宋体" w:cs="宋体"/>
                <w:b/>
                <w:bCs/>
                <w:spacing w:val="6"/>
                <w:sz w:val="20"/>
                <w:szCs w:val="20"/>
              </w:rPr>
              <w:t>号</w:t>
            </w:r>
          </w:p>
        </w:tc>
        <w:tc>
          <w:tcPr>
            <w:tcW w:w="567" w:type="dxa"/>
            <w:vMerge w:val="restart"/>
            <w:tcBorders>
              <w:bottom w:val="nil"/>
            </w:tcBorders>
            <w:textDirection w:val="tbRlV"/>
            <w:vAlign w:val="top"/>
          </w:tcPr>
          <w:p w14:paraId="26736E36">
            <w:pPr>
              <w:spacing w:before="182" w:line="216" w:lineRule="auto"/>
              <w:ind w:left="588"/>
              <w:rPr>
                <w:rFonts w:ascii="宋体" w:hAnsi="宋体" w:eastAsia="宋体" w:cs="宋体"/>
                <w:sz w:val="20"/>
                <w:szCs w:val="20"/>
              </w:rPr>
            </w:pPr>
            <w:r>
              <w:rPr>
                <w:rFonts w:ascii="宋体" w:hAnsi="宋体" w:eastAsia="宋体" w:cs="宋体"/>
                <w:b/>
                <w:bCs/>
                <w:spacing w:val="6"/>
                <w:sz w:val="20"/>
                <w:szCs w:val="20"/>
              </w:rPr>
              <w:t>产</w:t>
            </w:r>
            <w:r>
              <w:rPr>
                <w:rFonts w:ascii="宋体" w:hAnsi="宋体" w:eastAsia="宋体" w:cs="宋体"/>
                <w:spacing w:val="-36"/>
                <w:sz w:val="20"/>
                <w:szCs w:val="20"/>
              </w:rPr>
              <w:t xml:space="preserve"> </w:t>
            </w:r>
            <w:r>
              <w:rPr>
                <w:rFonts w:ascii="宋体" w:hAnsi="宋体" w:eastAsia="宋体" w:cs="宋体"/>
                <w:b/>
                <w:bCs/>
                <w:spacing w:val="6"/>
                <w:sz w:val="20"/>
                <w:szCs w:val="20"/>
              </w:rPr>
              <w:t>污</w:t>
            </w:r>
            <w:r>
              <w:rPr>
                <w:rFonts w:ascii="宋体" w:hAnsi="宋体" w:eastAsia="宋体" w:cs="宋体"/>
                <w:spacing w:val="-36"/>
                <w:sz w:val="20"/>
                <w:szCs w:val="20"/>
              </w:rPr>
              <w:t xml:space="preserve"> </w:t>
            </w:r>
            <w:r>
              <w:rPr>
                <w:rFonts w:ascii="宋体" w:hAnsi="宋体" w:eastAsia="宋体" w:cs="宋体"/>
                <w:b/>
                <w:bCs/>
                <w:spacing w:val="6"/>
                <w:sz w:val="20"/>
                <w:szCs w:val="20"/>
              </w:rPr>
              <w:t>环</w:t>
            </w:r>
            <w:r>
              <w:rPr>
                <w:rFonts w:ascii="宋体" w:hAnsi="宋体" w:eastAsia="宋体" w:cs="宋体"/>
                <w:spacing w:val="-37"/>
                <w:sz w:val="20"/>
                <w:szCs w:val="20"/>
              </w:rPr>
              <w:t xml:space="preserve"> </w:t>
            </w:r>
            <w:r>
              <w:rPr>
                <w:rFonts w:ascii="宋体" w:hAnsi="宋体" w:eastAsia="宋体" w:cs="宋体"/>
                <w:b/>
                <w:bCs/>
                <w:spacing w:val="6"/>
                <w:sz w:val="20"/>
                <w:szCs w:val="20"/>
              </w:rPr>
              <w:t>节</w:t>
            </w:r>
          </w:p>
        </w:tc>
        <w:tc>
          <w:tcPr>
            <w:tcW w:w="567" w:type="dxa"/>
            <w:vMerge w:val="restart"/>
            <w:tcBorders>
              <w:bottom w:val="nil"/>
            </w:tcBorders>
            <w:textDirection w:val="tbRlV"/>
            <w:vAlign w:val="top"/>
          </w:tcPr>
          <w:p w14:paraId="370F1918">
            <w:pPr>
              <w:spacing w:before="183" w:line="216" w:lineRule="auto"/>
              <w:ind w:left="588"/>
              <w:rPr>
                <w:rFonts w:ascii="宋体" w:hAnsi="宋体" w:eastAsia="宋体" w:cs="宋体"/>
                <w:sz w:val="20"/>
                <w:szCs w:val="20"/>
              </w:rPr>
            </w:pPr>
            <w:r>
              <w:rPr>
                <w:rFonts w:ascii="宋体" w:hAnsi="宋体" w:eastAsia="宋体" w:cs="宋体"/>
                <w:b/>
                <w:bCs/>
                <w:spacing w:val="6"/>
                <w:sz w:val="20"/>
                <w:szCs w:val="20"/>
              </w:rPr>
              <w:t>废</w:t>
            </w:r>
            <w:r>
              <w:rPr>
                <w:rFonts w:ascii="宋体" w:hAnsi="宋体" w:eastAsia="宋体" w:cs="宋体"/>
                <w:spacing w:val="-36"/>
                <w:sz w:val="20"/>
                <w:szCs w:val="20"/>
              </w:rPr>
              <w:t xml:space="preserve"> </w:t>
            </w:r>
            <w:r>
              <w:rPr>
                <w:rFonts w:ascii="宋体" w:hAnsi="宋体" w:eastAsia="宋体" w:cs="宋体"/>
                <w:b/>
                <w:bCs/>
                <w:spacing w:val="6"/>
                <w:sz w:val="20"/>
                <w:szCs w:val="20"/>
              </w:rPr>
              <w:t>水</w:t>
            </w:r>
            <w:r>
              <w:rPr>
                <w:rFonts w:ascii="宋体" w:hAnsi="宋体" w:eastAsia="宋体" w:cs="宋体"/>
                <w:spacing w:val="-36"/>
                <w:sz w:val="20"/>
                <w:szCs w:val="20"/>
              </w:rPr>
              <w:t xml:space="preserve"> </w:t>
            </w:r>
            <w:r>
              <w:rPr>
                <w:rFonts w:ascii="宋体" w:hAnsi="宋体" w:eastAsia="宋体" w:cs="宋体"/>
                <w:b/>
                <w:bCs/>
                <w:spacing w:val="6"/>
                <w:sz w:val="20"/>
                <w:szCs w:val="20"/>
              </w:rPr>
              <w:t>类</w:t>
            </w:r>
            <w:r>
              <w:rPr>
                <w:rFonts w:ascii="宋体" w:hAnsi="宋体" w:eastAsia="宋体" w:cs="宋体"/>
                <w:spacing w:val="-37"/>
                <w:sz w:val="20"/>
                <w:szCs w:val="20"/>
              </w:rPr>
              <w:t xml:space="preserve"> </w:t>
            </w:r>
            <w:r>
              <w:rPr>
                <w:rFonts w:ascii="宋体" w:hAnsi="宋体" w:eastAsia="宋体" w:cs="宋体"/>
                <w:b/>
                <w:bCs/>
                <w:spacing w:val="6"/>
                <w:sz w:val="20"/>
                <w:szCs w:val="20"/>
              </w:rPr>
              <w:t>别</w:t>
            </w:r>
          </w:p>
        </w:tc>
        <w:tc>
          <w:tcPr>
            <w:tcW w:w="1299" w:type="dxa"/>
            <w:vMerge w:val="restart"/>
            <w:tcBorders>
              <w:bottom w:val="nil"/>
            </w:tcBorders>
            <w:vAlign w:val="top"/>
          </w:tcPr>
          <w:p w14:paraId="10CD774E">
            <w:pPr>
              <w:spacing w:line="308" w:lineRule="auto"/>
              <w:rPr>
                <w:rFonts w:ascii="Arial"/>
                <w:sz w:val="21"/>
              </w:rPr>
            </w:pPr>
          </w:p>
          <w:p w14:paraId="12C142BF">
            <w:pPr>
              <w:spacing w:line="308" w:lineRule="auto"/>
              <w:rPr>
                <w:rFonts w:ascii="Arial"/>
                <w:sz w:val="21"/>
              </w:rPr>
            </w:pPr>
          </w:p>
          <w:p w14:paraId="6C378451">
            <w:pPr>
              <w:spacing w:line="309" w:lineRule="auto"/>
              <w:rPr>
                <w:rFonts w:ascii="Arial"/>
                <w:sz w:val="21"/>
              </w:rPr>
            </w:pPr>
          </w:p>
          <w:p w14:paraId="25B24174">
            <w:pPr>
              <w:spacing w:before="65" w:line="228" w:lineRule="auto"/>
              <w:ind w:left="126"/>
              <w:rPr>
                <w:rFonts w:ascii="宋体" w:hAnsi="宋体" w:eastAsia="宋体" w:cs="宋体"/>
                <w:sz w:val="20"/>
                <w:szCs w:val="20"/>
              </w:rPr>
            </w:pPr>
            <w:r>
              <w:rPr>
                <w:rFonts w:ascii="宋体" w:hAnsi="宋体" w:eastAsia="宋体" w:cs="宋体"/>
                <w:b/>
                <w:bCs/>
                <w:spacing w:val="6"/>
                <w:sz w:val="20"/>
                <w:szCs w:val="20"/>
              </w:rPr>
              <w:t>污染物种类</w:t>
            </w:r>
          </w:p>
        </w:tc>
        <w:tc>
          <w:tcPr>
            <w:tcW w:w="4531" w:type="dxa"/>
            <w:gridSpan w:val="6"/>
            <w:vAlign w:val="top"/>
          </w:tcPr>
          <w:p w14:paraId="1909F4E4">
            <w:pPr>
              <w:spacing w:before="38" w:line="197" w:lineRule="auto"/>
              <w:ind w:left="1642"/>
              <w:rPr>
                <w:rFonts w:ascii="宋体" w:hAnsi="宋体" w:eastAsia="宋体" w:cs="宋体"/>
                <w:sz w:val="20"/>
                <w:szCs w:val="20"/>
              </w:rPr>
            </w:pPr>
            <w:r>
              <w:rPr>
                <w:rFonts w:ascii="宋体" w:hAnsi="宋体" w:eastAsia="宋体" w:cs="宋体"/>
                <w:b/>
                <w:bCs/>
                <w:spacing w:val="6"/>
                <w:sz w:val="20"/>
                <w:szCs w:val="20"/>
              </w:rPr>
              <w:t>污染治理设施</w:t>
            </w:r>
          </w:p>
        </w:tc>
        <w:tc>
          <w:tcPr>
            <w:tcW w:w="619" w:type="dxa"/>
            <w:vMerge w:val="restart"/>
            <w:tcBorders>
              <w:bottom w:val="nil"/>
            </w:tcBorders>
            <w:textDirection w:val="tbRlV"/>
            <w:vAlign w:val="top"/>
          </w:tcPr>
          <w:p w14:paraId="25B08542">
            <w:pPr>
              <w:spacing w:before="197" w:line="217" w:lineRule="auto"/>
              <w:ind w:left="588"/>
              <w:rPr>
                <w:rFonts w:ascii="宋体" w:hAnsi="宋体" w:eastAsia="宋体" w:cs="宋体"/>
                <w:sz w:val="20"/>
                <w:szCs w:val="20"/>
              </w:rPr>
            </w:pPr>
            <w:r>
              <w:rPr>
                <w:rFonts w:ascii="宋体" w:hAnsi="宋体" w:eastAsia="宋体" w:cs="宋体"/>
                <w:b/>
                <w:bCs/>
                <w:spacing w:val="6"/>
                <w:sz w:val="20"/>
                <w:szCs w:val="20"/>
              </w:rPr>
              <w:t>排</w:t>
            </w:r>
            <w:r>
              <w:rPr>
                <w:rFonts w:ascii="宋体" w:hAnsi="宋体" w:eastAsia="宋体" w:cs="宋体"/>
                <w:spacing w:val="-36"/>
                <w:sz w:val="20"/>
                <w:szCs w:val="20"/>
              </w:rPr>
              <w:t xml:space="preserve"> </w:t>
            </w:r>
            <w:r>
              <w:rPr>
                <w:rFonts w:ascii="宋体" w:hAnsi="宋体" w:eastAsia="宋体" w:cs="宋体"/>
                <w:b/>
                <w:bCs/>
                <w:spacing w:val="6"/>
                <w:sz w:val="20"/>
                <w:szCs w:val="20"/>
              </w:rPr>
              <w:t>放</w:t>
            </w:r>
            <w:r>
              <w:rPr>
                <w:rFonts w:ascii="宋体" w:hAnsi="宋体" w:eastAsia="宋体" w:cs="宋体"/>
                <w:spacing w:val="-36"/>
                <w:sz w:val="20"/>
                <w:szCs w:val="20"/>
              </w:rPr>
              <w:t xml:space="preserve"> </w:t>
            </w:r>
            <w:r>
              <w:rPr>
                <w:rFonts w:ascii="宋体" w:hAnsi="宋体" w:eastAsia="宋体" w:cs="宋体"/>
                <w:b/>
                <w:bCs/>
                <w:spacing w:val="6"/>
                <w:sz w:val="20"/>
                <w:szCs w:val="20"/>
              </w:rPr>
              <w:t>方</w:t>
            </w:r>
            <w:r>
              <w:rPr>
                <w:rFonts w:ascii="宋体" w:hAnsi="宋体" w:eastAsia="宋体" w:cs="宋体"/>
                <w:spacing w:val="-37"/>
                <w:sz w:val="20"/>
                <w:szCs w:val="20"/>
              </w:rPr>
              <w:t xml:space="preserve"> </w:t>
            </w:r>
            <w:r>
              <w:rPr>
                <w:rFonts w:ascii="宋体" w:hAnsi="宋体" w:eastAsia="宋体" w:cs="宋体"/>
                <w:b/>
                <w:bCs/>
                <w:spacing w:val="6"/>
                <w:sz w:val="20"/>
                <w:szCs w:val="20"/>
              </w:rPr>
              <w:t>式</w:t>
            </w:r>
          </w:p>
        </w:tc>
        <w:tc>
          <w:tcPr>
            <w:tcW w:w="657" w:type="dxa"/>
            <w:vMerge w:val="restart"/>
            <w:tcBorders>
              <w:bottom w:val="nil"/>
            </w:tcBorders>
            <w:vAlign w:val="top"/>
          </w:tcPr>
          <w:p w14:paraId="0F7E24CC">
            <w:pPr>
              <w:spacing w:line="263" w:lineRule="auto"/>
              <w:rPr>
                <w:rFonts w:ascii="Arial"/>
                <w:sz w:val="21"/>
              </w:rPr>
            </w:pPr>
          </w:p>
          <w:p w14:paraId="679099E5">
            <w:pPr>
              <w:spacing w:line="263" w:lineRule="auto"/>
              <w:rPr>
                <w:rFonts w:ascii="Arial"/>
                <w:sz w:val="21"/>
              </w:rPr>
            </w:pPr>
          </w:p>
          <w:p w14:paraId="532B7DD2">
            <w:pPr>
              <w:spacing w:line="263" w:lineRule="auto"/>
              <w:rPr>
                <w:rFonts w:ascii="Arial"/>
                <w:sz w:val="21"/>
              </w:rPr>
            </w:pPr>
          </w:p>
          <w:p w14:paraId="4800A0C0">
            <w:pPr>
              <w:spacing w:before="65" w:line="255" w:lineRule="auto"/>
              <w:ind w:left="131" w:right="111" w:hanging="3"/>
              <w:rPr>
                <w:rFonts w:ascii="宋体" w:hAnsi="宋体" w:eastAsia="宋体" w:cs="宋体"/>
                <w:sz w:val="20"/>
                <w:szCs w:val="20"/>
              </w:rPr>
            </w:pPr>
            <w:r>
              <w:rPr>
                <w:rFonts w:ascii="宋体" w:hAnsi="宋体" w:eastAsia="宋体" w:cs="宋体"/>
                <w:b/>
                <w:bCs/>
                <w:spacing w:val="3"/>
                <w:sz w:val="20"/>
                <w:szCs w:val="20"/>
              </w:rPr>
              <w:t>排放</w:t>
            </w:r>
            <w:r>
              <w:rPr>
                <w:rFonts w:ascii="宋体" w:hAnsi="宋体" w:eastAsia="宋体" w:cs="宋体"/>
                <w:b/>
                <w:bCs/>
                <w:spacing w:val="2"/>
                <w:sz w:val="20"/>
                <w:szCs w:val="20"/>
              </w:rPr>
              <w:t>去向</w:t>
            </w:r>
          </w:p>
        </w:tc>
        <w:tc>
          <w:tcPr>
            <w:tcW w:w="126" w:type="dxa"/>
            <w:tcBorders>
              <w:top w:val="nil"/>
              <w:bottom w:val="nil"/>
              <w:right w:val="single" w:color="000000" w:sz="6" w:space="0"/>
            </w:tcBorders>
            <w:vAlign w:val="top"/>
          </w:tcPr>
          <w:p w14:paraId="37D04FE9">
            <w:pPr>
              <w:rPr>
                <w:rFonts w:ascii="Arial"/>
                <w:sz w:val="21"/>
              </w:rPr>
            </w:pPr>
          </w:p>
        </w:tc>
      </w:tr>
      <w:tr w14:paraId="045FB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3" w:hRule="atLeast"/>
        </w:trPr>
        <w:tc>
          <w:tcPr>
            <w:tcW w:w="735" w:type="dxa"/>
            <w:vMerge w:val="continue"/>
            <w:tcBorders>
              <w:top w:val="nil"/>
              <w:left w:val="single" w:color="000000" w:sz="6" w:space="0"/>
              <w:bottom w:val="nil"/>
            </w:tcBorders>
            <w:vAlign w:val="top"/>
          </w:tcPr>
          <w:p w14:paraId="533399F9">
            <w:pPr>
              <w:rPr>
                <w:rFonts w:ascii="Arial"/>
                <w:sz w:val="21"/>
              </w:rPr>
            </w:pPr>
          </w:p>
        </w:tc>
        <w:tc>
          <w:tcPr>
            <w:tcW w:w="113" w:type="dxa"/>
            <w:tcBorders>
              <w:top w:val="nil"/>
              <w:bottom w:val="nil"/>
            </w:tcBorders>
            <w:vAlign w:val="top"/>
          </w:tcPr>
          <w:p w14:paraId="77B35F70">
            <w:pPr>
              <w:rPr>
                <w:rFonts w:ascii="Arial"/>
                <w:sz w:val="21"/>
              </w:rPr>
            </w:pPr>
          </w:p>
        </w:tc>
        <w:tc>
          <w:tcPr>
            <w:tcW w:w="567" w:type="dxa"/>
            <w:vMerge w:val="continue"/>
            <w:tcBorders>
              <w:top w:val="nil"/>
            </w:tcBorders>
            <w:textDirection w:val="tbRlV"/>
            <w:vAlign w:val="top"/>
          </w:tcPr>
          <w:p w14:paraId="28BABDFF">
            <w:pPr>
              <w:rPr>
                <w:rFonts w:ascii="Arial"/>
                <w:sz w:val="21"/>
              </w:rPr>
            </w:pPr>
          </w:p>
        </w:tc>
        <w:tc>
          <w:tcPr>
            <w:tcW w:w="567" w:type="dxa"/>
            <w:vMerge w:val="continue"/>
            <w:tcBorders>
              <w:top w:val="nil"/>
            </w:tcBorders>
            <w:textDirection w:val="tbRlV"/>
            <w:vAlign w:val="top"/>
          </w:tcPr>
          <w:p w14:paraId="1C826940">
            <w:pPr>
              <w:rPr>
                <w:rFonts w:ascii="Arial"/>
                <w:sz w:val="21"/>
              </w:rPr>
            </w:pPr>
          </w:p>
        </w:tc>
        <w:tc>
          <w:tcPr>
            <w:tcW w:w="567" w:type="dxa"/>
            <w:vMerge w:val="continue"/>
            <w:tcBorders>
              <w:top w:val="nil"/>
            </w:tcBorders>
            <w:textDirection w:val="tbRlV"/>
            <w:vAlign w:val="top"/>
          </w:tcPr>
          <w:p w14:paraId="46FF944A">
            <w:pPr>
              <w:rPr>
                <w:rFonts w:ascii="Arial"/>
                <w:sz w:val="21"/>
              </w:rPr>
            </w:pPr>
          </w:p>
        </w:tc>
        <w:tc>
          <w:tcPr>
            <w:tcW w:w="1299" w:type="dxa"/>
            <w:vMerge w:val="continue"/>
            <w:tcBorders>
              <w:top w:val="nil"/>
            </w:tcBorders>
            <w:vAlign w:val="top"/>
          </w:tcPr>
          <w:p w14:paraId="6CA1BA4B">
            <w:pPr>
              <w:rPr>
                <w:rFonts w:ascii="Arial"/>
                <w:sz w:val="21"/>
              </w:rPr>
            </w:pPr>
          </w:p>
        </w:tc>
        <w:tc>
          <w:tcPr>
            <w:tcW w:w="1140" w:type="dxa"/>
            <w:vAlign w:val="top"/>
          </w:tcPr>
          <w:p w14:paraId="4E1DA8D3">
            <w:pPr>
              <w:spacing w:line="332" w:lineRule="auto"/>
              <w:rPr>
                <w:rFonts w:ascii="Arial"/>
                <w:sz w:val="21"/>
              </w:rPr>
            </w:pPr>
          </w:p>
          <w:p w14:paraId="2DE4D54D">
            <w:pPr>
              <w:spacing w:line="332" w:lineRule="auto"/>
              <w:rPr>
                <w:rFonts w:ascii="Arial"/>
                <w:sz w:val="21"/>
              </w:rPr>
            </w:pPr>
          </w:p>
          <w:p w14:paraId="3427D8B3">
            <w:pPr>
              <w:spacing w:before="65" w:line="252" w:lineRule="auto"/>
              <w:ind w:left="364" w:right="148" w:hanging="207"/>
              <w:rPr>
                <w:rFonts w:ascii="宋体" w:hAnsi="宋体" w:eastAsia="宋体" w:cs="宋体"/>
                <w:sz w:val="20"/>
                <w:szCs w:val="20"/>
              </w:rPr>
            </w:pPr>
            <w:r>
              <w:rPr>
                <w:rFonts w:ascii="宋体" w:hAnsi="宋体" w:eastAsia="宋体" w:cs="宋体"/>
                <w:b/>
                <w:bCs/>
                <w:spacing w:val="5"/>
                <w:sz w:val="20"/>
                <w:szCs w:val="20"/>
              </w:rPr>
              <w:t>治理设施</w:t>
            </w:r>
            <w:r>
              <w:rPr>
                <w:rFonts w:ascii="宋体" w:hAnsi="宋体" w:eastAsia="宋体" w:cs="宋体"/>
                <w:b/>
                <w:bCs/>
                <w:spacing w:val="3"/>
                <w:sz w:val="20"/>
                <w:szCs w:val="20"/>
              </w:rPr>
              <w:t>编号</w:t>
            </w:r>
          </w:p>
        </w:tc>
        <w:tc>
          <w:tcPr>
            <w:tcW w:w="567" w:type="dxa"/>
            <w:textDirection w:val="tbRlV"/>
            <w:vAlign w:val="top"/>
          </w:tcPr>
          <w:p w14:paraId="575B48E8">
            <w:pPr>
              <w:spacing w:before="177" w:line="218" w:lineRule="auto"/>
              <w:ind w:left="189"/>
              <w:rPr>
                <w:rFonts w:ascii="宋体" w:hAnsi="宋体" w:eastAsia="宋体" w:cs="宋体"/>
                <w:sz w:val="20"/>
                <w:szCs w:val="20"/>
              </w:rPr>
            </w:pPr>
            <w:r>
              <w:rPr>
                <w:rFonts w:ascii="宋体" w:hAnsi="宋体" w:eastAsia="宋体" w:cs="宋体"/>
                <w:b/>
                <w:bCs/>
                <w:spacing w:val="6"/>
                <w:sz w:val="20"/>
                <w:szCs w:val="20"/>
              </w:rPr>
              <w:t>治</w:t>
            </w:r>
            <w:r>
              <w:rPr>
                <w:rFonts w:ascii="宋体" w:hAnsi="宋体" w:eastAsia="宋体" w:cs="宋体"/>
                <w:spacing w:val="-35"/>
                <w:sz w:val="20"/>
                <w:szCs w:val="20"/>
              </w:rPr>
              <w:t xml:space="preserve"> </w:t>
            </w:r>
            <w:r>
              <w:rPr>
                <w:rFonts w:ascii="宋体" w:hAnsi="宋体" w:eastAsia="宋体" w:cs="宋体"/>
                <w:b/>
                <w:bCs/>
                <w:spacing w:val="6"/>
                <w:sz w:val="20"/>
                <w:szCs w:val="20"/>
              </w:rPr>
              <w:t>理</w:t>
            </w:r>
            <w:r>
              <w:rPr>
                <w:rFonts w:ascii="宋体" w:hAnsi="宋体" w:eastAsia="宋体" w:cs="宋体"/>
                <w:spacing w:val="-35"/>
                <w:sz w:val="20"/>
                <w:szCs w:val="20"/>
              </w:rPr>
              <w:t xml:space="preserve"> </w:t>
            </w:r>
            <w:r>
              <w:rPr>
                <w:rFonts w:ascii="宋体" w:hAnsi="宋体" w:eastAsia="宋体" w:cs="宋体"/>
                <w:b/>
                <w:bCs/>
                <w:spacing w:val="6"/>
                <w:sz w:val="20"/>
                <w:szCs w:val="20"/>
              </w:rPr>
              <w:t>设</w:t>
            </w:r>
            <w:r>
              <w:rPr>
                <w:rFonts w:ascii="宋体" w:hAnsi="宋体" w:eastAsia="宋体" w:cs="宋体"/>
                <w:spacing w:val="-38"/>
                <w:sz w:val="20"/>
                <w:szCs w:val="20"/>
              </w:rPr>
              <w:t xml:space="preserve"> </w:t>
            </w:r>
            <w:r>
              <w:rPr>
                <w:rFonts w:ascii="宋体" w:hAnsi="宋体" w:eastAsia="宋体" w:cs="宋体"/>
                <w:b/>
                <w:bCs/>
                <w:spacing w:val="6"/>
                <w:sz w:val="20"/>
                <w:szCs w:val="20"/>
              </w:rPr>
              <w:t>施</w:t>
            </w:r>
            <w:r>
              <w:rPr>
                <w:rFonts w:ascii="宋体" w:hAnsi="宋体" w:eastAsia="宋体" w:cs="宋体"/>
                <w:spacing w:val="-35"/>
                <w:sz w:val="20"/>
                <w:szCs w:val="20"/>
              </w:rPr>
              <w:t xml:space="preserve"> </w:t>
            </w:r>
            <w:r>
              <w:rPr>
                <w:rFonts w:ascii="宋体" w:hAnsi="宋体" w:eastAsia="宋体" w:cs="宋体"/>
                <w:b/>
                <w:bCs/>
                <w:spacing w:val="6"/>
                <w:sz w:val="20"/>
                <w:szCs w:val="20"/>
              </w:rPr>
              <w:t>名</w:t>
            </w:r>
            <w:r>
              <w:rPr>
                <w:rFonts w:ascii="宋体" w:hAnsi="宋体" w:eastAsia="宋体" w:cs="宋体"/>
                <w:spacing w:val="-38"/>
                <w:sz w:val="20"/>
                <w:szCs w:val="20"/>
              </w:rPr>
              <w:t xml:space="preserve"> </w:t>
            </w:r>
            <w:r>
              <w:rPr>
                <w:rFonts w:ascii="宋体" w:hAnsi="宋体" w:eastAsia="宋体" w:cs="宋体"/>
                <w:b/>
                <w:bCs/>
                <w:spacing w:val="6"/>
                <w:sz w:val="20"/>
                <w:szCs w:val="20"/>
              </w:rPr>
              <w:t>称</w:t>
            </w:r>
          </w:p>
        </w:tc>
        <w:tc>
          <w:tcPr>
            <w:tcW w:w="800" w:type="dxa"/>
            <w:vAlign w:val="top"/>
          </w:tcPr>
          <w:p w14:paraId="4D0716FD">
            <w:pPr>
              <w:spacing w:line="332" w:lineRule="auto"/>
              <w:rPr>
                <w:rFonts w:ascii="Arial"/>
                <w:sz w:val="21"/>
              </w:rPr>
            </w:pPr>
          </w:p>
          <w:p w14:paraId="0CE995A6">
            <w:pPr>
              <w:spacing w:line="332" w:lineRule="auto"/>
              <w:rPr>
                <w:rFonts w:ascii="Arial"/>
                <w:sz w:val="21"/>
              </w:rPr>
            </w:pPr>
          </w:p>
          <w:p w14:paraId="78254F8D">
            <w:pPr>
              <w:spacing w:before="65" w:line="257" w:lineRule="auto"/>
              <w:ind w:left="197" w:right="187" w:firstLine="1"/>
              <w:rPr>
                <w:rFonts w:ascii="宋体" w:hAnsi="宋体" w:eastAsia="宋体" w:cs="宋体"/>
                <w:sz w:val="20"/>
                <w:szCs w:val="20"/>
              </w:rPr>
            </w:pPr>
            <w:r>
              <w:rPr>
                <w:rFonts w:ascii="宋体" w:hAnsi="宋体" w:eastAsia="宋体" w:cs="宋体"/>
                <w:b/>
                <w:bCs/>
                <w:spacing w:val="1"/>
                <w:sz w:val="20"/>
                <w:szCs w:val="20"/>
              </w:rPr>
              <w:t>处理</w:t>
            </w:r>
            <w:r>
              <w:rPr>
                <w:rFonts w:ascii="宋体" w:hAnsi="宋体" w:eastAsia="宋体" w:cs="宋体"/>
                <w:b/>
                <w:bCs/>
                <w:spacing w:val="2"/>
                <w:sz w:val="20"/>
                <w:szCs w:val="20"/>
              </w:rPr>
              <w:t>工艺</w:t>
            </w:r>
          </w:p>
        </w:tc>
        <w:tc>
          <w:tcPr>
            <w:tcW w:w="845" w:type="dxa"/>
            <w:vAlign w:val="top"/>
          </w:tcPr>
          <w:p w14:paraId="7E7BCBA1">
            <w:pPr>
              <w:spacing w:line="272" w:lineRule="auto"/>
              <w:rPr>
                <w:rFonts w:ascii="Arial"/>
                <w:sz w:val="21"/>
              </w:rPr>
            </w:pPr>
          </w:p>
          <w:p w14:paraId="03027F8C">
            <w:pPr>
              <w:spacing w:line="272" w:lineRule="auto"/>
              <w:rPr>
                <w:rFonts w:ascii="Arial"/>
                <w:sz w:val="21"/>
              </w:rPr>
            </w:pPr>
          </w:p>
          <w:p w14:paraId="242988BD">
            <w:pPr>
              <w:spacing w:before="65" w:line="251" w:lineRule="auto"/>
              <w:ind w:left="220" w:right="207" w:firstLine="4"/>
              <w:jc w:val="both"/>
              <w:rPr>
                <w:rFonts w:ascii="Times New Roman" w:hAnsi="Times New Roman" w:eastAsia="Times New Roman" w:cs="Times New Roman"/>
                <w:sz w:val="20"/>
                <w:szCs w:val="20"/>
              </w:rPr>
            </w:pPr>
            <w:r>
              <w:rPr>
                <w:rFonts w:ascii="宋体" w:hAnsi="宋体" w:eastAsia="宋体" w:cs="宋体"/>
                <w:b/>
                <w:bCs/>
                <w:spacing w:val="1"/>
                <w:sz w:val="20"/>
                <w:szCs w:val="20"/>
              </w:rPr>
              <w:t>处理</w:t>
            </w:r>
            <w:r>
              <w:rPr>
                <w:rFonts w:ascii="宋体" w:hAnsi="宋体" w:eastAsia="宋体" w:cs="宋体"/>
                <w:b/>
                <w:bCs/>
                <w:spacing w:val="2"/>
                <w:sz w:val="20"/>
                <w:szCs w:val="20"/>
              </w:rPr>
              <w:t>能力</w:t>
            </w:r>
            <w:r>
              <w:rPr>
                <w:rFonts w:ascii="Times New Roman" w:hAnsi="Times New Roman" w:eastAsia="Times New Roman" w:cs="Times New Roman"/>
                <w:b/>
                <w:bCs/>
                <w:spacing w:val="2"/>
                <w:position w:val="-1"/>
                <w:sz w:val="20"/>
                <w:szCs w:val="20"/>
              </w:rPr>
              <w:t>m</w:t>
            </w:r>
            <w:r>
              <w:rPr>
                <w:rFonts w:ascii="Times New Roman" w:hAnsi="Times New Roman" w:eastAsia="Times New Roman" w:cs="Times New Roman"/>
                <w:b/>
                <w:bCs/>
                <w:spacing w:val="2"/>
                <w:position w:val="5"/>
                <w:sz w:val="13"/>
                <w:szCs w:val="13"/>
              </w:rPr>
              <w:t>3</w:t>
            </w:r>
            <w:r>
              <w:rPr>
                <w:rFonts w:ascii="Times New Roman" w:hAnsi="Times New Roman" w:eastAsia="Times New Roman" w:cs="Times New Roman"/>
                <w:b/>
                <w:bCs/>
                <w:spacing w:val="2"/>
                <w:position w:val="-1"/>
                <w:sz w:val="20"/>
                <w:szCs w:val="20"/>
              </w:rPr>
              <w:t>/d</w:t>
            </w:r>
          </w:p>
        </w:tc>
        <w:tc>
          <w:tcPr>
            <w:tcW w:w="567" w:type="dxa"/>
            <w:textDirection w:val="tbRlV"/>
            <w:vAlign w:val="top"/>
          </w:tcPr>
          <w:p w14:paraId="6E69B07A">
            <w:pPr>
              <w:spacing w:before="174" w:line="214" w:lineRule="auto"/>
              <w:ind w:left="463"/>
              <w:rPr>
                <w:rFonts w:ascii="宋体" w:hAnsi="宋体" w:eastAsia="宋体" w:cs="宋体"/>
                <w:sz w:val="20"/>
                <w:szCs w:val="20"/>
              </w:rPr>
            </w:pPr>
            <w:r>
              <w:rPr>
                <w:rFonts w:ascii="宋体" w:hAnsi="宋体" w:eastAsia="宋体" w:cs="宋体"/>
                <w:b/>
                <w:bCs/>
                <w:spacing w:val="6"/>
                <w:sz w:val="20"/>
                <w:szCs w:val="20"/>
              </w:rPr>
              <w:t>处</w:t>
            </w:r>
            <w:r>
              <w:rPr>
                <w:rFonts w:ascii="宋体" w:hAnsi="宋体" w:eastAsia="宋体" w:cs="宋体"/>
                <w:spacing w:val="-36"/>
                <w:sz w:val="20"/>
                <w:szCs w:val="20"/>
              </w:rPr>
              <w:t xml:space="preserve"> </w:t>
            </w:r>
            <w:r>
              <w:rPr>
                <w:rFonts w:ascii="宋体" w:hAnsi="宋体" w:eastAsia="宋体" w:cs="宋体"/>
                <w:b/>
                <w:bCs/>
                <w:spacing w:val="6"/>
                <w:sz w:val="20"/>
                <w:szCs w:val="20"/>
              </w:rPr>
              <w:t>理</w:t>
            </w:r>
            <w:r>
              <w:rPr>
                <w:rFonts w:ascii="宋体" w:hAnsi="宋体" w:eastAsia="宋体" w:cs="宋体"/>
                <w:spacing w:val="-38"/>
                <w:sz w:val="20"/>
                <w:szCs w:val="20"/>
              </w:rPr>
              <w:t xml:space="preserve"> </w:t>
            </w:r>
            <w:r>
              <w:rPr>
                <w:rFonts w:ascii="宋体" w:hAnsi="宋体" w:eastAsia="宋体" w:cs="宋体"/>
                <w:b/>
                <w:bCs/>
                <w:spacing w:val="6"/>
                <w:sz w:val="20"/>
                <w:szCs w:val="20"/>
              </w:rPr>
              <w:t>效</w:t>
            </w:r>
            <w:r>
              <w:rPr>
                <w:rFonts w:ascii="宋体" w:hAnsi="宋体" w:eastAsia="宋体" w:cs="宋体"/>
                <w:spacing w:val="-35"/>
                <w:sz w:val="20"/>
                <w:szCs w:val="20"/>
              </w:rPr>
              <w:t xml:space="preserve"> </w:t>
            </w:r>
            <w:r>
              <w:rPr>
                <w:rFonts w:ascii="宋体" w:hAnsi="宋体" w:eastAsia="宋体" w:cs="宋体"/>
                <w:b/>
                <w:bCs/>
                <w:spacing w:val="6"/>
                <w:sz w:val="20"/>
                <w:szCs w:val="20"/>
              </w:rPr>
              <w:t>率</w:t>
            </w:r>
          </w:p>
        </w:tc>
        <w:tc>
          <w:tcPr>
            <w:tcW w:w="612" w:type="dxa"/>
            <w:textDirection w:val="tbRlV"/>
            <w:vAlign w:val="top"/>
          </w:tcPr>
          <w:p w14:paraId="192988AC">
            <w:pPr>
              <w:spacing w:before="195" w:line="215" w:lineRule="auto"/>
              <w:ind w:left="55"/>
              <w:rPr>
                <w:rFonts w:ascii="宋体" w:hAnsi="宋体" w:eastAsia="宋体" w:cs="宋体"/>
                <w:sz w:val="20"/>
                <w:szCs w:val="20"/>
              </w:rPr>
            </w:pPr>
            <w:r>
              <w:rPr>
                <w:rFonts w:ascii="宋体" w:hAnsi="宋体" w:eastAsia="宋体" w:cs="宋体"/>
                <w:b/>
                <w:bCs/>
                <w:spacing w:val="6"/>
                <w:sz w:val="20"/>
                <w:szCs w:val="20"/>
              </w:rPr>
              <w:t>是</w:t>
            </w:r>
            <w:r>
              <w:rPr>
                <w:rFonts w:ascii="宋体" w:hAnsi="宋体" w:eastAsia="宋体" w:cs="宋体"/>
                <w:spacing w:val="-34"/>
                <w:sz w:val="20"/>
                <w:szCs w:val="20"/>
              </w:rPr>
              <w:t xml:space="preserve"> </w:t>
            </w:r>
            <w:r>
              <w:rPr>
                <w:rFonts w:ascii="宋体" w:hAnsi="宋体" w:eastAsia="宋体" w:cs="宋体"/>
                <w:b/>
                <w:bCs/>
                <w:spacing w:val="6"/>
                <w:sz w:val="20"/>
                <w:szCs w:val="20"/>
              </w:rPr>
              <w:t>否</w:t>
            </w:r>
            <w:r>
              <w:rPr>
                <w:rFonts w:ascii="宋体" w:hAnsi="宋体" w:eastAsia="宋体" w:cs="宋体"/>
                <w:spacing w:val="-38"/>
                <w:sz w:val="20"/>
                <w:szCs w:val="20"/>
              </w:rPr>
              <w:t xml:space="preserve"> </w:t>
            </w:r>
            <w:r>
              <w:rPr>
                <w:rFonts w:ascii="宋体" w:hAnsi="宋体" w:eastAsia="宋体" w:cs="宋体"/>
                <w:b/>
                <w:bCs/>
                <w:spacing w:val="6"/>
                <w:sz w:val="20"/>
                <w:szCs w:val="20"/>
              </w:rPr>
              <w:t>为</w:t>
            </w:r>
            <w:r>
              <w:rPr>
                <w:rFonts w:ascii="宋体" w:hAnsi="宋体" w:eastAsia="宋体" w:cs="宋体"/>
                <w:spacing w:val="-35"/>
                <w:sz w:val="20"/>
                <w:szCs w:val="20"/>
              </w:rPr>
              <w:t xml:space="preserve"> </w:t>
            </w:r>
            <w:r>
              <w:rPr>
                <w:rFonts w:ascii="宋体" w:hAnsi="宋体" w:eastAsia="宋体" w:cs="宋体"/>
                <w:b/>
                <w:bCs/>
                <w:spacing w:val="6"/>
                <w:sz w:val="20"/>
                <w:szCs w:val="20"/>
              </w:rPr>
              <w:t>可</w:t>
            </w:r>
            <w:r>
              <w:rPr>
                <w:rFonts w:ascii="宋体" w:hAnsi="宋体" w:eastAsia="宋体" w:cs="宋体"/>
                <w:spacing w:val="-38"/>
                <w:sz w:val="20"/>
                <w:szCs w:val="20"/>
              </w:rPr>
              <w:t xml:space="preserve"> </w:t>
            </w:r>
            <w:r>
              <w:rPr>
                <w:rFonts w:ascii="宋体" w:hAnsi="宋体" w:eastAsia="宋体" w:cs="宋体"/>
                <w:b/>
                <w:bCs/>
                <w:spacing w:val="6"/>
                <w:sz w:val="20"/>
                <w:szCs w:val="20"/>
              </w:rPr>
              <w:t>行</w:t>
            </w:r>
            <w:r>
              <w:rPr>
                <w:rFonts w:ascii="宋体" w:hAnsi="宋体" w:eastAsia="宋体" w:cs="宋体"/>
                <w:spacing w:val="-35"/>
                <w:sz w:val="20"/>
                <w:szCs w:val="20"/>
              </w:rPr>
              <w:t xml:space="preserve"> </w:t>
            </w:r>
            <w:r>
              <w:rPr>
                <w:rFonts w:ascii="宋体" w:hAnsi="宋体" w:eastAsia="宋体" w:cs="宋体"/>
                <w:b/>
                <w:bCs/>
                <w:spacing w:val="6"/>
                <w:sz w:val="20"/>
                <w:szCs w:val="20"/>
              </w:rPr>
              <w:t>技</w:t>
            </w:r>
            <w:r>
              <w:rPr>
                <w:rFonts w:ascii="宋体" w:hAnsi="宋体" w:eastAsia="宋体" w:cs="宋体"/>
                <w:spacing w:val="-35"/>
                <w:sz w:val="20"/>
                <w:szCs w:val="20"/>
              </w:rPr>
              <w:t xml:space="preserve"> </w:t>
            </w:r>
            <w:r>
              <w:rPr>
                <w:rFonts w:ascii="宋体" w:hAnsi="宋体" w:eastAsia="宋体" w:cs="宋体"/>
                <w:b/>
                <w:bCs/>
                <w:spacing w:val="6"/>
                <w:sz w:val="20"/>
                <w:szCs w:val="20"/>
              </w:rPr>
              <w:t>术</w:t>
            </w:r>
          </w:p>
        </w:tc>
        <w:tc>
          <w:tcPr>
            <w:tcW w:w="619" w:type="dxa"/>
            <w:vMerge w:val="continue"/>
            <w:tcBorders>
              <w:top w:val="nil"/>
            </w:tcBorders>
            <w:textDirection w:val="tbRlV"/>
            <w:vAlign w:val="top"/>
          </w:tcPr>
          <w:p w14:paraId="60A47FE0">
            <w:pPr>
              <w:rPr>
                <w:rFonts w:ascii="Arial"/>
                <w:sz w:val="21"/>
              </w:rPr>
            </w:pPr>
          </w:p>
        </w:tc>
        <w:tc>
          <w:tcPr>
            <w:tcW w:w="657" w:type="dxa"/>
            <w:vMerge w:val="continue"/>
            <w:tcBorders>
              <w:top w:val="nil"/>
            </w:tcBorders>
            <w:vAlign w:val="top"/>
          </w:tcPr>
          <w:p w14:paraId="635E7886">
            <w:pPr>
              <w:rPr>
                <w:rFonts w:ascii="Arial"/>
                <w:sz w:val="21"/>
              </w:rPr>
            </w:pPr>
          </w:p>
        </w:tc>
        <w:tc>
          <w:tcPr>
            <w:tcW w:w="126" w:type="dxa"/>
            <w:tcBorders>
              <w:top w:val="nil"/>
              <w:bottom w:val="nil"/>
              <w:right w:val="single" w:color="000000" w:sz="6" w:space="0"/>
            </w:tcBorders>
            <w:vAlign w:val="top"/>
          </w:tcPr>
          <w:p w14:paraId="64CB99C5">
            <w:pPr>
              <w:rPr>
                <w:rFonts w:ascii="Arial"/>
                <w:sz w:val="21"/>
              </w:rPr>
            </w:pPr>
          </w:p>
        </w:tc>
      </w:tr>
      <w:tr w14:paraId="686F6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4" w:hRule="atLeast"/>
        </w:trPr>
        <w:tc>
          <w:tcPr>
            <w:tcW w:w="735" w:type="dxa"/>
            <w:vMerge w:val="continue"/>
            <w:tcBorders>
              <w:top w:val="nil"/>
              <w:left w:val="single" w:color="000000" w:sz="6" w:space="0"/>
              <w:bottom w:val="nil"/>
            </w:tcBorders>
            <w:vAlign w:val="top"/>
          </w:tcPr>
          <w:p w14:paraId="39F4075E">
            <w:pPr>
              <w:rPr>
                <w:rFonts w:ascii="Arial"/>
                <w:sz w:val="21"/>
              </w:rPr>
            </w:pPr>
          </w:p>
        </w:tc>
        <w:tc>
          <w:tcPr>
            <w:tcW w:w="113" w:type="dxa"/>
            <w:tcBorders>
              <w:top w:val="nil"/>
              <w:bottom w:val="nil"/>
            </w:tcBorders>
            <w:vAlign w:val="top"/>
          </w:tcPr>
          <w:p w14:paraId="54FD594D">
            <w:pPr>
              <w:rPr>
                <w:rFonts w:ascii="Arial"/>
                <w:sz w:val="21"/>
              </w:rPr>
            </w:pPr>
          </w:p>
        </w:tc>
        <w:tc>
          <w:tcPr>
            <w:tcW w:w="567" w:type="dxa"/>
            <w:vMerge w:val="restart"/>
            <w:tcBorders>
              <w:bottom w:val="nil"/>
            </w:tcBorders>
            <w:vAlign w:val="top"/>
          </w:tcPr>
          <w:p w14:paraId="01683D45">
            <w:pPr>
              <w:spacing w:line="252" w:lineRule="auto"/>
              <w:rPr>
                <w:rFonts w:ascii="Arial"/>
                <w:sz w:val="21"/>
              </w:rPr>
            </w:pPr>
          </w:p>
          <w:p w14:paraId="354B088E">
            <w:pPr>
              <w:spacing w:line="252" w:lineRule="auto"/>
              <w:rPr>
                <w:rFonts w:ascii="Arial"/>
                <w:sz w:val="21"/>
              </w:rPr>
            </w:pPr>
          </w:p>
          <w:p w14:paraId="02E39AB6">
            <w:pPr>
              <w:spacing w:line="253" w:lineRule="auto"/>
              <w:rPr>
                <w:rFonts w:ascii="Arial"/>
                <w:sz w:val="21"/>
              </w:rPr>
            </w:pPr>
          </w:p>
          <w:p w14:paraId="35B103FB">
            <w:pPr>
              <w:spacing w:line="253" w:lineRule="auto"/>
              <w:rPr>
                <w:rFonts w:ascii="Arial"/>
                <w:sz w:val="21"/>
              </w:rPr>
            </w:pPr>
          </w:p>
          <w:p w14:paraId="2D709310">
            <w:pPr>
              <w:spacing w:line="253" w:lineRule="auto"/>
              <w:rPr>
                <w:rFonts w:ascii="Arial"/>
                <w:sz w:val="21"/>
              </w:rPr>
            </w:pPr>
          </w:p>
          <w:p w14:paraId="1A58CBBB">
            <w:pPr>
              <w:spacing w:line="253" w:lineRule="auto"/>
              <w:rPr>
                <w:rFonts w:ascii="Arial"/>
                <w:sz w:val="21"/>
              </w:rPr>
            </w:pPr>
          </w:p>
          <w:p w14:paraId="1073AFE8">
            <w:pPr>
              <w:spacing w:before="57" w:line="195" w:lineRule="auto"/>
              <w:ind w:left="24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567" w:type="dxa"/>
            <w:vMerge w:val="restart"/>
            <w:tcBorders>
              <w:bottom w:val="nil"/>
            </w:tcBorders>
            <w:textDirection w:val="tbRlV"/>
            <w:vAlign w:val="top"/>
          </w:tcPr>
          <w:p w14:paraId="4CB02ADB">
            <w:pPr>
              <w:spacing w:before="182" w:line="215" w:lineRule="auto"/>
              <w:ind w:left="1136"/>
              <w:rPr>
                <w:rFonts w:ascii="宋体" w:hAnsi="宋体" w:eastAsia="宋体" w:cs="宋体"/>
                <w:sz w:val="20"/>
                <w:szCs w:val="20"/>
              </w:rPr>
            </w:pPr>
            <w:r>
              <w:rPr>
                <w:rFonts w:ascii="宋体" w:hAnsi="宋体" w:eastAsia="宋体" w:cs="宋体"/>
                <w:spacing w:val="8"/>
                <w:sz w:val="20"/>
                <w:szCs w:val="20"/>
              </w:rPr>
              <w:t>员</w:t>
            </w:r>
            <w:r>
              <w:rPr>
                <w:rFonts w:ascii="宋体" w:hAnsi="宋体" w:eastAsia="宋体" w:cs="宋体"/>
                <w:spacing w:val="-34"/>
                <w:sz w:val="20"/>
                <w:szCs w:val="20"/>
              </w:rPr>
              <w:t xml:space="preserve"> </w:t>
            </w:r>
            <w:r>
              <w:rPr>
                <w:rFonts w:ascii="宋体" w:hAnsi="宋体" w:eastAsia="宋体" w:cs="宋体"/>
                <w:spacing w:val="8"/>
                <w:sz w:val="20"/>
                <w:szCs w:val="20"/>
              </w:rPr>
              <w:t>工</w:t>
            </w:r>
            <w:r>
              <w:rPr>
                <w:rFonts w:ascii="宋体" w:hAnsi="宋体" w:eastAsia="宋体" w:cs="宋体"/>
                <w:spacing w:val="-37"/>
                <w:sz w:val="20"/>
                <w:szCs w:val="20"/>
              </w:rPr>
              <w:t xml:space="preserve"> </w:t>
            </w:r>
            <w:r>
              <w:rPr>
                <w:rFonts w:ascii="宋体" w:hAnsi="宋体" w:eastAsia="宋体" w:cs="宋体"/>
                <w:spacing w:val="8"/>
                <w:sz w:val="20"/>
                <w:szCs w:val="20"/>
              </w:rPr>
              <w:t>生</w:t>
            </w:r>
            <w:r>
              <w:rPr>
                <w:rFonts w:ascii="宋体" w:hAnsi="宋体" w:eastAsia="宋体" w:cs="宋体"/>
                <w:spacing w:val="-35"/>
                <w:sz w:val="20"/>
                <w:szCs w:val="20"/>
              </w:rPr>
              <w:t xml:space="preserve"> </w:t>
            </w:r>
            <w:r>
              <w:rPr>
                <w:rFonts w:ascii="宋体" w:hAnsi="宋体" w:eastAsia="宋体" w:cs="宋体"/>
                <w:spacing w:val="8"/>
                <w:sz w:val="20"/>
                <w:szCs w:val="20"/>
              </w:rPr>
              <w:t>活</w:t>
            </w:r>
          </w:p>
        </w:tc>
        <w:tc>
          <w:tcPr>
            <w:tcW w:w="567" w:type="dxa"/>
            <w:vMerge w:val="restart"/>
            <w:tcBorders>
              <w:bottom w:val="nil"/>
            </w:tcBorders>
            <w:textDirection w:val="tbRlV"/>
            <w:vAlign w:val="top"/>
          </w:tcPr>
          <w:p w14:paraId="01B2120C">
            <w:pPr>
              <w:spacing w:before="181" w:line="216" w:lineRule="auto"/>
              <w:ind w:left="1136"/>
              <w:rPr>
                <w:rFonts w:ascii="宋体" w:hAnsi="宋体" w:eastAsia="宋体" w:cs="宋体"/>
                <w:sz w:val="20"/>
                <w:szCs w:val="20"/>
              </w:rPr>
            </w:pPr>
            <w:r>
              <w:rPr>
                <w:rFonts w:ascii="宋体" w:hAnsi="宋体" w:eastAsia="宋体" w:cs="宋体"/>
                <w:spacing w:val="8"/>
                <w:sz w:val="20"/>
                <w:szCs w:val="20"/>
              </w:rPr>
              <w:t>生</w:t>
            </w:r>
            <w:r>
              <w:rPr>
                <w:rFonts w:ascii="宋体" w:hAnsi="宋体" w:eastAsia="宋体" w:cs="宋体"/>
                <w:spacing w:val="-34"/>
                <w:sz w:val="20"/>
                <w:szCs w:val="20"/>
              </w:rPr>
              <w:t xml:space="preserve"> </w:t>
            </w:r>
            <w:r>
              <w:rPr>
                <w:rFonts w:ascii="宋体" w:hAnsi="宋体" w:eastAsia="宋体" w:cs="宋体"/>
                <w:spacing w:val="8"/>
                <w:sz w:val="20"/>
                <w:szCs w:val="20"/>
              </w:rPr>
              <w:t>活</w:t>
            </w:r>
            <w:r>
              <w:rPr>
                <w:rFonts w:ascii="宋体" w:hAnsi="宋体" w:eastAsia="宋体" w:cs="宋体"/>
                <w:spacing w:val="-37"/>
                <w:sz w:val="20"/>
                <w:szCs w:val="20"/>
              </w:rPr>
              <w:t xml:space="preserve"> </w:t>
            </w:r>
            <w:r>
              <w:rPr>
                <w:rFonts w:ascii="宋体" w:hAnsi="宋体" w:eastAsia="宋体" w:cs="宋体"/>
                <w:spacing w:val="8"/>
                <w:sz w:val="20"/>
                <w:szCs w:val="20"/>
              </w:rPr>
              <w:t>废</w:t>
            </w:r>
            <w:r>
              <w:rPr>
                <w:rFonts w:ascii="宋体" w:hAnsi="宋体" w:eastAsia="宋体" w:cs="宋体"/>
                <w:spacing w:val="-35"/>
                <w:sz w:val="20"/>
                <w:szCs w:val="20"/>
              </w:rPr>
              <w:t xml:space="preserve"> </w:t>
            </w:r>
            <w:r>
              <w:rPr>
                <w:rFonts w:ascii="宋体" w:hAnsi="宋体" w:eastAsia="宋体" w:cs="宋体"/>
                <w:spacing w:val="8"/>
                <w:sz w:val="20"/>
                <w:szCs w:val="20"/>
              </w:rPr>
              <w:t>水</w:t>
            </w:r>
          </w:p>
        </w:tc>
        <w:tc>
          <w:tcPr>
            <w:tcW w:w="1299" w:type="dxa"/>
            <w:vMerge w:val="restart"/>
            <w:tcBorders>
              <w:bottom w:val="nil"/>
            </w:tcBorders>
            <w:vAlign w:val="top"/>
          </w:tcPr>
          <w:p w14:paraId="74613CA6">
            <w:pPr>
              <w:spacing w:line="247" w:lineRule="auto"/>
              <w:rPr>
                <w:rFonts w:ascii="Arial"/>
                <w:sz w:val="21"/>
              </w:rPr>
            </w:pPr>
          </w:p>
          <w:p w14:paraId="7B967B72">
            <w:pPr>
              <w:spacing w:line="247" w:lineRule="auto"/>
              <w:rPr>
                <w:rFonts w:ascii="Arial"/>
                <w:sz w:val="21"/>
              </w:rPr>
            </w:pPr>
          </w:p>
          <w:p w14:paraId="360CECCE">
            <w:pPr>
              <w:spacing w:line="247" w:lineRule="auto"/>
              <w:rPr>
                <w:rFonts w:ascii="Arial"/>
                <w:sz w:val="21"/>
              </w:rPr>
            </w:pPr>
          </w:p>
          <w:p w14:paraId="69AE674A">
            <w:pPr>
              <w:spacing w:line="248" w:lineRule="auto"/>
              <w:rPr>
                <w:rFonts w:ascii="Arial"/>
                <w:sz w:val="21"/>
              </w:rPr>
            </w:pPr>
          </w:p>
          <w:p w14:paraId="3055725F">
            <w:pPr>
              <w:spacing w:line="248" w:lineRule="auto"/>
              <w:rPr>
                <w:rFonts w:ascii="Arial"/>
                <w:sz w:val="21"/>
              </w:rPr>
            </w:pPr>
          </w:p>
          <w:p w14:paraId="54645BCB">
            <w:pPr>
              <w:spacing w:before="65" w:line="192" w:lineRule="auto"/>
              <w:ind w:left="272"/>
              <w:rPr>
                <w:rFonts w:ascii="宋体" w:hAnsi="宋体" w:eastAsia="宋体" w:cs="宋体"/>
                <w:sz w:val="20"/>
                <w:szCs w:val="20"/>
              </w:rPr>
            </w:pPr>
            <w:r>
              <w:rPr>
                <w:rFonts w:ascii="Times New Roman" w:hAnsi="Times New Roman" w:eastAsia="Times New Roman" w:cs="Times New Roman"/>
                <w:sz w:val="20"/>
                <w:szCs w:val="20"/>
              </w:rPr>
              <w:t>COD</w:t>
            </w:r>
            <w:r>
              <w:rPr>
                <w:rFonts w:ascii="Times New Roman" w:hAnsi="Times New Roman" w:eastAsia="Times New Roman" w:cs="Times New Roman"/>
                <w:position w:val="-1"/>
                <w:sz w:val="13"/>
                <w:szCs w:val="13"/>
              </w:rPr>
              <w:t>cr</w:t>
            </w:r>
            <w:r>
              <w:rPr>
                <w:rFonts w:ascii="宋体" w:hAnsi="宋体" w:eastAsia="宋体" w:cs="宋体"/>
                <w:spacing w:val="17"/>
                <w:sz w:val="20"/>
                <w:szCs w:val="20"/>
              </w:rPr>
              <w:t>、</w:t>
            </w:r>
          </w:p>
          <w:p w14:paraId="64BB2585">
            <w:pPr>
              <w:spacing w:before="62" w:line="244" w:lineRule="auto"/>
              <w:ind w:left="335" w:right="65" w:hanging="230"/>
              <w:rPr>
                <w:rFonts w:ascii="宋体" w:hAnsi="宋体" w:eastAsia="宋体" w:cs="宋体"/>
                <w:sz w:val="20"/>
                <w:szCs w:val="20"/>
              </w:rPr>
            </w:pPr>
            <w:r>
              <w:rPr>
                <w:rFonts w:ascii="Times New Roman" w:hAnsi="Times New Roman" w:eastAsia="Times New Roman" w:cs="Times New Roman"/>
                <w:spacing w:val="-2"/>
                <w:sz w:val="20"/>
                <w:szCs w:val="20"/>
              </w:rPr>
              <w:t>BOD</w:t>
            </w:r>
            <w:r>
              <w:rPr>
                <w:rFonts w:ascii="Times New Roman" w:hAnsi="Times New Roman" w:eastAsia="Times New Roman" w:cs="Times New Roman"/>
                <w:spacing w:val="-2"/>
                <w:position w:val="-1"/>
                <w:sz w:val="13"/>
                <w:szCs w:val="13"/>
              </w:rPr>
              <w:t>5</w:t>
            </w:r>
            <w:r>
              <w:rPr>
                <w:rFonts w:ascii="Times New Roman" w:hAnsi="Times New Roman" w:eastAsia="Times New Roman" w:cs="Times New Roman"/>
                <w:spacing w:val="-4"/>
                <w:position w:val="-1"/>
                <w:sz w:val="13"/>
                <w:szCs w:val="13"/>
              </w:rPr>
              <w:t xml:space="preserve"> </w:t>
            </w:r>
            <w:r>
              <w:rPr>
                <w:rFonts w:ascii="宋体" w:hAnsi="宋体" w:eastAsia="宋体" w:cs="宋体"/>
                <w:spacing w:val="-2"/>
                <w:sz w:val="20"/>
                <w:szCs w:val="20"/>
              </w:rPr>
              <w:t>、</w:t>
            </w:r>
            <w:r>
              <w:rPr>
                <w:rFonts w:ascii="Times New Roman" w:hAnsi="Times New Roman" w:eastAsia="Times New Roman" w:cs="Times New Roman"/>
                <w:spacing w:val="-2"/>
                <w:sz w:val="20"/>
                <w:szCs w:val="20"/>
              </w:rPr>
              <w:t>SS</w:t>
            </w:r>
            <w:r>
              <w:rPr>
                <w:rFonts w:ascii="宋体" w:hAnsi="宋体" w:eastAsia="宋体" w:cs="宋体"/>
                <w:spacing w:val="-2"/>
                <w:sz w:val="20"/>
                <w:szCs w:val="20"/>
              </w:rPr>
              <w:t>、</w:t>
            </w:r>
            <w:r>
              <w:rPr>
                <w:rFonts w:ascii="宋体" w:hAnsi="宋体" w:eastAsia="宋体" w:cs="宋体"/>
                <w:spacing w:val="6"/>
                <w:sz w:val="20"/>
                <w:szCs w:val="20"/>
              </w:rPr>
              <w:t>氨氮等</w:t>
            </w:r>
          </w:p>
        </w:tc>
        <w:tc>
          <w:tcPr>
            <w:tcW w:w="1140" w:type="dxa"/>
            <w:vMerge w:val="restart"/>
            <w:tcBorders>
              <w:bottom w:val="nil"/>
            </w:tcBorders>
            <w:vAlign w:val="top"/>
          </w:tcPr>
          <w:p w14:paraId="5310433A">
            <w:pPr>
              <w:spacing w:line="252" w:lineRule="auto"/>
              <w:rPr>
                <w:rFonts w:ascii="Arial"/>
                <w:sz w:val="21"/>
              </w:rPr>
            </w:pPr>
          </w:p>
          <w:p w14:paraId="0FD1E6FF">
            <w:pPr>
              <w:spacing w:line="252" w:lineRule="auto"/>
              <w:rPr>
                <w:rFonts w:ascii="Arial"/>
                <w:sz w:val="21"/>
              </w:rPr>
            </w:pPr>
          </w:p>
          <w:p w14:paraId="70ABA39E">
            <w:pPr>
              <w:spacing w:line="253" w:lineRule="auto"/>
              <w:rPr>
                <w:rFonts w:ascii="Arial"/>
                <w:sz w:val="21"/>
              </w:rPr>
            </w:pPr>
          </w:p>
          <w:p w14:paraId="2F9732C9">
            <w:pPr>
              <w:spacing w:line="253" w:lineRule="auto"/>
              <w:rPr>
                <w:rFonts w:ascii="Arial"/>
                <w:sz w:val="21"/>
              </w:rPr>
            </w:pPr>
          </w:p>
          <w:p w14:paraId="1974127A">
            <w:pPr>
              <w:spacing w:line="253" w:lineRule="auto"/>
              <w:rPr>
                <w:rFonts w:ascii="Arial"/>
                <w:sz w:val="21"/>
              </w:rPr>
            </w:pPr>
          </w:p>
          <w:p w14:paraId="6E4ED7BF">
            <w:pPr>
              <w:spacing w:line="253" w:lineRule="auto"/>
              <w:rPr>
                <w:rFonts w:ascii="Arial"/>
                <w:sz w:val="21"/>
              </w:rPr>
            </w:pPr>
          </w:p>
          <w:p w14:paraId="7B21FE89">
            <w:pPr>
              <w:spacing w:before="57" w:line="195" w:lineRule="auto"/>
              <w:ind w:left="251"/>
              <w:rPr>
                <w:rFonts w:ascii="Times New Roman" w:hAnsi="Times New Roman" w:eastAsia="Times New Roman" w:cs="Times New Roman"/>
                <w:sz w:val="20"/>
                <w:szCs w:val="20"/>
              </w:rPr>
            </w:pPr>
            <w:r>
              <w:rPr>
                <w:rFonts w:ascii="Times New Roman" w:hAnsi="Times New Roman" w:eastAsia="Times New Roman" w:cs="Times New Roman"/>
                <w:sz w:val="20"/>
                <w:szCs w:val="20"/>
              </w:rPr>
              <w:t>TW</w:t>
            </w:r>
            <w:r>
              <w:rPr>
                <w:rFonts w:ascii="Times New Roman" w:hAnsi="Times New Roman" w:eastAsia="Times New Roman" w:cs="Times New Roman"/>
                <w:spacing w:val="7"/>
                <w:sz w:val="20"/>
                <w:szCs w:val="20"/>
              </w:rPr>
              <w:t>001</w:t>
            </w:r>
          </w:p>
        </w:tc>
        <w:tc>
          <w:tcPr>
            <w:tcW w:w="567" w:type="dxa"/>
            <w:textDirection w:val="tbRlV"/>
            <w:vAlign w:val="top"/>
          </w:tcPr>
          <w:p w14:paraId="330209BF">
            <w:pPr>
              <w:spacing w:before="177" w:line="216" w:lineRule="auto"/>
              <w:ind w:right="3"/>
              <w:jc w:val="right"/>
              <w:rPr>
                <w:rFonts w:ascii="宋体" w:hAnsi="宋体" w:eastAsia="宋体" w:cs="宋体"/>
                <w:sz w:val="20"/>
                <w:szCs w:val="20"/>
              </w:rPr>
            </w:pPr>
            <w:r>
              <w:rPr>
                <w:rFonts w:ascii="宋体" w:hAnsi="宋体" w:eastAsia="宋体" w:cs="宋体"/>
                <w:spacing w:val="-71"/>
                <w:w w:val="46"/>
                <w:sz w:val="20"/>
                <w:szCs w:val="20"/>
              </w:rPr>
              <w:t>一</w:t>
            </w:r>
            <w:r>
              <w:rPr>
                <w:rFonts w:ascii="宋体" w:hAnsi="宋体" w:eastAsia="宋体" w:cs="宋体"/>
                <w:spacing w:val="79"/>
                <w:sz w:val="20"/>
                <w:szCs w:val="20"/>
              </w:rPr>
              <w:t xml:space="preserve"> </w:t>
            </w:r>
            <w:r>
              <w:rPr>
                <w:rFonts w:ascii="宋体" w:hAnsi="宋体" w:eastAsia="宋体" w:cs="宋体"/>
                <w:spacing w:val="8"/>
                <w:sz w:val="20"/>
                <w:szCs w:val="20"/>
              </w:rPr>
              <w:t>体</w:t>
            </w:r>
            <w:r>
              <w:rPr>
                <w:rFonts w:ascii="宋体" w:hAnsi="宋体" w:eastAsia="宋体" w:cs="宋体"/>
                <w:spacing w:val="-38"/>
                <w:sz w:val="20"/>
                <w:szCs w:val="20"/>
              </w:rPr>
              <w:t xml:space="preserve"> </w:t>
            </w:r>
            <w:r>
              <w:rPr>
                <w:rFonts w:ascii="宋体" w:hAnsi="宋体" w:eastAsia="宋体" w:cs="宋体"/>
                <w:spacing w:val="8"/>
                <w:sz w:val="20"/>
                <w:szCs w:val="20"/>
              </w:rPr>
              <w:t>化</w:t>
            </w:r>
            <w:r>
              <w:rPr>
                <w:rFonts w:ascii="宋体" w:hAnsi="宋体" w:eastAsia="宋体" w:cs="宋体"/>
                <w:spacing w:val="-35"/>
                <w:sz w:val="20"/>
                <w:szCs w:val="20"/>
              </w:rPr>
              <w:t xml:space="preserve"> </w:t>
            </w:r>
            <w:r>
              <w:rPr>
                <w:rFonts w:ascii="宋体" w:hAnsi="宋体" w:eastAsia="宋体" w:cs="宋体"/>
                <w:spacing w:val="8"/>
                <w:sz w:val="20"/>
                <w:szCs w:val="20"/>
              </w:rPr>
              <w:t>污</w:t>
            </w:r>
            <w:r>
              <w:rPr>
                <w:rFonts w:ascii="宋体" w:hAnsi="宋体" w:eastAsia="宋体" w:cs="宋体"/>
                <w:spacing w:val="-37"/>
                <w:sz w:val="20"/>
                <w:szCs w:val="20"/>
              </w:rPr>
              <w:t xml:space="preserve"> </w:t>
            </w:r>
            <w:r>
              <w:rPr>
                <w:rFonts w:ascii="宋体" w:hAnsi="宋体" w:eastAsia="宋体" w:cs="宋体"/>
                <w:spacing w:val="8"/>
                <w:sz w:val="20"/>
                <w:szCs w:val="20"/>
              </w:rPr>
              <w:t>水</w:t>
            </w:r>
            <w:r>
              <w:rPr>
                <w:rFonts w:ascii="宋体" w:hAnsi="宋体" w:eastAsia="宋体" w:cs="宋体"/>
                <w:spacing w:val="-36"/>
                <w:sz w:val="20"/>
                <w:szCs w:val="20"/>
              </w:rPr>
              <w:t xml:space="preserve"> </w:t>
            </w:r>
            <w:r>
              <w:rPr>
                <w:rFonts w:ascii="宋体" w:hAnsi="宋体" w:eastAsia="宋体" w:cs="宋体"/>
                <w:spacing w:val="8"/>
                <w:sz w:val="20"/>
                <w:szCs w:val="20"/>
              </w:rPr>
              <w:t>处</w:t>
            </w:r>
            <w:r>
              <w:rPr>
                <w:rFonts w:ascii="宋体" w:hAnsi="宋体" w:eastAsia="宋体" w:cs="宋体"/>
                <w:spacing w:val="-37"/>
                <w:sz w:val="20"/>
                <w:szCs w:val="20"/>
              </w:rPr>
              <w:t xml:space="preserve"> </w:t>
            </w:r>
            <w:r>
              <w:rPr>
                <w:rFonts w:ascii="宋体" w:hAnsi="宋体" w:eastAsia="宋体" w:cs="宋体"/>
                <w:spacing w:val="8"/>
                <w:sz w:val="20"/>
                <w:szCs w:val="20"/>
              </w:rPr>
              <w:t>理</w:t>
            </w:r>
            <w:r>
              <w:rPr>
                <w:rFonts w:ascii="宋体" w:hAnsi="宋体" w:eastAsia="宋体" w:cs="宋体"/>
                <w:spacing w:val="-35"/>
                <w:sz w:val="20"/>
                <w:szCs w:val="20"/>
              </w:rPr>
              <w:t xml:space="preserve"> </w:t>
            </w:r>
            <w:r>
              <w:rPr>
                <w:rFonts w:ascii="宋体" w:hAnsi="宋体" w:eastAsia="宋体" w:cs="宋体"/>
                <w:spacing w:val="8"/>
                <w:sz w:val="20"/>
                <w:szCs w:val="20"/>
              </w:rPr>
              <w:t>设</w:t>
            </w:r>
            <w:r>
              <w:rPr>
                <w:rFonts w:ascii="宋体" w:hAnsi="宋体" w:eastAsia="宋体" w:cs="宋体"/>
                <w:spacing w:val="-38"/>
                <w:sz w:val="20"/>
                <w:szCs w:val="20"/>
              </w:rPr>
              <w:t xml:space="preserve"> </w:t>
            </w:r>
            <w:r>
              <w:rPr>
                <w:rFonts w:ascii="宋体" w:hAnsi="宋体" w:eastAsia="宋体" w:cs="宋体"/>
                <w:spacing w:val="8"/>
                <w:sz w:val="20"/>
                <w:szCs w:val="20"/>
              </w:rPr>
              <w:t>施</w:t>
            </w:r>
          </w:p>
        </w:tc>
        <w:tc>
          <w:tcPr>
            <w:tcW w:w="800" w:type="dxa"/>
            <w:vAlign w:val="top"/>
          </w:tcPr>
          <w:p w14:paraId="20946E5B">
            <w:pPr>
              <w:spacing w:line="308" w:lineRule="auto"/>
              <w:rPr>
                <w:rFonts w:ascii="Arial"/>
                <w:sz w:val="21"/>
              </w:rPr>
            </w:pPr>
          </w:p>
          <w:p w14:paraId="04E8C9A0">
            <w:pPr>
              <w:spacing w:line="309" w:lineRule="auto"/>
              <w:rPr>
                <w:rFonts w:ascii="Arial"/>
                <w:sz w:val="21"/>
              </w:rPr>
            </w:pPr>
          </w:p>
          <w:p w14:paraId="45D6A405">
            <w:pPr>
              <w:spacing w:line="309" w:lineRule="auto"/>
              <w:rPr>
                <w:rFonts w:ascii="Arial"/>
                <w:sz w:val="21"/>
              </w:rPr>
            </w:pPr>
          </w:p>
          <w:p w14:paraId="5314FFAE">
            <w:pPr>
              <w:spacing w:before="65" w:line="254" w:lineRule="auto"/>
              <w:ind w:left="201" w:right="187" w:hanging="3"/>
              <w:rPr>
                <w:rFonts w:ascii="宋体" w:hAnsi="宋体" w:eastAsia="宋体" w:cs="宋体"/>
                <w:sz w:val="20"/>
                <w:szCs w:val="20"/>
              </w:rPr>
            </w:pPr>
            <w:r>
              <w:rPr>
                <w:rFonts w:ascii="宋体" w:hAnsi="宋体" w:eastAsia="宋体" w:cs="宋体"/>
                <w:spacing w:val="4"/>
                <w:sz w:val="20"/>
                <w:szCs w:val="20"/>
              </w:rPr>
              <w:t>厌氧</w:t>
            </w:r>
            <w:r>
              <w:rPr>
                <w:rFonts w:ascii="宋体" w:hAnsi="宋体" w:eastAsia="宋体" w:cs="宋体"/>
                <w:spacing w:val="2"/>
                <w:sz w:val="20"/>
                <w:szCs w:val="20"/>
              </w:rPr>
              <w:t>处理</w:t>
            </w:r>
          </w:p>
        </w:tc>
        <w:tc>
          <w:tcPr>
            <w:tcW w:w="845" w:type="dxa"/>
            <w:vAlign w:val="top"/>
          </w:tcPr>
          <w:p w14:paraId="7193B92D">
            <w:pPr>
              <w:spacing w:line="275" w:lineRule="auto"/>
              <w:rPr>
                <w:rFonts w:ascii="Arial"/>
                <w:sz w:val="21"/>
              </w:rPr>
            </w:pPr>
          </w:p>
          <w:p w14:paraId="7BB2F204">
            <w:pPr>
              <w:spacing w:line="276" w:lineRule="auto"/>
              <w:rPr>
                <w:rFonts w:ascii="Arial"/>
                <w:sz w:val="21"/>
              </w:rPr>
            </w:pPr>
          </w:p>
          <w:p w14:paraId="46AEB09A">
            <w:pPr>
              <w:spacing w:line="276" w:lineRule="auto"/>
              <w:rPr>
                <w:rFonts w:ascii="Arial"/>
                <w:sz w:val="21"/>
              </w:rPr>
            </w:pPr>
          </w:p>
          <w:p w14:paraId="47DD5743">
            <w:pPr>
              <w:spacing w:line="276" w:lineRule="auto"/>
              <w:rPr>
                <w:rFonts w:ascii="Arial"/>
                <w:sz w:val="21"/>
              </w:rPr>
            </w:pPr>
          </w:p>
          <w:p w14:paraId="18BA1C9A">
            <w:pPr>
              <w:spacing w:before="57"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567" w:type="dxa"/>
            <w:vAlign w:val="top"/>
          </w:tcPr>
          <w:p w14:paraId="332E9E09">
            <w:pPr>
              <w:spacing w:line="274" w:lineRule="auto"/>
              <w:rPr>
                <w:rFonts w:ascii="Arial"/>
                <w:sz w:val="21"/>
              </w:rPr>
            </w:pPr>
          </w:p>
          <w:p w14:paraId="1C3554BE">
            <w:pPr>
              <w:spacing w:line="275" w:lineRule="auto"/>
              <w:rPr>
                <w:rFonts w:ascii="Arial"/>
                <w:sz w:val="21"/>
              </w:rPr>
            </w:pPr>
          </w:p>
          <w:p w14:paraId="0922CC31">
            <w:pPr>
              <w:spacing w:line="275" w:lineRule="auto"/>
              <w:rPr>
                <w:rFonts w:ascii="Arial"/>
                <w:sz w:val="21"/>
              </w:rPr>
            </w:pPr>
          </w:p>
          <w:p w14:paraId="0F58936C">
            <w:pPr>
              <w:spacing w:line="275" w:lineRule="auto"/>
              <w:rPr>
                <w:rFonts w:ascii="Arial"/>
                <w:sz w:val="21"/>
              </w:rPr>
            </w:pPr>
          </w:p>
          <w:p w14:paraId="53AA18A6">
            <w:pPr>
              <w:spacing w:before="58" w:line="199" w:lineRule="auto"/>
              <w:ind w:left="25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12" w:type="dxa"/>
            <w:vAlign w:val="top"/>
          </w:tcPr>
          <w:p w14:paraId="0777C089">
            <w:pPr>
              <w:spacing w:line="265" w:lineRule="auto"/>
              <w:rPr>
                <w:rFonts w:ascii="Arial"/>
                <w:sz w:val="21"/>
              </w:rPr>
            </w:pPr>
          </w:p>
          <w:p w14:paraId="710C9493">
            <w:pPr>
              <w:spacing w:line="265" w:lineRule="auto"/>
              <w:rPr>
                <w:rFonts w:ascii="Arial"/>
                <w:sz w:val="21"/>
              </w:rPr>
            </w:pPr>
          </w:p>
          <w:p w14:paraId="1E863CCE">
            <w:pPr>
              <w:spacing w:line="265" w:lineRule="auto"/>
              <w:rPr>
                <w:rFonts w:ascii="Arial"/>
                <w:sz w:val="21"/>
              </w:rPr>
            </w:pPr>
          </w:p>
          <w:p w14:paraId="53EDECDB">
            <w:pPr>
              <w:spacing w:line="265" w:lineRule="auto"/>
              <w:rPr>
                <w:rFonts w:ascii="Arial"/>
                <w:sz w:val="21"/>
              </w:rPr>
            </w:pPr>
          </w:p>
          <w:p w14:paraId="50EC53B4">
            <w:pPr>
              <w:spacing w:before="65" w:line="231" w:lineRule="auto"/>
              <w:ind w:left="213"/>
              <w:rPr>
                <w:rFonts w:ascii="宋体" w:hAnsi="宋体" w:eastAsia="宋体" w:cs="宋体"/>
                <w:sz w:val="20"/>
                <w:szCs w:val="20"/>
              </w:rPr>
            </w:pPr>
            <w:r>
              <w:rPr>
                <w:rFonts w:ascii="宋体" w:hAnsi="宋体" w:eastAsia="宋体" w:cs="宋体"/>
                <w:sz w:val="20"/>
                <w:szCs w:val="20"/>
              </w:rPr>
              <w:t>是</w:t>
            </w:r>
          </w:p>
        </w:tc>
        <w:tc>
          <w:tcPr>
            <w:tcW w:w="619" w:type="dxa"/>
            <w:textDirection w:val="tbRlV"/>
            <w:vAlign w:val="top"/>
          </w:tcPr>
          <w:p w14:paraId="38E036AA">
            <w:pPr>
              <w:spacing w:before="197" w:line="218" w:lineRule="auto"/>
              <w:ind w:left="723"/>
              <w:rPr>
                <w:rFonts w:ascii="宋体" w:hAnsi="宋体" w:eastAsia="宋体" w:cs="宋体"/>
                <w:sz w:val="20"/>
                <w:szCs w:val="20"/>
              </w:rPr>
            </w:pPr>
            <w:r>
              <w:rPr>
                <w:rFonts w:ascii="宋体" w:hAnsi="宋体" w:eastAsia="宋体" w:cs="宋体"/>
                <w:spacing w:val="8"/>
                <w:sz w:val="20"/>
                <w:szCs w:val="20"/>
              </w:rPr>
              <w:t>间</w:t>
            </w:r>
            <w:r>
              <w:rPr>
                <w:rFonts w:ascii="宋体" w:hAnsi="宋体" w:eastAsia="宋体" w:cs="宋体"/>
                <w:spacing w:val="-36"/>
                <w:sz w:val="20"/>
                <w:szCs w:val="20"/>
              </w:rPr>
              <w:t xml:space="preserve"> </w:t>
            </w:r>
            <w:r>
              <w:rPr>
                <w:rFonts w:ascii="宋体" w:hAnsi="宋体" w:eastAsia="宋体" w:cs="宋体"/>
                <w:spacing w:val="8"/>
                <w:sz w:val="20"/>
                <w:szCs w:val="20"/>
              </w:rPr>
              <w:t>接</w:t>
            </w:r>
            <w:r>
              <w:rPr>
                <w:rFonts w:ascii="宋体" w:hAnsi="宋体" w:eastAsia="宋体" w:cs="宋体"/>
                <w:spacing w:val="-37"/>
                <w:sz w:val="20"/>
                <w:szCs w:val="20"/>
              </w:rPr>
              <w:t xml:space="preserve"> </w:t>
            </w:r>
            <w:r>
              <w:rPr>
                <w:rFonts w:ascii="宋体" w:hAnsi="宋体" w:eastAsia="宋体" w:cs="宋体"/>
                <w:spacing w:val="8"/>
                <w:sz w:val="20"/>
                <w:szCs w:val="20"/>
              </w:rPr>
              <w:t>排</w:t>
            </w:r>
            <w:r>
              <w:rPr>
                <w:rFonts w:ascii="宋体" w:hAnsi="宋体" w:eastAsia="宋体" w:cs="宋体"/>
                <w:spacing w:val="-36"/>
                <w:sz w:val="20"/>
                <w:szCs w:val="20"/>
              </w:rPr>
              <w:t xml:space="preserve"> </w:t>
            </w:r>
            <w:r>
              <w:rPr>
                <w:rFonts w:ascii="宋体" w:hAnsi="宋体" w:eastAsia="宋体" w:cs="宋体"/>
                <w:spacing w:val="8"/>
                <w:sz w:val="20"/>
                <w:szCs w:val="20"/>
              </w:rPr>
              <w:t>放</w:t>
            </w:r>
          </w:p>
        </w:tc>
        <w:tc>
          <w:tcPr>
            <w:tcW w:w="657" w:type="dxa"/>
            <w:vMerge w:val="restart"/>
            <w:tcBorders>
              <w:bottom w:val="nil"/>
            </w:tcBorders>
            <w:vAlign w:val="top"/>
          </w:tcPr>
          <w:p w14:paraId="06ED870F">
            <w:pPr>
              <w:rPr>
                <w:rFonts w:ascii="Arial"/>
                <w:sz w:val="21"/>
              </w:rPr>
            </w:pPr>
          </w:p>
          <w:p w14:paraId="30AC6662">
            <w:pPr>
              <w:rPr>
                <w:rFonts w:ascii="Arial"/>
                <w:sz w:val="21"/>
              </w:rPr>
            </w:pPr>
          </w:p>
          <w:p w14:paraId="658CD00F">
            <w:pPr>
              <w:rPr>
                <w:rFonts w:ascii="Arial"/>
                <w:sz w:val="21"/>
              </w:rPr>
            </w:pPr>
          </w:p>
          <w:p w14:paraId="2F4641E8">
            <w:pPr>
              <w:spacing w:line="241" w:lineRule="auto"/>
              <w:rPr>
                <w:rFonts w:ascii="Arial"/>
                <w:sz w:val="21"/>
              </w:rPr>
            </w:pPr>
          </w:p>
          <w:p w14:paraId="6B473E61">
            <w:pPr>
              <w:spacing w:line="241" w:lineRule="auto"/>
              <w:rPr>
                <w:rFonts w:ascii="Arial"/>
                <w:sz w:val="21"/>
              </w:rPr>
            </w:pPr>
          </w:p>
          <w:p w14:paraId="7CA0863F">
            <w:pPr>
              <w:spacing w:before="65" w:line="252" w:lineRule="auto"/>
              <w:ind w:left="132" w:right="111" w:firstLine="19"/>
              <w:jc w:val="both"/>
              <w:rPr>
                <w:rFonts w:ascii="宋体" w:hAnsi="宋体" w:eastAsia="宋体" w:cs="宋体"/>
                <w:sz w:val="20"/>
                <w:szCs w:val="20"/>
              </w:rPr>
            </w:pPr>
            <w:r>
              <w:rPr>
                <w:rFonts w:ascii="宋体" w:hAnsi="宋体" w:eastAsia="宋体" w:cs="宋体"/>
                <w:spacing w:val="-6"/>
                <w:sz w:val="20"/>
                <w:szCs w:val="20"/>
              </w:rPr>
              <w:t>回用</w:t>
            </w:r>
            <w:r>
              <w:rPr>
                <w:rFonts w:ascii="宋体" w:hAnsi="宋体" w:eastAsia="宋体" w:cs="宋体"/>
                <w:spacing w:val="4"/>
                <w:sz w:val="20"/>
                <w:szCs w:val="20"/>
              </w:rPr>
              <w:t>于绿化等</w:t>
            </w:r>
          </w:p>
        </w:tc>
        <w:tc>
          <w:tcPr>
            <w:tcW w:w="126" w:type="dxa"/>
            <w:tcBorders>
              <w:top w:val="nil"/>
              <w:bottom w:val="nil"/>
              <w:right w:val="single" w:color="000000" w:sz="6" w:space="0"/>
            </w:tcBorders>
            <w:vAlign w:val="top"/>
          </w:tcPr>
          <w:p w14:paraId="26281813">
            <w:pPr>
              <w:rPr>
                <w:rFonts w:ascii="Arial"/>
                <w:sz w:val="21"/>
              </w:rPr>
            </w:pPr>
          </w:p>
        </w:tc>
      </w:tr>
      <w:tr w14:paraId="54FD1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3" w:hRule="atLeast"/>
        </w:trPr>
        <w:tc>
          <w:tcPr>
            <w:tcW w:w="735" w:type="dxa"/>
            <w:vMerge w:val="continue"/>
            <w:tcBorders>
              <w:top w:val="nil"/>
              <w:left w:val="single" w:color="000000" w:sz="6" w:space="0"/>
              <w:bottom w:val="single" w:color="000000" w:sz="6" w:space="0"/>
            </w:tcBorders>
            <w:vAlign w:val="top"/>
          </w:tcPr>
          <w:p w14:paraId="24C983DA">
            <w:pPr>
              <w:rPr>
                <w:rFonts w:ascii="Arial"/>
                <w:sz w:val="21"/>
              </w:rPr>
            </w:pPr>
          </w:p>
        </w:tc>
        <w:tc>
          <w:tcPr>
            <w:tcW w:w="113" w:type="dxa"/>
            <w:tcBorders>
              <w:top w:val="nil"/>
              <w:bottom w:val="single" w:color="000000" w:sz="6" w:space="0"/>
            </w:tcBorders>
            <w:vAlign w:val="top"/>
          </w:tcPr>
          <w:p w14:paraId="3DDA2C8E">
            <w:pPr>
              <w:rPr>
                <w:rFonts w:ascii="Arial"/>
                <w:sz w:val="21"/>
              </w:rPr>
            </w:pPr>
          </w:p>
        </w:tc>
        <w:tc>
          <w:tcPr>
            <w:tcW w:w="567" w:type="dxa"/>
            <w:vMerge w:val="continue"/>
            <w:tcBorders>
              <w:top w:val="nil"/>
              <w:bottom w:val="single" w:color="000000" w:sz="6" w:space="0"/>
            </w:tcBorders>
            <w:vAlign w:val="top"/>
          </w:tcPr>
          <w:p w14:paraId="7D38B7A5">
            <w:pPr>
              <w:rPr>
                <w:rFonts w:ascii="Arial"/>
                <w:sz w:val="21"/>
              </w:rPr>
            </w:pPr>
          </w:p>
        </w:tc>
        <w:tc>
          <w:tcPr>
            <w:tcW w:w="567" w:type="dxa"/>
            <w:vMerge w:val="continue"/>
            <w:tcBorders>
              <w:top w:val="nil"/>
              <w:bottom w:val="single" w:color="000000" w:sz="6" w:space="0"/>
            </w:tcBorders>
            <w:textDirection w:val="tbRlV"/>
            <w:vAlign w:val="top"/>
          </w:tcPr>
          <w:p w14:paraId="30873185">
            <w:pPr>
              <w:rPr>
                <w:rFonts w:ascii="Arial"/>
                <w:sz w:val="21"/>
              </w:rPr>
            </w:pPr>
          </w:p>
        </w:tc>
        <w:tc>
          <w:tcPr>
            <w:tcW w:w="567" w:type="dxa"/>
            <w:vMerge w:val="continue"/>
            <w:tcBorders>
              <w:top w:val="nil"/>
              <w:bottom w:val="single" w:color="000000" w:sz="6" w:space="0"/>
            </w:tcBorders>
            <w:textDirection w:val="tbRlV"/>
            <w:vAlign w:val="top"/>
          </w:tcPr>
          <w:p w14:paraId="3650F205">
            <w:pPr>
              <w:rPr>
                <w:rFonts w:ascii="Arial"/>
                <w:sz w:val="21"/>
              </w:rPr>
            </w:pPr>
          </w:p>
        </w:tc>
        <w:tc>
          <w:tcPr>
            <w:tcW w:w="1299" w:type="dxa"/>
            <w:vMerge w:val="continue"/>
            <w:tcBorders>
              <w:top w:val="nil"/>
              <w:bottom w:val="single" w:color="000000" w:sz="6" w:space="0"/>
            </w:tcBorders>
            <w:vAlign w:val="top"/>
          </w:tcPr>
          <w:p w14:paraId="36CB87EE">
            <w:pPr>
              <w:rPr>
                <w:rFonts w:ascii="Arial"/>
                <w:sz w:val="21"/>
              </w:rPr>
            </w:pPr>
          </w:p>
        </w:tc>
        <w:tc>
          <w:tcPr>
            <w:tcW w:w="1140" w:type="dxa"/>
            <w:vMerge w:val="continue"/>
            <w:tcBorders>
              <w:top w:val="nil"/>
              <w:bottom w:val="single" w:color="000000" w:sz="6" w:space="0"/>
            </w:tcBorders>
            <w:vAlign w:val="top"/>
          </w:tcPr>
          <w:p w14:paraId="10DC00BD">
            <w:pPr>
              <w:rPr>
                <w:rFonts w:ascii="Arial"/>
                <w:sz w:val="21"/>
              </w:rPr>
            </w:pPr>
          </w:p>
        </w:tc>
        <w:tc>
          <w:tcPr>
            <w:tcW w:w="567" w:type="dxa"/>
            <w:tcBorders>
              <w:bottom w:val="single" w:color="000000" w:sz="6" w:space="0"/>
            </w:tcBorders>
            <w:textDirection w:val="tbRlV"/>
            <w:vAlign w:val="top"/>
          </w:tcPr>
          <w:p w14:paraId="41F88951">
            <w:pPr>
              <w:spacing w:before="176" w:line="216" w:lineRule="auto"/>
              <w:ind w:left="65"/>
              <w:rPr>
                <w:rFonts w:ascii="宋体" w:hAnsi="宋体" w:eastAsia="宋体" w:cs="宋体"/>
                <w:sz w:val="20"/>
                <w:szCs w:val="20"/>
              </w:rPr>
            </w:pPr>
            <w:r>
              <w:rPr>
                <w:rFonts w:ascii="宋体" w:hAnsi="宋体" w:eastAsia="宋体" w:cs="宋体"/>
                <w:spacing w:val="8"/>
                <w:sz w:val="20"/>
                <w:szCs w:val="20"/>
              </w:rPr>
              <w:t>化</w:t>
            </w:r>
            <w:r>
              <w:rPr>
                <w:rFonts w:ascii="宋体" w:hAnsi="宋体" w:eastAsia="宋体" w:cs="宋体"/>
                <w:spacing w:val="-37"/>
                <w:sz w:val="20"/>
                <w:szCs w:val="20"/>
              </w:rPr>
              <w:t xml:space="preserve"> </w:t>
            </w:r>
            <w:r>
              <w:rPr>
                <w:rFonts w:ascii="宋体" w:hAnsi="宋体" w:eastAsia="宋体" w:cs="宋体"/>
                <w:spacing w:val="8"/>
                <w:sz w:val="20"/>
                <w:szCs w:val="20"/>
              </w:rPr>
              <w:t>粪</w:t>
            </w:r>
            <w:r>
              <w:rPr>
                <w:rFonts w:ascii="宋体" w:hAnsi="宋体" w:eastAsia="宋体" w:cs="宋体"/>
                <w:spacing w:val="-35"/>
                <w:sz w:val="20"/>
                <w:szCs w:val="20"/>
              </w:rPr>
              <w:t xml:space="preserve"> </w:t>
            </w:r>
            <w:r>
              <w:rPr>
                <w:rFonts w:ascii="宋体" w:hAnsi="宋体" w:eastAsia="宋体" w:cs="宋体"/>
                <w:spacing w:val="8"/>
                <w:sz w:val="20"/>
                <w:szCs w:val="20"/>
              </w:rPr>
              <w:t>池</w:t>
            </w:r>
          </w:p>
        </w:tc>
        <w:tc>
          <w:tcPr>
            <w:tcW w:w="800" w:type="dxa"/>
            <w:tcBorders>
              <w:bottom w:val="single" w:color="000000" w:sz="6" w:space="0"/>
            </w:tcBorders>
            <w:vAlign w:val="top"/>
          </w:tcPr>
          <w:p w14:paraId="478B6545">
            <w:pPr>
              <w:spacing w:before="202" w:line="252" w:lineRule="auto"/>
              <w:ind w:left="197" w:right="187"/>
              <w:rPr>
                <w:rFonts w:ascii="宋体" w:hAnsi="宋体" w:eastAsia="宋体" w:cs="宋体"/>
                <w:sz w:val="20"/>
                <w:szCs w:val="20"/>
              </w:rPr>
            </w:pPr>
            <w:r>
              <w:rPr>
                <w:rFonts w:ascii="宋体" w:hAnsi="宋体" w:eastAsia="宋体" w:cs="宋体"/>
                <w:spacing w:val="4"/>
                <w:sz w:val="20"/>
                <w:szCs w:val="20"/>
              </w:rPr>
              <w:t>重力沉淀</w:t>
            </w:r>
          </w:p>
        </w:tc>
        <w:tc>
          <w:tcPr>
            <w:tcW w:w="845" w:type="dxa"/>
            <w:tcBorders>
              <w:bottom w:val="single" w:color="000000" w:sz="6" w:space="0"/>
            </w:tcBorders>
            <w:vAlign w:val="top"/>
          </w:tcPr>
          <w:p w14:paraId="16B179FE">
            <w:pPr>
              <w:spacing w:line="313" w:lineRule="auto"/>
              <w:rPr>
                <w:rFonts w:ascii="Arial"/>
                <w:sz w:val="21"/>
              </w:rPr>
            </w:pPr>
          </w:p>
          <w:p w14:paraId="0F89400E">
            <w:pPr>
              <w:spacing w:before="57" w:line="195" w:lineRule="auto"/>
              <w:ind w:left="3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567" w:type="dxa"/>
            <w:tcBorders>
              <w:bottom w:val="single" w:color="000000" w:sz="6" w:space="0"/>
            </w:tcBorders>
            <w:vAlign w:val="top"/>
          </w:tcPr>
          <w:p w14:paraId="43D8E62B">
            <w:pPr>
              <w:spacing w:line="309" w:lineRule="auto"/>
              <w:rPr>
                <w:rFonts w:ascii="Arial"/>
                <w:sz w:val="21"/>
              </w:rPr>
            </w:pPr>
          </w:p>
          <w:p w14:paraId="69964BCB">
            <w:pPr>
              <w:spacing w:before="58" w:line="199" w:lineRule="auto"/>
              <w:ind w:left="25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12" w:type="dxa"/>
            <w:tcBorders>
              <w:bottom w:val="single" w:color="000000" w:sz="6" w:space="0"/>
            </w:tcBorders>
            <w:vAlign w:val="top"/>
          </w:tcPr>
          <w:p w14:paraId="3DC226B6">
            <w:pPr>
              <w:spacing w:line="270" w:lineRule="auto"/>
              <w:rPr>
                <w:rFonts w:ascii="Arial"/>
                <w:sz w:val="21"/>
              </w:rPr>
            </w:pPr>
          </w:p>
          <w:p w14:paraId="10A3C5E2">
            <w:pPr>
              <w:spacing w:before="65" w:line="231" w:lineRule="auto"/>
              <w:ind w:left="213"/>
              <w:rPr>
                <w:rFonts w:ascii="宋体" w:hAnsi="宋体" w:eastAsia="宋体" w:cs="宋体"/>
                <w:sz w:val="20"/>
                <w:szCs w:val="20"/>
              </w:rPr>
            </w:pPr>
            <w:r>
              <w:rPr>
                <w:rFonts w:ascii="宋体" w:hAnsi="宋体" w:eastAsia="宋体" w:cs="宋体"/>
                <w:sz w:val="20"/>
                <w:szCs w:val="20"/>
              </w:rPr>
              <w:t>是</w:t>
            </w:r>
          </w:p>
        </w:tc>
        <w:tc>
          <w:tcPr>
            <w:tcW w:w="619" w:type="dxa"/>
            <w:tcBorders>
              <w:bottom w:val="single" w:color="000000" w:sz="6" w:space="0"/>
            </w:tcBorders>
            <w:textDirection w:val="tbRlV"/>
            <w:vAlign w:val="top"/>
          </w:tcPr>
          <w:p w14:paraId="3883F0D8">
            <w:pPr>
              <w:spacing w:before="197" w:line="218" w:lineRule="auto"/>
              <w:ind w:left="65"/>
              <w:rPr>
                <w:rFonts w:ascii="宋体" w:hAnsi="宋体" w:eastAsia="宋体" w:cs="宋体"/>
                <w:sz w:val="20"/>
                <w:szCs w:val="20"/>
              </w:rPr>
            </w:pPr>
            <w:r>
              <w:rPr>
                <w:rFonts w:ascii="宋体" w:hAnsi="宋体" w:eastAsia="宋体" w:cs="宋体"/>
                <w:spacing w:val="8"/>
                <w:sz w:val="20"/>
                <w:szCs w:val="20"/>
              </w:rPr>
              <w:t>间</w:t>
            </w:r>
            <w:r>
              <w:rPr>
                <w:rFonts w:ascii="宋体" w:hAnsi="宋体" w:eastAsia="宋体" w:cs="宋体"/>
                <w:spacing w:val="-37"/>
                <w:sz w:val="20"/>
                <w:szCs w:val="20"/>
              </w:rPr>
              <w:t xml:space="preserve"> </w:t>
            </w:r>
            <w:r>
              <w:rPr>
                <w:rFonts w:ascii="宋体" w:hAnsi="宋体" w:eastAsia="宋体" w:cs="宋体"/>
                <w:spacing w:val="8"/>
                <w:sz w:val="20"/>
                <w:szCs w:val="20"/>
              </w:rPr>
              <w:t>接</w:t>
            </w:r>
            <w:r>
              <w:rPr>
                <w:rFonts w:ascii="宋体" w:hAnsi="宋体" w:eastAsia="宋体" w:cs="宋体"/>
                <w:spacing w:val="-35"/>
                <w:sz w:val="20"/>
                <w:szCs w:val="20"/>
              </w:rPr>
              <w:t xml:space="preserve"> </w:t>
            </w:r>
            <w:r>
              <w:rPr>
                <w:rFonts w:ascii="宋体" w:hAnsi="宋体" w:eastAsia="宋体" w:cs="宋体"/>
                <w:spacing w:val="8"/>
                <w:sz w:val="20"/>
                <w:szCs w:val="20"/>
              </w:rPr>
              <w:t>排</w:t>
            </w:r>
          </w:p>
        </w:tc>
        <w:tc>
          <w:tcPr>
            <w:tcW w:w="657" w:type="dxa"/>
            <w:vMerge w:val="continue"/>
            <w:tcBorders>
              <w:top w:val="nil"/>
              <w:bottom w:val="single" w:color="000000" w:sz="6" w:space="0"/>
            </w:tcBorders>
            <w:vAlign w:val="top"/>
          </w:tcPr>
          <w:p w14:paraId="160C2728">
            <w:pPr>
              <w:rPr>
                <w:rFonts w:ascii="Arial"/>
                <w:sz w:val="21"/>
              </w:rPr>
            </w:pPr>
          </w:p>
        </w:tc>
        <w:tc>
          <w:tcPr>
            <w:tcW w:w="126" w:type="dxa"/>
            <w:tcBorders>
              <w:top w:val="nil"/>
              <w:bottom w:val="single" w:color="000000" w:sz="6" w:space="0"/>
              <w:right w:val="single" w:color="000000" w:sz="6" w:space="0"/>
            </w:tcBorders>
            <w:vAlign w:val="top"/>
          </w:tcPr>
          <w:p w14:paraId="0C2F1F86">
            <w:pPr>
              <w:rPr>
                <w:rFonts w:ascii="Arial"/>
                <w:sz w:val="21"/>
              </w:rPr>
            </w:pPr>
          </w:p>
        </w:tc>
      </w:tr>
    </w:tbl>
    <w:p w14:paraId="2BF299A4">
      <w:pPr>
        <w:pStyle w:val="2"/>
      </w:pPr>
    </w:p>
    <w:p w14:paraId="122BC66B">
      <w:pPr>
        <w:sectPr>
          <w:footerReference r:id="rId95" w:type="default"/>
          <w:pgSz w:w="11906" w:h="16839"/>
          <w:pgMar w:top="400" w:right="1055" w:bottom="1085" w:left="1054" w:header="0" w:footer="762" w:gutter="0"/>
          <w:cols w:space="720" w:num="1"/>
        </w:sectPr>
      </w:pPr>
    </w:p>
    <w:p w14:paraId="2942A114">
      <w:pPr>
        <w:spacing w:before="19"/>
      </w:pPr>
    </w:p>
    <w:p w14:paraId="3FE4E471">
      <w:pPr>
        <w:spacing w:before="19"/>
      </w:pPr>
    </w:p>
    <w:p w14:paraId="3659A475">
      <w:pPr>
        <w:spacing w:before="19"/>
      </w:pPr>
    </w:p>
    <w:p w14:paraId="3FE3E19C">
      <w:pPr>
        <w:spacing w:before="18"/>
      </w:pPr>
    </w:p>
    <w:p w14:paraId="7E849C86">
      <w:pPr>
        <w:spacing w:before="18"/>
      </w:pPr>
    </w:p>
    <w:tbl>
      <w:tblPr>
        <w:tblStyle w:val="10"/>
        <w:tblW w:w="978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5"/>
        <w:gridCol w:w="680"/>
        <w:gridCol w:w="567"/>
        <w:gridCol w:w="567"/>
        <w:gridCol w:w="1299"/>
        <w:gridCol w:w="1140"/>
        <w:gridCol w:w="567"/>
        <w:gridCol w:w="800"/>
        <w:gridCol w:w="845"/>
        <w:gridCol w:w="567"/>
        <w:gridCol w:w="612"/>
        <w:gridCol w:w="619"/>
        <w:gridCol w:w="783"/>
      </w:tblGrid>
      <w:tr w14:paraId="3A567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735" w:type="dxa"/>
            <w:vMerge w:val="restart"/>
            <w:tcBorders>
              <w:top w:val="single" w:color="000000" w:sz="6" w:space="0"/>
              <w:left w:val="single" w:color="000000" w:sz="6" w:space="0"/>
              <w:bottom w:val="nil"/>
            </w:tcBorders>
            <w:vAlign w:val="top"/>
          </w:tcPr>
          <w:p w14:paraId="00897755">
            <w:pPr>
              <w:rPr>
                <w:rFonts w:ascii="Arial"/>
                <w:sz w:val="21"/>
              </w:rPr>
            </w:pPr>
          </w:p>
        </w:tc>
        <w:tc>
          <w:tcPr>
            <w:tcW w:w="680" w:type="dxa"/>
            <w:tcBorders>
              <w:top w:val="single" w:color="000000" w:sz="6" w:space="0"/>
            </w:tcBorders>
            <w:vAlign w:val="top"/>
          </w:tcPr>
          <w:p w14:paraId="4873E3CB">
            <w:pPr>
              <w:rPr>
                <w:rFonts w:ascii="Arial"/>
                <w:sz w:val="21"/>
              </w:rPr>
            </w:pPr>
            <w:r>
              <w:pict>
                <v:shape id="_x0000_s1056" o:spid="_x0000_s1056" style="position:absolute;left:0pt;margin-left:5.1pt;margin-top:1pt;height:24.25pt;width:0.5pt;mso-position-horizontal-relative:page;mso-position-vertical-relative:page;z-index:251682816;mso-width-relative:page;mso-height-relative:page;" filled="f" stroked="t" coordsize="10,485" path="m4,0l4,484e">
                  <v:fill on="f" focussize="0,0"/>
                  <v:stroke weight="0.48pt" color="#000000" miterlimit="2" joinstyle="bevel"/>
                  <v:imagedata o:title=""/>
                  <o:lock v:ext="edit"/>
                </v:shape>
              </w:pict>
            </w:r>
          </w:p>
        </w:tc>
        <w:tc>
          <w:tcPr>
            <w:tcW w:w="567" w:type="dxa"/>
            <w:tcBorders>
              <w:top w:val="single" w:color="000000" w:sz="6" w:space="0"/>
            </w:tcBorders>
            <w:vAlign w:val="top"/>
          </w:tcPr>
          <w:p w14:paraId="7139AC1F">
            <w:pPr>
              <w:rPr>
                <w:rFonts w:ascii="Arial"/>
                <w:sz w:val="21"/>
              </w:rPr>
            </w:pPr>
          </w:p>
        </w:tc>
        <w:tc>
          <w:tcPr>
            <w:tcW w:w="567" w:type="dxa"/>
            <w:tcBorders>
              <w:top w:val="single" w:color="000000" w:sz="6" w:space="0"/>
            </w:tcBorders>
            <w:vAlign w:val="top"/>
          </w:tcPr>
          <w:p w14:paraId="05998D1D">
            <w:pPr>
              <w:rPr>
                <w:rFonts w:ascii="Arial"/>
                <w:sz w:val="21"/>
              </w:rPr>
            </w:pPr>
          </w:p>
        </w:tc>
        <w:tc>
          <w:tcPr>
            <w:tcW w:w="1299" w:type="dxa"/>
            <w:tcBorders>
              <w:top w:val="single" w:color="000000" w:sz="6" w:space="0"/>
            </w:tcBorders>
            <w:vAlign w:val="top"/>
          </w:tcPr>
          <w:p w14:paraId="6B1FA8CA">
            <w:pPr>
              <w:rPr>
                <w:rFonts w:ascii="Arial"/>
                <w:sz w:val="21"/>
              </w:rPr>
            </w:pPr>
          </w:p>
        </w:tc>
        <w:tc>
          <w:tcPr>
            <w:tcW w:w="1140" w:type="dxa"/>
            <w:tcBorders>
              <w:top w:val="single" w:color="000000" w:sz="6" w:space="0"/>
            </w:tcBorders>
            <w:vAlign w:val="top"/>
          </w:tcPr>
          <w:p w14:paraId="526706DC">
            <w:pPr>
              <w:rPr>
                <w:rFonts w:ascii="Arial"/>
                <w:sz w:val="21"/>
              </w:rPr>
            </w:pPr>
          </w:p>
        </w:tc>
        <w:tc>
          <w:tcPr>
            <w:tcW w:w="567" w:type="dxa"/>
            <w:tcBorders>
              <w:top w:val="single" w:color="000000" w:sz="6" w:space="0"/>
            </w:tcBorders>
            <w:vAlign w:val="top"/>
          </w:tcPr>
          <w:p w14:paraId="3630286D">
            <w:pPr>
              <w:rPr>
                <w:rFonts w:ascii="Arial"/>
                <w:sz w:val="21"/>
              </w:rPr>
            </w:pPr>
          </w:p>
        </w:tc>
        <w:tc>
          <w:tcPr>
            <w:tcW w:w="800" w:type="dxa"/>
            <w:tcBorders>
              <w:top w:val="single" w:color="000000" w:sz="6" w:space="0"/>
            </w:tcBorders>
            <w:vAlign w:val="top"/>
          </w:tcPr>
          <w:p w14:paraId="481E7B47">
            <w:pPr>
              <w:rPr>
                <w:rFonts w:ascii="Arial"/>
                <w:sz w:val="21"/>
              </w:rPr>
            </w:pPr>
          </w:p>
        </w:tc>
        <w:tc>
          <w:tcPr>
            <w:tcW w:w="845" w:type="dxa"/>
            <w:tcBorders>
              <w:top w:val="single" w:color="000000" w:sz="6" w:space="0"/>
            </w:tcBorders>
            <w:vAlign w:val="top"/>
          </w:tcPr>
          <w:p w14:paraId="5B97BDAE">
            <w:pPr>
              <w:rPr>
                <w:rFonts w:ascii="Arial"/>
                <w:sz w:val="21"/>
              </w:rPr>
            </w:pPr>
          </w:p>
        </w:tc>
        <w:tc>
          <w:tcPr>
            <w:tcW w:w="567" w:type="dxa"/>
            <w:tcBorders>
              <w:top w:val="single" w:color="000000" w:sz="6" w:space="0"/>
            </w:tcBorders>
            <w:vAlign w:val="top"/>
          </w:tcPr>
          <w:p w14:paraId="581517F2">
            <w:pPr>
              <w:rPr>
                <w:rFonts w:ascii="Arial"/>
                <w:sz w:val="21"/>
              </w:rPr>
            </w:pPr>
          </w:p>
        </w:tc>
        <w:tc>
          <w:tcPr>
            <w:tcW w:w="612" w:type="dxa"/>
            <w:tcBorders>
              <w:top w:val="single" w:color="000000" w:sz="6" w:space="0"/>
            </w:tcBorders>
            <w:vAlign w:val="top"/>
          </w:tcPr>
          <w:p w14:paraId="34C37D73">
            <w:pPr>
              <w:rPr>
                <w:rFonts w:ascii="Arial"/>
                <w:sz w:val="21"/>
              </w:rPr>
            </w:pPr>
          </w:p>
        </w:tc>
        <w:tc>
          <w:tcPr>
            <w:tcW w:w="619" w:type="dxa"/>
            <w:tcBorders>
              <w:top w:val="single" w:color="000000" w:sz="6" w:space="0"/>
            </w:tcBorders>
            <w:vAlign w:val="top"/>
          </w:tcPr>
          <w:p w14:paraId="7535154C">
            <w:pPr>
              <w:spacing w:before="47" w:line="229" w:lineRule="auto"/>
              <w:ind w:left="215"/>
              <w:rPr>
                <w:rFonts w:ascii="宋体" w:hAnsi="宋体" w:eastAsia="宋体" w:cs="宋体"/>
                <w:sz w:val="20"/>
                <w:szCs w:val="20"/>
              </w:rPr>
            </w:pPr>
            <w:r>
              <w:rPr>
                <w:rFonts w:ascii="宋体" w:hAnsi="宋体" w:eastAsia="宋体" w:cs="宋体"/>
                <w:sz w:val="20"/>
                <w:szCs w:val="20"/>
              </w:rPr>
              <w:t>放</w:t>
            </w:r>
          </w:p>
        </w:tc>
        <w:tc>
          <w:tcPr>
            <w:tcW w:w="783" w:type="dxa"/>
            <w:tcBorders>
              <w:top w:val="single" w:color="000000" w:sz="6" w:space="0"/>
              <w:right w:val="single" w:color="000000" w:sz="6" w:space="0"/>
            </w:tcBorders>
            <w:vAlign w:val="top"/>
          </w:tcPr>
          <w:p w14:paraId="0438C20A">
            <w:pPr>
              <w:rPr>
                <w:rFonts w:ascii="Arial"/>
                <w:sz w:val="21"/>
              </w:rPr>
            </w:pPr>
            <w:r>
              <w:pict>
                <v:shape id="_x0000_s1057" o:spid="_x0000_s1057" style="position:absolute;left:0pt;margin-left:33pt;margin-top:1pt;height:24.25pt;width:0.5pt;mso-position-horizontal-relative:page;mso-position-vertical-relative:page;z-index:251681792;mso-width-relative:page;mso-height-relative:page;" filled="f" stroked="t" coordsize="10,485" path="m4,0l4,484e">
                  <v:fill on="f" focussize="0,0"/>
                  <v:stroke weight="0.48pt" color="#000000" miterlimit="2" joinstyle="bevel"/>
                  <v:imagedata o:title=""/>
                  <o:lock v:ext="edit"/>
                </v:shape>
              </w:pict>
            </w:r>
          </w:p>
        </w:tc>
      </w:tr>
      <w:tr w14:paraId="72E9C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73" w:hRule="atLeast"/>
        </w:trPr>
        <w:tc>
          <w:tcPr>
            <w:tcW w:w="735" w:type="dxa"/>
            <w:vMerge w:val="continue"/>
            <w:tcBorders>
              <w:top w:val="nil"/>
              <w:left w:val="single" w:color="000000" w:sz="6" w:space="0"/>
              <w:bottom w:val="single" w:color="000000" w:sz="6" w:space="0"/>
            </w:tcBorders>
            <w:vAlign w:val="top"/>
          </w:tcPr>
          <w:p w14:paraId="4C57BE80">
            <w:pPr>
              <w:rPr>
                <w:rFonts w:ascii="Arial"/>
                <w:sz w:val="21"/>
              </w:rPr>
            </w:pPr>
          </w:p>
        </w:tc>
        <w:tc>
          <w:tcPr>
            <w:tcW w:w="9046" w:type="dxa"/>
            <w:gridSpan w:val="12"/>
            <w:tcBorders>
              <w:bottom w:val="single" w:color="000000" w:sz="6" w:space="0"/>
              <w:right w:val="single" w:color="000000" w:sz="6" w:space="0"/>
            </w:tcBorders>
            <w:vAlign w:val="top"/>
          </w:tcPr>
          <w:p w14:paraId="3050D284">
            <w:pPr>
              <w:spacing w:before="36" w:line="220" w:lineRule="auto"/>
              <w:ind w:left="582"/>
              <w:rPr>
                <w:rFonts w:ascii="宋体" w:hAnsi="宋体" w:eastAsia="宋体" w:cs="宋体"/>
                <w:sz w:val="24"/>
                <w:szCs w:val="24"/>
              </w:rPr>
            </w:pPr>
            <w:r>
              <w:rPr>
                <w:rFonts w:ascii="Times New Roman" w:hAnsi="Times New Roman" w:eastAsia="Times New Roman" w:cs="Times New Roman"/>
                <w:b/>
                <w:bCs/>
                <w:spacing w:val="-6"/>
                <w:sz w:val="24"/>
                <w:szCs w:val="24"/>
              </w:rPr>
              <w:t>3</w:t>
            </w:r>
            <w:r>
              <w:rPr>
                <w:rFonts w:ascii="Times New Roman" w:hAnsi="Times New Roman" w:eastAsia="Times New Roman" w:cs="Times New Roman"/>
                <w:b/>
                <w:bCs/>
                <w:spacing w:val="-34"/>
                <w:sz w:val="24"/>
                <w:szCs w:val="24"/>
              </w:rPr>
              <w:t xml:space="preserve"> </w:t>
            </w:r>
            <w:r>
              <w:rPr>
                <w:rFonts w:ascii="宋体" w:hAnsi="宋体" w:eastAsia="宋体" w:cs="宋体"/>
                <w:b/>
                <w:bCs/>
                <w:spacing w:val="-6"/>
                <w:sz w:val="24"/>
                <w:szCs w:val="24"/>
              </w:rPr>
              <w:t>、可行性分析</w:t>
            </w:r>
          </w:p>
          <w:p w14:paraId="0C300C94">
            <w:pPr>
              <w:spacing w:before="179" w:line="219" w:lineRule="auto"/>
              <w:ind w:left="599"/>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1</w:t>
            </w:r>
            <w:r>
              <w:rPr>
                <w:rFonts w:ascii="宋体" w:hAnsi="宋体" w:eastAsia="宋体" w:cs="宋体"/>
                <w:b/>
                <w:bCs/>
                <w:spacing w:val="-4"/>
                <w:sz w:val="24"/>
                <w:szCs w:val="24"/>
              </w:rPr>
              <w:t>）项目建成后全厂水平衡分析</w:t>
            </w:r>
          </w:p>
          <w:p w14:paraId="532BFC75">
            <w:pPr>
              <w:spacing w:before="182" w:line="357" w:lineRule="auto"/>
              <w:ind w:left="110" w:right="102" w:firstLine="479"/>
              <w:rPr>
                <w:rFonts w:ascii="宋体" w:hAnsi="宋体" w:eastAsia="宋体" w:cs="宋体"/>
                <w:sz w:val="24"/>
                <w:szCs w:val="24"/>
              </w:rPr>
            </w:pPr>
            <w:r>
              <w:rPr>
                <w:rFonts w:ascii="宋体" w:hAnsi="宋体" w:eastAsia="宋体" w:cs="宋体"/>
                <w:spacing w:val="-1"/>
                <w:sz w:val="24"/>
                <w:szCs w:val="24"/>
              </w:rPr>
              <w:t>本项目生活污水排放量为</w:t>
            </w:r>
            <w:r>
              <w:rPr>
                <w:rFonts w:ascii="宋体" w:hAnsi="宋体" w:eastAsia="宋体" w:cs="宋体"/>
                <w:spacing w:val="-52"/>
                <w:sz w:val="24"/>
                <w:szCs w:val="24"/>
              </w:rPr>
              <w:t xml:space="preserve"> </w:t>
            </w:r>
            <w:r>
              <w:rPr>
                <w:rFonts w:ascii="Times New Roman" w:hAnsi="Times New Roman" w:eastAsia="Times New Roman" w:cs="Times New Roman"/>
                <w:spacing w:val="-1"/>
                <w:sz w:val="24"/>
                <w:szCs w:val="24"/>
              </w:rPr>
              <w:t>0.24m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4"/>
                <w:szCs w:val="24"/>
              </w:rPr>
              <w:t>/d</w:t>
            </w:r>
            <w:r>
              <w:rPr>
                <w:rFonts w:ascii="Times New Roman" w:hAnsi="Times New Roman" w:eastAsia="Times New Roman" w:cs="Times New Roman"/>
                <w:spacing w:val="-31"/>
                <w:sz w:val="24"/>
                <w:szCs w:val="24"/>
              </w:rPr>
              <w:t xml:space="preserve"> </w:t>
            </w:r>
            <w:r>
              <w:rPr>
                <w:rFonts w:ascii="宋体" w:hAnsi="宋体" w:eastAsia="宋体" w:cs="宋体"/>
                <w:spacing w:val="-1"/>
                <w:sz w:val="24"/>
                <w:szCs w:val="24"/>
              </w:rPr>
              <w:t>，</w:t>
            </w:r>
            <w:r>
              <w:rPr>
                <w:rFonts w:ascii="Times New Roman" w:hAnsi="Times New Roman" w:eastAsia="Times New Roman" w:cs="Times New Roman"/>
                <w:spacing w:val="-1"/>
                <w:sz w:val="24"/>
                <w:szCs w:val="24"/>
              </w:rPr>
              <w:t>72m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4"/>
                <w:szCs w:val="24"/>
              </w:rPr>
              <w:t>/a</w:t>
            </w:r>
            <w:r>
              <w:rPr>
                <w:rFonts w:ascii="Times New Roman" w:hAnsi="Times New Roman" w:eastAsia="Times New Roman" w:cs="Times New Roman"/>
                <w:spacing w:val="-32"/>
                <w:sz w:val="24"/>
                <w:szCs w:val="24"/>
              </w:rPr>
              <w:t xml:space="preserve"> </w:t>
            </w:r>
            <w:r>
              <w:rPr>
                <w:rFonts w:ascii="宋体" w:hAnsi="宋体" w:eastAsia="宋体" w:cs="宋体"/>
                <w:spacing w:val="-1"/>
                <w:sz w:val="24"/>
                <w:szCs w:val="24"/>
              </w:rPr>
              <w:t>，无生产废水。项目建成后</w:t>
            </w:r>
            <w:r>
              <w:rPr>
                <w:rFonts w:ascii="宋体" w:hAnsi="宋体" w:eastAsia="宋体" w:cs="宋体"/>
                <w:spacing w:val="-2"/>
                <w:sz w:val="24"/>
                <w:szCs w:val="24"/>
              </w:rPr>
              <w:t>全厂生活</w:t>
            </w:r>
            <w:r>
              <w:rPr>
                <w:rFonts w:ascii="宋体" w:hAnsi="宋体" w:eastAsia="宋体" w:cs="宋体"/>
                <w:spacing w:val="-1"/>
                <w:sz w:val="24"/>
                <w:szCs w:val="24"/>
              </w:rPr>
              <w:t>污水产生量约为</w:t>
            </w:r>
            <w:r>
              <w:rPr>
                <w:rFonts w:ascii="宋体" w:hAnsi="宋体" w:eastAsia="宋体" w:cs="宋体"/>
                <w:spacing w:val="-49"/>
                <w:sz w:val="24"/>
                <w:szCs w:val="24"/>
              </w:rPr>
              <w:t xml:space="preserve"> </w:t>
            </w:r>
            <w:r>
              <w:rPr>
                <w:rFonts w:ascii="Times New Roman" w:hAnsi="Times New Roman" w:eastAsia="Times New Roman" w:cs="Times New Roman"/>
                <w:spacing w:val="-1"/>
                <w:sz w:val="24"/>
                <w:szCs w:val="24"/>
              </w:rPr>
              <w:t>907.2t/a</w:t>
            </w:r>
            <w:r>
              <w:rPr>
                <w:rFonts w:ascii="宋体" w:hAnsi="宋体" w:eastAsia="宋体" w:cs="宋体"/>
                <w:spacing w:val="-1"/>
                <w:sz w:val="24"/>
                <w:szCs w:val="24"/>
              </w:rPr>
              <w:t>（</w:t>
            </w:r>
            <w:r>
              <w:rPr>
                <w:rFonts w:ascii="Times New Roman" w:hAnsi="Times New Roman" w:eastAsia="Times New Roman" w:cs="Times New Roman"/>
                <w:spacing w:val="-1"/>
                <w:sz w:val="24"/>
                <w:szCs w:val="24"/>
              </w:rPr>
              <w:t>3.024m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4"/>
                <w:szCs w:val="24"/>
              </w:rPr>
              <w:t>/d</w:t>
            </w:r>
            <w:r>
              <w:rPr>
                <w:rFonts w:ascii="宋体" w:hAnsi="宋体" w:eastAsia="宋体" w:cs="宋体"/>
                <w:spacing w:val="9"/>
                <w:sz w:val="24"/>
                <w:szCs w:val="24"/>
              </w:rPr>
              <w:t>），</w:t>
            </w:r>
            <w:r>
              <w:rPr>
                <w:rFonts w:ascii="宋体" w:hAnsi="宋体" w:eastAsia="宋体" w:cs="宋体"/>
                <w:spacing w:val="-1"/>
                <w:sz w:val="24"/>
                <w:szCs w:val="24"/>
              </w:rPr>
              <w:t>无生产废水。项目水平衡详见下图。</w:t>
            </w:r>
          </w:p>
          <w:p w14:paraId="3025F686">
            <w:pPr>
              <w:spacing w:line="4893" w:lineRule="exact"/>
              <w:ind w:firstLine="115"/>
            </w:pPr>
            <w:r>
              <w:rPr>
                <w:position w:val="-97"/>
              </w:rPr>
              <w:drawing>
                <wp:inline distT="0" distB="0" distL="0" distR="0">
                  <wp:extent cx="5559425" cy="3107055"/>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132"/>
                          <a:stretch>
                            <a:fillRect/>
                          </a:stretch>
                        </pic:blipFill>
                        <pic:spPr>
                          <a:xfrm>
                            <a:off x="0" y="0"/>
                            <a:ext cx="5559552" cy="3107436"/>
                          </a:xfrm>
                          <a:prstGeom prst="rect">
                            <a:avLst/>
                          </a:prstGeom>
                        </pic:spPr>
                      </pic:pic>
                    </a:graphicData>
                  </a:graphic>
                </wp:inline>
              </w:drawing>
            </w:r>
          </w:p>
          <w:p w14:paraId="7521E7A9">
            <w:pPr>
              <w:spacing w:before="64" w:line="219" w:lineRule="auto"/>
              <w:ind w:left="2560"/>
              <w:rPr>
                <w:rFonts w:ascii="宋体" w:hAnsi="宋体" w:eastAsia="宋体" w:cs="宋体"/>
                <w:sz w:val="24"/>
                <w:szCs w:val="24"/>
              </w:rPr>
            </w:pPr>
            <w:r>
              <w:rPr>
                <w:rFonts w:ascii="宋体" w:hAnsi="宋体" w:eastAsia="宋体" w:cs="宋体"/>
                <w:b/>
                <w:bCs/>
                <w:spacing w:val="-3"/>
                <w:sz w:val="24"/>
                <w:szCs w:val="24"/>
              </w:rPr>
              <w:t>图</w:t>
            </w:r>
            <w:r>
              <w:rPr>
                <w:rFonts w:ascii="宋体" w:hAnsi="宋体" w:eastAsia="宋体" w:cs="宋体"/>
                <w:spacing w:val="-43"/>
                <w:sz w:val="24"/>
                <w:szCs w:val="24"/>
              </w:rPr>
              <w:t xml:space="preserve"> </w:t>
            </w:r>
            <w:r>
              <w:rPr>
                <w:rFonts w:ascii="Times New Roman" w:hAnsi="Times New Roman" w:eastAsia="Times New Roman" w:cs="Times New Roman"/>
                <w:b/>
                <w:bCs/>
                <w:spacing w:val="-3"/>
                <w:sz w:val="24"/>
                <w:szCs w:val="24"/>
              </w:rPr>
              <w:t xml:space="preserve">4-1    </w:t>
            </w:r>
            <w:r>
              <w:rPr>
                <w:rFonts w:ascii="宋体" w:hAnsi="宋体" w:eastAsia="宋体" w:cs="宋体"/>
                <w:b/>
                <w:bCs/>
                <w:spacing w:val="-3"/>
                <w:sz w:val="24"/>
                <w:szCs w:val="24"/>
              </w:rPr>
              <w:t>全厂非雨天水平衡图（</w:t>
            </w:r>
            <w:r>
              <w:rPr>
                <w:rFonts w:ascii="Times New Roman" w:hAnsi="Times New Roman" w:eastAsia="Times New Roman" w:cs="Times New Roman"/>
                <w:b/>
                <w:bCs/>
                <w:spacing w:val="-3"/>
                <w:sz w:val="24"/>
                <w:szCs w:val="24"/>
              </w:rPr>
              <w:t>m</w:t>
            </w:r>
            <w:r>
              <w:rPr>
                <w:rFonts w:ascii="Times New Roman" w:hAnsi="Times New Roman" w:eastAsia="Times New Roman" w:cs="Times New Roman"/>
                <w:b/>
                <w:bCs/>
                <w:spacing w:val="-3"/>
                <w:position w:val="8"/>
                <w:sz w:val="15"/>
                <w:szCs w:val="15"/>
              </w:rPr>
              <w:t>3</w:t>
            </w:r>
            <w:r>
              <w:rPr>
                <w:rFonts w:ascii="Times New Roman" w:hAnsi="Times New Roman" w:eastAsia="Times New Roman" w:cs="Times New Roman"/>
                <w:b/>
                <w:bCs/>
                <w:spacing w:val="-3"/>
                <w:sz w:val="24"/>
                <w:szCs w:val="24"/>
              </w:rPr>
              <w:t>/a</w:t>
            </w:r>
            <w:r>
              <w:rPr>
                <w:rFonts w:ascii="宋体" w:hAnsi="宋体" w:eastAsia="宋体" w:cs="宋体"/>
                <w:b/>
                <w:bCs/>
                <w:spacing w:val="-3"/>
                <w:sz w:val="24"/>
                <w:szCs w:val="24"/>
              </w:rPr>
              <w:t>）</w:t>
            </w:r>
          </w:p>
          <w:p w14:paraId="020BDFC3">
            <w:pPr>
              <w:spacing w:before="222" w:line="3420" w:lineRule="exact"/>
              <w:ind w:firstLine="149"/>
            </w:pPr>
            <w:r>
              <w:rPr>
                <w:position w:val="-68"/>
              </w:rPr>
              <w:drawing>
                <wp:inline distT="0" distB="0" distL="0" distR="0">
                  <wp:extent cx="5549900" cy="2171700"/>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33"/>
                          <a:stretch>
                            <a:fillRect/>
                          </a:stretch>
                        </pic:blipFill>
                        <pic:spPr>
                          <a:xfrm>
                            <a:off x="0" y="0"/>
                            <a:ext cx="5550407" cy="2171700"/>
                          </a:xfrm>
                          <a:prstGeom prst="rect">
                            <a:avLst/>
                          </a:prstGeom>
                        </pic:spPr>
                      </pic:pic>
                    </a:graphicData>
                  </a:graphic>
                </wp:inline>
              </w:drawing>
            </w:r>
          </w:p>
          <w:p w14:paraId="43A5D701">
            <w:pPr>
              <w:spacing w:before="38" w:line="219" w:lineRule="auto"/>
              <w:ind w:left="2680"/>
              <w:rPr>
                <w:rFonts w:ascii="宋体" w:hAnsi="宋体" w:eastAsia="宋体" w:cs="宋体"/>
                <w:sz w:val="24"/>
                <w:szCs w:val="24"/>
              </w:rPr>
            </w:pPr>
            <w:r>
              <w:rPr>
                <w:rFonts w:ascii="宋体" w:hAnsi="宋体" w:eastAsia="宋体" w:cs="宋体"/>
                <w:b/>
                <w:bCs/>
                <w:spacing w:val="-3"/>
                <w:sz w:val="24"/>
                <w:szCs w:val="24"/>
              </w:rPr>
              <w:t>图</w:t>
            </w:r>
            <w:r>
              <w:rPr>
                <w:rFonts w:ascii="宋体" w:hAnsi="宋体" w:eastAsia="宋体" w:cs="宋体"/>
                <w:spacing w:val="-43"/>
                <w:sz w:val="24"/>
                <w:szCs w:val="24"/>
              </w:rPr>
              <w:t xml:space="preserve"> </w:t>
            </w:r>
            <w:r>
              <w:rPr>
                <w:rFonts w:ascii="Times New Roman" w:hAnsi="Times New Roman" w:eastAsia="Times New Roman" w:cs="Times New Roman"/>
                <w:b/>
                <w:bCs/>
                <w:spacing w:val="-3"/>
                <w:sz w:val="24"/>
                <w:szCs w:val="24"/>
              </w:rPr>
              <w:t xml:space="preserve">4-2    </w:t>
            </w:r>
            <w:r>
              <w:rPr>
                <w:rFonts w:ascii="宋体" w:hAnsi="宋体" w:eastAsia="宋体" w:cs="宋体"/>
                <w:b/>
                <w:bCs/>
                <w:spacing w:val="-3"/>
                <w:sz w:val="24"/>
                <w:szCs w:val="24"/>
              </w:rPr>
              <w:t>全厂雨天水平衡图（</w:t>
            </w:r>
            <w:r>
              <w:rPr>
                <w:rFonts w:ascii="Times New Roman" w:hAnsi="Times New Roman" w:eastAsia="Times New Roman" w:cs="Times New Roman"/>
                <w:b/>
                <w:bCs/>
                <w:spacing w:val="-3"/>
                <w:sz w:val="24"/>
                <w:szCs w:val="24"/>
              </w:rPr>
              <w:t>m</w:t>
            </w:r>
            <w:r>
              <w:rPr>
                <w:rFonts w:ascii="Times New Roman" w:hAnsi="Times New Roman" w:eastAsia="Times New Roman" w:cs="Times New Roman"/>
                <w:b/>
                <w:bCs/>
                <w:spacing w:val="-3"/>
                <w:position w:val="7"/>
                <w:sz w:val="15"/>
                <w:szCs w:val="15"/>
              </w:rPr>
              <w:t>3</w:t>
            </w:r>
            <w:r>
              <w:rPr>
                <w:rFonts w:ascii="Times New Roman" w:hAnsi="Times New Roman" w:eastAsia="Times New Roman" w:cs="Times New Roman"/>
                <w:b/>
                <w:bCs/>
                <w:spacing w:val="-3"/>
                <w:sz w:val="24"/>
                <w:szCs w:val="24"/>
              </w:rPr>
              <w:t>/a</w:t>
            </w:r>
            <w:r>
              <w:rPr>
                <w:rFonts w:ascii="宋体" w:hAnsi="宋体" w:eastAsia="宋体" w:cs="宋体"/>
                <w:b/>
                <w:bCs/>
                <w:spacing w:val="-3"/>
                <w:sz w:val="24"/>
                <w:szCs w:val="24"/>
              </w:rPr>
              <w:t>）</w:t>
            </w:r>
          </w:p>
          <w:p w14:paraId="472151B2">
            <w:pPr>
              <w:spacing w:before="180" w:line="219" w:lineRule="auto"/>
              <w:ind w:left="599"/>
              <w:rPr>
                <w:rFonts w:ascii="宋体" w:hAnsi="宋体" w:eastAsia="宋体" w:cs="宋体"/>
                <w:sz w:val="24"/>
                <w:szCs w:val="24"/>
              </w:rPr>
            </w:pPr>
            <w:r>
              <w:rPr>
                <w:rFonts w:ascii="宋体" w:hAnsi="宋体" w:eastAsia="宋体" w:cs="宋体"/>
                <w:b/>
                <w:bCs/>
                <w:spacing w:val="-6"/>
                <w:sz w:val="24"/>
                <w:szCs w:val="24"/>
              </w:rPr>
              <w:t>（</w:t>
            </w:r>
            <w:r>
              <w:rPr>
                <w:rFonts w:ascii="Times New Roman" w:hAnsi="Times New Roman" w:eastAsia="Times New Roman" w:cs="Times New Roman"/>
                <w:b/>
                <w:bCs/>
                <w:spacing w:val="-6"/>
                <w:sz w:val="24"/>
                <w:szCs w:val="24"/>
              </w:rPr>
              <w:t>2</w:t>
            </w:r>
            <w:r>
              <w:rPr>
                <w:rFonts w:ascii="宋体" w:hAnsi="宋体" w:eastAsia="宋体" w:cs="宋体"/>
                <w:b/>
                <w:bCs/>
                <w:spacing w:val="-6"/>
                <w:sz w:val="24"/>
                <w:szCs w:val="24"/>
              </w:rPr>
              <w:t>）化粪池</w:t>
            </w:r>
          </w:p>
          <w:p w14:paraId="0DB66DD3">
            <w:pPr>
              <w:spacing w:before="183" w:line="350" w:lineRule="auto"/>
              <w:ind w:left="108" w:right="102" w:firstLine="483"/>
              <w:rPr>
                <w:rFonts w:ascii="宋体" w:hAnsi="宋体" w:eastAsia="宋体" w:cs="宋体"/>
                <w:sz w:val="24"/>
                <w:szCs w:val="24"/>
              </w:rPr>
            </w:pPr>
            <w:r>
              <w:rPr>
                <w:rFonts w:ascii="宋体" w:hAnsi="宋体" w:eastAsia="宋体" w:cs="宋体"/>
                <w:sz w:val="24"/>
                <w:szCs w:val="24"/>
              </w:rPr>
              <w:t>项目建成后全厂生活污水产生量约为</w:t>
            </w:r>
            <w:r>
              <w:rPr>
                <w:rFonts w:ascii="宋体" w:hAnsi="宋体" w:eastAsia="宋体" w:cs="宋体"/>
                <w:spacing w:val="-51"/>
                <w:sz w:val="24"/>
                <w:szCs w:val="24"/>
              </w:rPr>
              <w:t xml:space="preserve"> </w:t>
            </w:r>
            <w:r>
              <w:rPr>
                <w:rFonts w:ascii="Times New Roman" w:hAnsi="Times New Roman" w:eastAsia="Times New Roman" w:cs="Times New Roman"/>
                <w:sz w:val="24"/>
                <w:szCs w:val="24"/>
              </w:rPr>
              <w:t>907.2t/a</w:t>
            </w:r>
            <w:r>
              <w:rPr>
                <w:rFonts w:ascii="宋体" w:hAnsi="宋体" w:eastAsia="宋体" w:cs="宋体"/>
                <w:sz w:val="24"/>
                <w:szCs w:val="24"/>
              </w:rPr>
              <w:t>（</w:t>
            </w:r>
            <w:r>
              <w:rPr>
                <w:rFonts w:ascii="Times New Roman" w:hAnsi="Times New Roman" w:eastAsia="Times New Roman" w:cs="Times New Roman"/>
                <w:sz w:val="24"/>
                <w:szCs w:val="24"/>
              </w:rPr>
              <w:t>3.024m</w:t>
            </w:r>
            <w:r>
              <w:rPr>
                <w:rFonts w:ascii="Times New Roman" w:hAnsi="Times New Roman" w:eastAsia="Times New Roman" w:cs="Times New Roman"/>
                <w:position w:val="8"/>
                <w:sz w:val="15"/>
                <w:szCs w:val="15"/>
              </w:rPr>
              <w:t>3</w:t>
            </w:r>
            <w:r>
              <w:rPr>
                <w:rFonts w:ascii="Times New Roman" w:hAnsi="Times New Roman" w:eastAsia="Times New Roman" w:cs="Times New Roman"/>
                <w:sz w:val="24"/>
                <w:szCs w:val="24"/>
              </w:rPr>
              <w:t>/d</w:t>
            </w:r>
            <w:r>
              <w:rPr>
                <w:rFonts w:ascii="宋体" w:hAnsi="宋体" w:eastAsia="宋体" w:cs="宋体"/>
                <w:spacing w:val="11"/>
                <w:sz w:val="24"/>
                <w:szCs w:val="24"/>
              </w:rPr>
              <w:t>），</w:t>
            </w:r>
            <w:r>
              <w:rPr>
                <w:rFonts w:ascii="宋体" w:hAnsi="宋体" w:eastAsia="宋体" w:cs="宋体"/>
                <w:sz w:val="24"/>
                <w:szCs w:val="24"/>
              </w:rPr>
              <w:t>生活污水先进化粪</w:t>
            </w:r>
            <w:r>
              <w:rPr>
                <w:rFonts w:ascii="宋体" w:hAnsi="宋体" w:eastAsia="宋体" w:cs="宋体"/>
                <w:spacing w:val="-2"/>
                <w:sz w:val="24"/>
                <w:szCs w:val="24"/>
              </w:rPr>
              <w:t>池预处理，停留时间取</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24h</w:t>
            </w:r>
            <w:r>
              <w:rPr>
                <w:rFonts w:ascii="Times New Roman" w:hAnsi="Times New Roman" w:eastAsia="Times New Roman" w:cs="Times New Roman"/>
                <w:spacing w:val="-28"/>
                <w:sz w:val="24"/>
                <w:szCs w:val="24"/>
              </w:rPr>
              <w:t xml:space="preserve"> </w:t>
            </w:r>
            <w:r>
              <w:rPr>
                <w:rFonts w:ascii="宋体" w:hAnsi="宋体" w:eastAsia="宋体" w:cs="宋体"/>
                <w:spacing w:val="-2"/>
                <w:sz w:val="24"/>
                <w:szCs w:val="24"/>
              </w:rPr>
              <w:t>，考虑</w:t>
            </w:r>
            <w:r>
              <w:rPr>
                <w:rFonts w:ascii="宋体" w:hAnsi="宋体" w:eastAsia="宋体" w:cs="宋体"/>
                <w:spacing w:val="-30"/>
                <w:sz w:val="24"/>
                <w:szCs w:val="24"/>
              </w:rPr>
              <w:t xml:space="preserve"> </w:t>
            </w:r>
            <w:r>
              <w:rPr>
                <w:rFonts w:ascii="Times New Roman" w:hAnsi="Times New Roman" w:eastAsia="Times New Roman" w:cs="Times New Roman"/>
                <w:spacing w:val="-2"/>
                <w:sz w:val="24"/>
                <w:szCs w:val="24"/>
              </w:rPr>
              <w:t>1.2</w:t>
            </w:r>
            <w:r>
              <w:rPr>
                <w:rFonts w:ascii="Times New Roman" w:hAnsi="Times New Roman" w:eastAsia="Times New Roman" w:cs="Times New Roman"/>
                <w:spacing w:val="29"/>
                <w:w w:val="101"/>
                <w:sz w:val="24"/>
                <w:szCs w:val="24"/>
              </w:rPr>
              <w:t xml:space="preserve"> </w:t>
            </w:r>
            <w:r>
              <w:rPr>
                <w:rFonts w:ascii="宋体" w:hAnsi="宋体" w:eastAsia="宋体" w:cs="宋体"/>
                <w:spacing w:val="-2"/>
                <w:sz w:val="24"/>
                <w:szCs w:val="24"/>
              </w:rPr>
              <w:t>的裕量，则化粪池设计</w:t>
            </w:r>
            <w:r>
              <w:rPr>
                <w:rFonts w:ascii="宋体" w:hAnsi="宋体" w:eastAsia="宋体" w:cs="宋体"/>
                <w:spacing w:val="-3"/>
                <w:sz w:val="24"/>
                <w:szCs w:val="24"/>
              </w:rPr>
              <w:t>容积应大于</w:t>
            </w:r>
            <w:r>
              <w:rPr>
                <w:rFonts w:ascii="宋体" w:hAnsi="宋体" w:eastAsia="宋体" w:cs="宋体"/>
                <w:spacing w:val="-48"/>
                <w:sz w:val="24"/>
                <w:szCs w:val="24"/>
              </w:rPr>
              <w:t xml:space="preserve"> </w:t>
            </w:r>
            <w:r>
              <w:rPr>
                <w:rFonts w:ascii="Times New Roman" w:hAnsi="Times New Roman" w:eastAsia="Times New Roman" w:cs="Times New Roman"/>
                <w:spacing w:val="-3"/>
                <w:sz w:val="24"/>
                <w:szCs w:val="24"/>
              </w:rPr>
              <w:t>3.63m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7"/>
                <w:position w:val="8"/>
                <w:sz w:val="15"/>
                <w:szCs w:val="15"/>
              </w:rPr>
              <w:t xml:space="preserve"> </w:t>
            </w:r>
            <w:r>
              <w:rPr>
                <w:rFonts w:ascii="宋体" w:hAnsi="宋体" w:eastAsia="宋体" w:cs="宋体"/>
                <w:spacing w:val="-3"/>
                <w:sz w:val="24"/>
                <w:szCs w:val="24"/>
              </w:rPr>
              <w:t>，厂</w:t>
            </w:r>
          </w:p>
        </w:tc>
      </w:tr>
    </w:tbl>
    <w:p w14:paraId="5E58C21B">
      <w:pPr>
        <w:pStyle w:val="2"/>
      </w:pPr>
    </w:p>
    <w:p w14:paraId="7B88A751">
      <w:pPr>
        <w:sectPr>
          <w:footerReference r:id="rId96" w:type="default"/>
          <w:pgSz w:w="11906" w:h="16839"/>
          <w:pgMar w:top="400" w:right="1055" w:bottom="1085" w:left="1054" w:header="0" w:footer="762" w:gutter="0"/>
          <w:cols w:space="720" w:num="1"/>
        </w:sectPr>
      </w:pPr>
    </w:p>
    <w:p w14:paraId="3F805C13">
      <w:pPr>
        <w:spacing w:before="19"/>
      </w:pPr>
    </w:p>
    <w:p w14:paraId="35A9D78A">
      <w:pPr>
        <w:spacing w:before="19"/>
      </w:pPr>
    </w:p>
    <w:p w14:paraId="4B1E1EB9">
      <w:pPr>
        <w:spacing w:before="19"/>
      </w:pPr>
    </w:p>
    <w:p w14:paraId="19B28D89">
      <w:pPr>
        <w:spacing w:before="18"/>
      </w:pPr>
    </w:p>
    <w:p w14:paraId="7DFC8515">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69A45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85" w:hRule="atLeast"/>
        </w:trPr>
        <w:tc>
          <w:tcPr>
            <w:tcW w:w="734" w:type="dxa"/>
            <w:tcBorders>
              <w:right w:val="single" w:color="000000" w:sz="2" w:space="0"/>
            </w:tcBorders>
            <w:vAlign w:val="top"/>
          </w:tcPr>
          <w:p w14:paraId="22FE2899">
            <w:pPr>
              <w:rPr>
                <w:rFonts w:ascii="Arial"/>
                <w:sz w:val="21"/>
              </w:rPr>
            </w:pPr>
          </w:p>
        </w:tc>
        <w:tc>
          <w:tcPr>
            <w:tcW w:w="9047" w:type="dxa"/>
            <w:tcBorders>
              <w:left w:val="single" w:color="000000" w:sz="2" w:space="0"/>
            </w:tcBorders>
            <w:vAlign w:val="top"/>
          </w:tcPr>
          <w:p w14:paraId="626E90DD">
            <w:pPr>
              <w:spacing w:before="40" w:line="219" w:lineRule="auto"/>
              <w:ind w:left="127"/>
              <w:rPr>
                <w:rFonts w:ascii="宋体" w:hAnsi="宋体" w:eastAsia="宋体" w:cs="宋体"/>
                <w:sz w:val="24"/>
                <w:szCs w:val="24"/>
              </w:rPr>
            </w:pPr>
            <w:r>
              <w:rPr>
                <w:rFonts w:ascii="宋体" w:hAnsi="宋体" w:eastAsia="宋体" w:cs="宋体"/>
                <w:spacing w:val="-4"/>
                <w:sz w:val="24"/>
                <w:szCs w:val="24"/>
              </w:rPr>
              <w:t>区已建化粪池容积为</w:t>
            </w:r>
            <w:r>
              <w:rPr>
                <w:rFonts w:ascii="宋体" w:hAnsi="宋体" w:eastAsia="宋体" w:cs="宋体"/>
                <w:spacing w:val="-45"/>
                <w:sz w:val="24"/>
                <w:szCs w:val="24"/>
              </w:rPr>
              <w:t xml:space="preserve"> </w:t>
            </w:r>
            <w:r>
              <w:rPr>
                <w:rFonts w:ascii="Times New Roman" w:hAnsi="Times New Roman" w:eastAsia="Times New Roman" w:cs="Times New Roman"/>
                <w:spacing w:val="-4"/>
                <w:sz w:val="24"/>
                <w:szCs w:val="24"/>
              </w:rPr>
              <w:t>4m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7"/>
                <w:position w:val="7"/>
                <w:sz w:val="15"/>
                <w:szCs w:val="15"/>
              </w:rPr>
              <w:t xml:space="preserve"> </w:t>
            </w:r>
            <w:r>
              <w:rPr>
                <w:rFonts w:ascii="宋体" w:hAnsi="宋体" w:eastAsia="宋体" w:cs="宋体"/>
                <w:spacing w:val="-4"/>
                <w:sz w:val="24"/>
                <w:szCs w:val="24"/>
              </w:rPr>
              <w:t>，满足要求。</w:t>
            </w:r>
          </w:p>
          <w:p w14:paraId="22BB76E0">
            <w:pPr>
              <w:spacing w:before="183" w:line="219" w:lineRule="auto"/>
              <w:ind w:left="600"/>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2</w:t>
            </w:r>
            <w:r>
              <w:rPr>
                <w:rFonts w:ascii="宋体" w:hAnsi="宋体" w:eastAsia="宋体" w:cs="宋体"/>
                <w:b/>
                <w:bCs/>
                <w:spacing w:val="-5"/>
                <w:sz w:val="24"/>
                <w:szCs w:val="24"/>
              </w:rPr>
              <w:t>）污水处理站</w:t>
            </w:r>
          </w:p>
          <w:p w14:paraId="4EFD54BD">
            <w:pPr>
              <w:spacing w:before="178" w:line="360" w:lineRule="auto"/>
              <w:ind w:left="112" w:right="58" w:firstLine="479"/>
              <w:jc w:val="both"/>
              <w:rPr>
                <w:rFonts w:ascii="宋体" w:hAnsi="宋体" w:eastAsia="宋体" w:cs="宋体"/>
                <w:sz w:val="24"/>
                <w:szCs w:val="24"/>
              </w:rPr>
            </w:pPr>
            <w:r>
              <w:rPr>
                <w:rFonts w:ascii="宋体" w:hAnsi="宋体" w:eastAsia="宋体" w:cs="宋体"/>
                <w:spacing w:val="-2"/>
                <w:sz w:val="24"/>
                <w:szCs w:val="24"/>
              </w:rPr>
              <w:t>生活污水经化粪池处理后进入已建的一体化污水处理设施处理，已建的一体化污</w:t>
            </w:r>
            <w:r>
              <w:rPr>
                <w:rFonts w:ascii="宋体" w:hAnsi="宋体" w:eastAsia="宋体" w:cs="宋体"/>
                <w:spacing w:val="1"/>
                <w:sz w:val="24"/>
                <w:szCs w:val="24"/>
              </w:rPr>
              <w:t>水处理设施设计规模为</w:t>
            </w:r>
            <w:r>
              <w:rPr>
                <w:rFonts w:ascii="宋体" w:hAnsi="宋体" w:eastAsia="宋体" w:cs="宋体"/>
                <w:spacing w:val="-30"/>
                <w:sz w:val="24"/>
                <w:szCs w:val="24"/>
              </w:rPr>
              <w:t xml:space="preserve"> </w:t>
            </w:r>
            <w:r>
              <w:rPr>
                <w:rFonts w:ascii="Times New Roman" w:hAnsi="Times New Roman" w:eastAsia="Times New Roman" w:cs="Times New Roman"/>
                <w:spacing w:val="1"/>
                <w:sz w:val="24"/>
                <w:szCs w:val="24"/>
              </w:rPr>
              <w:t>10m</w:t>
            </w:r>
            <w:r>
              <w:rPr>
                <w:rFonts w:ascii="Times New Roman" w:hAnsi="Times New Roman" w:eastAsia="Times New Roman" w:cs="Times New Roman"/>
                <w:spacing w:val="1"/>
                <w:position w:val="8"/>
                <w:sz w:val="15"/>
                <w:szCs w:val="15"/>
              </w:rPr>
              <w:t xml:space="preserve">3 </w:t>
            </w:r>
            <w:r>
              <w:rPr>
                <w:rFonts w:ascii="宋体" w:hAnsi="宋体" w:eastAsia="宋体" w:cs="宋体"/>
                <w:spacing w:val="1"/>
                <w:sz w:val="24"/>
                <w:szCs w:val="24"/>
              </w:rPr>
              <w:t>，完全能容纳本项目建设后的需求，</w:t>
            </w:r>
            <w:r>
              <w:rPr>
                <w:rFonts w:ascii="宋体" w:hAnsi="宋体" w:eastAsia="宋体" w:cs="宋体"/>
                <w:sz w:val="24"/>
                <w:szCs w:val="24"/>
              </w:rPr>
              <w:t>满足要求。根据验</w:t>
            </w:r>
            <w:r>
              <w:rPr>
                <w:rFonts w:ascii="宋体" w:hAnsi="宋体" w:eastAsia="宋体" w:cs="宋体"/>
                <w:spacing w:val="-5"/>
                <w:sz w:val="24"/>
                <w:szCs w:val="24"/>
              </w:rPr>
              <w:t>收监测报告，生活污水经化粪池</w:t>
            </w:r>
            <w:r>
              <w:rPr>
                <w:rFonts w:ascii="Times New Roman" w:hAnsi="Times New Roman" w:eastAsia="Times New Roman" w:cs="Times New Roman"/>
                <w:spacing w:val="-5"/>
                <w:sz w:val="24"/>
                <w:szCs w:val="24"/>
              </w:rPr>
              <w:t>+</w:t>
            </w:r>
            <w:r>
              <w:rPr>
                <w:rFonts w:ascii="宋体" w:hAnsi="宋体" w:eastAsia="宋体" w:cs="宋体"/>
                <w:spacing w:val="-5"/>
                <w:sz w:val="24"/>
                <w:szCs w:val="24"/>
              </w:rPr>
              <w:t>一体化污水处理设施处理后，各指标浓度</w:t>
            </w:r>
            <w:r>
              <w:rPr>
                <w:rFonts w:ascii="宋体" w:hAnsi="宋体" w:eastAsia="宋体" w:cs="宋体"/>
                <w:spacing w:val="-6"/>
                <w:sz w:val="24"/>
                <w:szCs w:val="24"/>
              </w:rPr>
              <w:t>均达到《城</w:t>
            </w:r>
            <w:r>
              <w:rPr>
                <w:rFonts w:ascii="宋体" w:hAnsi="宋体" w:eastAsia="宋体" w:cs="宋体"/>
                <w:spacing w:val="-1"/>
                <w:sz w:val="24"/>
                <w:szCs w:val="24"/>
              </w:rPr>
              <w:t>市污水再生利用城市杂用水水质》（</w:t>
            </w:r>
            <w:r>
              <w:rPr>
                <w:rFonts w:ascii="Times New Roman" w:hAnsi="Times New Roman" w:eastAsia="Times New Roman" w:cs="Times New Roman"/>
                <w:spacing w:val="-1"/>
                <w:sz w:val="24"/>
                <w:szCs w:val="24"/>
              </w:rPr>
              <w:t>GB-T18920-2020</w:t>
            </w:r>
            <w:r>
              <w:rPr>
                <w:rFonts w:ascii="宋体" w:hAnsi="宋体" w:eastAsia="宋体" w:cs="宋体"/>
                <w:spacing w:val="-1"/>
                <w:sz w:val="24"/>
                <w:szCs w:val="24"/>
              </w:rPr>
              <w:t>）城市</w:t>
            </w:r>
            <w:r>
              <w:rPr>
                <w:rFonts w:ascii="宋体" w:hAnsi="宋体" w:eastAsia="宋体" w:cs="宋体"/>
                <w:spacing w:val="-2"/>
                <w:sz w:val="24"/>
                <w:szCs w:val="24"/>
              </w:rPr>
              <w:t>绿化、道路清扫、标准。</w:t>
            </w:r>
          </w:p>
          <w:p w14:paraId="45488974">
            <w:pPr>
              <w:spacing w:line="220" w:lineRule="auto"/>
              <w:ind w:left="600"/>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3</w:t>
            </w:r>
            <w:r>
              <w:rPr>
                <w:rFonts w:ascii="宋体" w:hAnsi="宋体" w:eastAsia="宋体" w:cs="宋体"/>
                <w:b/>
                <w:bCs/>
                <w:spacing w:val="-4"/>
                <w:sz w:val="24"/>
                <w:szCs w:val="24"/>
              </w:rPr>
              <w:t>）回用可行性分析</w:t>
            </w:r>
          </w:p>
          <w:p w14:paraId="44A2288D">
            <w:pPr>
              <w:spacing w:before="179" w:line="359" w:lineRule="auto"/>
              <w:ind w:left="110" w:right="22" w:firstLine="482"/>
              <w:jc w:val="both"/>
              <w:rPr>
                <w:rFonts w:ascii="宋体" w:hAnsi="宋体" w:eastAsia="宋体" w:cs="宋体"/>
                <w:sz w:val="24"/>
                <w:szCs w:val="24"/>
              </w:rPr>
            </w:pPr>
            <w:r>
              <w:rPr>
                <w:rFonts w:ascii="宋体" w:hAnsi="宋体" w:eastAsia="宋体" w:cs="宋体"/>
                <w:spacing w:val="1"/>
                <w:sz w:val="24"/>
                <w:szCs w:val="24"/>
              </w:rPr>
              <w:t>项目绿化面积</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2442m</w:t>
            </w:r>
            <w:r>
              <w:rPr>
                <w:rFonts w:ascii="Times New Roman" w:hAnsi="Times New Roman" w:eastAsia="Times New Roman" w:cs="Times New Roman"/>
                <w:spacing w:val="1"/>
                <w:position w:val="8"/>
                <w:sz w:val="15"/>
                <w:szCs w:val="15"/>
              </w:rPr>
              <w:t>2</w:t>
            </w:r>
            <w:r>
              <w:rPr>
                <w:rFonts w:ascii="Times New Roman" w:hAnsi="Times New Roman" w:eastAsia="Times New Roman" w:cs="Times New Roman"/>
                <w:spacing w:val="-7"/>
                <w:position w:val="8"/>
                <w:sz w:val="15"/>
                <w:szCs w:val="15"/>
              </w:rPr>
              <w:t xml:space="preserve"> </w:t>
            </w:r>
            <w:r>
              <w:rPr>
                <w:rFonts w:ascii="宋体" w:hAnsi="宋体" w:eastAsia="宋体" w:cs="宋体"/>
                <w:spacing w:val="1"/>
                <w:sz w:val="24"/>
                <w:szCs w:val="24"/>
              </w:rPr>
              <w:t>，根据《云南省地方标准用水定额》（</w:t>
            </w:r>
            <w:r>
              <w:rPr>
                <w:rFonts w:ascii="Times New Roman" w:hAnsi="Times New Roman" w:eastAsia="Times New Roman" w:cs="Times New Roman"/>
                <w:sz w:val="24"/>
                <w:szCs w:val="24"/>
              </w:rPr>
              <w:t>DB53/T168-2026</w:t>
            </w:r>
            <w:r>
              <w:rPr>
                <w:rFonts w:ascii="宋体" w:hAnsi="宋体" w:eastAsia="宋体" w:cs="宋体"/>
                <w:sz w:val="24"/>
                <w:szCs w:val="24"/>
              </w:rPr>
              <w:t>）园林绿化用水定额</w:t>
            </w:r>
            <w:r>
              <w:rPr>
                <w:rFonts w:ascii="宋体" w:hAnsi="宋体" w:eastAsia="宋体" w:cs="宋体"/>
                <w:spacing w:val="-55"/>
                <w:sz w:val="24"/>
                <w:szCs w:val="24"/>
              </w:rPr>
              <w:t xml:space="preserve"> </w:t>
            </w:r>
            <w:r>
              <w:rPr>
                <w:rFonts w:ascii="Times New Roman" w:hAnsi="Times New Roman" w:eastAsia="Times New Roman" w:cs="Times New Roman"/>
                <w:sz w:val="24"/>
                <w:szCs w:val="24"/>
              </w:rPr>
              <w:t>2.6L/</w:t>
            </w:r>
            <w:r>
              <w:rPr>
                <w:rFonts w:ascii="宋体" w:hAnsi="宋体" w:eastAsia="宋体" w:cs="宋体"/>
                <w:sz w:val="24"/>
                <w:szCs w:val="24"/>
              </w:rPr>
              <w:t>（</w:t>
            </w:r>
            <w:r>
              <w:rPr>
                <w:rFonts w:ascii="Times New Roman" w:hAnsi="Times New Roman" w:eastAsia="Times New Roman" w:cs="Times New Roman"/>
                <w:sz w:val="24"/>
                <w:szCs w:val="24"/>
              </w:rPr>
              <w:t>m</w:t>
            </w:r>
            <w:r>
              <w:rPr>
                <w:rFonts w:ascii="Times New Roman" w:hAnsi="Times New Roman" w:eastAsia="Times New Roman" w:cs="Times New Roman"/>
                <w:position w:val="8"/>
                <w:sz w:val="15"/>
                <w:szCs w:val="15"/>
              </w:rPr>
              <w:t>2</w:t>
            </w:r>
            <w:r>
              <w:rPr>
                <w:rFonts w:ascii="Times New Roman" w:hAnsi="Times New Roman" w:eastAsia="Times New Roman" w:cs="Times New Roman"/>
                <w:sz w:val="24"/>
                <w:szCs w:val="24"/>
              </w:rPr>
              <w:t>·</w:t>
            </w:r>
            <w:r>
              <w:rPr>
                <w:rFonts w:ascii="宋体" w:hAnsi="宋体" w:eastAsia="宋体" w:cs="宋体"/>
                <w:sz w:val="24"/>
                <w:szCs w:val="24"/>
              </w:rPr>
              <w:t>次</w:t>
            </w:r>
            <w:r>
              <w:rPr>
                <w:rFonts w:ascii="宋体" w:hAnsi="宋体" w:eastAsia="宋体" w:cs="宋体"/>
                <w:spacing w:val="7"/>
                <w:sz w:val="24"/>
                <w:szCs w:val="24"/>
              </w:rPr>
              <w:t>），</w:t>
            </w:r>
            <w:r>
              <w:rPr>
                <w:rFonts w:ascii="宋体" w:hAnsi="宋体" w:eastAsia="宋体" w:cs="宋体"/>
                <w:sz w:val="24"/>
                <w:szCs w:val="24"/>
              </w:rPr>
              <w:t>项目晴天每天浇水一次，雨天绿化用地不用水，晴天按</w:t>
            </w:r>
            <w:r>
              <w:rPr>
                <w:rFonts w:ascii="宋体" w:hAnsi="宋体" w:eastAsia="宋体" w:cs="宋体"/>
                <w:spacing w:val="-52"/>
                <w:sz w:val="24"/>
                <w:szCs w:val="24"/>
              </w:rPr>
              <w:t xml:space="preserve"> </w:t>
            </w:r>
            <w:r>
              <w:rPr>
                <w:rFonts w:ascii="Times New Roman" w:hAnsi="Times New Roman" w:eastAsia="Times New Roman" w:cs="Times New Roman"/>
                <w:sz w:val="24"/>
                <w:szCs w:val="24"/>
              </w:rPr>
              <w:t>210</w:t>
            </w:r>
            <w:r>
              <w:rPr>
                <w:rFonts w:ascii="Times New Roman" w:hAnsi="Times New Roman" w:eastAsia="Times New Roman" w:cs="Times New Roman"/>
                <w:spacing w:val="16"/>
                <w:w w:val="101"/>
                <w:sz w:val="24"/>
                <w:szCs w:val="24"/>
              </w:rPr>
              <w:t xml:space="preserve"> </w:t>
            </w:r>
            <w:r>
              <w:rPr>
                <w:rFonts w:ascii="宋体" w:hAnsi="宋体" w:eastAsia="宋体" w:cs="宋体"/>
                <w:sz w:val="24"/>
                <w:szCs w:val="24"/>
              </w:rPr>
              <w:t>天计算。全年绿化用水量为</w:t>
            </w:r>
            <w:r>
              <w:rPr>
                <w:rFonts w:ascii="宋体" w:hAnsi="宋体" w:eastAsia="宋体" w:cs="宋体"/>
                <w:spacing w:val="-30"/>
                <w:sz w:val="24"/>
                <w:szCs w:val="24"/>
              </w:rPr>
              <w:t xml:space="preserve"> </w:t>
            </w:r>
            <w:r>
              <w:rPr>
                <w:rFonts w:ascii="Times New Roman" w:hAnsi="Times New Roman" w:eastAsia="Times New Roman" w:cs="Times New Roman"/>
                <w:sz w:val="24"/>
                <w:szCs w:val="24"/>
              </w:rPr>
              <w:t>1333.332m</w:t>
            </w:r>
            <w:r>
              <w:rPr>
                <w:rFonts w:ascii="Times New Roman" w:hAnsi="Times New Roman" w:eastAsia="Times New Roman" w:cs="Times New Roman"/>
                <w:position w:val="8"/>
                <w:sz w:val="15"/>
                <w:szCs w:val="15"/>
              </w:rPr>
              <w:t>3</w:t>
            </w:r>
            <w:r>
              <w:rPr>
                <w:rFonts w:ascii="Times New Roman" w:hAnsi="Times New Roman" w:eastAsia="Times New Roman" w:cs="Times New Roman"/>
                <w:sz w:val="24"/>
                <w:szCs w:val="24"/>
              </w:rPr>
              <w:t>/a</w:t>
            </w:r>
            <w:r>
              <w:rPr>
                <w:rFonts w:ascii="Times New Roman" w:hAnsi="Times New Roman" w:eastAsia="Times New Roman" w:cs="Times New Roman"/>
                <w:spacing w:val="-23"/>
                <w:sz w:val="24"/>
                <w:szCs w:val="24"/>
              </w:rPr>
              <w:t xml:space="preserve"> </w:t>
            </w:r>
            <w:r>
              <w:rPr>
                <w:rFonts w:ascii="宋体" w:hAnsi="宋体" w:eastAsia="宋体" w:cs="宋体"/>
                <w:sz w:val="24"/>
                <w:szCs w:val="24"/>
              </w:rPr>
              <w:t>。全厂生活污水经化粪池</w:t>
            </w:r>
            <w:r>
              <w:rPr>
                <w:rFonts w:ascii="Times New Roman" w:hAnsi="Times New Roman" w:eastAsia="Times New Roman" w:cs="Times New Roman"/>
                <w:sz w:val="24"/>
                <w:szCs w:val="24"/>
              </w:rPr>
              <w:t>+</w:t>
            </w:r>
            <w:r>
              <w:rPr>
                <w:rFonts w:ascii="宋体" w:hAnsi="宋体" w:eastAsia="宋体" w:cs="宋体"/>
                <w:spacing w:val="-1"/>
                <w:sz w:val="24"/>
                <w:szCs w:val="24"/>
              </w:rPr>
              <w:t>一体</w:t>
            </w:r>
            <w:r>
              <w:rPr>
                <w:rFonts w:ascii="宋体" w:hAnsi="宋体" w:eastAsia="宋体" w:cs="宋体"/>
                <w:spacing w:val="-2"/>
                <w:sz w:val="24"/>
                <w:szCs w:val="24"/>
              </w:rPr>
              <w:t>化污水处理设施处理后回用于厂区绿化，生活污水量为</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907.2m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2"/>
                <w:sz w:val="24"/>
                <w:szCs w:val="24"/>
              </w:rPr>
              <w:t>/a</w:t>
            </w:r>
            <w:r>
              <w:rPr>
                <w:rFonts w:ascii="Times New Roman" w:hAnsi="Times New Roman" w:eastAsia="Times New Roman" w:cs="Times New Roman"/>
                <w:spacing w:val="-32"/>
                <w:sz w:val="24"/>
                <w:szCs w:val="24"/>
              </w:rPr>
              <w:t xml:space="preserve"> </w:t>
            </w:r>
            <w:r>
              <w:rPr>
                <w:rFonts w:ascii="宋体" w:hAnsi="宋体" w:eastAsia="宋体" w:cs="宋体"/>
                <w:spacing w:val="-2"/>
                <w:sz w:val="24"/>
                <w:szCs w:val="24"/>
              </w:rPr>
              <w:t>，能够</w:t>
            </w:r>
            <w:r>
              <w:rPr>
                <w:rFonts w:ascii="宋体" w:hAnsi="宋体" w:eastAsia="宋体" w:cs="宋体"/>
                <w:spacing w:val="-3"/>
                <w:sz w:val="24"/>
                <w:szCs w:val="24"/>
              </w:rPr>
              <w:t>完全回用完。</w:t>
            </w:r>
          </w:p>
          <w:p w14:paraId="690A1E65">
            <w:pPr>
              <w:spacing w:before="1" w:line="359" w:lineRule="auto"/>
              <w:ind w:left="108" w:right="102" w:firstLine="484"/>
              <w:jc w:val="both"/>
              <w:rPr>
                <w:rFonts w:ascii="宋体" w:hAnsi="宋体" w:eastAsia="宋体" w:cs="宋体"/>
                <w:sz w:val="24"/>
                <w:szCs w:val="24"/>
              </w:rPr>
            </w:pPr>
            <w:r>
              <w:rPr>
                <w:rFonts w:ascii="宋体" w:hAnsi="宋体" w:eastAsia="宋体" w:cs="宋体"/>
                <w:spacing w:val="-1"/>
                <w:sz w:val="24"/>
                <w:szCs w:val="24"/>
              </w:rPr>
              <w:t>项目设有</w:t>
            </w:r>
            <w:r>
              <w:rPr>
                <w:rFonts w:ascii="宋体" w:hAnsi="宋体" w:eastAsia="宋体" w:cs="宋体"/>
                <w:spacing w:val="-29"/>
                <w:sz w:val="24"/>
                <w:szCs w:val="24"/>
              </w:rPr>
              <w:t xml:space="preserve"> </w:t>
            </w: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座</w:t>
            </w:r>
            <w:r>
              <w:rPr>
                <w:rFonts w:ascii="宋体" w:hAnsi="宋体" w:eastAsia="宋体" w:cs="宋体"/>
                <w:spacing w:val="-30"/>
                <w:sz w:val="24"/>
                <w:szCs w:val="24"/>
              </w:rPr>
              <w:t xml:space="preserve"> </w:t>
            </w:r>
            <w:r>
              <w:rPr>
                <w:rFonts w:ascii="Times New Roman" w:hAnsi="Times New Roman" w:eastAsia="Times New Roman" w:cs="Times New Roman"/>
                <w:spacing w:val="-1"/>
                <w:sz w:val="24"/>
                <w:szCs w:val="24"/>
              </w:rPr>
              <w:t>10m</w:t>
            </w:r>
            <w:r>
              <w:rPr>
                <w:rFonts w:ascii="Times New Roman" w:hAnsi="Times New Roman" w:eastAsia="Times New Roman" w:cs="Times New Roman"/>
                <w:spacing w:val="-1"/>
                <w:position w:val="8"/>
                <w:sz w:val="15"/>
                <w:szCs w:val="15"/>
              </w:rPr>
              <w:t xml:space="preserve">3  </w:t>
            </w:r>
            <w:r>
              <w:rPr>
                <w:rFonts w:ascii="宋体" w:hAnsi="宋体" w:eastAsia="宋体" w:cs="宋体"/>
                <w:spacing w:val="-1"/>
                <w:sz w:val="24"/>
                <w:szCs w:val="24"/>
              </w:rPr>
              <w:t>的中水蓄水池，能满足项目</w:t>
            </w:r>
            <w:r>
              <w:rPr>
                <w:rFonts w:ascii="宋体" w:hAnsi="宋体" w:eastAsia="宋体" w:cs="宋体"/>
                <w:spacing w:val="-45"/>
                <w:sz w:val="24"/>
                <w:szCs w:val="24"/>
              </w:rPr>
              <w:t xml:space="preserve"> </w:t>
            </w:r>
            <w:r>
              <w:rPr>
                <w:rFonts w:ascii="Times New Roman" w:hAnsi="Times New Roman" w:eastAsia="Times New Roman" w:cs="Times New Roman"/>
                <w:spacing w:val="-1"/>
                <w:sz w:val="24"/>
                <w:szCs w:val="24"/>
              </w:rPr>
              <w:t xml:space="preserve">3 </w:t>
            </w:r>
            <w:r>
              <w:rPr>
                <w:rFonts w:ascii="宋体" w:hAnsi="宋体" w:eastAsia="宋体" w:cs="宋体"/>
                <w:spacing w:val="-2"/>
                <w:sz w:val="24"/>
                <w:szCs w:val="24"/>
              </w:rPr>
              <w:t>天的中水储存。因此本项目建</w:t>
            </w:r>
            <w:r>
              <w:rPr>
                <w:rFonts w:ascii="宋体" w:hAnsi="宋体" w:eastAsia="宋体" w:cs="宋体"/>
                <w:spacing w:val="1"/>
                <w:sz w:val="24"/>
                <w:szCs w:val="24"/>
              </w:rPr>
              <w:t>设后全厂生活污水可依托已建的化粪池</w:t>
            </w:r>
            <w:r>
              <w:rPr>
                <w:rFonts w:ascii="Times New Roman" w:hAnsi="Times New Roman" w:eastAsia="Times New Roman" w:cs="Times New Roman"/>
                <w:spacing w:val="1"/>
                <w:sz w:val="24"/>
                <w:szCs w:val="24"/>
              </w:rPr>
              <w:t>+</w:t>
            </w:r>
            <w:r>
              <w:rPr>
                <w:rFonts w:ascii="宋体" w:hAnsi="宋体" w:eastAsia="宋体" w:cs="宋体"/>
                <w:spacing w:val="1"/>
                <w:sz w:val="24"/>
                <w:szCs w:val="24"/>
              </w:rPr>
              <w:t>一体化污水处理设施处理后回用于绿化，措</w:t>
            </w:r>
            <w:r>
              <w:rPr>
                <w:rFonts w:ascii="宋体" w:hAnsi="宋体" w:eastAsia="宋体" w:cs="宋体"/>
                <w:spacing w:val="-3"/>
                <w:sz w:val="24"/>
                <w:szCs w:val="24"/>
              </w:rPr>
              <w:t>施可行。</w:t>
            </w:r>
          </w:p>
          <w:p w14:paraId="286DC71A">
            <w:pPr>
              <w:spacing w:line="219" w:lineRule="auto"/>
              <w:ind w:left="586"/>
              <w:rPr>
                <w:rFonts w:ascii="宋体" w:hAnsi="宋体" w:eastAsia="宋体" w:cs="宋体"/>
                <w:sz w:val="24"/>
                <w:szCs w:val="24"/>
              </w:rPr>
            </w:pPr>
            <w:r>
              <w:rPr>
                <w:rFonts w:ascii="Times New Roman" w:hAnsi="Times New Roman" w:eastAsia="Times New Roman" w:cs="Times New Roman"/>
                <w:b/>
                <w:bCs/>
                <w:spacing w:val="-5"/>
                <w:sz w:val="24"/>
                <w:szCs w:val="24"/>
              </w:rPr>
              <w:t>4</w:t>
            </w:r>
            <w:r>
              <w:rPr>
                <w:rFonts w:ascii="Times New Roman" w:hAnsi="Times New Roman" w:eastAsia="Times New Roman" w:cs="Times New Roman"/>
                <w:b/>
                <w:bCs/>
                <w:spacing w:val="-28"/>
                <w:sz w:val="24"/>
                <w:szCs w:val="24"/>
              </w:rPr>
              <w:t xml:space="preserve"> </w:t>
            </w:r>
            <w:r>
              <w:rPr>
                <w:rFonts w:ascii="宋体" w:hAnsi="宋体" w:eastAsia="宋体" w:cs="宋体"/>
                <w:b/>
                <w:bCs/>
                <w:spacing w:val="-5"/>
                <w:sz w:val="24"/>
                <w:szCs w:val="24"/>
              </w:rPr>
              <w:t>、废水排放口设置情况</w:t>
            </w:r>
          </w:p>
          <w:p w14:paraId="6BB7C6E2">
            <w:pPr>
              <w:spacing w:before="180" w:line="219" w:lineRule="auto"/>
              <w:ind w:left="588"/>
              <w:rPr>
                <w:rFonts w:ascii="宋体" w:hAnsi="宋体" w:eastAsia="宋体" w:cs="宋体"/>
                <w:sz w:val="24"/>
                <w:szCs w:val="24"/>
              </w:rPr>
            </w:pPr>
            <w:r>
              <w:rPr>
                <w:rFonts w:ascii="宋体" w:hAnsi="宋体" w:eastAsia="宋体" w:cs="宋体"/>
                <w:spacing w:val="-1"/>
                <w:sz w:val="24"/>
                <w:szCs w:val="24"/>
              </w:rPr>
              <w:t>废水间接排放口基本情况表：</w:t>
            </w:r>
          </w:p>
          <w:p w14:paraId="67085DC1">
            <w:pPr>
              <w:spacing w:before="179" w:line="222" w:lineRule="auto"/>
              <w:ind w:left="2881"/>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22"/>
                <w:sz w:val="20"/>
                <w:szCs w:val="20"/>
              </w:rPr>
              <w:t xml:space="preserve"> </w:t>
            </w:r>
            <w:r>
              <w:rPr>
                <w:rFonts w:ascii="Times New Roman" w:hAnsi="Times New Roman" w:eastAsia="Times New Roman" w:cs="Times New Roman"/>
                <w:b/>
                <w:bCs/>
                <w:spacing w:val="5"/>
                <w:sz w:val="20"/>
                <w:szCs w:val="20"/>
              </w:rPr>
              <w:t xml:space="preserve">4-8    </w:t>
            </w:r>
            <w:r>
              <w:rPr>
                <w:rFonts w:ascii="宋体" w:hAnsi="宋体" w:eastAsia="宋体" w:cs="宋体"/>
                <w:b/>
                <w:bCs/>
                <w:spacing w:val="5"/>
                <w:sz w:val="20"/>
                <w:szCs w:val="20"/>
              </w:rPr>
              <w:t>废水间接排放口基本情况表</w:t>
            </w:r>
          </w:p>
          <w:tbl>
            <w:tblPr>
              <w:tblStyle w:val="10"/>
              <w:tblW w:w="8829"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1696"/>
              <w:gridCol w:w="870"/>
              <w:gridCol w:w="695"/>
              <w:gridCol w:w="833"/>
              <w:gridCol w:w="636"/>
              <w:gridCol w:w="893"/>
              <w:gridCol w:w="2242"/>
            </w:tblGrid>
            <w:tr w14:paraId="31F99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0" w:hRule="atLeast"/>
              </w:trPr>
              <w:tc>
                <w:tcPr>
                  <w:tcW w:w="964" w:type="dxa"/>
                  <w:vAlign w:val="top"/>
                </w:tcPr>
                <w:p w14:paraId="7547B7C9">
                  <w:pPr>
                    <w:spacing w:line="261" w:lineRule="auto"/>
                    <w:rPr>
                      <w:rFonts w:ascii="Arial"/>
                      <w:sz w:val="21"/>
                    </w:rPr>
                  </w:pPr>
                </w:p>
                <w:p w14:paraId="1DA90DC0">
                  <w:pPr>
                    <w:spacing w:line="261" w:lineRule="auto"/>
                    <w:rPr>
                      <w:rFonts w:ascii="Arial"/>
                      <w:sz w:val="21"/>
                    </w:rPr>
                  </w:pPr>
                </w:p>
                <w:p w14:paraId="3F133338">
                  <w:pPr>
                    <w:spacing w:line="261" w:lineRule="auto"/>
                    <w:rPr>
                      <w:rFonts w:ascii="Arial"/>
                      <w:sz w:val="21"/>
                    </w:rPr>
                  </w:pPr>
                </w:p>
                <w:p w14:paraId="4999273C">
                  <w:pPr>
                    <w:spacing w:before="65" w:line="230" w:lineRule="auto"/>
                    <w:ind w:left="279"/>
                    <w:rPr>
                      <w:rFonts w:ascii="宋体" w:hAnsi="宋体" w:eastAsia="宋体" w:cs="宋体"/>
                      <w:sz w:val="20"/>
                      <w:szCs w:val="20"/>
                    </w:rPr>
                  </w:pPr>
                  <w:r>
                    <w:rPr>
                      <w:rFonts w:ascii="宋体" w:hAnsi="宋体" w:eastAsia="宋体" w:cs="宋体"/>
                      <w:b/>
                      <w:bCs/>
                      <w:spacing w:val="2"/>
                      <w:sz w:val="20"/>
                      <w:szCs w:val="20"/>
                    </w:rPr>
                    <w:t>名称</w:t>
                  </w:r>
                </w:p>
              </w:tc>
              <w:tc>
                <w:tcPr>
                  <w:tcW w:w="1696" w:type="dxa"/>
                  <w:vAlign w:val="top"/>
                </w:tcPr>
                <w:p w14:paraId="0F703B52">
                  <w:pPr>
                    <w:spacing w:line="261" w:lineRule="auto"/>
                    <w:rPr>
                      <w:rFonts w:ascii="Arial"/>
                      <w:sz w:val="21"/>
                    </w:rPr>
                  </w:pPr>
                </w:p>
                <w:p w14:paraId="057A9062">
                  <w:pPr>
                    <w:spacing w:line="261" w:lineRule="auto"/>
                    <w:rPr>
                      <w:rFonts w:ascii="Arial"/>
                      <w:sz w:val="21"/>
                    </w:rPr>
                  </w:pPr>
                </w:p>
                <w:p w14:paraId="3789BB15">
                  <w:pPr>
                    <w:spacing w:line="262" w:lineRule="auto"/>
                    <w:rPr>
                      <w:rFonts w:ascii="Arial"/>
                      <w:sz w:val="21"/>
                    </w:rPr>
                  </w:pPr>
                </w:p>
                <w:p w14:paraId="4A3390A3">
                  <w:pPr>
                    <w:spacing w:before="65" w:line="228" w:lineRule="auto"/>
                    <w:ind w:left="640"/>
                    <w:rPr>
                      <w:rFonts w:ascii="宋体" w:hAnsi="宋体" w:eastAsia="宋体" w:cs="宋体"/>
                      <w:sz w:val="20"/>
                      <w:szCs w:val="20"/>
                    </w:rPr>
                  </w:pPr>
                  <w:r>
                    <w:rPr>
                      <w:rFonts w:ascii="宋体" w:hAnsi="宋体" w:eastAsia="宋体" w:cs="宋体"/>
                      <w:b/>
                      <w:bCs/>
                      <w:spacing w:val="3"/>
                      <w:sz w:val="20"/>
                      <w:szCs w:val="20"/>
                    </w:rPr>
                    <w:t>坐标</w:t>
                  </w:r>
                </w:p>
              </w:tc>
              <w:tc>
                <w:tcPr>
                  <w:tcW w:w="870" w:type="dxa"/>
                  <w:vAlign w:val="top"/>
                </w:tcPr>
                <w:p w14:paraId="6C3C0C67">
                  <w:pPr>
                    <w:spacing w:line="290" w:lineRule="auto"/>
                    <w:rPr>
                      <w:rFonts w:ascii="Arial"/>
                      <w:sz w:val="21"/>
                    </w:rPr>
                  </w:pPr>
                </w:p>
                <w:p w14:paraId="65747AA1">
                  <w:pPr>
                    <w:spacing w:line="291" w:lineRule="auto"/>
                    <w:rPr>
                      <w:rFonts w:ascii="Arial"/>
                      <w:sz w:val="21"/>
                    </w:rPr>
                  </w:pPr>
                </w:p>
                <w:p w14:paraId="06679CAC">
                  <w:pPr>
                    <w:spacing w:before="65" w:line="384" w:lineRule="auto"/>
                    <w:ind w:left="123" w:right="116" w:firstLine="1"/>
                    <w:rPr>
                      <w:rFonts w:ascii="宋体" w:hAnsi="宋体" w:eastAsia="宋体" w:cs="宋体"/>
                      <w:sz w:val="20"/>
                      <w:szCs w:val="20"/>
                    </w:rPr>
                  </w:pPr>
                  <w:r>
                    <w:rPr>
                      <w:rFonts w:ascii="宋体" w:hAnsi="宋体" w:eastAsia="宋体" w:cs="宋体"/>
                      <w:b/>
                      <w:bCs/>
                      <w:spacing w:val="5"/>
                      <w:sz w:val="20"/>
                      <w:szCs w:val="20"/>
                    </w:rPr>
                    <w:t>排放量</w:t>
                  </w:r>
                  <w:r>
                    <w:rPr>
                      <w:rFonts w:ascii="宋体" w:hAnsi="宋体" w:eastAsia="宋体" w:cs="宋体"/>
                      <w:b/>
                      <w:bCs/>
                      <w:spacing w:val="-1"/>
                      <w:sz w:val="20"/>
                      <w:szCs w:val="20"/>
                    </w:rPr>
                    <w:t>（</w:t>
                  </w:r>
                  <w:r>
                    <w:rPr>
                      <w:rFonts w:ascii="Times New Roman" w:hAnsi="Times New Roman" w:eastAsia="Times New Roman" w:cs="Times New Roman"/>
                      <w:b/>
                      <w:bCs/>
                      <w:spacing w:val="-1"/>
                      <w:sz w:val="20"/>
                      <w:szCs w:val="20"/>
                    </w:rPr>
                    <w:t>t/a</w:t>
                  </w:r>
                  <w:r>
                    <w:rPr>
                      <w:rFonts w:ascii="宋体" w:hAnsi="宋体" w:eastAsia="宋体" w:cs="宋体"/>
                      <w:b/>
                      <w:bCs/>
                      <w:spacing w:val="-1"/>
                      <w:sz w:val="20"/>
                      <w:szCs w:val="20"/>
                    </w:rPr>
                    <w:t>）</w:t>
                  </w:r>
                </w:p>
              </w:tc>
              <w:tc>
                <w:tcPr>
                  <w:tcW w:w="695" w:type="dxa"/>
                  <w:vAlign w:val="top"/>
                </w:tcPr>
                <w:p w14:paraId="52331C08">
                  <w:pPr>
                    <w:spacing w:line="290" w:lineRule="auto"/>
                    <w:rPr>
                      <w:rFonts w:ascii="Arial"/>
                      <w:sz w:val="21"/>
                    </w:rPr>
                  </w:pPr>
                </w:p>
                <w:p w14:paraId="6624FA5B">
                  <w:pPr>
                    <w:spacing w:line="290" w:lineRule="auto"/>
                    <w:rPr>
                      <w:rFonts w:ascii="Arial"/>
                      <w:sz w:val="21"/>
                    </w:rPr>
                  </w:pPr>
                </w:p>
                <w:p w14:paraId="2D16712F">
                  <w:pPr>
                    <w:spacing w:before="65" w:line="379" w:lineRule="auto"/>
                    <w:ind w:left="145" w:right="135" w:hanging="3"/>
                    <w:rPr>
                      <w:rFonts w:ascii="宋体" w:hAnsi="宋体" w:eastAsia="宋体" w:cs="宋体"/>
                      <w:sz w:val="20"/>
                      <w:szCs w:val="20"/>
                    </w:rPr>
                  </w:pPr>
                  <w:r>
                    <w:rPr>
                      <w:rFonts w:ascii="宋体" w:hAnsi="宋体" w:eastAsia="宋体" w:cs="宋体"/>
                      <w:b/>
                      <w:bCs/>
                      <w:spacing w:val="3"/>
                      <w:sz w:val="20"/>
                      <w:szCs w:val="20"/>
                    </w:rPr>
                    <w:t>排放</w:t>
                  </w:r>
                  <w:r>
                    <w:rPr>
                      <w:rFonts w:ascii="宋体" w:hAnsi="宋体" w:eastAsia="宋体" w:cs="宋体"/>
                      <w:b/>
                      <w:bCs/>
                      <w:spacing w:val="2"/>
                      <w:sz w:val="20"/>
                      <w:szCs w:val="20"/>
                    </w:rPr>
                    <w:t>去向</w:t>
                  </w:r>
                </w:p>
              </w:tc>
              <w:tc>
                <w:tcPr>
                  <w:tcW w:w="833" w:type="dxa"/>
                  <w:vAlign w:val="top"/>
                </w:tcPr>
                <w:p w14:paraId="0C587A51">
                  <w:pPr>
                    <w:spacing w:line="290" w:lineRule="auto"/>
                    <w:rPr>
                      <w:rFonts w:ascii="Arial"/>
                      <w:sz w:val="21"/>
                    </w:rPr>
                  </w:pPr>
                </w:p>
                <w:p w14:paraId="795C93AB">
                  <w:pPr>
                    <w:spacing w:line="290" w:lineRule="auto"/>
                    <w:rPr>
                      <w:rFonts w:ascii="Arial"/>
                      <w:sz w:val="21"/>
                    </w:rPr>
                  </w:pPr>
                </w:p>
                <w:p w14:paraId="6951D330">
                  <w:pPr>
                    <w:spacing w:before="65" w:line="378" w:lineRule="auto"/>
                    <w:ind w:left="211" w:right="204"/>
                    <w:rPr>
                      <w:rFonts w:ascii="宋体" w:hAnsi="宋体" w:eastAsia="宋体" w:cs="宋体"/>
                      <w:sz w:val="20"/>
                      <w:szCs w:val="20"/>
                    </w:rPr>
                  </w:pPr>
                  <w:r>
                    <w:rPr>
                      <w:rFonts w:ascii="宋体" w:hAnsi="宋体" w:eastAsia="宋体" w:cs="宋体"/>
                      <w:b/>
                      <w:bCs/>
                      <w:spacing w:val="3"/>
                      <w:sz w:val="20"/>
                      <w:szCs w:val="20"/>
                    </w:rPr>
                    <w:t>排放规律</w:t>
                  </w:r>
                </w:p>
              </w:tc>
              <w:tc>
                <w:tcPr>
                  <w:tcW w:w="636" w:type="dxa"/>
                  <w:textDirection w:val="tbRlV"/>
                  <w:vAlign w:val="top"/>
                </w:tcPr>
                <w:p w14:paraId="097D4BCD">
                  <w:pPr>
                    <w:spacing w:before="211" w:line="207" w:lineRule="auto"/>
                    <w:ind w:left="37"/>
                    <w:rPr>
                      <w:rFonts w:ascii="宋体" w:hAnsi="宋体" w:eastAsia="宋体" w:cs="宋体"/>
                      <w:sz w:val="20"/>
                      <w:szCs w:val="20"/>
                    </w:rPr>
                  </w:pPr>
                  <w:r>
                    <w:rPr>
                      <w:rFonts w:ascii="宋体" w:hAnsi="宋体" w:eastAsia="宋体" w:cs="宋体"/>
                      <w:b/>
                      <w:bCs/>
                      <w:spacing w:val="6"/>
                      <w:sz w:val="20"/>
                      <w:szCs w:val="20"/>
                    </w:rPr>
                    <w:t>排</w:t>
                  </w:r>
                  <w:r>
                    <w:rPr>
                      <w:rFonts w:ascii="宋体" w:hAnsi="宋体" w:eastAsia="宋体" w:cs="宋体"/>
                      <w:spacing w:val="101"/>
                      <w:sz w:val="20"/>
                      <w:szCs w:val="20"/>
                    </w:rPr>
                    <w:t xml:space="preserve"> </w:t>
                  </w:r>
                  <w:r>
                    <w:rPr>
                      <w:rFonts w:ascii="宋体" w:hAnsi="宋体" w:eastAsia="宋体" w:cs="宋体"/>
                      <w:b/>
                      <w:bCs/>
                      <w:spacing w:val="6"/>
                      <w:sz w:val="20"/>
                      <w:szCs w:val="20"/>
                    </w:rPr>
                    <w:t>放</w:t>
                  </w:r>
                  <w:r>
                    <w:rPr>
                      <w:rFonts w:ascii="宋体" w:hAnsi="宋体" w:eastAsia="宋体" w:cs="宋体"/>
                      <w:spacing w:val="99"/>
                      <w:sz w:val="20"/>
                      <w:szCs w:val="20"/>
                    </w:rPr>
                    <w:t xml:space="preserve"> </w:t>
                  </w:r>
                  <w:r>
                    <w:rPr>
                      <w:rFonts w:ascii="宋体" w:hAnsi="宋体" w:eastAsia="宋体" w:cs="宋体"/>
                      <w:b/>
                      <w:bCs/>
                      <w:spacing w:val="6"/>
                      <w:position w:val="1"/>
                      <w:sz w:val="20"/>
                      <w:szCs w:val="20"/>
                    </w:rPr>
                    <w:t>口</w:t>
                  </w:r>
                  <w:r>
                    <w:rPr>
                      <w:rFonts w:ascii="宋体" w:hAnsi="宋体" w:eastAsia="宋体" w:cs="宋体"/>
                      <w:spacing w:val="100"/>
                      <w:position w:val="1"/>
                      <w:sz w:val="20"/>
                      <w:szCs w:val="20"/>
                    </w:rPr>
                    <w:t xml:space="preserve"> </w:t>
                  </w:r>
                  <w:r>
                    <w:rPr>
                      <w:rFonts w:ascii="宋体" w:hAnsi="宋体" w:eastAsia="宋体" w:cs="宋体"/>
                      <w:b/>
                      <w:bCs/>
                      <w:spacing w:val="6"/>
                      <w:sz w:val="20"/>
                      <w:szCs w:val="20"/>
                    </w:rPr>
                    <w:t>类</w:t>
                  </w:r>
                  <w:r>
                    <w:rPr>
                      <w:rFonts w:ascii="宋体" w:hAnsi="宋体" w:eastAsia="宋体" w:cs="宋体"/>
                      <w:spacing w:val="99"/>
                      <w:sz w:val="20"/>
                      <w:szCs w:val="20"/>
                    </w:rPr>
                    <w:t xml:space="preserve"> </w:t>
                  </w:r>
                  <w:r>
                    <w:rPr>
                      <w:rFonts w:ascii="宋体" w:hAnsi="宋体" w:eastAsia="宋体" w:cs="宋体"/>
                      <w:b/>
                      <w:bCs/>
                      <w:spacing w:val="6"/>
                      <w:sz w:val="20"/>
                      <w:szCs w:val="20"/>
                    </w:rPr>
                    <w:t>型</w:t>
                  </w:r>
                </w:p>
              </w:tc>
              <w:tc>
                <w:tcPr>
                  <w:tcW w:w="893" w:type="dxa"/>
                  <w:vAlign w:val="top"/>
                </w:tcPr>
                <w:p w14:paraId="63123AE9">
                  <w:pPr>
                    <w:spacing w:line="378" w:lineRule="auto"/>
                    <w:rPr>
                      <w:rFonts w:ascii="Arial"/>
                      <w:sz w:val="21"/>
                    </w:rPr>
                  </w:pPr>
                </w:p>
                <w:p w14:paraId="26E609CB">
                  <w:pPr>
                    <w:spacing w:before="65" w:line="229" w:lineRule="auto"/>
                    <w:ind w:left="143"/>
                    <w:rPr>
                      <w:rFonts w:ascii="宋体" w:hAnsi="宋体" w:eastAsia="宋体" w:cs="宋体"/>
                      <w:sz w:val="20"/>
                      <w:szCs w:val="20"/>
                    </w:rPr>
                  </w:pPr>
                  <w:r>
                    <w:rPr>
                      <w:rFonts w:ascii="宋体" w:hAnsi="宋体" w:eastAsia="宋体" w:cs="宋体"/>
                      <w:b/>
                      <w:bCs/>
                      <w:spacing w:val="4"/>
                      <w:sz w:val="20"/>
                      <w:szCs w:val="20"/>
                    </w:rPr>
                    <w:t>受纳污</w:t>
                  </w:r>
                </w:p>
                <w:p w14:paraId="458351E2">
                  <w:pPr>
                    <w:spacing w:before="159" w:line="228" w:lineRule="auto"/>
                    <w:ind w:left="141"/>
                    <w:rPr>
                      <w:rFonts w:ascii="宋体" w:hAnsi="宋体" w:eastAsia="宋体" w:cs="宋体"/>
                      <w:sz w:val="20"/>
                      <w:szCs w:val="20"/>
                    </w:rPr>
                  </w:pPr>
                  <w:r>
                    <w:rPr>
                      <w:rFonts w:ascii="宋体" w:hAnsi="宋体" w:eastAsia="宋体" w:cs="宋体"/>
                      <w:b/>
                      <w:bCs/>
                      <w:spacing w:val="4"/>
                      <w:sz w:val="20"/>
                      <w:szCs w:val="20"/>
                    </w:rPr>
                    <w:t>水处理</w:t>
                  </w:r>
                </w:p>
                <w:p w14:paraId="6331D69F">
                  <w:pPr>
                    <w:spacing w:before="161" w:line="228" w:lineRule="auto"/>
                    <w:ind w:left="350"/>
                    <w:rPr>
                      <w:rFonts w:ascii="宋体" w:hAnsi="宋体" w:eastAsia="宋体" w:cs="宋体"/>
                      <w:sz w:val="20"/>
                      <w:szCs w:val="20"/>
                    </w:rPr>
                  </w:pPr>
                  <w:r>
                    <w:rPr>
                      <w:rFonts w:ascii="宋体" w:hAnsi="宋体" w:eastAsia="宋体" w:cs="宋体"/>
                      <w:b/>
                      <w:bCs/>
                      <w:spacing w:val="-3"/>
                      <w:sz w:val="20"/>
                      <w:szCs w:val="20"/>
                    </w:rPr>
                    <w:t>厂</w:t>
                  </w:r>
                </w:p>
              </w:tc>
              <w:tc>
                <w:tcPr>
                  <w:tcW w:w="2242" w:type="dxa"/>
                  <w:vAlign w:val="top"/>
                </w:tcPr>
                <w:p w14:paraId="0B2A6851">
                  <w:pPr>
                    <w:spacing w:line="261" w:lineRule="auto"/>
                    <w:rPr>
                      <w:rFonts w:ascii="Arial"/>
                      <w:sz w:val="21"/>
                    </w:rPr>
                  </w:pPr>
                </w:p>
                <w:p w14:paraId="08068A02">
                  <w:pPr>
                    <w:spacing w:line="261" w:lineRule="auto"/>
                    <w:rPr>
                      <w:rFonts w:ascii="Arial"/>
                      <w:sz w:val="21"/>
                    </w:rPr>
                  </w:pPr>
                </w:p>
                <w:p w14:paraId="74626E09">
                  <w:pPr>
                    <w:spacing w:line="261" w:lineRule="auto"/>
                    <w:rPr>
                      <w:rFonts w:ascii="Arial"/>
                      <w:sz w:val="21"/>
                    </w:rPr>
                  </w:pPr>
                </w:p>
                <w:p w14:paraId="631E093F">
                  <w:pPr>
                    <w:spacing w:before="65" w:line="228" w:lineRule="auto"/>
                    <w:ind w:left="705"/>
                    <w:rPr>
                      <w:rFonts w:ascii="宋体" w:hAnsi="宋体" w:eastAsia="宋体" w:cs="宋体"/>
                      <w:sz w:val="20"/>
                      <w:szCs w:val="20"/>
                    </w:rPr>
                  </w:pPr>
                  <w:r>
                    <w:rPr>
                      <w:rFonts w:ascii="宋体" w:hAnsi="宋体" w:eastAsia="宋体" w:cs="宋体"/>
                      <w:b/>
                      <w:bCs/>
                      <w:spacing w:val="6"/>
                      <w:sz w:val="20"/>
                      <w:szCs w:val="20"/>
                    </w:rPr>
                    <w:t>执行标准</w:t>
                  </w:r>
                </w:p>
              </w:tc>
            </w:tr>
            <w:tr w14:paraId="00E6E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0" w:hRule="atLeast"/>
              </w:trPr>
              <w:tc>
                <w:tcPr>
                  <w:tcW w:w="964" w:type="dxa"/>
                  <w:vAlign w:val="top"/>
                </w:tcPr>
                <w:p w14:paraId="122B4AB0">
                  <w:pPr>
                    <w:spacing w:line="374" w:lineRule="auto"/>
                    <w:rPr>
                      <w:rFonts w:ascii="Arial"/>
                      <w:sz w:val="21"/>
                    </w:rPr>
                  </w:pPr>
                </w:p>
                <w:p w14:paraId="5DFD37FE">
                  <w:pPr>
                    <w:spacing w:before="65" w:line="228" w:lineRule="auto"/>
                    <w:ind w:left="175"/>
                    <w:rPr>
                      <w:rFonts w:ascii="宋体" w:hAnsi="宋体" w:eastAsia="宋体" w:cs="宋体"/>
                      <w:sz w:val="20"/>
                      <w:szCs w:val="20"/>
                    </w:rPr>
                  </w:pPr>
                  <w:r>
                    <w:rPr>
                      <w:rFonts w:ascii="宋体" w:hAnsi="宋体" w:eastAsia="宋体" w:cs="宋体"/>
                      <w:spacing w:val="6"/>
                      <w:sz w:val="20"/>
                      <w:szCs w:val="20"/>
                    </w:rPr>
                    <w:t>污水处</w:t>
                  </w:r>
                </w:p>
                <w:p w14:paraId="5A98A416">
                  <w:pPr>
                    <w:spacing w:before="160" w:line="231" w:lineRule="auto"/>
                    <w:ind w:left="176"/>
                    <w:rPr>
                      <w:rFonts w:ascii="宋体" w:hAnsi="宋体" w:eastAsia="宋体" w:cs="宋体"/>
                      <w:sz w:val="20"/>
                      <w:szCs w:val="20"/>
                    </w:rPr>
                  </w:pPr>
                  <w:r>
                    <w:rPr>
                      <w:rFonts w:ascii="宋体" w:hAnsi="宋体" w:eastAsia="宋体" w:cs="宋体"/>
                      <w:spacing w:val="6"/>
                      <w:sz w:val="20"/>
                      <w:szCs w:val="20"/>
                    </w:rPr>
                    <w:t>理站出</w:t>
                  </w:r>
                </w:p>
                <w:p w14:paraId="3570CB70">
                  <w:pPr>
                    <w:spacing w:before="158" w:line="265" w:lineRule="exact"/>
                    <w:ind w:left="414"/>
                    <w:rPr>
                      <w:rFonts w:ascii="宋体" w:hAnsi="宋体" w:eastAsia="宋体" w:cs="宋体"/>
                      <w:sz w:val="20"/>
                      <w:szCs w:val="20"/>
                    </w:rPr>
                  </w:pPr>
                  <w:r>
                    <w:rPr>
                      <w:rFonts w:ascii="宋体" w:hAnsi="宋体" w:eastAsia="宋体" w:cs="宋体"/>
                      <w:position w:val="1"/>
                      <w:sz w:val="20"/>
                      <w:szCs w:val="20"/>
                    </w:rPr>
                    <w:t>口</w:t>
                  </w:r>
                </w:p>
              </w:tc>
              <w:tc>
                <w:tcPr>
                  <w:tcW w:w="1696" w:type="dxa"/>
                  <w:vAlign w:val="top"/>
                </w:tcPr>
                <w:p w14:paraId="35B69A86">
                  <w:pPr>
                    <w:spacing w:line="396" w:lineRule="auto"/>
                    <w:rPr>
                      <w:rFonts w:ascii="Arial"/>
                      <w:sz w:val="21"/>
                    </w:rPr>
                  </w:pPr>
                </w:p>
                <w:p w14:paraId="3B91B968">
                  <w:pPr>
                    <w:spacing w:before="65" w:line="264" w:lineRule="exact"/>
                    <w:ind w:left="679"/>
                    <w:rPr>
                      <w:rFonts w:ascii="宋体" w:hAnsi="宋体" w:eastAsia="宋体" w:cs="宋体"/>
                      <w:sz w:val="20"/>
                      <w:szCs w:val="20"/>
                    </w:rPr>
                  </w:pPr>
                  <w:r>
                    <w:rPr>
                      <w:rFonts w:ascii="Times New Roman" w:hAnsi="Times New Roman" w:eastAsia="Times New Roman" w:cs="Times New Roman"/>
                      <w:position w:val="1"/>
                      <w:sz w:val="20"/>
                      <w:szCs w:val="20"/>
                    </w:rPr>
                    <w:t>E</w:t>
                  </w:r>
                  <w:r>
                    <w:rPr>
                      <w:rFonts w:ascii="宋体" w:hAnsi="宋体" w:eastAsia="宋体" w:cs="宋体"/>
                      <w:position w:val="1"/>
                      <w:sz w:val="20"/>
                      <w:szCs w:val="20"/>
                    </w:rPr>
                    <w:t>：</w:t>
                  </w:r>
                </w:p>
                <w:p w14:paraId="6CBD26D1">
                  <w:pPr>
                    <w:spacing w:before="165" w:line="195" w:lineRule="auto"/>
                    <w:ind w:left="207"/>
                    <w:rPr>
                      <w:rFonts w:ascii="Times New Roman" w:hAnsi="Times New Roman" w:eastAsia="Times New Roman" w:cs="Times New Roman"/>
                      <w:sz w:val="20"/>
                      <w:szCs w:val="20"/>
                    </w:rPr>
                  </w:pPr>
                  <w:r>
                    <w:rPr>
                      <w:rFonts w:ascii="Times New Roman" w:hAnsi="Times New Roman" w:eastAsia="Times New Roman" w:cs="Times New Roman"/>
                      <w:sz w:val="20"/>
                      <w:szCs w:val="20"/>
                    </w:rPr>
                    <w:t>103°</w:t>
                  </w:r>
                  <w:r>
                    <w:rPr>
                      <w:rFonts w:ascii="Times New Roman" w:hAnsi="Times New Roman" w:eastAsia="Times New Roman" w:cs="Times New Roman"/>
                      <w:spacing w:val="-12"/>
                      <w:sz w:val="20"/>
                      <w:szCs w:val="20"/>
                    </w:rPr>
                    <w:t xml:space="preserve"> </w:t>
                  </w:r>
                  <w:r>
                    <w:rPr>
                      <w:rFonts w:ascii="Times New Roman" w:hAnsi="Times New Roman" w:eastAsia="Times New Roman" w:cs="Times New Roman"/>
                      <w:sz w:val="20"/>
                      <w:szCs w:val="20"/>
                    </w:rPr>
                    <w:t>11′42.641″</w:t>
                  </w:r>
                </w:p>
                <w:p w14:paraId="444BAA24">
                  <w:pPr>
                    <w:spacing w:before="154" w:line="263" w:lineRule="exact"/>
                    <w:ind w:left="101"/>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N</w:t>
                  </w:r>
                  <w:r>
                    <w:rPr>
                      <w:rFonts w:ascii="宋体" w:hAnsi="宋体" w:eastAsia="宋体" w:cs="宋体"/>
                      <w:spacing w:val="-2"/>
                      <w:position w:val="1"/>
                      <w:sz w:val="20"/>
                      <w:szCs w:val="20"/>
                    </w:rPr>
                    <w:t>：</w:t>
                  </w:r>
                  <w:r>
                    <w:rPr>
                      <w:rFonts w:ascii="Times New Roman" w:hAnsi="Times New Roman" w:eastAsia="Times New Roman" w:cs="Times New Roman"/>
                      <w:spacing w:val="-2"/>
                      <w:position w:val="1"/>
                      <w:sz w:val="20"/>
                      <w:szCs w:val="20"/>
                    </w:rPr>
                    <w:t>25°33′47.456″</w:t>
                  </w:r>
                </w:p>
              </w:tc>
              <w:tc>
                <w:tcPr>
                  <w:tcW w:w="870" w:type="dxa"/>
                  <w:vAlign w:val="top"/>
                </w:tcPr>
                <w:p w14:paraId="40AD4A5E">
                  <w:pPr>
                    <w:spacing w:line="276" w:lineRule="auto"/>
                    <w:rPr>
                      <w:rFonts w:ascii="Arial"/>
                      <w:sz w:val="21"/>
                    </w:rPr>
                  </w:pPr>
                </w:p>
                <w:p w14:paraId="50B9F347">
                  <w:pPr>
                    <w:spacing w:line="277" w:lineRule="auto"/>
                    <w:rPr>
                      <w:rFonts w:ascii="Arial"/>
                      <w:sz w:val="21"/>
                    </w:rPr>
                  </w:pPr>
                </w:p>
                <w:p w14:paraId="456A4692">
                  <w:pPr>
                    <w:spacing w:line="277" w:lineRule="auto"/>
                    <w:rPr>
                      <w:rFonts w:ascii="Arial"/>
                      <w:sz w:val="21"/>
                    </w:rPr>
                  </w:pPr>
                </w:p>
                <w:p w14:paraId="47F8ED2D">
                  <w:pPr>
                    <w:spacing w:before="58" w:line="195" w:lineRule="auto"/>
                    <w:ind w:left="20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907.2</w:t>
                  </w:r>
                </w:p>
              </w:tc>
              <w:tc>
                <w:tcPr>
                  <w:tcW w:w="695" w:type="dxa"/>
                  <w:vAlign w:val="top"/>
                </w:tcPr>
                <w:p w14:paraId="78D3B8D2">
                  <w:pPr>
                    <w:spacing w:line="260" w:lineRule="auto"/>
                    <w:rPr>
                      <w:rFonts w:ascii="Arial"/>
                      <w:sz w:val="21"/>
                    </w:rPr>
                  </w:pPr>
                </w:p>
                <w:p w14:paraId="0F5201A9">
                  <w:pPr>
                    <w:spacing w:line="260" w:lineRule="auto"/>
                    <w:rPr>
                      <w:rFonts w:ascii="Arial"/>
                      <w:sz w:val="21"/>
                    </w:rPr>
                  </w:pPr>
                </w:p>
                <w:p w14:paraId="63F5D8E2">
                  <w:pPr>
                    <w:spacing w:line="260" w:lineRule="auto"/>
                    <w:rPr>
                      <w:rFonts w:ascii="Arial"/>
                      <w:sz w:val="21"/>
                    </w:rPr>
                  </w:pPr>
                </w:p>
                <w:p w14:paraId="38FA71DF">
                  <w:pPr>
                    <w:spacing w:before="65" w:line="229" w:lineRule="auto"/>
                    <w:ind w:left="163"/>
                    <w:rPr>
                      <w:rFonts w:ascii="宋体" w:hAnsi="宋体" w:eastAsia="宋体" w:cs="宋体"/>
                      <w:sz w:val="20"/>
                      <w:szCs w:val="20"/>
                    </w:rPr>
                  </w:pPr>
                  <w:r>
                    <w:rPr>
                      <w:rFonts w:ascii="宋体" w:hAnsi="宋体" w:eastAsia="宋体" w:cs="宋体"/>
                      <w:spacing w:val="-6"/>
                      <w:sz w:val="20"/>
                      <w:szCs w:val="20"/>
                    </w:rPr>
                    <w:t>回用</w:t>
                  </w:r>
                </w:p>
              </w:tc>
              <w:tc>
                <w:tcPr>
                  <w:tcW w:w="833" w:type="dxa"/>
                  <w:vAlign w:val="top"/>
                </w:tcPr>
                <w:p w14:paraId="0976D598">
                  <w:pPr>
                    <w:spacing w:before="237" w:line="377" w:lineRule="auto"/>
                    <w:ind w:left="112" w:right="145" w:firstLine="117"/>
                    <w:jc w:val="both"/>
                    <w:rPr>
                      <w:rFonts w:ascii="宋体" w:hAnsi="宋体" w:eastAsia="宋体" w:cs="宋体"/>
                      <w:sz w:val="20"/>
                      <w:szCs w:val="20"/>
                    </w:rPr>
                  </w:pPr>
                  <w:r>
                    <w:rPr>
                      <w:rFonts w:ascii="宋体" w:hAnsi="宋体" w:eastAsia="宋体" w:cs="宋体"/>
                      <w:spacing w:val="-4"/>
                      <w:sz w:val="20"/>
                      <w:szCs w:val="20"/>
                    </w:rPr>
                    <w:t>间歇</w:t>
                  </w:r>
                  <w:r>
                    <w:rPr>
                      <w:rFonts w:ascii="宋体" w:hAnsi="宋体" w:eastAsia="宋体" w:cs="宋体"/>
                      <w:spacing w:val="-11"/>
                      <w:sz w:val="20"/>
                      <w:szCs w:val="20"/>
                    </w:rPr>
                    <w:t>排放，</w:t>
                  </w:r>
                  <w:r>
                    <w:rPr>
                      <w:rFonts w:ascii="宋体" w:hAnsi="宋体" w:eastAsia="宋体" w:cs="宋体"/>
                      <w:spacing w:val="17"/>
                      <w:w w:val="119"/>
                      <w:sz w:val="20"/>
                      <w:szCs w:val="20"/>
                    </w:rPr>
                    <w:t>流量</w:t>
                  </w:r>
                </w:p>
                <w:p w14:paraId="29EB865B">
                  <w:pPr>
                    <w:spacing w:line="227" w:lineRule="auto"/>
                    <w:ind w:left="214"/>
                    <w:rPr>
                      <w:rFonts w:ascii="宋体" w:hAnsi="宋体" w:eastAsia="宋体" w:cs="宋体"/>
                      <w:sz w:val="20"/>
                      <w:szCs w:val="20"/>
                    </w:rPr>
                  </w:pPr>
                  <w:r>
                    <w:rPr>
                      <w:rFonts w:ascii="宋体" w:hAnsi="宋体" w:eastAsia="宋体" w:cs="宋体"/>
                      <w:spacing w:val="4"/>
                      <w:sz w:val="20"/>
                      <w:szCs w:val="20"/>
                    </w:rPr>
                    <w:t>稳定</w:t>
                  </w:r>
                </w:p>
              </w:tc>
              <w:tc>
                <w:tcPr>
                  <w:tcW w:w="636" w:type="dxa"/>
                  <w:vAlign w:val="top"/>
                </w:tcPr>
                <w:p w14:paraId="4666E164">
                  <w:pPr>
                    <w:spacing w:line="376" w:lineRule="auto"/>
                    <w:rPr>
                      <w:rFonts w:ascii="Arial"/>
                      <w:sz w:val="21"/>
                    </w:rPr>
                  </w:pPr>
                </w:p>
                <w:p w14:paraId="7303F47E">
                  <w:pPr>
                    <w:spacing w:before="65" w:line="383" w:lineRule="auto"/>
                    <w:ind w:left="114" w:right="106" w:firstLine="3"/>
                    <w:jc w:val="right"/>
                    <w:rPr>
                      <w:rFonts w:ascii="宋体" w:hAnsi="宋体" w:eastAsia="宋体" w:cs="宋体"/>
                      <w:sz w:val="20"/>
                      <w:szCs w:val="20"/>
                    </w:rPr>
                  </w:pPr>
                  <w:r>
                    <w:rPr>
                      <w:rFonts w:ascii="宋体" w:hAnsi="宋体" w:eastAsia="宋体" w:cs="宋体"/>
                      <w:spacing w:val="3"/>
                      <w:sz w:val="20"/>
                      <w:szCs w:val="20"/>
                    </w:rPr>
                    <w:t>一般</w:t>
                  </w:r>
                  <w:r>
                    <w:rPr>
                      <w:rFonts w:ascii="宋体" w:hAnsi="宋体" w:eastAsia="宋体" w:cs="宋体"/>
                      <w:spacing w:val="4"/>
                      <w:sz w:val="20"/>
                      <w:szCs w:val="20"/>
                    </w:rPr>
                    <w:t>排放</w:t>
                  </w:r>
                  <w:r>
                    <w:rPr>
                      <w:rFonts w:ascii="宋体" w:hAnsi="宋体" w:eastAsia="宋体" w:cs="宋体"/>
                      <w:sz w:val="20"/>
                      <w:szCs w:val="20"/>
                    </w:rPr>
                    <w:t>口</w:t>
                  </w:r>
                </w:p>
              </w:tc>
              <w:tc>
                <w:tcPr>
                  <w:tcW w:w="893" w:type="dxa"/>
                  <w:vAlign w:val="top"/>
                </w:tcPr>
                <w:p w14:paraId="17557783">
                  <w:pPr>
                    <w:spacing w:line="275" w:lineRule="auto"/>
                    <w:rPr>
                      <w:rFonts w:ascii="Arial"/>
                      <w:sz w:val="21"/>
                    </w:rPr>
                  </w:pPr>
                </w:p>
                <w:p w14:paraId="227D36DE">
                  <w:pPr>
                    <w:spacing w:line="276" w:lineRule="auto"/>
                    <w:rPr>
                      <w:rFonts w:ascii="Arial"/>
                      <w:sz w:val="21"/>
                    </w:rPr>
                  </w:pPr>
                </w:p>
                <w:p w14:paraId="2B98AE23">
                  <w:pPr>
                    <w:spacing w:line="276" w:lineRule="auto"/>
                    <w:rPr>
                      <w:rFonts w:ascii="Arial"/>
                      <w:sz w:val="21"/>
                    </w:rPr>
                  </w:pPr>
                </w:p>
                <w:p w14:paraId="1D5B47C3">
                  <w:pPr>
                    <w:spacing w:before="57" w:line="199" w:lineRule="auto"/>
                    <w:ind w:left="4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42" w:type="dxa"/>
                  <w:vAlign w:val="top"/>
                </w:tcPr>
                <w:p w14:paraId="1A196B54">
                  <w:pPr>
                    <w:spacing w:before="33" w:line="377" w:lineRule="auto"/>
                    <w:ind w:left="287" w:right="174" w:hanging="100"/>
                    <w:rPr>
                      <w:rFonts w:ascii="宋体" w:hAnsi="宋体" w:eastAsia="宋体" w:cs="宋体"/>
                      <w:sz w:val="20"/>
                      <w:szCs w:val="20"/>
                    </w:rPr>
                  </w:pPr>
                  <w:r>
                    <w:rPr>
                      <w:rFonts w:ascii="宋体" w:hAnsi="宋体" w:eastAsia="宋体" w:cs="宋体"/>
                      <w:spacing w:val="8"/>
                      <w:sz w:val="20"/>
                      <w:szCs w:val="20"/>
                    </w:rPr>
                    <w:t>《城市污水再生利用</w:t>
                  </w:r>
                  <w:r>
                    <w:rPr>
                      <w:rFonts w:ascii="宋体" w:hAnsi="宋体" w:eastAsia="宋体" w:cs="宋体"/>
                      <w:spacing w:val="7"/>
                      <w:sz w:val="20"/>
                      <w:szCs w:val="20"/>
                    </w:rPr>
                    <w:t>城市杂用水水质》</w:t>
                  </w:r>
                </w:p>
                <w:p w14:paraId="30FA62A5">
                  <w:pPr>
                    <w:spacing w:line="239" w:lineRule="auto"/>
                    <w:ind w:left="172"/>
                    <w:rPr>
                      <w:rFonts w:ascii="宋体" w:hAnsi="宋体" w:eastAsia="宋体" w:cs="宋体"/>
                      <w:sz w:val="20"/>
                      <w:szCs w:val="20"/>
                    </w:rPr>
                  </w:pPr>
                  <w:r>
                    <w:rPr>
                      <w:rFonts w:ascii="宋体" w:hAnsi="宋体" w:eastAsia="宋体" w:cs="宋体"/>
                      <w:spacing w:val="4"/>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4"/>
                      <w:sz w:val="20"/>
                      <w:szCs w:val="20"/>
                    </w:rPr>
                    <w:t>-T18920-2020</w:t>
                  </w:r>
                  <w:r>
                    <w:rPr>
                      <w:rFonts w:ascii="宋体" w:hAnsi="宋体" w:eastAsia="宋体" w:cs="宋体"/>
                      <w:spacing w:val="4"/>
                      <w:sz w:val="20"/>
                      <w:szCs w:val="20"/>
                    </w:rPr>
                    <w:t>）</w:t>
                  </w:r>
                </w:p>
                <w:p w14:paraId="40FD16E7">
                  <w:pPr>
                    <w:spacing w:before="147" w:line="228" w:lineRule="auto"/>
                    <w:ind w:left="114"/>
                    <w:rPr>
                      <w:rFonts w:ascii="宋体" w:hAnsi="宋体" w:eastAsia="宋体" w:cs="宋体"/>
                      <w:sz w:val="20"/>
                      <w:szCs w:val="20"/>
                    </w:rPr>
                  </w:pPr>
                  <w:r>
                    <w:rPr>
                      <w:rFonts w:ascii="宋体" w:hAnsi="宋体" w:eastAsia="宋体" w:cs="宋体"/>
                      <w:spacing w:val="8"/>
                      <w:sz w:val="20"/>
                      <w:szCs w:val="20"/>
                    </w:rPr>
                    <w:t>城市绿化、道路清扫、</w:t>
                  </w:r>
                </w:p>
                <w:p w14:paraId="185F5148">
                  <w:pPr>
                    <w:spacing w:before="162" w:line="228" w:lineRule="auto"/>
                    <w:ind w:left="917"/>
                    <w:rPr>
                      <w:rFonts w:ascii="宋体" w:hAnsi="宋体" w:eastAsia="宋体" w:cs="宋体"/>
                      <w:sz w:val="20"/>
                      <w:szCs w:val="20"/>
                    </w:rPr>
                  </w:pPr>
                  <w:r>
                    <w:rPr>
                      <w:rFonts w:ascii="宋体" w:hAnsi="宋体" w:eastAsia="宋体" w:cs="宋体"/>
                      <w:spacing w:val="4"/>
                      <w:sz w:val="20"/>
                      <w:szCs w:val="20"/>
                    </w:rPr>
                    <w:t>标准</w:t>
                  </w:r>
                </w:p>
              </w:tc>
            </w:tr>
          </w:tbl>
          <w:p w14:paraId="2FD54999">
            <w:pPr>
              <w:spacing w:before="35" w:line="221" w:lineRule="auto"/>
              <w:ind w:left="588"/>
              <w:rPr>
                <w:rFonts w:ascii="宋体" w:hAnsi="宋体" w:eastAsia="宋体" w:cs="宋体"/>
                <w:sz w:val="24"/>
                <w:szCs w:val="24"/>
              </w:rPr>
            </w:pPr>
            <w:r>
              <w:rPr>
                <w:rFonts w:ascii="Times New Roman" w:hAnsi="Times New Roman" w:eastAsia="Times New Roman" w:cs="Times New Roman"/>
                <w:b/>
                <w:bCs/>
                <w:spacing w:val="-8"/>
                <w:sz w:val="24"/>
                <w:szCs w:val="24"/>
              </w:rPr>
              <w:t>5</w:t>
            </w:r>
            <w:r>
              <w:rPr>
                <w:rFonts w:ascii="Times New Roman" w:hAnsi="Times New Roman" w:eastAsia="Times New Roman" w:cs="Times New Roman"/>
                <w:b/>
                <w:bCs/>
                <w:spacing w:val="-29"/>
                <w:sz w:val="24"/>
                <w:szCs w:val="24"/>
              </w:rPr>
              <w:t xml:space="preserve"> </w:t>
            </w:r>
            <w:r>
              <w:rPr>
                <w:rFonts w:ascii="宋体" w:hAnsi="宋体" w:eastAsia="宋体" w:cs="宋体"/>
                <w:b/>
                <w:bCs/>
                <w:spacing w:val="-8"/>
                <w:sz w:val="24"/>
                <w:szCs w:val="24"/>
              </w:rPr>
              <w:t>、监测要求</w:t>
            </w:r>
          </w:p>
          <w:p w14:paraId="08DF7610">
            <w:pPr>
              <w:spacing w:before="178" w:line="351" w:lineRule="auto"/>
              <w:ind w:left="110" w:right="102" w:firstLine="479"/>
              <w:rPr>
                <w:rFonts w:ascii="宋体" w:hAnsi="宋体" w:eastAsia="宋体" w:cs="宋体"/>
                <w:sz w:val="24"/>
                <w:szCs w:val="24"/>
              </w:rPr>
            </w:pPr>
            <w:r>
              <w:rPr>
                <w:rFonts w:ascii="宋体" w:hAnsi="宋体" w:eastAsia="宋体" w:cs="宋体"/>
                <w:spacing w:val="-1"/>
                <w:sz w:val="24"/>
                <w:szCs w:val="24"/>
              </w:rPr>
              <w:t>根据《排污单位自行监测技术指南 橡胶和塑料制品》（</w:t>
            </w:r>
            <w:r>
              <w:rPr>
                <w:rFonts w:ascii="Times New Roman" w:hAnsi="Times New Roman" w:eastAsia="Times New Roman" w:cs="Times New Roman"/>
                <w:spacing w:val="-1"/>
                <w:sz w:val="24"/>
                <w:szCs w:val="24"/>
              </w:rPr>
              <w:t>HJ1207-2021</w:t>
            </w:r>
            <w:r>
              <w:rPr>
                <w:rFonts w:ascii="宋体" w:hAnsi="宋体" w:eastAsia="宋体" w:cs="宋体"/>
                <w:spacing w:val="-1"/>
                <w:sz w:val="24"/>
                <w:szCs w:val="24"/>
              </w:rPr>
              <w:t>）、《</w:t>
            </w:r>
            <w:r>
              <w:rPr>
                <w:rFonts w:ascii="宋体" w:hAnsi="宋体" w:eastAsia="宋体" w:cs="宋体"/>
                <w:spacing w:val="-2"/>
                <w:sz w:val="24"/>
                <w:szCs w:val="24"/>
              </w:rPr>
              <w:t>排污</w:t>
            </w:r>
            <w:r>
              <w:rPr>
                <w:rFonts w:ascii="宋体" w:hAnsi="宋体" w:eastAsia="宋体" w:cs="宋体"/>
                <w:spacing w:val="-1"/>
                <w:sz w:val="24"/>
                <w:szCs w:val="24"/>
              </w:rPr>
              <w:t>许可证申请与核发技术规范 橡胶和塑料制品工业》（</w:t>
            </w:r>
            <w:r>
              <w:rPr>
                <w:rFonts w:ascii="Times New Roman" w:hAnsi="Times New Roman" w:eastAsia="Times New Roman" w:cs="Times New Roman"/>
                <w:spacing w:val="-1"/>
                <w:sz w:val="24"/>
                <w:szCs w:val="24"/>
              </w:rPr>
              <w:t>HJ1122-2020</w:t>
            </w:r>
            <w:r>
              <w:rPr>
                <w:rFonts w:ascii="宋体" w:hAnsi="宋体" w:eastAsia="宋体" w:cs="宋体"/>
                <w:spacing w:val="-1"/>
                <w:sz w:val="24"/>
                <w:szCs w:val="24"/>
              </w:rPr>
              <w:t>），本项目废水排</w:t>
            </w:r>
          </w:p>
        </w:tc>
      </w:tr>
    </w:tbl>
    <w:p w14:paraId="3F7CC85B">
      <w:pPr>
        <w:pStyle w:val="2"/>
      </w:pPr>
    </w:p>
    <w:p w14:paraId="45AD4173">
      <w:pPr>
        <w:sectPr>
          <w:footerReference r:id="rId97" w:type="default"/>
          <w:pgSz w:w="11906" w:h="16839"/>
          <w:pgMar w:top="400" w:right="1055" w:bottom="1085" w:left="1054" w:header="0" w:footer="762" w:gutter="0"/>
          <w:cols w:space="720" w:num="1"/>
        </w:sectPr>
      </w:pPr>
    </w:p>
    <w:p w14:paraId="05F9BC37">
      <w:pPr>
        <w:spacing w:before="19"/>
      </w:pPr>
    </w:p>
    <w:p w14:paraId="0DA44285">
      <w:pPr>
        <w:spacing w:before="19"/>
      </w:pPr>
    </w:p>
    <w:p w14:paraId="4B3B564A">
      <w:pPr>
        <w:spacing w:before="19"/>
      </w:pPr>
    </w:p>
    <w:p w14:paraId="65D20229">
      <w:pPr>
        <w:spacing w:before="18"/>
      </w:pPr>
    </w:p>
    <w:p w14:paraId="08EA5377">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3BE28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85" w:hRule="atLeast"/>
        </w:trPr>
        <w:tc>
          <w:tcPr>
            <w:tcW w:w="734" w:type="dxa"/>
            <w:tcBorders>
              <w:right w:val="single" w:color="000000" w:sz="2" w:space="0"/>
            </w:tcBorders>
            <w:vAlign w:val="top"/>
          </w:tcPr>
          <w:p w14:paraId="18604E36">
            <w:pPr>
              <w:rPr>
                <w:rFonts w:ascii="Arial"/>
                <w:sz w:val="21"/>
              </w:rPr>
            </w:pPr>
          </w:p>
        </w:tc>
        <w:tc>
          <w:tcPr>
            <w:tcW w:w="9047" w:type="dxa"/>
            <w:tcBorders>
              <w:left w:val="single" w:color="000000" w:sz="2" w:space="0"/>
            </w:tcBorders>
            <w:vAlign w:val="top"/>
          </w:tcPr>
          <w:p w14:paraId="375AE778">
            <w:pPr>
              <w:spacing w:before="40" w:line="219" w:lineRule="auto"/>
              <w:ind w:left="109"/>
              <w:rPr>
                <w:rFonts w:ascii="宋体" w:hAnsi="宋体" w:eastAsia="宋体" w:cs="宋体"/>
                <w:sz w:val="24"/>
                <w:szCs w:val="24"/>
              </w:rPr>
            </w:pPr>
            <w:r>
              <w:rPr>
                <w:rFonts w:ascii="宋体" w:hAnsi="宋体" w:eastAsia="宋体" w:cs="宋体"/>
                <w:spacing w:val="-1"/>
                <w:sz w:val="24"/>
                <w:szCs w:val="24"/>
              </w:rPr>
              <w:t>放口自行监测要求见表：</w:t>
            </w:r>
          </w:p>
          <w:p w14:paraId="56B730C2">
            <w:pPr>
              <w:spacing w:before="177" w:line="228" w:lineRule="auto"/>
              <w:ind w:left="2300"/>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29"/>
                <w:sz w:val="20"/>
                <w:szCs w:val="20"/>
              </w:rPr>
              <w:t xml:space="preserve"> </w:t>
            </w:r>
            <w:r>
              <w:rPr>
                <w:rFonts w:ascii="Times New Roman" w:hAnsi="Times New Roman" w:eastAsia="Times New Roman" w:cs="Times New Roman"/>
                <w:b/>
                <w:bCs/>
                <w:spacing w:val="6"/>
                <w:sz w:val="20"/>
                <w:szCs w:val="20"/>
              </w:rPr>
              <w:t xml:space="preserve">4-9      </w:t>
            </w:r>
            <w:r>
              <w:rPr>
                <w:rFonts w:ascii="宋体" w:hAnsi="宋体" w:eastAsia="宋体" w:cs="宋体"/>
                <w:b/>
                <w:bCs/>
                <w:spacing w:val="6"/>
                <w:sz w:val="20"/>
                <w:szCs w:val="20"/>
              </w:rPr>
              <w:t>项目废水及水环境质量自行监测要求一览表</w:t>
            </w:r>
          </w:p>
          <w:p w14:paraId="101804DF">
            <w:pPr>
              <w:spacing w:line="130" w:lineRule="exact"/>
            </w:pPr>
          </w:p>
          <w:tbl>
            <w:tblPr>
              <w:tblStyle w:val="10"/>
              <w:tblW w:w="8827"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90"/>
              <w:gridCol w:w="4031"/>
              <w:gridCol w:w="2006"/>
            </w:tblGrid>
            <w:tr w14:paraId="1EA487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2790" w:type="dxa"/>
                  <w:vAlign w:val="top"/>
                </w:tcPr>
                <w:p w14:paraId="7684609D">
                  <w:pPr>
                    <w:spacing w:before="35" w:line="229" w:lineRule="auto"/>
                    <w:ind w:left="980"/>
                    <w:rPr>
                      <w:rFonts w:ascii="宋体" w:hAnsi="宋体" w:eastAsia="宋体" w:cs="宋体"/>
                      <w:sz w:val="20"/>
                      <w:szCs w:val="20"/>
                    </w:rPr>
                  </w:pPr>
                  <w:r>
                    <w:rPr>
                      <w:rFonts w:ascii="宋体" w:hAnsi="宋体" w:eastAsia="宋体" w:cs="宋体"/>
                      <w:b/>
                      <w:bCs/>
                      <w:spacing w:val="6"/>
                      <w:sz w:val="20"/>
                      <w:szCs w:val="20"/>
                    </w:rPr>
                    <w:t>监测点位</w:t>
                  </w:r>
                </w:p>
              </w:tc>
              <w:tc>
                <w:tcPr>
                  <w:tcW w:w="4031" w:type="dxa"/>
                  <w:vAlign w:val="top"/>
                </w:tcPr>
                <w:p w14:paraId="64873A8F">
                  <w:pPr>
                    <w:spacing w:before="36" w:line="228" w:lineRule="auto"/>
                    <w:ind w:left="1601"/>
                    <w:rPr>
                      <w:rFonts w:ascii="宋体" w:hAnsi="宋体" w:eastAsia="宋体" w:cs="宋体"/>
                      <w:sz w:val="20"/>
                      <w:szCs w:val="20"/>
                    </w:rPr>
                  </w:pPr>
                  <w:r>
                    <w:rPr>
                      <w:rFonts w:ascii="宋体" w:hAnsi="宋体" w:eastAsia="宋体" w:cs="宋体"/>
                      <w:b/>
                      <w:bCs/>
                      <w:spacing w:val="6"/>
                      <w:sz w:val="20"/>
                      <w:szCs w:val="20"/>
                    </w:rPr>
                    <w:t>监测因子</w:t>
                  </w:r>
                </w:p>
              </w:tc>
              <w:tc>
                <w:tcPr>
                  <w:tcW w:w="2006" w:type="dxa"/>
                  <w:vAlign w:val="top"/>
                </w:tcPr>
                <w:p w14:paraId="45F1E486">
                  <w:pPr>
                    <w:spacing w:before="35" w:line="228" w:lineRule="auto"/>
                    <w:ind w:left="587"/>
                    <w:rPr>
                      <w:rFonts w:ascii="宋体" w:hAnsi="宋体" w:eastAsia="宋体" w:cs="宋体"/>
                      <w:sz w:val="20"/>
                      <w:szCs w:val="20"/>
                    </w:rPr>
                  </w:pPr>
                  <w:r>
                    <w:rPr>
                      <w:rFonts w:ascii="宋体" w:hAnsi="宋体" w:eastAsia="宋体" w:cs="宋体"/>
                      <w:b/>
                      <w:bCs/>
                      <w:spacing w:val="6"/>
                      <w:sz w:val="20"/>
                      <w:szCs w:val="20"/>
                    </w:rPr>
                    <w:t>监测频次</w:t>
                  </w:r>
                </w:p>
              </w:tc>
            </w:tr>
            <w:tr w14:paraId="46C36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2790" w:type="dxa"/>
                  <w:vAlign w:val="top"/>
                </w:tcPr>
                <w:p w14:paraId="4FC9E949">
                  <w:pPr>
                    <w:spacing w:before="234" w:line="228" w:lineRule="auto"/>
                    <w:ind w:left="141"/>
                    <w:rPr>
                      <w:rFonts w:ascii="宋体" w:hAnsi="宋体" w:eastAsia="宋体" w:cs="宋体"/>
                      <w:sz w:val="20"/>
                      <w:szCs w:val="20"/>
                    </w:rPr>
                  </w:pPr>
                  <w:r>
                    <w:rPr>
                      <w:rFonts w:ascii="宋体" w:hAnsi="宋体" w:eastAsia="宋体" w:cs="宋体"/>
                      <w:spacing w:val="6"/>
                      <w:sz w:val="20"/>
                      <w:szCs w:val="20"/>
                    </w:rPr>
                    <w:t>污水排放口处设</w:t>
                  </w:r>
                  <w:r>
                    <w:rPr>
                      <w:rFonts w:ascii="宋体" w:hAnsi="宋体" w:eastAsia="宋体" w:cs="宋体"/>
                      <w:spacing w:val="-22"/>
                      <w:sz w:val="20"/>
                      <w:szCs w:val="20"/>
                    </w:rPr>
                    <w:t xml:space="preserve"> </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个监测点</w:t>
                  </w:r>
                </w:p>
              </w:tc>
              <w:tc>
                <w:tcPr>
                  <w:tcW w:w="4031" w:type="dxa"/>
                  <w:vAlign w:val="top"/>
                </w:tcPr>
                <w:p w14:paraId="74B37F51">
                  <w:pPr>
                    <w:spacing w:before="31" w:line="221" w:lineRule="auto"/>
                    <w:ind w:left="142"/>
                    <w:rPr>
                      <w:rFonts w:ascii="宋体" w:hAnsi="宋体" w:eastAsia="宋体" w:cs="宋体"/>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pacing w:val="-30"/>
                      <w:sz w:val="20"/>
                      <w:szCs w:val="20"/>
                    </w:rPr>
                    <w:t xml:space="preserve"> </w:t>
                  </w:r>
                  <w:r>
                    <w:rPr>
                      <w:rFonts w:ascii="宋体" w:hAnsi="宋体" w:eastAsia="宋体" w:cs="宋体"/>
                      <w:spacing w:val="6"/>
                      <w:sz w:val="20"/>
                      <w:szCs w:val="20"/>
                    </w:rPr>
                    <w:t>、</w:t>
                  </w:r>
                  <w:r>
                    <w:rPr>
                      <w:rFonts w:ascii="Times New Roman" w:hAnsi="Times New Roman" w:eastAsia="Times New Roman" w:cs="Times New Roman"/>
                      <w:sz w:val="20"/>
                      <w:szCs w:val="20"/>
                    </w:rPr>
                    <w:t>CODcr</w:t>
                  </w:r>
                  <w:r>
                    <w:rPr>
                      <w:rFonts w:ascii="Times New Roman" w:hAnsi="Times New Roman" w:eastAsia="Times New Roman" w:cs="Times New Roman"/>
                      <w:spacing w:val="-27"/>
                      <w:sz w:val="20"/>
                      <w:szCs w:val="20"/>
                    </w:rPr>
                    <w:t xml:space="preserve"> </w:t>
                  </w:r>
                  <w:r>
                    <w:rPr>
                      <w:rFonts w:ascii="宋体" w:hAnsi="宋体" w:eastAsia="宋体" w:cs="宋体"/>
                      <w:spacing w:val="6"/>
                      <w:sz w:val="20"/>
                      <w:szCs w:val="20"/>
                    </w:rPr>
                    <w:t>、</w:t>
                  </w:r>
                  <w:r>
                    <w:rPr>
                      <w:rFonts w:ascii="Times New Roman" w:hAnsi="Times New Roman" w:eastAsia="Times New Roman" w:cs="Times New Roman"/>
                      <w:sz w:val="20"/>
                      <w:szCs w:val="20"/>
                    </w:rPr>
                    <w:t>BOD</w:t>
                  </w:r>
                  <w:r>
                    <w:rPr>
                      <w:rFonts w:ascii="Times New Roman" w:hAnsi="Times New Roman" w:eastAsia="Times New Roman" w:cs="Times New Roman"/>
                      <w:spacing w:val="6"/>
                      <w:position w:val="-1"/>
                      <w:sz w:val="13"/>
                      <w:szCs w:val="13"/>
                    </w:rPr>
                    <w:t>5</w:t>
                  </w:r>
                  <w:r>
                    <w:rPr>
                      <w:rFonts w:ascii="Times New Roman" w:hAnsi="Times New Roman" w:eastAsia="Times New Roman" w:cs="Times New Roman"/>
                      <w:spacing w:val="-11"/>
                      <w:position w:val="-1"/>
                      <w:sz w:val="13"/>
                      <w:szCs w:val="13"/>
                    </w:rPr>
                    <w:t xml:space="preserve"> </w:t>
                  </w:r>
                  <w:r>
                    <w:rPr>
                      <w:rFonts w:ascii="宋体" w:hAnsi="宋体" w:eastAsia="宋体" w:cs="宋体"/>
                      <w:spacing w:val="6"/>
                      <w:sz w:val="20"/>
                      <w:szCs w:val="20"/>
                    </w:rPr>
                    <w:t>、</w:t>
                  </w:r>
                  <w:r>
                    <w:rPr>
                      <w:rFonts w:ascii="Times New Roman" w:hAnsi="Times New Roman" w:eastAsia="Times New Roman" w:cs="Times New Roman"/>
                      <w:sz w:val="20"/>
                      <w:szCs w:val="20"/>
                    </w:rPr>
                    <w:t>SS</w:t>
                  </w:r>
                  <w:r>
                    <w:rPr>
                      <w:rFonts w:ascii="Times New Roman" w:hAnsi="Times New Roman" w:eastAsia="Times New Roman" w:cs="Times New Roman"/>
                      <w:spacing w:val="-26"/>
                      <w:sz w:val="20"/>
                      <w:szCs w:val="20"/>
                    </w:rPr>
                    <w:t xml:space="preserve"> </w:t>
                  </w:r>
                  <w:r>
                    <w:rPr>
                      <w:rFonts w:ascii="宋体" w:hAnsi="宋体" w:eastAsia="宋体" w:cs="宋体"/>
                      <w:spacing w:val="6"/>
                      <w:sz w:val="20"/>
                      <w:szCs w:val="20"/>
                    </w:rPr>
                    <w:t>、氨氮、</w:t>
                  </w:r>
                  <w:r>
                    <w:rPr>
                      <w:rFonts w:ascii="Times New Roman" w:hAnsi="Times New Roman" w:eastAsia="Times New Roman" w:cs="Times New Roman"/>
                      <w:sz w:val="20"/>
                      <w:szCs w:val="20"/>
                    </w:rPr>
                    <w:t>TP</w:t>
                  </w:r>
                  <w:r>
                    <w:rPr>
                      <w:rFonts w:ascii="Times New Roman" w:hAnsi="Times New Roman" w:eastAsia="Times New Roman" w:cs="Times New Roman"/>
                      <w:spacing w:val="-25"/>
                      <w:sz w:val="20"/>
                      <w:szCs w:val="20"/>
                    </w:rPr>
                    <w:t xml:space="preserve"> </w:t>
                  </w:r>
                  <w:r>
                    <w:rPr>
                      <w:rFonts w:ascii="宋体" w:hAnsi="宋体" w:eastAsia="宋体" w:cs="宋体"/>
                      <w:spacing w:val="6"/>
                      <w:sz w:val="20"/>
                      <w:szCs w:val="20"/>
                    </w:rPr>
                    <w:t>、动</w:t>
                  </w:r>
                </w:p>
                <w:p w14:paraId="690BFD77">
                  <w:pPr>
                    <w:spacing w:before="168" w:line="228" w:lineRule="auto"/>
                    <w:ind w:left="1075"/>
                    <w:rPr>
                      <w:rFonts w:ascii="宋体" w:hAnsi="宋体" w:eastAsia="宋体" w:cs="宋体"/>
                      <w:sz w:val="20"/>
                      <w:szCs w:val="20"/>
                    </w:rPr>
                  </w:pPr>
                  <w:r>
                    <w:rPr>
                      <w:rFonts w:ascii="宋体" w:hAnsi="宋体" w:eastAsia="宋体" w:cs="宋体"/>
                      <w:spacing w:val="8"/>
                      <w:sz w:val="20"/>
                      <w:szCs w:val="20"/>
                    </w:rPr>
                    <w:t>植物油、流量、色度</w:t>
                  </w:r>
                </w:p>
              </w:tc>
              <w:tc>
                <w:tcPr>
                  <w:tcW w:w="2006" w:type="dxa"/>
                  <w:vAlign w:val="top"/>
                </w:tcPr>
                <w:p w14:paraId="4A3CDF3F">
                  <w:pPr>
                    <w:spacing w:before="234" w:line="228" w:lineRule="auto"/>
                    <w:ind w:left="666"/>
                    <w:rPr>
                      <w:rFonts w:ascii="宋体" w:hAnsi="宋体" w:eastAsia="宋体" w:cs="宋体"/>
                      <w:sz w:val="20"/>
                      <w:szCs w:val="20"/>
                    </w:rPr>
                  </w:pPr>
                  <w:r>
                    <w:rPr>
                      <w:rFonts w:ascii="宋体" w:hAnsi="宋体" w:eastAsia="宋体" w:cs="宋体"/>
                      <w:spacing w:val="4"/>
                      <w:sz w:val="20"/>
                      <w:szCs w:val="20"/>
                    </w:rPr>
                    <w:t>半年</w:t>
                  </w:r>
                  <w:r>
                    <w:rPr>
                      <w:rFonts w:ascii="Times New Roman" w:hAnsi="Times New Roman" w:eastAsia="Times New Roman" w:cs="Times New Roman"/>
                      <w:spacing w:val="4"/>
                      <w:sz w:val="20"/>
                      <w:szCs w:val="20"/>
                    </w:rPr>
                    <w:t>/</w:t>
                  </w:r>
                  <w:r>
                    <w:rPr>
                      <w:rFonts w:ascii="宋体" w:hAnsi="宋体" w:eastAsia="宋体" w:cs="宋体"/>
                      <w:spacing w:val="4"/>
                      <w:sz w:val="20"/>
                      <w:szCs w:val="20"/>
                    </w:rPr>
                    <w:t>次</w:t>
                  </w:r>
                </w:p>
              </w:tc>
            </w:tr>
          </w:tbl>
          <w:p w14:paraId="639B27CF">
            <w:pPr>
              <w:spacing w:before="35" w:line="220" w:lineRule="auto"/>
              <w:ind w:left="589"/>
              <w:rPr>
                <w:rFonts w:ascii="宋体" w:hAnsi="宋体" w:eastAsia="宋体" w:cs="宋体"/>
                <w:sz w:val="24"/>
                <w:szCs w:val="24"/>
              </w:rPr>
            </w:pPr>
            <w:r>
              <w:rPr>
                <w:rFonts w:ascii="宋体" w:hAnsi="宋体" w:eastAsia="宋体" w:cs="宋体"/>
                <w:b/>
                <w:bCs/>
                <w:spacing w:val="-5"/>
                <w:sz w:val="24"/>
                <w:szCs w:val="24"/>
              </w:rPr>
              <w:t>三、噪声</w:t>
            </w:r>
          </w:p>
          <w:p w14:paraId="22327025">
            <w:pPr>
              <w:spacing w:before="181" w:line="220" w:lineRule="auto"/>
              <w:ind w:left="595"/>
              <w:rPr>
                <w:rFonts w:ascii="宋体" w:hAnsi="宋体" w:eastAsia="宋体" w:cs="宋体"/>
                <w:sz w:val="24"/>
                <w:szCs w:val="24"/>
              </w:rPr>
            </w:pPr>
            <w:r>
              <w:rPr>
                <w:rFonts w:ascii="Times New Roman" w:hAnsi="Times New Roman" w:eastAsia="Times New Roman" w:cs="Times New Roman"/>
                <w:b/>
                <w:bCs/>
                <w:spacing w:val="-7"/>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b/>
                <w:bCs/>
                <w:spacing w:val="-7"/>
                <w:sz w:val="24"/>
                <w:szCs w:val="24"/>
              </w:rPr>
              <w:t>、噪声影响分析</w:t>
            </w:r>
          </w:p>
          <w:p w14:paraId="6DF3F652">
            <w:pPr>
              <w:spacing w:before="180" w:line="357" w:lineRule="auto"/>
              <w:ind w:left="108" w:right="102" w:firstLine="481"/>
              <w:rPr>
                <w:rFonts w:ascii="宋体" w:hAnsi="宋体" w:eastAsia="宋体" w:cs="宋体"/>
                <w:sz w:val="24"/>
                <w:szCs w:val="24"/>
              </w:rPr>
            </w:pPr>
            <w:r>
              <w:rPr>
                <w:rFonts w:ascii="宋体" w:hAnsi="宋体" w:eastAsia="宋体" w:cs="宋体"/>
                <w:spacing w:val="-1"/>
                <w:sz w:val="24"/>
                <w:szCs w:val="24"/>
              </w:rPr>
              <w:t>本扩建项目噪声主要来自于注塑机和冷却水塔源强可达</w:t>
            </w:r>
            <w:r>
              <w:rPr>
                <w:rFonts w:ascii="Times New Roman" w:hAnsi="Times New Roman" w:eastAsia="Times New Roman" w:cs="Times New Roman"/>
                <w:spacing w:val="-1"/>
                <w:sz w:val="24"/>
                <w:szCs w:val="24"/>
              </w:rPr>
              <w:t>70</w:t>
            </w:r>
            <w:r>
              <w:rPr>
                <w:rFonts w:ascii="宋体" w:hAnsi="宋体" w:eastAsia="宋体" w:cs="宋体"/>
                <w:spacing w:val="-1"/>
                <w:sz w:val="24"/>
                <w:szCs w:val="24"/>
              </w:rPr>
              <w:t>～</w:t>
            </w:r>
            <w:r>
              <w:rPr>
                <w:rFonts w:ascii="Times New Roman" w:hAnsi="Times New Roman" w:eastAsia="Times New Roman" w:cs="Times New Roman"/>
                <w:spacing w:val="-1"/>
                <w:sz w:val="24"/>
                <w:szCs w:val="24"/>
              </w:rPr>
              <w:t>80dB</w:t>
            </w:r>
            <w:r>
              <w:rPr>
                <w:rFonts w:ascii="宋体" w:hAnsi="宋体" w:eastAsia="宋体" w:cs="宋体"/>
                <w:spacing w:val="-1"/>
                <w:sz w:val="24"/>
                <w:szCs w:val="24"/>
              </w:rPr>
              <w:t>（</w:t>
            </w:r>
            <w:r>
              <w:rPr>
                <w:rFonts w:ascii="Times New Roman" w:hAnsi="Times New Roman" w:eastAsia="Times New Roman" w:cs="Times New Roman"/>
                <w:spacing w:val="-1"/>
                <w:sz w:val="24"/>
                <w:szCs w:val="24"/>
              </w:rPr>
              <w:t>A</w:t>
            </w:r>
            <w:r>
              <w:rPr>
                <w:rFonts w:ascii="宋体" w:hAnsi="宋体" w:eastAsia="宋体" w:cs="宋体"/>
                <w:spacing w:val="-1"/>
                <w:sz w:val="24"/>
                <w:szCs w:val="24"/>
              </w:rPr>
              <w:t>）。主要声</w:t>
            </w:r>
            <w:r>
              <w:rPr>
                <w:rFonts w:ascii="宋体" w:hAnsi="宋体" w:eastAsia="宋体" w:cs="宋体"/>
                <w:spacing w:val="-4"/>
                <w:sz w:val="24"/>
                <w:szCs w:val="24"/>
              </w:rPr>
              <w:t>源位置、源强见表</w:t>
            </w:r>
            <w:r>
              <w:rPr>
                <w:rFonts w:ascii="宋体" w:hAnsi="宋体" w:eastAsia="宋体" w:cs="宋体"/>
                <w:spacing w:val="-46"/>
                <w:sz w:val="24"/>
                <w:szCs w:val="24"/>
              </w:rPr>
              <w:t xml:space="preserve"> </w:t>
            </w:r>
            <w:r>
              <w:rPr>
                <w:rFonts w:ascii="Times New Roman" w:hAnsi="Times New Roman" w:eastAsia="Times New Roman" w:cs="Times New Roman"/>
                <w:spacing w:val="-4"/>
                <w:sz w:val="24"/>
                <w:szCs w:val="24"/>
              </w:rPr>
              <w:t>4-</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4"/>
                <w:sz w:val="24"/>
                <w:szCs w:val="24"/>
              </w:rPr>
              <w:t>10</w:t>
            </w:r>
            <w:r>
              <w:rPr>
                <w:rFonts w:ascii="宋体" w:hAnsi="宋体" w:eastAsia="宋体" w:cs="宋体"/>
                <w:spacing w:val="-4"/>
                <w:sz w:val="24"/>
                <w:szCs w:val="24"/>
              </w:rPr>
              <w:t>。</w:t>
            </w:r>
          </w:p>
          <w:p w14:paraId="431F51BB">
            <w:pPr>
              <w:spacing w:before="1" w:line="223" w:lineRule="auto"/>
              <w:ind w:left="2936"/>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28"/>
                <w:sz w:val="20"/>
                <w:szCs w:val="20"/>
              </w:rPr>
              <w:t xml:space="preserve"> </w:t>
            </w:r>
            <w:r>
              <w:rPr>
                <w:rFonts w:ascii="Times New Roman" w:hAnsi="Times New Roman" w:eastAsia="Times New Roman" w:cs="Times New Roman"/>
                <w:b/>
                <w:bCs/>
                <w:spacing w:val="5"/>
                <w:sz w:val="20"/>
                <w:szCs w:val="20"/>
              </w:rPr>
              <w:t xml:space="preserve">4-10    </w:t>
            </w:r>
            <w:r>
              <w:rPr>
                <w:rFonts w:ascii="宋体" w:hAnsi="宋体" w:eastAsia="宋体" w:cs="宋体"/>
                <w:b/>
                <w:bCs/>
                <w:spacing w:val="5"/>
                <w:sz w:val="20"/>
                <w:szCs w:val="20"/>
              </w:rPr>
              <w:t>项目设备噪声源强一览表</w:t>
            </w:r>
          </w:p>
          <w:tbl>
            <w:tblPr>
              <w:tblStyle w:val="10"/>
              <w:tblW w:w="8818"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8"/>
              <w:gridCol w:w="1967"/>
              <w:gridCol w:w="491"/>
              <w:gridCol w:w="568"/>
              <w:gridCol w:w="575"/>
              <w:gridCol w:w="966"/>
              <w:gridCol w:w="585"/>
              <w:gridCol w:w="1288"/>
              <w:gridCol w:w="1048"/>
              <w:gridCol w:w="712"/>
            </w:tblGrid>
            <w:tr w14:paraId="1DD78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618" w:type="dxa"/>
                  <w:vMerge w:val="restart"/>
                  <w:tcBorders>
                    <w:bottom w:val="nil"/>
                  </w:tcBorders>
                  <w:vAlign w:val="top"/>
                </w:tcPr>
                <w:p w14:paraId="3D5AC6FA">
                  <w:pPr>
                    <w:spacing w:before="31" w:line="228" w:lineRule="auto"/>
                    <w:ind w:left="106"/>
                    <w:rPr>
                      <w:rFonts w:ascii="宋体" w:hAnsi="宋体" w:eastAsia="宋体" w:cs="宋体"/>
                      <w:sz w:val="20"/>
                      <w:szCs w:val="20"/>
                    </w:rPr>
                  </w:pPr>
                  <w:r>
                    <w:rPr>
                      <w:rFonts w:ascii="宋体" w:hAnsi="宋体" w:eastAsia="宋体" w:cs="宋体"/>
                      <w:b/>
                      <w:bCs/>
                      <w:spacing w:val="2"/>
                      <w:sz w:val="20"/>
                      <w:szCs w:val="20"/>
                    </w:rPr>
                    <w:t>建筑</w:t>
                  </w:r>
                </w:p>
                <w:p w14:paraId="6F0EA043">
                  <w:pPr>
                    <w:spacing w:before="160" w:line="359" w:lineRule="auto"/>
                    <w:ind w:left="205" w:right="99" w:hanging="102"/>
                    <w:rPr>
                      <w:rFonts w:ascii="宋体" w:hAnsi="宋体" w:eastAsia="宋体" w:cs="宋体"/>
                      <w:sz w:val="20"/>
                      <w:szCs w:val="20"/>
                    </w:rPr>
                  </w:pPr>
                  <w:r>
                    <w:rPr>
                      <w:rFonts w:ascii="宋体" w:hAnsi="宋体" w:eastAsia="宋体" w:cs="宋体"/>
                      <w:b/>
                      <w:bCs/>
                      <w:spacing w:val="2"/>
                      <w:sz w:val="20"/>
                      <w:szCs w:val="20"/>
                    </w:rPr>
                    <w:t>物名</w:t>
                  </w:r>
                  <w:r>
                    <w:rPr>
                      <w:rFonts w:ascii="宋体" w:hAnsi="宋体" w:eastAsia="宋体" w:cs="宋体"/>
                      <w:b/>
                      <w:bCs/>
                      <w:spacing w:val="-1"/>
                      <w:sz w:val="20"/>
                      <w:szCs w:val="20"/>
                    </w:rPr>
                    <w:t>称</w:t>
                  </w:r>
                </w:p>
              </w:tc>
              <w:tc>
                <w:tcPr>
                  <w:tcW w:w="1967" w:type="dxa"/>
                  <w:vMerge w:val="restart"/>
                  <w:tcBorders>
                    <w:bottom w:val="nil"/>
                  </w:tcBorders>
                  <w:vAlign w:val="top"/>
                </w:tcPr>
                <w:p w14:paraId="232E5C10">
                  <w:pPr>
                    <w:spacing w:line="371" w:lineRule="auto"/>
                    <w:rPr>
                      <w:rFonts w:ascii="Arial"/>
                      <w:sz w:val="21"/>
                    </w:rPr>
                  </w:pPr>
                </w:p>
                <w:p w14:paraId="1A222FCB">
                  <w:pPr>
                    <w:spacing w:before="65" w:line="228" w:lineRule="auto"/>
                    <w:ind w:left="569"/>
                    <w:rPr>
                      <w:rFonts w:ascii="宋体" w:hAnsi="宋体" w:eastAsia="宋体" w:cs="宋体"/>
                      <w:sz w:val="20"/>
                      <w:szCs w:val="20"/>
                    </w:rPr>
                  </w:pPr>
                  <w:r>
                    <w:rPr>
                      <w:rFonts w:ascii="宋体" w:hAnsi="宋体" w:eastAsia="宋体" w:cs="宋体"/>
                      <w:b/>
                      <w:bCs/>
                      <w:spacing w:val="5"/>
                      <w:sz w:val="20"/>
                      <w:szCs w:val="20"/>
                    </w:rPr>
                    <w:t>声源名称</w:t>
                  </w:r>
                </w:p>
              </w:tc>
              <w:tc>
                <w:tcPr>
                  <w:tcW w:w="1634" w:type="dxa"/>
                  <w:gridSpan w:val="3"/>
                  <w:vAlign w:val="top"/>
                </w:tcPr>
                <w:p w14:paraId="1B5E7406">
                  <w:pPr>
                    <w:spacing w:before="30" w:line="227" w:lineRule="auto"/>
                    <w:ind w:left="186"/>
                    <w:rPr>
                      <w:rFonts w:ascii="宋体" w:hAnsi="宋体" w:eastAsia="宋体" w:cs="宋体"/>
                      <w:sz w:val="20"/>
                      <w:szCs w:val="20"/>
                    </w:rPr>
                  </w:pPr>
                  <w:r>
                    <w:rPr>
                      <w:rFonts w:ascii="宋体" w:hAnsi="宋体" w:eastAsia="宋体" w:cs="宋体"/>
                      <w:b/>
                      <w:bCs/>
                      <w:spacing w:val="7"/>
                      <w:sz w:val="20"/>
                      <w:szCs w:val="20"/>
                    </w:rPr>
                    <w:t>源强空间布局</w:t>
                  </w:r>
                </w:p>
              </w:tc>
              <w:tc>
                <w:tcPr>
                  <w:tcW w:w="966" w:type="dxa"/>
                  <w:vMerge w:val="restart"/>
                  <w:tcBorders>
                    <w:bottom w:val="nil"/>
                  </w:tcBorders>
                  <w:vAlign w:val="top"/>
                </w:tcPr>
                <w:p w14:paraId="5DF5AF21">
                  <w:pPr>
                    <w:spacing w:before="256" w:line="227" w:lineRule="auto"/>
                    <w:ind w:left="65"/>
                    <w:rPr>
                      <w:rFonts w:ascii="宋体" w:hAnsi="宋体" w:eastAsia="宋体" w:cs="宋体"/>
                      <w:sz w:val="20"/>
                      <w:szCs w:val="20"/>
                    </w:rPr>
                  </w:pPr>
                  <w:r>
                    <w:rPr>
                      <w:rFonts w:ascii="宋体" w:hAnsi="宋体" w:eastAsia="宋体" w:cs="宋体"/>
                      <w:b/>
                      <w:bCs/>
                      <w:spacing w:val="6"/>
                      <w:sz w:val="20"/>
                      <w:szCs w:val="20"/>
                    </w:rPr>
                    <w:t>产生强度</w:t>
                  </w:r>
                </w:p>
                <w:p w14:paraId="6F79CDA0">
                  <w:pPr>
                    <w:spacing w:before="183" w:line="196" w:lineRule="auto"/>
                    <w:ind w:left="214"/>
                    <w:rPr>
                      <w:rFonts w:ascii="Times New Roman" w:hAnsi="Times New Roman" w:eastAsia="Times New Roman" w:cs="Times New Roman"/>
                      <w:sz w:val="20"/>
                      <w:szCs w:val="20"/>
                    </w:rPr>
                  </w:pPr>
                  <w:r>
                    <w:rPr>
                      <w:rFonts w:ascii="Times New Roman" w:hAnsi="Times New Roman" w:eastAsia="Times New Roman" w:cs="Times New Roman"/>
                      <w:b/>
                      <w:bCs/>
                      <w:sz w:val="20"/>
                      <w:szCs w:val="20"/>
                    </w:rPr>
                    <w:t>dB</w:t>
                  </w:r>
                  <w:r>
                    <w:rPr>
                      <w:rFonts w:ascii="Times New Roman" w:hAnsi="Times New Roman" w:eastAsia="Times New Roman" w:cs="Times New Roman"/>
                      <w:b/>
                      <w:bCs/>
                      <w:spacing w:val="5"/>
                      <w:sz w:val="20"/>
                      <w:szCs w:val="20"/>
                    </w:rPr>
                    <w:t>(A)</w:t>
                  </w:r>
                </w:p>
              </w:tc>
              <w:tc>
                <w:tcPr>
                  <w:tcW w:w="585" w:type="dxa"/>
                  <w:vMerge w:val="restart"/>
                  <w:tcBorders>
                    <w:bottom w:val="nil"/>
                  </w:tcBorders>
                  <w:vAlign w:val="top"/>
                </w:tcPr>
                <w:p w14:paraId="58A3CD6D">
                  <w:pPr>
                    <w:spacing w:line="280" w:lineRule="auto"/>
                    <w:rPr>
                      <w:rFonts w:ascii="Arial"/>
                      <w:sz w:val="21"/>
                    </w:rPr>
                  </w:pPr>
                </w:p>
                <w:p w14:paraId="1A90A7FD">
                  <w:pPr>
                    <w:spacing w:line="281" w:lineRule="auto"/>
                    <w:rPr>
                      <w:rFonts w:ascii="Arial"/>
                      <w:sz w:val="21"/>
                    </w:rPr>
                  </w:pPr>
                </w:p>
                <w:p w14:paraId="0C234AA0">
                  <w:pPr>
                    <w:spacing w:line="281" w:lineRule="auto"/>
                    <w:rPr>
                      <w:rFonts w:ascii="Arial"/>
                      <w:sz w:val="21"/>
                    </w:rPr>
                  </w:pPr>
                </w:p>
                <w:p w14:paraId="144E94B8">
                  <w:pPr>
                    <w:spacing w:line="281" w:lineRule="auto"/>
                    <w:rPr>
                      <w:rFonts w:ascii="Arial"/>
                      <w:sz w:val="21"/>
                    </w:rPr>
                  </w:pPr>
                </w:p>
                <w:p w14:paraId="411957CC">
                  <w:pPr>
                    <w:spacing w:line="281" w:lineRule="auto"/>
                    <w:rPr>
                      <w:rFonts w:ascii="Arial"/>
                      <w:sz w:val="21"/>
                    </w:rPr>
                  </w:pPr>
                </w:p>
                <w:p w14:paraId="7B712B12">
                  <w:pPr>
                    <w:spacing w:before="65" w:line="378" w:lineRule="auto"/>
                    <w:ind w:left="87" w:right="79" w:firstLine="5"/>
                    <w:jc w:val="both"/>
                    <w:rPr>
                      <w:rFonts w:ascii="宋体" w:hAnsi="宋体" w:eastAsia="宋体" w:cs="宋体"/>
                      <w:sz w:val="20"/>
                      <w:szCs w:val="20"/>
                    </w:rPr>
                  </w:pPr>
                  <w:r>
                    <w:rPr>
                      <w:rFonts w:ascii="宋体" w:hAnsi="宋体" w:eastAsia="宋体" w:cs="宋体"/>
                      <w:b/>
                      <w:bCs/>
                      <w:spacing w:val="1"/>
                      <w:sz w:val="20"/>
                      <w:szCs w:val="20"/>
                    </w:rPr>
                    <w:t>声源</w:t>
                  </w:r>
                  <w:r>
                    <w:rPr>
                      <w:rFonts w:ascii="宋体" w:hAnsi="宋体" w:eastAsia="宋体" w:cs="宋体"/>
                      <w:b/>
                      <w:bCs/>
                      <w:spacing w:val="4"/>
                      <w:sz w:val="20"/>
                      <w:szCs w:val="20"/>
                    </w:rPr>
                    <w:t>控制措施</w:t>
                  </w:r>
                </w:p>
              </w:tc>
              <w:tc>
                <w:tcPr>
                  <w:tcW w:w="1288" w:type="dxa"/>
                  <w:vMerge w:val="restart"/>
                  <w:tcBorders>
                    <w:bottom w:val="nil"/>
                  </w:tcBorders>
                  <w:vAlign w:val="top"/>
                </w:tcPr>
                <w:p w14:paraId="46EE3EDD">
                  <w:pPr>
                    <w:spacing w:before="231" w:line="378" w:lineRule="auto"/>
                    <w:ind w:left="14" w:firstLine="7"/>
                    <w:rPr>
                      <w:rFonts w:ascii="宋体" w:hAnsi="宋体" w:eastAsia="宋体" w:cs="宋体"/>
                      <w:sz w:val="20"/>
                      <w:szCs w:val="20"/>
                    </w:rPr>
                  </w:pPr>
                  <w:r>
                    <w:rPr>
                      <w:rFonts w:ascii="宋体" w:hAnsi="宋体" w:eastAsia="宋体" w:cs="宋体"/>
                      <w:b/>
                      <w:bCs/>
                      <w:spacing w:val="6"/>
                      <w:sz w:val="20"/>
                      <w:szCs w:val="20"/>
                    </w:rPr>
                    <w:t>建筑物插入损</w:t>
                  </w:r>
                  <w:r>
                    <w:rPr>
                      <w:rFonts w:ascii="宋体" w:hAnsi="宋体" w:eastAsia="宋体" w:cs="宋体"/>
                      <w:b/>
                      <w:bCs/>
                      <w:spacing w:val="2"/>
                      <w:sz w:val="20"/>
                      <w:szCs w:val="20"/>
                    </w:rPr>
                    <w:t>失值</w:t>
                  </w:r>
                  <w:r>
                    <w:rPr>
                      <w:rFonts w:ascii="宋体" w:hAnsi="宋体" w:eastAsia="宋体" w:cs="宋体"/>
                      <w:spacing w:val="-40"/>
                      <w:sz w:val="20"/>
                      <w:szCs w:val="20"/>
                    </w:rPr>
                    <w:t xml:space="preserve"> </w:t>
                  </w:r>
                  <w:r>
                    <w:rPr>
                      <w:rFonts w:ascii="Times New Roman" w:hAnsi="Times New Roman" w:eastAsia="Times New Roman" w:cs="Times New Roman"/>
                      <w:b/>
                      <w:bCs/>
                      <w:sz w:val="20"/>
                      <w:szCs w:val="20"/>
                    </w:rPr>
                    <w:t>dB</w:t>
                  </w:r>
                  <w:r>
                    <w:rPr>
                      <w:rFonts w:ascii="宋体" w:hAnsi="宋体" w:eastAsia="宋体" w:cs="宋体"/>
                      <w:b/>
                      <w:bCs/>
                      <w:spacing w:val="2"/>
                      <w:sz w:val="20"/>
                      <w:szCs w:val="20"/>
                    </w:rPr>
                    <w:t>（</w:t>
                  </w:r>
                  <w:r>
                    <w:rPr>
                      <w:rFonts w:ascii="Times New Roman" w:hAnsi="Times New Roman" w:eastAsia="Times New Roman" w:cs="Times New Roman"/>
                      <w:b/>
                      <w:bCs/>
                      <w:spacing w:val="2"/>
                      <w:sz w:val="20"/>
                      <w:szCs w:val="20"/>
                    </w:rPr>
                    <w:t>A</w:t>
                  </w:r>
                  <w:r>
                    <w:rPr>
                      <w:rFonts w:ascii="宋体" w:hAnsi="宋体" w:eastAsia="宋体" w:cs="宋体"/>
                      <w:b/>
                      <w:bCs/>
                      <w:spacing w:val="2"/>
                      <w:sz w:val="20"/>
                      <w:szCs w:val="20"/>
                    </w:rPr>
                    <w:t>）</w:t>
                  </w:r>
                </w:p>
              </w:tc>
              <w:tc>
                <w:tcPr>
                  <w:tcW w:w="1048" w:type="dxa"/>
                  <w:vMerge w:val="restart"/>
                  <w:tcBorders>
                    <w:bottom w:val="nil"/>
                  </w:tcBorders>
                  <w:vAlign w:val="top"/>
                </w:tcPr>
                <w:p w14:paraId="3892C39D">
                  <w:pPr>
                    <w:spacing w:before="232" w:line="384" w:lineRule="auto"/>
                    <w:ind w:left="115" w:right="99" w:hanging="4"/>
                    <w:rPr>
                      <w:rFonts w:ascii="宋体" w:hAnsi="宋体" w:eastAsia="宋体" w:cs="宋体"/>
                      <w:sz w:val="20"/>
                      <w:szCs w:val="20"/>
                    </w:rPr>
                  </w:pPr>
                  <w:r>
                    <w:rPr>
                      <w:rFonts w:ascii="宋体" w:hAnsi="宋体" w:eastAsia="宋体" w:cs="宋体"/>
                      <w:b/>
                      <w:bCs/>
                      <w:spacing w:val="5"/>
                      <w:sz w:val="20"/>
                      <w:szCs w:val="20"/>
                    </w:rPr>
                    <w:t>排放强度</w:t>
                  </w:r>
                  <w:r>
                    <w:rPr>
                      <w:rFonts w:ascii="Times New Roman" w:hAnsi="Times New Roman" w:eastAsia="Times New Roman" w:cs="Times New Roman"/>
                      <w:b/>
                      <w:bCs/>
                      <w:sz w:val="20"/>
                      <w:szCs w:val="20"/>
                    </w:rPr>
                    <w:t>dB</w:t>
                  </w:r>
                  <w:r>
                    <w:rPr>
                      <w:rFonts w:ascii="宋体" w:hAnsi="宋体" w:eastAsia="宋体" w:cs="宋体"/>
                      <w:b/>
                      <w:bCs/>
                      <w:spacing w:val="5"/>
                      <w:sz w:val="20"/>
                      <w:szCs w:val="20"/>
                    </w:rPr>
                    <w:t>（</w:t>
                  </w:r>
                  <w:r>
                    <w:rPr>
                      <w:rFonts w:ascii="Times New Roman" w:hAnsi="Times New Roman" w:eastAsia="Times New Roman" w:cs="Times New Roman"/>
                      <w:b/>
                      <w:bCs/>
                      <w:spacing w:val="5"/>
                      <w:sz w:val="20"/>
                      <w:szCs w:val="20"/>
                    </w:rPr>
                    <w:t>A</w:t>
                  </w:r>
                  <w:r>
                    <w:rPr>
                      <w:rFonts w:ascii="宋体" w:hAnsi="宋体" w:eastAsia="宋体" w:cs="宋体"/>
                      <w:b/>
                      <w:bCs/>
                      <w:spacing w:val="5"/>
                      <w:sz w:val="20"/>
                      <w:szCs w:val="20"/>
                    </w:rPr>
                    <w:t>）</w:t>
                  </w:r>
                </w:p>
              </w:tc>
              <w:tc>
                <w:tcPr>
                  <w:tcW w:w="712" w:type="dxa"/>
                  <w:vMerge w:val="restart"/>
                  <w:tcBorders>
                    <w:bottom w:val="nil"/>
                  </w:tcBorders>
                  <w:vAlign w:val="top"/>
                </w:tcPr>
                <w:p w14:paraId="0E498258">
                  <w:pPr>
                    <w:spacing w:before="232" w:line="379" w:lineRule="auto"/>
                    <w:ind w:left="273" w:right="36" w:hanging="224"/>
                    <w:rPr>
                      <w:rFonts w:ascii="宋体" w:hAnsi="宋体" w:eastAsia="宋体" w:cs="宋体"/>
                      <w:sz w:val="20"/>
                      <w:szCs w:val="20"/>
                    </w:rPr>
                  </w:pPr>
                  <w:r>
                    <w:rPr>
                      <w:rFonts w:ascii="宋体" w:hAnsi="宋体" w:eastAsia="宋体" w:cs="宋体"/>
                      <w:b/>
                      <w:bCs/>
                      <w:spacing w:val="4"/>
                      <w:sz w:val="20"/>
                      <w:szCs w:val="20"/>
                    </w:rPr>
                    <w:t>持续时</w:t>
                  </w:r>
                  <w:r>
                    <w:rPr>
                      <w:rFonts w:ascii="宋体" w:hAnsi="宋体" w:eastAsia="宋体" w:cs="宋体"/>
                      <w:b/>
                      <w:bCs/>
                      <w:spacing w:val="-3"/>
                      <w:sz w:val="20"/>
                      <w:szCs w:val="20"/>
                    </w:rPr>
                    <w:t>间</w:t>
                  </w:r>
                </w:p>
              </w:tc>
            </w:tr>
            <w:tr w14:paraId="7AA60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618" w:type="dxa"/>
                  <w:vMerge w:val="continue"/>
                  <w:tcBorders>
                    <w:top w:val="nil"/>
                  </w:tcBorders>
                  <w:vAlign w:val="top"/>
                </w:tcPr>
                <w:p w14:paraId="1A29EDEA">
                  <w:pPr>
                    <w:rPr>
                      <w:rFonts w:ascii="Arial"/>
                      <w:sz w:val="21"/>
                    </w:rPr>
                  </w:pPr>
                </w:p>
              </w:tc>
              <w:tc>
                <w:tcPr>
                  <w:tcW w:w="1967" w:type="dxa"/>
                  <w:vMerge w:val="continue"/>
                  <w:tcBorders>
                    <w:top w:val="nil"/>
                  </w:tcBorders>
                  <w:vAlign w:val="top"/>
                </w:tcPr>
                <w:p w14:paraId="5998F5CF">
                  <w:pPr>
                    <w:rPr>
                      <w:rFonts w:ascii="Arial"/>
                      <w:sz w:val="21"/>
                    </w:rPr>
                  </w:pPr>
                </w:p>
              </w:tc>
              <w:tc>
                <w:tcPr>
                  <w:tcW w:w="491" w:type="dxa"/>
                  <w:vAlign w:val="top"/>
                </w:tcPr>
                <w:p w14:paraId="7711E985">
                  <w:pPr>
                    <w:spacing w:before="275" w:line="192" w:lineRule="auto"/>
                    <w:ind w:left="166"/>
                    <w:rPr>
                      <w:rFonts w:ascii="Times New Roman" w:hAnsi="Times New Roman" w:eastAsia="Times New Roman" w:cs="Times New Roman"/>
                      <w:sz w:val="20"/>
                      <w:szCs w:val="20"/>
                    </w:rPr>
                  </w:pPr>
                  <w:r>
                    <w:rPr>
                      <w:rFonts w:ascii="Times New Roman" w:hAnsi="Times New Roman" w:eastAsia="Times New Roman" w:cs="Times New Roman"/>
                      <w:b/>
                      <w:bCs/>
                      <w:spacing w:val="5"/>
                      <w:sz w:val="20"/>
                      <w:szCs w:val="20"/>
                    </w:rPr>
                    <w:t>X</w:t>
                  </w:r>
                </w:p>
              </w:tc>
              <w:tc>
                <w:tcPr>
                  <w:tcW w:w="568" w:type="dxa"/>
                  <w:vAlign w:val="top"/>
                </w:tcPr>
                <w:p w14:paraId="3676DCD0">
                  <w:pPr>
                    <w:spacing w:before="275" w:line="192" w:lineRule="auto"/>
                    <w:ind w:left="206"/>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Y</w:t>
                  </w:r>
                </w:p>
              </w:tc>
              <w:tc>
                <w:tcPr>
                  <w:tcW w:w="575" w:type="dxa"/>
                  <w:vAlign w:val="top"/>
                </w:tcPr>
                <w:p w14:paraId="2C56ED1F">
                  <w:pPr>
                    <w:spacing w:before="275" w:line="192" w:lineRule="auto"/>
                    <w:ind w:left="22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Z</w:t>
                  </w:r>
                </w:p>
              </w:tc>
              <w:tc>
                <w:tcPr>
                  <w:tcW w:w="966" w:type="dxa"/>
                  <w:vMerge w:val="continue"/>
                  <w:tcBorders>
                    <w:top w:val="nil"/>
                  </w:tcBorders>
                  <w:vAlign w:val="top"/>
                </w:tcPr>
                <w:p w14:paraId="203173CC">
                  <w:pPr>
                    <w:rPr>
                      <w:rFonts w:ascii="Arial"/>
                      <w:sz w:val="21"/>
                    </w:rPr>
                  </w:pPr>
                </w:p>
              </w:tc>
              <w:tc>
                <w:tcPr>
                  <w:tcW w:w="585" w:type="dxa"/>
                  <w:vMerge w:val="continue"/>
                  <w:tcBorders>
                    <w:top w:val="nil"/>
                    <w:bottom w:val="nil"/>
                  </w:tcBorders>
                  <w:vAlign w:val="top"/>
                </w:tcPr>
                <w:p w14:paraId="51382040">
                  <w:pPr>
                    <w:rPr>
                      <w:rFonts w:ascii="Arial"/>
                      <w:sz w:val="21"/>
                    </w:rPr>
                  </w:pPr>
                </w:p>
              </w:tc>
              <w:tc>
                <w:tcPr>
                  <w:tcW w:w="1288" w:type="dxa"/>
                  <w:vMerge w:val="continue"/>
                  <w:tcBorders>
                    <w:top w:val="nil"/>
                  </w:tcBorders>
                  <w:vAlign w:val="top"/>
                </w:tcPr>
                <w:p w14:paraId="7BA40DFA">
                  <w:pPr>
                    <w:rPr>
                      <w:rFonts w:ascii="Arial"/>
                      <w:sz w:val="21"/>
                    </w:rPr>
                  </w:pPr>
                </w:p>
              </w:tc>
              <w:tc>
                <w:tcPr>
                  <w:tcW w:w="1048" w:type="dxa"/>
                  <w:vMerge w:val="continue"/>
                  <w:tcBorders>
                    <w:top w:val="nil"/>
                  </w:tcBorders>
                  <w:vAlign w:val="top"/>
                </w:tcPr>
                <w:p w14:paraId="5D3A0C3F">
                  <w:pPr>
                    <w:rPr>
                      <w:rFonts w:ascii="Arial"/>
                      <w:sz w:val="21"/>
                    </w:rPr>
                  </w:pPr>
                </w:p>
              </w:tc>
              <w:tc>
                <w:tcPr>
                  <w:tcW w:w="712" w:type="dxa"/>
                  <w:vMerge w:val="continue"/>
                  <w:tcBorders>
                    <w:top w:val="nil"/>
                  </w:tcBorders>
                  <w:vAlign w:val="top"/>
                </w:tcPr>
                <w:p w14:paraId="2BE6B8D0">
                  <w:pPr>
                    <w:rPr>
                      <w:rFonts w:ascii="Arial"/>
                      <w:sz w:val="21"/>
                    </w:rPr>
                  </w:pPr>
                </w:p>
              </w:tc>
            </w:tr>
            <w:tr w14:paraId="1B227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618" w:type="dxa"/>
                  <w:vMerge w:val="restart"/>
                  <w:tcBorders>
                    <w:bottom w:val="nil"/>
                  </w:tcBorders>
                  <w:vAlign w:val="top"/>
                </w:tcPr>
                <w:p w14:paraId="198EE528">
                  <w:pPr>
                    <w:spacing w:line="249" w:lineRule="auto"/>
                    <w:rPr>
                      <w:rFonts w:ascii="Arial"/>
                      <w:sz w:val="21"/>
                    </w:rPr>
                  </w:pPr>
                </w:p>
                <w:p w14:paraId="70A64B7B">
                  <w:pPr>
                    <w:spacing w:line="249" w:lineRule="auto"/>
                    <w:rPr>
                      <w:rFonts w:ascii="Arial"/>
                      <w:sz w:val="21"/>
                    </w:rPr>
                  </w:pPr>
                </w:p>
                <w:p w14:paraId="780744C9">
                  <w:pPr>
                    <w:spacing w:line="249" w:lineRule="auto"/>
                    <w:rPr>
                      <w:rFonts w:ascii="Arial"/>
                      <w:sz w:val="21"/>
                    </w:rPr>
                  </w:pPr>
                </w:p>
                <w:p w14:paraId="1A39B5F4">
                  <w:pPr>
                    <w:spacing w:line="250" w:lineRule="auto"/>
                    <w:rPr>
                      <w:rFonts w:ascii="Arial"/>
                      <w:sz w:val="21"/>
                    </w:rPr>
                  </w:pPr>
                </w:p>
                <w:p w14:paraId="02D72E76">
                  <w:pPr>
                    <w:spacing w:before="65" w:line="378" w:lineRule="auto"/>
                    <w:ind w:left="209" w:right="99" w:hanging="111"/>
                    <w:rPr>
                      <w:rFonts w:ascii="宋体" w:hAnsi="宋体" w:eastAsia="宋体" w:cs="宋体"/>
                      <w:sz w:val="20"/>
                      <w:szCs w:val="20"/>
                    </w:rPr>
                  </w:pPr>
                  <w:r>
                    <w:rPr>
                      <w:rFonts w:ascii="Times New Roman" w:hAnsi="Times New Roman" w:eastAsia="Times New Roman" w:cs="Times New Roman"/>
                      <w:spacing w:val="4"/>
                      <w:sz w:val="20"/>
                      <w:szCs w:val="20"/>
                    </w:rPr>
                    <w:t>4#</w:t>
                  </w:r>
                  <w:r>
                    <w:rPr>
                      <w:rFonts w:ascii="宋体" w:hAnsi="宋体" w:eastAsia="宋体" w:cs="宋体"/>
                      <w:spacing w:val="4"/>
                      <w:sz w:val="20"/>
                      <w:szCs w:val="20"/>
                    </w:rPr>
                    <w:t>厂</w:t>
                  </w:r>
                  <w:r>
                    <w:rPr>
                      <w:rFonts w:ascii="宋体" w:hAnsi="宋体" w:eastAsia="宋体" w:cs="宋体"/>
                      <w:sz w:val="20"/>
                      <w:szCs w:val="20"/>
                    </w:rPr>
                    <w:t>房</w:t>
                  </w:r>
                </w:p>
              </w:tc>
              <w:tc>
                <w:tcPr>
                  <w:tcW w:w="1967" w:type="dxa"/>
                  <w:vAlign w:val="top"/>
                </w:tcPr>
                <w:p w14:paraId="4D93A913">
                  <w:pPr>
                    <w:spacing w:before="34" w:line="227" w:lineRule="auto"/>
                    <w:ind w:left="584"/>
                    <w:rPr>
                      <w:rFonts w:ascii="宋体" w:hAnsi="宋体" w:eastAsia="宋体" w:cs="宋体"/>
                      <w:sz w:val="20"/>
                      <w:szCs w:val="20"/>
                    </w:rPr>
                  </w:pPr>
                  <w:r>
                    <w:rPr>
                      <w:rFonts w:ascii="Times New Roman" w:hAnsi="Times New Roman" w:eastAsia="Times New Roman" w:cs="Times New Roman"/>
                      <w:spacing w:val="2"/>
                      <w:sz w:val="20"/>
                      <w:szCs w:val="20"/>
                    </w:rPr>
                    <w:t>1#</w:t>
                  </w:r>
                  <w:r>
                    <w:rPr>
                      <w:rFonts w:ascii="宋体" w:hAnsi="宋体" w:eastAsia="宋体" w:cs="宋体"/>
                      <w:spacing w:val="2"/>
                      <w:sz w:val="20"/>
                      <w:szCs w:val="20"/>
                    </w:rPr>
                    <w:t>注塑机</w:t>
                  </w:r>
                </w:p>
              </w:tc>
              <w:tc>
                <w:tcPr>
                  <w:tcW w:w="491" w:type="dxa"/>
                  <w:vAlign w:val="top"/>
                </w:tcPr>
                <w:p w14:paraId="38017441">
                  <w:pPr>
                    <w:spacing w:before="77" w:line="195" w:lineRule="auto"/>
                    <w:ind w:left="110"/>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7"/>
                      <w:sz w:val="20"/>
                      <w:szCs w:val="20"/>
                    </w:rPr>
                    <w:t>15</w:t>
                  </w:r>
                </w:p>
              </w:tc>
              <w:tc>
                <w:tcPr>
                  <w:tcW w:w="568" w:type="dxa"/>
                  <w:vAlign w:val="top"/>
                </w:tcPr>
                <w:p w14:paraId="282E73C9">
                  <w:pPr>
                    <w:spacing w:before="77" w:line="195" w:lineRule="auto"/>
                    <w:ind w:left="20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p>
              </w:tc>
              <w:tc>
                <w:tcPr>
                  <w:tcW w:w="575" w:type="dxa"/>
                  <w:vAlign w:val="top"/>
                </w:tcPr>
                <w:p w14:paraId="2853387D">
                  <w:pPr>
                    <w:spacing w:before="77" w:line="195" w:lineRule="auto"/>
                    <w:ind w:left="17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966" w:type="dxa"/>
                  <w:vAlign w:val="top"/>
                </w:tcPr>
                <w:p w14:paraId="157BCEF2">
                  <w:pPr>
                    <w:spacing w:before="77" w:line="195" w:lineRule="auto"/>
                    <w:ind w:left="3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w:t>
                  </w:r>
                </w:p>
              </w:tc>
              <w:tc>
                <w:tcPr>
                  <w:tcW w:w="585" w:type="dxa"/>
                  <w:vMerge w:val="continue"/>
                  <w:tcBorders>
                    <w:top w:val="nil"/>
                    <w:bottom w:val="nil"/>
                  </w:tcBorders>
                  <w:vAlign w:val="top"/>
                </w:tcPr>
                <w:p w14:paraId="286CCA6C">
                  <w:pPr>
                    <w:rPr>
                      <w:rFonts w:ascii="Arial"/>
                      <w:sz w:val="21"/>
                    </w:rPr>
                  </w:pPr>
                </w:p>
              </w:tc>
              <w:tc>
                <w:tcPr>
                  <w:tcW w:w="1288" w:type="dxa"/>
                  <w:vAlign w:val="top"/>
                </w:tcPr>
                <w:p w14:paraId="5B1D2A60">
                  <w:pPr>
                    <w:spacing w:before="77" w:line="195" w:lineRule="auto"/>
                    <w:ind w:left="56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1048" w:type="dxa"/>
                  <w:vAlign w:val="top"/>
                </w:tcPr>
                <w:p w14:paraId="59F2EEDC">
                  <w:pPr>
                    <w:spacing w:before="77" w:line="195" w:lineRule="auto"/>
                    <w:ind w:left="426"/>
                    <w:rPr>
                      <w:rFonts w:ascii="Times New Roman" w:hAnsi="Times New Roman" w:eastAsia="Times New Roman" w:cs="Times New Roman"/>
                      <w:sz w:val="20"/>
                      <w:szCs w:val="20"/>
                    </w:rPr>
                  </w:pPr>
                  <w:r>
                    <w:rPr>
                      <w:rFonts w:ascii="Times New Roman" w:hAnsi="Times New Roman" w:eastAsia="Times New Roman" w:cs="Times New Roman"/>
                      <w:sz w:val="20"/>
                      <w:szCs w:val="20"/>
                    </w:rPr>
                    <w:t>65</w:t>
                  </w:r>
                </w:p>
              </w:tc>
              <w:tc>
                <w:tcPr>
                  <w:tcW w:w="712" w:type="dxa"/>
                  <w:vMerge w:val="restart"/>
                  <w:tcBorders>
                    <w:bottom w:val="nil"/>
                  </w:tcBorders>
                  <w:vAlign w:val="top"/>
                </w:tcPr>
                <w:p w14:paraId="22536310">
                  <w:pPr>
                    <w:rPr>
                      <w:rFonts w:ascii="Arial"/>
                      <w:sz w:val="21"/>
                    </w:rPr>
                  </w:pPr>
                </w:p>
                <w:p w14:paraId="22F345A9">
                  <w:pPr>
                    <w:rPr>
                      <w:rFonts w:ascii="Arial"/>
                      <w:sz w:val="21"/>
                    </w:rPr>
                  </w:pPr>
                </w:p>
                <w:p w14:paraId="2DFCA824">
                  <w:pPr>
                    <w:rPr>
                      <w:rFonts w:ascii="Arial"/>
                      <w:sz w:val="21"/>
                    </w:rPr>
                  </w:pPr>
                </w:p>
                <w:p w14:paraId="36BB86D9">
                  <w:pPr>
                    <w:rPr>
                      <w:rFonts w:ascii="Arial"/>
                      <w:sz w:val="21"/>
                    </w:rPr>
                  </w:pPr>
                </w:p>
                <w:p w14:paraId="0CBD159F">
                  <w:pPr>
                    <w:rPr>
                      <w:rFonts w:ascii="Arial"/>
                      <w:sz w:val="21"/>
                    </w:rPr>
                  </w:pPr>
                </w:p>
                <w:p w14:paraId="4E516F38">
                  <w:pPr>
                    <w:spacing w:before="65" w:line="230" w:lineRule="auto"/>
                    <w:ind w:left="151"/>
                    <w:rPr>
                      <w:rFonts w:ascii="宋体" w:hAnsi="宋体" w:eastAsia="宋体" w:cs="宋体"/>
                      <w:sz w:val="20"/>
                      <w:szCs w:val="20"/>
                    </w:rPr>
                  </w:pPr>
                  <w:r>
                    <w:rPr>
                      <w:rFonts w:ascii="宋体" w:hAnsi="宋体" w:eastAsia="宋体" w:cs="宋体"/>
                      <w:spacing w:val="5"/>
                      <w:sz w:val="20"/>
                      <w:szCs w:val="20"/>
                    </w:rPr>
                    <w:t>昼间</w:t>
                  </w:r>
                </w:p>
              </w:tc>
            </w:tr>
            <w:tr w14:paraId="221CF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618" w:type="dxa"/>
                  <w:vMerge w:val="continue"/>
                  <w:tcBorders>
                    <w:top w:val="nil"/>
                    <w:bottom w:val="nil"/>
                  </w:tcBorders>
                  <w:vAlign w:val="top"/>
                </w:tcPr>
                <w:p w14:paraId="77A76A59">
                  <w:pPr>
                    <w:rPr>
                      <w:rFonts w:ascii="Arial"/>
                      <w:sz w:val="21"/>
                    </w:rPr>
                  </w:pPr>
                </w:p>
              </w:tc>
              <w:tc>
                <w:tcPr>
                  <w:tcW w:w="1967" w:type="dxa"/>
                  <w:vAlign w:val="top"/>
                </w:tcPr>
                <w:p w14:paraId="6A40633B">
                  <w:pPr>
                    <w:spacing w:before="29" w:line="227" w:lineRule="auto"/>
                    <w:ind w:left="564"/>
                    <w:rPr>
                      <w:rFonts w:ascii="宋体" w:hAnsi="宋体" w:eastAsia="宋体" w:cs="宋体"/>
                      <w:sz w:val="20"/>
                      <w:szCs w:val="20"/>
                    </w:rPr>
                  </w:pPr>
                  <w:r>
                    <w:rPr>
                      <w:rFonts w:ascii="Times New Roman" w:hAnsi="Times New Roman" w:eastAsia="Times New Roman" w:cs="Times New Roman"/>
                      <w:spacing w:val="6"/>
                      <w:sz w:val="20"/>
                      <w:szCs w:val="20"/>
                    </w:rPr>
                    <w:t>2#</w:t>
                  </w:r>
                  <w:r>
                    <w:rPr>
                      <w:rFonts w:ascii="宋体" w:hAnsi="宋体" w:eastAsia="宋体" w:cs="宋体"/>
                      <w:spacing w:val="6"/>
                      <w:sz w:val="20"/>
                      <w:szCs w:val="20"/>
                    </w:rPr>
                    <w:t>注塑机</w:t>
                  </w:r>
                </w:p>
              </w:tc>
              <w:tc>
                <w:tcPr>
                  <w:tcW w:w="491" w:type="dxa"/>
                  <w:vAlign w:val="top"/>
                </w:tcPr>
                <w:p w14:paraId="421B67A9">
                  <w:pPr>
                    <w:spacing w:before="72" w:line="195" w:lineRule="auto"/>
                    <w:ind w:left="110"/>
                    <w:rPr>
                      <w:rFonts w:ascii="Times New Roman" w:hAnsi="Times New Roman" w:eastAsia="Times New Roman" w:cs="Times New Roman"/>
                      <w:sz w:val="20"/>
                      <w:szCs w:val="20"/>
                    </w:rPr>
                  </w:pPr>
                  <w:r>
                    <w:rPr>
                      <w:rFonts w:ascii="Times New Roman" w:hAnsi="Times New Roman" w:eastAsia="Times New Roman" w:cs="Times New Roman"/>
                      <w:sz w:val="20"/>
                      <w:szCs w:val="20"/>
                    </w:rPr>
                    <w:t>-27</w:t>
                  </w:r>
                </w:p>
              </w:tc>
              <w:tc>
                <w:tcPr>
                  <w:tcW w:w="568" w:type="dxa"/>
                  <w:vAlign w:val="top"/>
                </w:tcPr>
                <w:p w14:paraId="478D016A">
                  <w:pPr>
                    <w:spacing w:before="72" w:line="195" w:lineRule="auto"/>
                    <w:ind w:left="236"/>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575" w:type="dxa"/>
                  <w:vAlign w:val="top"/>
                </w:tcPr>
                <w:p w14:paraId="5BC6DF05">
                  <w:pPr>
                    <w:spacing w:before="72" w:line="195" w:lineRule="auto"/>
                    <w:ind w:left="17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966" w:type="dxa"/>
                  <w:vAlign w:val="top"/>
                </w:tcPr>
                <w:p w14:paraId="73EB6582">
                  <w:pPr>
                    <w:spacing w:before="72" w:line="195" w:lineRule="auto"/>
                    <w:ind w:left="3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w:t>
                  </w:r>
                </w:p>
              </w:tc>
              <w:tc>
                <w:tcPr>
                  <w:tcW w:w="585" w:type="dxa"/>
                  <w:vMerge w:val="continue"/>
                  <w:tcBorders>
                    <w:top w:val="nil"/>
                    <w:bottom w:val="nil"/>
                  </w:tcBorders>
                  <w:vAlign w:val="top"/>
                </w:tcPr>
                <w:p w14:paraId="023E85E3">
                  <w:pPr>
                    <w:rPr>
                      <w:rFonts w:ascii="Arial"/>
                      <w:sz w:val="21"/>
                    </w:rPr>
                  </w:pPr>
                </w:p>
              </w:tc>
              <w:tc>
                <w:tcPr>
                  <w:tcW w:w="1288" w:type="dxa"/>
                  <w:vAlign w:val="top"/>
                </w:tcPr>
                <w:p w14:paraId="68B52862">
                  <w:pPr>
                    <w:spacing w:before="72" w:line="195" w:lineRule="auto"/>
                    <w:ind w:left="56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1048" w:type="dxa"/>
                  <w:vAlign w:val="top"/>
                </w:tcPr>
                <w:p w14:paraId="5F48E5A2">
                  <w:pPr>
                    <w:spacing w:before="72" w:line="195" w:lineRule="auto"/>
                    <w:ind w:left="426"/>
                    <w:rPr>
                      <w:rFonts w:ascii="Times New Roman" w:hAnsi="Times New Roman" w:eastAsia="Times New Roman" w:cs="Times New Roman"/>
                      <w:sz w:val="20"/>
                      <w:szCs w:val="20"/>
                    </w:rPr>
                  </w:pPr>
                  <w:r>
                    <w:rPr>
                      <w:rFonts w:ascii="Times New Roman" w:hAnsi="Times New Roman" w:eastAsia="Times New Roman" w:cs="Times New Roman"/>
                      <w:sz w:val="20"/>
                      <w:szCs w:val="20"/>
                    </w:rPr>
                    <w:t>65</w:t>
                  </w:r>
                </w:p>
              </w:tc>
              <w:tc>
                <w:tcPr>
                  <w:tcW w:w="712" w:type="dxa"/>
                  <w:vMerge w:val="continue"/>
                  <w:tcBorders>
                    <w:top w:val="nil"/>
                    <w:bottom w:val="nil"/>
                  </w:tcBorders>
                  <w:vAlign w:val="top"/>
                </w:tcPr>
                <w:p w14:paraId="332E055A">
                  <w:pPr>
                    <w:rPr>
                      <w:rFonts w:ascii="Arial"/>
                      <w:sz w:val="21"/>
                    </w:rPr>
                  </w:pPr>
                </w:p>
              </w:tc>
            </w:tr>
            <w:tr w14:paraId="5C471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618" w:type="dxa"/>
                  <w:vMerge w:val="continue"/>
                  <w:tcBorders>
                    <w:top w:val="nil"/>
                    <w:bottom w:val="nil"/>
                  </w:tcBorders>
                  <w:vAlign w:val="top"/>
                </w:tcPr>
                <w:p w14:paraId="49E0ABA1">
                  <w:pPr>
                    <w:rPr>
                      <w:rFonts w:ascii="Arial"/>
                      <w:sz w:val="21"/>
                    </w:rPr>
                  </w:pPr>
                </w:p>
              </w:tc>
              <w:tc>
                <w:tcPr>
                  <w:tcW w:w="1967" w:type="dxa"/>
                  <w:vAlign w:val="top"/>
                </w:tcPr>
                <w:p w14:paraId="24097C33">
                  <w:pPr>
                    <w:spacing w:before="29" w:line="227" w:lineRule="auto"/>
                    <w:ind w:left="568"/>
                    <w:rPr>
                      <w:rFonts w:ascii="宋体" w:hAnsi="宋体" w:eastAsia="宋体" w:cs="宋体"/>
                      <w:sz w:val="20"/>
                      <w:szCs w:val="20"/>
                    </w:rPr>
                  </w:pPr>
                  <w:r>
                    <w:rPr>
                      <w:rFonts w:ascii="Times New Roman" w:hAnsi="Times New Roman" w:eastAsia="Times New Roman" w:cs="Times New Roman"/>
                      <w:spacing w:val="5"/>
                      <w:sz w:val="20"/>
                      <w:szCs w:val="20"/>
                    </w:rPr>
                    <w:t>3#</w:t>
                  </w:r>
                  <w:r>
                    <w:rPr>
                      <w:rFonts w:ascii="宋体" w:hAnsi="宋体" w:eastAsia="宋体" w:cs="宋体"/>
                      <w:spacing w:val="5"/>
                      <w:sz w:val="20"/>
                      <w:szCs w:val="20"/>
                    </w:rPr>
                    <w:t>注塑机</w:t>
                  </w:r>
                </w:p>
              </w:tc>
              <w:tc>
                <w:tcPr>
                  <w:tcW w:w="491" w:type="dxa"/>
                  <w:vAlign w:val="top"/>
                </w:tcPr>
                <w:p w14:paraId="715342B3">
                  <w:pPr>
                    <w:spacing w:before="72" w:line="195" w:lineRule="auto"/>
                    <w:ind w:left="110"/>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7"/>
                      <w:sz w:val="20"/>
                      <w:szCs w:val="20"/>
                    </w:rPr>
                    <w:t>16</w:t>
                  </w:r>
                </w:p>
              </w:tc>
              <w:tc>
                <w:tcPr>
                  <w:tcW w:w="568" w:type="dxa"/>
                  <w:vAlign w:val="top"/>
                </w:tcPr>
                <w:p w14:paraId="261CD006">
                  <w:pPr>
                    <w:spacing w:before="72" w:line="195" w:lineRule="auto"/>
                    <w:ind w:left="1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-25</w:t>
                  </w:r>
                </w:p>
              </w:tc>
              <w:tc>
                <w:tcPr>
                  <w:tcW w:w="575" w:type="dxa"/>
                  <w:vAlign w:val="top"/>
                </w:tcPr>
                <w:p w14:paraId="7D5EB3B0">
                  <w:pPr>
                    <w:spacing w:before="72" w:line="195" w:lineRule="auto"/>
                    <w:ind w:left="17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966" w:type="dxa"/>
                  <w:vAlign w:val="top"/>
                </w:tcPr>
                <w:p w14:paraId="5296A8BF">
                  <w:pPr>
                    <w:spacing w:before="72" w:line="195" w:lineRule="auto"/>
                    <w:ind w:left="3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w:t>
                  </w:r>
                </w:p>
              </w:tc>
              <w:tc>
                <w:tcPr>
                  <w:tcW w:w="585" w:type="dxa"/>
                  <w:vMerge w:val="continue"/>
                  <w:tcBorders>
                    <w:top w:val="nil"/>
                    <w:bottom w:val="nil"/>
                  </w:tcBorders>
                  <w:vAlign w:val="top"/>
                </w:tcPr>
                <w:p w14:paraId="7D270FA7">
                  <w:pPr>
                    <w:rPr>
                      <w:rFonts w:ascii="Arial"/>
                      <w:sz w:val="21"/>
                    </w:rPr>
                  </w:pPr>
                </w:p>
              </w:tc>
              <w:tc>
                <w:tcPr>
                  <w:tcW w:w="1288" w:type="dxa"/>
                  <w:vAlign w:val="top"/>
                </w:tcPr>
                <w:p w14:paraId="45803F0A">
                  <w:pPr>
                    <w:spacing w:before="72" w:line="195" w:lineRule="auto"/>
                    <w:ind w:left="56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1048" w:type="dxa"/>
                  <w:vAlign w:val="top"/>
                </w:tcPr>
                <w:p w14:paraId="55BF5131">
                  <w:pPr>
                    <w:spacing w:before="72" w:line="195" w:lineRule="auto"/>
                    <w:ind w:left="426"/>
                    <w:rPr>
                      <w:rFonts w:ascii="Times New Roman" w:hAnsi="Times New Roman" w:eastAsia="Times New Roman" w:cs="Times New Roman"/>
                      <w:sz w:val="20"/>
                      <w:szCs w:val="20"/>
                    </w:rPr>
                  </w:pPr>
                  <w:r>
                    <w:rPr>
                      <w:rFonts w:ascii="Times New Roman" w:hAnsi="Times New Roman" w:eastAsia="Times New Roman" w:cs="Times New Roman"/>
                      <w:sz w:val="20"/>
                      <w:szCs w:val="20"/>
                    </w:rPr>
                    <w:t>65</w:t>
                  </w:r>
                </w:p>
              </w:tc>
              <w:tc>
                <w:tcPr>
                  <w:tcW w:w="712" w:type="dxa"/>
                  <w:vMerge w:val="continue"/>
                  <w:tcBorders>
                    <w:top w:val="nil"/>
                    <w:bottom w:val="nil"/>
                  </w:tcBorders>
                  <w:vAlign w:val="top"/>
                </w:tcPr>
                <w:p w14:paraId="10A4D1B9">
                  <w:pPr>
                    <w:rPr>
                      <w:rFonts w:ascii="Arial"/>
                      <w:sz w:val="21"/>
                    </w:rPr>
                  </w:pPr>
                </w:p>
              </w:tc>
            </w:tr>
            <w:tr w14:paraId="29639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618" w:type="dxa"/>
                  <w:vMerge w:val="continue"/>
                  <w:tcBorders>
                    <w:top w:val="nil"/>
                    <w:bottom w:val="nil"/>
                  </w:tcBorders>
                  <w:vAlign w:val="top"/>
                </w:tcPr>
                <w:p w14:paraId="6ACC23CC">
                  <w:pPr>
                    <w:rPr>
                      <w:rFonts w:ascii="Arial"/>
                      <w:sz w:val="21"/>
                    </w:rPr>
                  </w:pPr>
                </w:p>
              </w:tc>
              <w:tc>
                <w:tcPr>
                  <w:tcW w:w="1967" w:type="dxa"/>
                  <w:vAlign w:val="top"/>
                </w:tcPr>
                <w:p w14:paraId="7E503447">
                  <w:pPr>
                    <w:spacing w:before="29" w:line="227" w:lineRule="auto"/>
                    <w:ind w:left="563"/>
                    <w:rPr>
                      <w:rFonts w:ascii="宋体" w:hAnsi="宋体" w:eastAsia="宋体" w:cs="宋体"/>
                      <w:sz w:val="20"/>
                      <w:szCs w:val="20"/>
                    </w:rPr>
                  </w:pPr>
                  <w:r>
                    <w:rPr>
                      <w:rFonts w:ascii="Times New Roman" w:hAnsi="Times New Roman" w:eastAsia="Times New Roman" w:cs="Times New Roman"/>
                      <w:spacing w:val="6"/>
                      <w:sz w:val="20"/>
                      <w:szCs w:val="20"/>
                    </w:rPr>
                    <w:t>4#</w:t>
                  </w:r>
                  <w:r>
                    <w:rPr>
                      <w:rFonts w:ascii="宋体" w:hAnsi="宋体" w:eastAsia="宋体" w:cs="宋体"/>
                      <w:spacing w:val="6"/>
                      <w:sz w:val="20"/>
                      <w:szCs w:val="20"/>
                    </w:rPr>
                    <w:t>注塑机</w:t>
                  </w:r>
                </w:p>
              </w:tc>
              <w:tc>
                <w:tcPr>
                  <w:tcW w:w="491" w:type="dxa"/>
                  <w:vAlign w:val="top"/>
                </w:tcPr>
                <w:p w14:paraId="3A02D675">
                  <w:pPr>
                    <w:spacing w:before="72" w:line="195" w:lineRule="auto"/>
                    <w:ind w:left="110"/>
                    <w:rPr>
                      <w:rFonts w:ascii="Times New Roman" w:hAnsi="Times New Roman" w:eastAsia="Times New Roman" w:cs="Times New Roman"/>
                      <w:sz w:val="20"/>
                      <w:szCs w:val="20"/>
                    </w:rPr>
                  </w:pPr>
                  <w:r>
                    <w:rPr>
                      <w:rFonts w:ascii="Times New Roman" w:hAnsi="Times New Roman" w:eastAsia="Times New Roman" w:cs="Times New Roman"/>
                      <w:sz w:val="20"/>
                      <w:szCs w:val="20"/>
                    </w:rPr>
                    <w:t>-26</w:t>
                  </w:r>
                </w:p>
              </w:tc>
              <w:tc>
                <w:tcPr>
                  <w:tcW w:w="568" w:type="dxa"/>
                  <w:vAlign w:val="top"/>
                </w:tcPr>
                <w:p w14:paraId="4F859451">
                  <w:pPr>
                    <w:spacing w:before="72" w:line="195" w:lineRule="auto"/>
                    <w:ind w:left="1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-24</w:t>
                  </w:r>
                </w:p>
              </w:tc>
              <w:tc>
                <w:tcPr>
                  <w:tcW w:w="575" w:type="dxa"/>
                  <w:vAlign w:val="top"/>
                </w:tcPr>
                <w:p w14:paraId="67A81B8E">
                  <w:pPr>
                    <w:spacing w:before="72" w:line="195" w:lineRule="auto"/>
                    <w:ind w:left="17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966" w:type="dxa"/>
                  <w:vAlign w:val="top"/>
                </w:tcPr>
                <w:p w14:paraId="22DFD1A3">
                  <w:pPr>
                    <w:spacing w:before="72" w:line="195" w:lineRule="auto"/>
                    <w:ind w:left="3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w:t>
                  </w:r>
                </w:p>
              </w:tc>
              <w:tc>
                <w:tcPr>
                  <w:tcW w:w="585" w:type="dxa"/>
                  <w:vMerge w:val="continue"/>
                  <w:tcBorders>
                    <w:top w:val="nil"/>
                    <w:bottom w:val="nil"/>
                  </w:tcBorders>
                  <w:vAlign w:val="top"/>
                </w:tcPr>
                <w:p w14:paraId="326B19D4">
                  <w:pPr>
                    <w:rPr>
                      <w:rFonts w:ascii="Arial"/>
                      <w:sz w:val="21"/>
                    </w:rPr>
                  </w:pPr>
                </w:p>
              </w:tc>
              <w:tc>
                <w:tcPr>
                  <w:tcW w:w="1288" w:type="dxa"/>
                  <w:vAlign w:val="top"/>
                </w:tcPr>
                <w:p w14:paraId="0925ECC5">
                  <w:pPr>
                    <w:spacing w:before="72" w:line="195" w:lineRule="auto"/>
                    <w:ind w:left="56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1048" w:type="dxa"/>
                  <w:vAlign w:val="top"/>
                </w:tcPr>
                <w:p w14:paraId="23F4AE28">
                  <w:pPr>
                    <w:spacing w:before="72" w:line="195" w:lineRule="auto"/>
                    <w:ind w:left="426"/>
                    <w:rPr>
                      <w:rFonts w:ascii="Times New Roman" w:hAnsi="Times New Roman" w:eastAsia="Times New Roman" w:cs="Times New Roman"/>
                      <w:sz w:val="20"/>
                      <w:szCs w:val="20"/>
                    </w:rPr>
                  </w:pPr>
                  <w:r>
                    <w:rPr>
                      <w:rFonts w:ascii="Times New Roman" w:hAnsi="Times New Roman" w:eastAsia="Times New Roman" w:cs="Times New Roman"/>
                      <w:sz w:val="20"/>
                      <w:szCs w:val="20"/>
                    </w:rPr>
                    <w:t>65</w:t>
                  </w:r>
                </w:p>
              </w:tc>
              <w:tc>
                <w:tcPr>
                  <w:tcW w:w="712" w:type="dxa"/>
                  <w:vMerge w:val="continue"/>
                  <w:tcBorders>
                    <w:top w:val="nil"/>
                    <w:bottom w:val="nil"/>
                  </w:tcBorders>
                  <w:vAlign w:val="top"/>
                </w:tcPr>
                <w:p w14:paraId="52085ABE">
                  <w:pPr>
                    <w:rPr>
                      <w:rFonts w:ascii="Arial"/>
                      <w:sz w:val="21"/>
                    </w:rPr>
                  </w:pPr>
                </w:p>
              </w:tc>
            </w:tr>
            <w:tr w14:paraId="54694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618" w:type="dxa"/>
                  <w:vMerge w:val="continue"/>
                  <w:tcBorders>
                    <w:top w:val="nil"/>
                    <w:bottom w:val="nil"/>
                  </w:tcBorders>
                  <w:vAlign w:val="top"/>
                </w:tcPr>
                <w:p w14:paraId="392EEE8B">
                  <w:pPr>
                    <w:rPr>
                      <w:rFonts w:ascii="Arial"/>
                      <w:sz w:val="21"/>
                    </w:rPr>
                  </w:pPr>
                </w:p>
              </w:tc>
              <w:tc>
                <w:tcPr>
                  <w:tcW w:w="1967" w:type="dxa"/>
                  <w:vAlign w:val="top"/>
                </w:tcPr>
                <w:p w14:paraId="3EBFB4D9">
                  <w:pPr>
                    <w:spacing w:before="32" w:line="227" w:lineRule="auto"/>
                    <w:ind w:left="569"/>
                    <w:rPr>
                      <w:rFonts w:ascii="宋体" w:hAnsi="宋体" w:eastAsia="宋体" w:cs="宋体"/>
                      <w:sz w:val="20"/>
                      <w:szCs w:val="20"/>
                    </w:rPr>
                  </w:pPr>
                  <w:r>
                    <w:rPr>
                      <w:rFonts w:ascii="宋体" w:hAnsi="宋体" w:eastAsia="宋体" w:cs="宋体"/>
                      <w:spacing w:val="6"/>
                      <w:sz w:val="20"/>
                      <w:szCs w:val="20"/>
                    </w:rPr>
                    <w:t>冷却水塔</w:t>
                  </w:r>
                </w:p>
              </w:tc>
              <w:tc>
                <w:tcPr>
                  <w:tcW w:w="491" w:type="dxa"/>
                  <w:vAlign w:val="top"/>
                </w:tcPr>
                <w:p w14:paraId="0F5BB076">
                  <w:pPr>
                    <w:spacing w:before="75" w:line="195" w:lineRule="auto"/>
                    <w:ind w:left="110"/>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7"/>
                      <w:sz w:val="20"/>
                      <w:szCs w:val="20"/>
                    </w:rPr>
                    <w:t>18</w:t>
                  </w:r>
                </w:p>
              </w:tc>
              <w:tc>
                <w:tcPr>
                  <w:tcW w:w="568" w:type="dxa"/>
                  <w:vAlign w:val="top"/>
                </w:tcPr>
                <w:p w14:paraId="64EE221E">
                  <w:pPr>
                    <w:spacing w:before="75" w:line="195" w:lineRule="auto"/>
                    <w:ind w:left="1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-51</w:t>
                  </w:r>
                </w:p>
              </w:tc>
              <w:tc>
                <w:tcPr>
                  <w:tcW w:w="575" w:type="dxa"/>
                  <w:vAlign w:val="top"/>
                </w:tcPr>
                <w:p w14:paraId="0597326E">
                  <w:pPr>
                    <w:spacing w:before="75"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966" w:type="dxa"/>
                  <w:vAlign w:val="top"/>
                </w:tcPr>
                <w:p w14:paraId="38005F64">
                  <w:pPr>
                    <w:spacing w:before="75" w:line="195" w:lineRule="auto"/>
                    <w:ind w:left="38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585" w:type="dxa"/>
                  <w:vMerge w:val="continue"/>
                  <w:tcBorders>
                    <w:top w:val="nil"/>
                    <w:bottom w:val="nil"/>
                  </w:tcBorders>
                  <w:vAlign w:val="top"/>
                </w:tcPr>
                <w:p w14:paraId="2AAB5F0A">
                  <w:pPr>
                    <w:rPr>
                      <w:rFonts w:ascii="Arial"/>
                      <w:sz w:val="21"/>
                    </w:rPr>
                  </w:pPr>
                </w:p>
              </w:tc>
              <w:tc>
                <w:tcPr>
                  <w:tcW w:w="1288" w:type="dxa"/>
                  <w:vAlign w:val="top"/>
                </w:tcPr>
                <w:p w14:paraId="2AA57F52">
                  <w:pPr>
                    <w:spacing w:before="75" w:line="195" w:lineRule="auto"/>
                    <w:ind w:left="56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1048" w:type="dxa"/>
                  <w:vAlign w:val="top"/>
                </w:tcPr>
                <w:p w14:paraId="63D49277">
                  <w:pPr>
                    <w:spacing w:before="78" w:line="192" w:lineRule="auto"/>
                    <w:ind w:left="427"/>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712" w:type="dxa"/>
                  <w:vMerge w:val="continue"/>
                  <w:tcBorders>
                    <w:top w:val="nil"/>
                    <w:bottom w:val="nil"/>
                  </w:tcBorders>
                  <w:vAlign w:val="top"/>
                </w:tcPr>
                <w:p w14:paraId="519573C6">
                  <w:pPr>
                    <w:rPr>
                      <w:rFonts w:ascii="Arial"/>
                      <w:sz w:val="21"/>
                    </w:rPr>
                  </w:pPr>
                </w:p>
              </w:tc>
            </w:tr>
            <w:tr w14:paraId="2EA14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618" w:type="dxa"/>
                  <w:vMerge w:val="continue"/>
                  <w:tcBorders>
                    <w:top w:val="nil"/>
                    <w:bottom w:val="nil"/>
                  </w:tcBorders>
                  <w:vAlign w:val="top"/>
                </w:tcPr>
                <w:p w14:paraId="4B3B966C">
                  <w:pPr>
                    <w:rPr>
                      <w:rFonts w:ascii="Arial"/>
                      <w:sz w:val="21"/>
                    </w:rPr>
                  </w:pPr>
                </w:p>
              </w:tc>
              <w:tc>
                <w:tcPr>
                  <w:tcW w:w="1967" w:type="dxa"/>
                  <w:vAlign w:val="top"/>
                </w:tcPr>
                <w:p w14:paraId="07B176C0">
                  <w:pPr>
                    <w:spacing w:before="32" w:line="228" w:lineRule="auto"/>
                    <w:ind w:left="569"/>
                    <w:rPr>
                      <w:rFonts w:ascii="宋体" w:hAnsi="宋体" w:eastAsia="宋体" w:cs="宋体"/>
                      <w:sz w:val="20"/>
                      <w:szCs w:val="20"/>
                    </w:rPr>
                  </w:pPr>
                  <w:r>
                    <w:rPr>
                      <w:rFonts w:ascii="宋体" w:hAnsi="宋体" w:eastAsia="宋体" w:cs="宋体"/>
                      <w:spacing w:val="6"/>
                      <w:sz w:val="20"/>
                      <w:szCs w:val="20"/>
                    </w:rPr>
                    <w:t>人工上料</w:t>
                  </w:r>
                </w:p>
              </w:tc>
              <w:tc>
                <w:tcPr>
                  <w:tcW w:w="491" w:type="dxa"/>
                  <w:vAlign w:val="top"/>
                </w:tcPr>
                <w:p w14:paraId="2EE44CAD">
                  <w:pPr>
                    <w:spacing w:before="74" w:line="195" w:lineRule="auto"/>
                    <w:ind w:left="110"/>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7"/>
                      <w:sz w:val="20"/>
                      <w:szCs w:val="20"/>
                    </w:rPr>
                    <w:t>17</w:t>
                  </w:r>
                </w:p>
              </w:tc>
              <w:tc>
                <w:tcPr>
                  <w:tcW w:w="568" w:type="dxa"/>
                  <w:vAlign w:val="top"/>
                </w:tcPr>
                <w:p w14:paraId="2EE530E5">
                  <w:pPr>
                    <w:spacing w:before="74" w:line="195" w:lineRule="auto"/>
                    <w:ind w:left="1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-22</w:t>
                  </w:r>
                </w:p>
              </w:tc>
              <w:tc>
                <w:tcPr>
                  <w:tcW w:w="575" w:type="dxa"/>
                  <w:vAlign w:val="top"/>
                </w:tcPr>
                <w:p w14:paraId="2B52D63A">
                  <w:pPr>
                    <w:spacing w:before="74" w:line="195" w:lineRule="auto"/>
                    <w:ind w:left="17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966" w:type="dxa"/>
                  <w:vAlign w:val="top"/>
                </w:tcPr>
                <w:p w14:paraId="72554CEC">
                  <w:pPr>
                    <w:spacing w:before="74" w:line="195" w:lineRule="auto"/>
                    <w:ind w:left="382"/>
                    <w:rPr>
                      <w:rFonts w:ascii="Times New Roman" w:hAnsi="Times New Roman" w:eastAsia="Times New Roman" w:cs="Times New Roman"/>
                      <w:sz w:val="20"/>
                      <w:szCs w:val="20"/>
                    </w:rPr>
                  </w:pPr>
                  <w:r>
                    <w:rPr>
                      <w:rFonts w:ascii="Times New Roman" w:hAnsi="Times New Roman" w:eastAsia="Times New Roman" w:cs="Times New Roman"/>
                      <w:sz w:val="20"/>
                      <w:szCs w:val="20"/>
                    </w:rPr>
                    <w:t>65</w:t>
                  </w:r>
                </w:p>
              </w:tc>
              <w:tc>
                <w:tcPr>
                  <w:tcW w:w="585" w:type="dxa"/>
                  <w:vMerge w:val="continue"/>
                  <w:tcBorders>
                    <w:top w:val="nil"/>
                    <w:bottom w:val="nil"/>
                  </w:tcBorders>
                  <w:vAlign w:val="top"/>
                </w:tcPr>
                <w:p w14:paraId="500FD835">
                  <w:pPr>
                    <w:rPr>
                      <w:rFonts w:ascii="Arial"/>
                      <w:sz w:val="21"/>
                    </w:rPr>
                  </w:pPr>
                </w:p>
              </w:tc>
              <w:tc>
                <w:tcPr>
                  <w:tcW w:w="1288" w:type="dxa"/>
                  <w:vAlign w:val="top"/>
                </w:tcPr>
                <w:p w14:paraId="678B7686">
                  <w:pPr>
                    <w:spacing w:before="74" w:line="195" w:lineRule="auto"/>
                    <w:ind w:left="56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1048" w:type="dxa"/>
                  <w:vAlign w:val="top"/>
                </w:tcPr>
                <w:p w14:paraId="43168B93">
                  <w:pPr>
                    <w:spacing w:before="74" w:line="195" w:lineRule="auto"/>
                    <w:ind w:left="427"/>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712" w:type="dxa"/>
                  <w:vMerge w:val="continue"/>
                  <w:tcBorders>
                    <w:top w:val="nil"/>
                    <w:bottom w:val="nil"/>
                  </w:tcBorders>
                  <w:vAlign w:val="top"/>
                </w:tcPr>
                <w:p w14:paraId="5F5C0A87">
                  <w:pPr>
                    <w:rPr>
                      <w:rFonts w:ascii="Arial"/>
                      <w:sz w:val="21"/>
                    </w:rPr>
                  </w:pPr>
                </w:p>
              </w:tc>
            </w:tr>
            <w:tr w14:paraId="3E002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618" w:type="dxa"/>
                  <w:vMerge w:val="continue"/>
                  <w:tcBorders>
                    <w:top w:val="nil"/>
                  </w:tcBorders>
                  <w:vAlign w:val="top"/>
                </w:tcPr>
                <w:p w14:paraId="44FCF438">
                  <w:pPr>
                    <w:rPr>
                      <w:rFonts w:ascii="Arial"/>
                      <w:sz w:val="21"/>
                    </w:rPr>
                  </w:pPr>
                </w:p>
              </w:tc>
              <w:tc>
                <w:tcPr>
                  <w:tcW w:w="1967" w:type="dxa"/>
                  <w:vAlign w:val="top"/>
                </w:tcPr>
                <w:p w14:paraId="61A431A7">
                  <w:pPr>
                    <w:spacing w:before="35" w:line="227" w:lineRule="auto"/>
                    <w:ind w:left="569"/>
                    <w:rPr>
                      <w:rFonts w:ascii="宋体" w:hAnsi="宋体" w:eastAsia="宋体" w:cs="宋体"/>
                      <w:sz w:val="20"/>
                      <w:szCs w:val="20"/>
                    </w:rPr>
                  </w:pPr>
                  <w:r>
                    <w:rPr>
                      <w:rFonts w:ascii="宋体" w:hAnsi="宋体" w:eastAsia="宋体" w:cs="宋体"/>
                      <w:spacing w:val="6"/>
                      <w:sz w:val="20"/>
                      <w:szCs w:val="20"/>
                    </w:rPr>
                    <w:t>人工修边</w:t>
                  </w:r>
                </w:p>
              </w:tc>
              <w:tc>
                <w:tcPr>
                  <w:tcW w:w="491" w:type="dxa"/>
                  <w:vAlign w:val="top"/>
                </w:tcPr>
                <w:p w14:paraId="7E4C94D7">
                  <w:pPr>
                    <w:spacing w:before="75" w:line="195" w:lineRule="auto"/>
                    <w:ind w:left="110"/>
                    <w:rPr>
                      <w:rFonts w:ascii="Times New Roman" w:hAnsi="Times New Roman" w:eastAsia="Times New Roman" w:cs="Times New Roman"/>
                      <w:sz w:val="20"/>
                      <w:szCs w:val="20"/>
                    </w:rPr>
                  </w:pPr>
                  <w:r>
                    <w:rPr>
                      <w:rFonts w:ascii="Times New Roman" w:hAnsi="Times New Roman" w:eastAsia="Times New Roman" w:cs="Times New Roman"/>
                      <w:sz w:val="20"/>
                      <w:szCs w:val="20"/>
                    </w:rPr>
                    <w:t>-25</w:t>
                  </w:r>
                </w:p>
              </w:tc>
              <w:tc>
                <w:tcPr>
                  <w:tcW w:w="568" w:type="dxa"/>
                  <w:vAlign w:val="top"/>
                </w:tcPr>
                <w:p w14:paraId="03E8EB9A">
                  <w:pPr>
                    <w:spacing w:before="75" w:line="195" w:lineRule="auto"/>
                    <w:ind w:left="1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-68</w:t>
                  </w:r>
                </w:p>
              </w:tc>
              <w:tc>
                <w:tcPr>
                  <w:tcW w:w="575" w:type="dxa"/>
                  <w:vAlign w:val="top"/>
                </w:tcPr>
                <w:p w14:paraId="660332BF">
                  <w:pPr>
                    <w:spacing w:before="75" w:line="195" w:lineRule="auto"/>
                    <w:ind w:left="17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966" w:type="dxa"/>
                  <w:vAlign w:val="top"/>
                </w:tcPr>
                <w:p w14:paraId="1DE0D7C2">
                  <w:pPr>
                    <w:spacing w:before="75" w:line="195" w:lineRule="auto"/>
                    <w:ind w:left="382"/>
                    <w:rPr>
                      <w:rFonts w:ascii="Times New Roman" w:hAnsi="Times New Roman" w:eastAsia="Times New Roman" w:cs="Times New Roman"/>
                      <w:sz w:val="20"/>
                      <w:szCs w:val="20"/>
                    </w:rPr>
                  </w:pPr>
                  <w:r>
                    <w:rPr>
                      <w:rFonts w:ascii="Times New Roman" w:hAnsi="Times New Roman" w:eastAsia="Times New Roman" w:cs="Times New Roman"/>
                      <w:sz w:val="20"/>
                      <w:szCs w:val="20"/>
                    </w:rPr>
                    <w:t>65</w:t>
                  </w:r>
                </w:p>
              </w:tc>
              <w:tc>
                <w:tcPr>
                  <w:tcW w:w="585" w:type="dxa"/>
                  <w:vMerge w:val="continue"/>
                  <w:tcBorders>
                    <w:top w:val="nil"/>
                  </w:tcBorders>
                  <w:vAlign w:val="top"/>
                </w:tcPr>
                <w:p w14:paraId="7DAE5FC4">
                  <w:pPr>
                    <w:rPr>
                      <w:rFonts w:ascii="Arial"/>
                      <w:sz w:val="21"/>
                    </w:rPr>
                  </w:pPr>
                </w:p>
              </w:tc>
              <w:tc>
                <w:tcPr>
                  <w:tcW w:w="1288" w:type="dxa"/>
                  <w:vAlign w:val="top"/>
                </w:tcPr>
                <w:p w14:paraId="3DF04EDE">
                  <w:pPr>
                    <w:spacing w:before="75" w:line="195" w:lineRule="auto"/>
                    <w:ind w:left="56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1048" w:type="dxa"/>
                  <w:vAlign w:val="top"/>
                </w:tcPr>
                <w:p w14:paraId="4E2B832B">
                  <w:pPr>
                    <w:spacing w:before="75" w:line="195" w:lineRule="auto"/>
                    <w:ind w:left="427"/>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712" w:type="dxa"/>
                  <w:vMerge w:val="continue"/>
                  <w:tcBorders>
                    <w:top w:val="nil"/>
                  </w:tcBorders>
                  <w:vAlign w:val="top"/>
                </w:tcPr>
                <w:p w14:paraId="1F37B1B8">
                  <w:pPr>
                    <w:rPr>
                      <w:rFonts w:ascii="Arial"/>
                      <w:sz w:val="21"/>
                    </w:rPr>
                  </w:pPr>
                </w:p>
              </w:tc>
            </w:tr>
          </w:tbl>
          <w:p w14:paraId="1AB5A749">
            <w:pPr>
              <w:spacing w:before="2" w:line="367" w:lineRule="auto"/>
              <w:ind w:left="112" w:right="50" w:firstLine="415"/>
              <w:rPr>
                <w:rFonts w:ascii="宋体" w:hAnsi="宋体" w:eastAsia="宋体" w:cs="宋体"/>
                <w:sz w:val="20"/>
                <w:szCs w:val="20"/>
              </w:rPr>
            </w:pPr>
            <w:r>
              <w:rPr>
                <w:rFonts w:ascii="宋体" w:hAnsi="宋体" w:eastAsia="宋体" w:cs="宋体"/>
                <w:spacing w:val="1"/>
                <w:sz w:val="20"/>
                <w:szCs w:val="20"/>
              </w:rPr>
              <w:t>注：以项目区中心（东经</w:t>
            </w:r>
            <w:r>
              <w:rPr>
                <w:rFonts w:ascii="宋体" w:hAnsi="宋体" w:eastAsia="宋体" w:cs="宋体"/>
                <w:spacing w:val="-18"/>
                <w:sz w:val="20"/>
                <w:szCs w:val="20"/>
              </w:rPr>
              <w:t xml:space="preserve"> </w:t>
            </w:r>
            <w:r>
              <w:rPr>
                <w:rFonts w:ascii="Times New Roman" w:hAnsi="Times New Roman" w:eastAsia="Times New Roman" w:cs="Times New Roman"/>
                <w:spacing w:val="1"/>
                <w:sz w:val="20"/>
                <w:szCs w:val="20"/>
              </w:rPr>
              <w:t>103.19548787</w:t>
            </w:r>
            <w:r>
              <w:rPr>
                <w:rFonts w:ascii="宋体" w:hAnsi="宋体" w:eastAsia="宋体" w:cs="宋体"/>
                <w:spacing w:val="1"/>
                <w:sz w:val="20"/>
                <w:szCs w:val="20"/>
              </w:rPr>
              <w:t>，北纬</w:t>
            </w:r>
            <w:r>
              <w:rPr>
                <w:rFonts w:ascii="宋体" w:hAnsi="宋体" w:eastAsia="宋体" w:cs="宋体"/>
                <w:spacing w:val="-41"/>
                <w:sz w:val="20"/>
                <w:szCs w:val="20"/>
              </w:rPr>
              <w:t xml:space="preserve"> </w:t>
            </w:r>
            <w:r>
              <w:rPr>
                <w:rFonts w:ascii="Times New Roman" w:hAnsi="Times New Roman" w:eastAsia="Times New Roman" w:cs="Times New Roman"/>
                <w:spacing w:val="1"/>
                <w:sz w:val="20"/>
                <w:szCs w:val="20"/>
              </w:rPr>
              <w:t>25.5</w:t>
            </w:r>
            <w:r>
              <w:rPr>
                <w:rFonts w:ascii="Times New Roman" w:hAnsi="Times New Roman" w:eastAsia="Times New Roman" w:cs="Times New Roman"/>
                <w:sz w:val="20"/>
                <w:szCs w:val="20"/>
              </w:rPr>
              <w:t>6338762</w:t>
            </w:r>
            <w:r>
              <w:rPr>
                <w:rFonts w:ascii="宋体" w:hAnsi="宋体" w:eastAsia="宋体" w:cs="宋体"/>
                <w:sz w:val="20"/>
                <w:szCs w:val="20"/>
              </w:rPr>
              <w:t>）为坐标原点（</w:t>
            </w:r>
            <w:r>
              <w:rPr>
                <w:rFonts w:ascii="Times New Roman" w:hAnsi="Times New Roman" w:eastAsia="Times New Roman" w:cs="Times New Roman"/>
                <w:sz w:val="20"/>
                <w:szCs w:val="20"/>
              </w:rPr>
              <w:t>X=0</w:t>
            </w:r>
            <w:r>
              <w:rPr>
                <w:rFonts w:ascii="宋体" w:hAnsi="宋体" w:eastAsia="宋体" w:cs="宋体"/>
                <w:sz w:val="20"/>
                <w:szCs w:val="20"/>
              </w:rPr>
              <w:t>，</w:t>
            </w:r>
            <w:r>
              <w:rPr>
                <w:rFonts w:ascii="Times New Roman" w:hAnsi="Times New Roman" w:eastAsia="Times New Roman" w:cs="Times New Roman"/>
                <w:sz w:val="20"/>
                <w:szCs w:val="20"/>
              </w:rPr>
              <w:t>Y=0</w:t>
            </w:r>
            <w:r>
              <w:rPr>
                <w:rFonts w:ascii="宋体" w:hAnsi="宋体" w:eastAsia="宋体" w:cs="宋体"/>
                <w:sz w:val="20"/>
                <w:szCs w:val="20"/>
              </w:rPr>
              <w:t>，</w:t>
            </w:r>
            <w:r>
              <w:rPr>
                <w:rFonts w:ascii="Times New Roman" w:hAnsi="Times New Roman" w:eastAsia="Times New Roman" w:cs="Times New Roman"/>
                <w:sz w:val="20"/>
                <w:szCs w:val="20"/>
              </w:rPr>
              <w:t>Z=</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1.2</w:t>
            </w:r>
            <w:r>
              <w:rPr>
                <w:rFonts w:ascii="宋体" w:hAnsi="宋体" w:eastAsia="宋体" w:cs="宋体"/>
                <w:spacing w:val="-47"/>
                <w:w w:val="89"/>
                <w:sz w:val="20"/>
                <w:szCs w:val="20"/>
              </w:rPr>
              <w:t>），</w:t>
            </w:r>
            <w:r>
              <w:rPr>
                <w:rFonts w:ascii="宋体" w:hAnsi="宋体" w:eastAsia="宋体" w:cs="宋体"/>
                <w:spacing w:val="7"/>
                <w:sz w:val="20"/>
                <w:szCs w:val="20"/>
              </w:rPr>
              <w:t>正东向为</w:t>
            </w:r>
            <w:r>
              <w:rPr>
                <w:rFonts w:ascii="宋体" w:hAnsi="宋体" w:eastAsia="宋体" w:cs="宋体"/>
                <w:spacing w:val="-33"/>
                <w:sz w:val="20"/>
                <w:szCs w:val="20"/>
              </w:rPr>
              <w:t xml:space="preserve"> </w:t>
            </w:r>
            <w:r>
              <w:rPr>
                <w:rFonts w:ascii="Times New Roman" w:hAnsi="Times New Roman" w:eastAsia="Times New Roman" w:cs="Times New Roman"/>
                <w:spacing w:val="7"/>
                <w:sz w:val="20"/>
                <w:szCs w:val="20"/>
              </w:rPr>
              <w:t xml:space="preserve">X </w:t>
            </w:r>
            <w:r>
              <w:rPr>
                <w:rFonts w:ascii="宋体" w:hAnsi="宋体" w:eastAsia="宋体" w:cs="宋体"/>
                <w:spacing w:val="7"/>
                <w:sz w:val="20"/>
                <w:szCs w:val="20"/>
              </w:rPr>
              <w:t>轴正方向，正北向为</w:t>
            </w:r>
            <w:r>
              <w:rPr>
                <w:rFonts w:ascii="宋体" w:hAnsi="宋体" w:eastAsia="宋体" w:cs="宋体"/>
                <w:spacing w:val="-44"/>
                <w:sz w:val="20"/>
                <w:szCs w:val="20"/>
              </w:rPr>
              <w:t xml:space="preserve"> </w:t>
            </w:r>
            <w:r>
              <w:rPr>
                <w:rFonts w:ascii="Times New Roman" w:hAnsi="Times New Roman" w:eastAsia="Times New Roman" w:cs="Times New Roman"/>
                <w:spacing w:val="7"/>
                <w:sz w:val="20"/>
                <w:szCs w:val="20"/>
              </w:rPr>
              <w:t xml:space="preserve">Y </w:t>
            </w:r>
            <w:r>
              <w:rPr>
                <w:rFonts w:ascii="宋体" w:hAnsi="宋体" w:eastAsia="宋体" w:cs="宋体"/>
                <w:spacing w:val="7"/>
                <w:sz w:val="20"/>
                <w:szCs w:val="20"/>
              </w:rPr>
              <w:t>轴正方向。</w:t>
            </w:r>
          </w:p>
          <w:p w14:paraId="7FAD5520">
            <w:pPr>
              <w:spacing w:before="58" w:line="220" w:lineRule="auto"/>
              <w:ind w:left="585"/>
              <w:rPr>
                <w:rFonts w:ascii="宋体" w:hAnsi="宋体" w:eastAsia="宋体" w:cs="宋体"/>
                <w:sz w:val="24"/>
                <w:szCs w:val="24"/>
              </w:rPr>
            </w:pPr>
            <w:r>
              <w:rPr>
                <w:rFonts w:ascii="Times New Roman" w:hAnsi="Times New Roman" w:eastAsia="Times New Roman" w:cs="Times New Roman"/>
                <w:b/>
                <w:bCs/>
                <w:spacing w:val="-6"/>
                <w:sz w:val="24"/>
                <w:szCs w:val="24"/>
              </w:rPr>
              <w:t>2</w:t>
            </w:r>
            <w:r>
              <w:rPr>
                <w:rFonts w:ascii="宋体" w:hAnsi="宋体" w:eastAsia="宋体" w:cs="宋体"/>
                <w:b/>
                <w:bCs/>
                <w:spacing w:val="-6"/>
                <w:sz w:val="24"/>
                <w:szCs w:val="24"/>
              </w:rPr>
              <w:t>、预测标准</w:t>
            </w:r>
          </w:p>
          <w:p w14:paraId="09C0DD37">
            <w:pPr>
              <w:spacing w:before="183" w:line="359" w:lineRule="auto"/>
              <w:ind w:left="109" w:right="102" w:firstLine="480"/>
              <w:rPr>
                <w:rFonts w:ascii="宋体" w:hAnsi="宋体" w:eastAsia="宋体" w:cs="宋体"/>
                <w:sz w:val="24"/>
                <w:szCs w:val="24"/>
              </w:rPr>
            </w:pPr>
            <w:r>
              <w:rPr>
                <w:rFonts w:ascii="宋体" w:hAnsi="宋体" w:eastAsia="宋体" w:cs="宋体"/>
                <w:spacing w:val="-2"/>
                <w:sz w:val="24"/>
                <w:szCs w:val="24"/>
              </w:rPr>
              <w:t>本项目所在区域属声环境</w:t>
            </w:r>
            <w:r>
              <w:rPr>
                <w:rFonts w:ascii="宋体" w:hAnsi="宋体" w:eastAsia="宋体" w:cs="宋体"/>
                <w:spacing w:val="-45"/>
                <w:sz w:val="24"/>
                <w:szCs w:val="24"/>
              </w:rPr>
              <w:t xml:space="preserve"> </w:t>
            </w:r>
            <w:r>
              <w:rPr>
                <w:rFonts w:ascii="Times New Roman" w:hAnsi="Times New Roman" w:eastAsia="Times New Roman" w:cs="Times New Roman"/>
                <w:spacing w:val="-2"/>
                <w:sz w:val="24"/>
                <w:szCs w:val="24"/>
              </w:rPr>
              <w:t xml:space="preserve">3 </w:t>
            </w:r>
            <w:r>
              <w:rPr>
                <w:rFonts w:ascii="宋体" w:hAnsi="宋体" w:eastAsia="宋体" w:cs="宋体"/>
                <w:spacing w:val="-2"/>
                <w:sz w:val="24"/>
                <w:szCs w:val="24"/>
              </w:rPr>
              <w:t>类区，项目厂界噪声排放执行《工业企业厂界噪声排</w:t>
            </w:r>
            <w:r>
              <w:rPr>
                <w:rFonts w:ascii="宋体" w:hAnsi="宋体" w:eastAsia="宋体" w:cs="宋体"/>
                <w:spacing w:val="-1"/>
                <w:sz w:val="24"/>
                <w:szCs w:val="24"/>
              </w:rPr>
              <w:t>放标准》（</w:t>
            </w:r>
            <w:r>
              <w:rPr>
                <w:rFonts w:ascii="Times New Roman" w:hAnsi="Times New Roman" w:eastAsia="Times New Roman" w:cs="Times New Roman"/>
                <w:spacing w:val="-1"/>
                <w:sz w:val="24"/>
                <w:szCs w:val="24"/>
              </w:rPr>
              <w:t>GB12348-2008</w:t>
            </w:r>
            <w:r>
              <w:rPr>
                <w:rFonts w:ascii="宋体" w:hAnsi="宋体" w:eastAsia="宋体" w:cs="宋体"/>
                <w:spacing w:val="-1"/>
                <w:sz w:val="24"/>
                <w:szCs w:val="24"/>
              </w:rPr>
              <w:t>）中</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 xml:space="preserve">3 </w:t>
            </w:r>
            <w:r>
              <w:rPr>
                <w:rFonts w:ascii="宋体" w:hAnsi="宋体" w:eastAsia="宋体" w:cs="宋体"/>
                <w:spacing w:val="-1"/>
                <w:sz w:val="24"/>
                <w:szCs w:val="24"/>
              </w:rPr>
              <w:t>类标准。</w:t>
            </w:r>
          </w:p>
          <w:p w14:paraId="36193DFA">
            <w:pPr>
              <w:spacing w:line="219" w:lineRule="auto"/>
              <w:ind w:left="583"/>
              <w:rPr>
                <w:rFonts w:ascii="宋体" w:hAnsi="宋体" w:eastAsia="宋体" w:cs="宋体"/>
                <w:sz w:val="24"/>
                <w:szCs w:val="24"/>
              </w:rPr>
            </w:pPr>
            <w:r>
              <w:rPr>
                <w:rFonts w:ascii="Times New Roman" w:hAnsi="Times New Roman" w:eastAsia="Times New Roman" w:cs="Times New Roman"/>
                <w:b/>
                <w:bCs/>
                <w:spacing w:val="-5"/>
                <w:sz w:val="24"/>
                <w:szCs w:val="24"/>
              </w:rPr>
              <w:t>3</w:t>
            </w:r>
            <w:r>
              <w:rPr>
                <w:rFonts w:ascii="宋体" w:hAnsi="宋体" w:eastAsia="宋体" w:cs="宋体"/>
                <w:b/>
                <w:bCs/>
                <w:spacing w:val="-5"/>
                <w:sz w:val="24"/>
                <w:szCs w:val="24"/>
              </w:rPr>
              <w:t>、预测模型</w:t>
            </w:r>
          </w:p>
          <w:p w14:paraId="47D118E2">
            <w:pPr>
              <w:spacing w:before="181" w:line="359" w:lineRule="auto"/>
              <w:ind w:left="110" w:right="102" w:firstLine="480"/>
              <w:rPr>
                <w:rFonts w:ascii="宋体" w:hAnsi="宋体" w:eastAsia="宋体" w:cs="宋体"/>
                <w:sz w:val="24"/>
                <w:szCs w:val="24"/>
              </w:rPr>
            </w:pPr>
            <w:r>
              <w:rPr>
                <w:rFonts w:ascii="宋体" w:hAnsi="宋体" w:eastAsia="宋体" w:cs="宋体"/>
                <w:spacing w:val="-2"/>
                <w:sz w:val="24"/>
                <w:szCs w:val="24"/>
              </w:rPr>
              <w:t>本项目采用《环境影响评价技术导则 声环</w:t>
            </w:r>
            <w:r>
              <w:rPr>
                <w:rFonts w:ascii="宋体" w:hAnsi="宋体" w:eastAsia="宋体" w:cs="宋体"/>
                <w:spacing w:val="-3"/>
                <w:sz w:val="24"/>
                <w:szCs w:val="24"/>
              </w:rPr>
              <w:t>境》（</w:t>
            </w:r>
            <w:r>
              <w:rPr>
                <w:rFonts w:ascii="Times New Roman" w:hAnsi="Times New Roman" w:eastAsia="Times New Roman" w:cs="Times New Roman"/>
                <w:spacing w:val="-3"/>
                <w:sz w:val="24"/>
                <w:szCs w:val="24"/>
              </w:rPr>
              <w:t>HJ2.4-2021</w:t>
            </w:r>
            <w:r>
              <w:rPr>
                <w:rFonts w:ascii="宋体" w:hAnsi="宋体" w:eastAsia="宋体" w:cs="宋体"/>
                <w:spacing w:val="-3"/>
                <w:sz w:val="24"/>
                <w:szCs w:val="24"/>
              </w:rPr>
              <w:t>）推荐的衰减模式预</w:t>
            </w:r>
            <w:r>
              <w:rPr>
                <w:rFonts w:ascii="宋体" w:hAnsi="宋体" w:eastAsia="宋体" w:cs="宋体"/>
                <w:spacing w:val="-2"/>
                <w:sz w:val="24"/>
                <w:szCs w:val="24"/>
              </w:rPr>
              <w:t>测各类环境噪声。</w:t>
            </w:r>
          </w:p>
          <w:p w14:paraId="24F19282">
            <w:pPr>
              <w:spacing w:line="217" w:lineRule="auto"/>
              <w:ind w:left="588"/>
              <w:rPr>
                <w:rFonts w:ascii="宋体" w:hAnsi="宋体" w:eastAsia="宋体" w:cs="宋体"/>
                <w:sz w:val="24"/>
                <w:szCs w:val="24"/>
              </w:rPr>
            </w:pPr>
            <w:r>
              <w:rPr>
                <w:rFonts w:ascii="宋体" w:hAnsi="宋体" w:eastAsia="宋体" w:cs="宋体"/>
                <w:b/>
                <w:bCs/>
                <w:spacing w:val="-3"/>
                <w:sz w:val="24"/>
                <w:szCs w:val="24"/>
              </w:rPr>
              <w:t>①室外声源预测模式</w:t>
            </w:r>
          </w:p>
          <w:p w14:paraId="058B0AFD">
            <w:pPr>
              <w:spacing w:before="185" w:line="218" w:lineRule="auto"/>
              <w:ind w:left="589"/>
              <w:rPr>
                <w:rFonts w:ascii="宋体" w:hAnsi="宋体" w:eastAsia="宋体" w:cs="宋体"/>
                <w:sz w:val="24"/>
                <w:szCs w:val="24"/>
              </w:rPr>
            </w:pPr>
            <w:r>
              <w:rPr>
                <w:rFonts w:ascii="宋体" w:hAnsi="宋体" w:eastAsia="宋体" w:cs="宋体"/>
                <w:spacing w:val="2"/>
                <w:sz w:val="24"/>
                <w:szCs w:val="24"/>
              </w:rPr>
              <w:t>根据《环境影响评价技术导则 声环境》（</w:t>
            </w:r>
            <w:r>
              <w:rPr>
                <w:rFonts w:ascii="Times New Roman" w:hAnsi="Times New Roman" w:eastAsia="Times New Roman" w:cs="Times New Roman"/>
                <w:sz w:val="24"/>
                <w:szCs w:val="24"/>
              </w:rPr>
              <w:t>HJ</w:t>
            </w:r>
            <w:r>
              <w:rPr>
                <w:rFonts w:ascii="Times New Roman" w:hAnsi="Times New Roman" w:eastAsia="Times New Roman" w:cs="Times New Roman"/>
                <w:spacing w:val="1"/>
                <w:sz w:val="24"/>
                <w:szCs w:val="24"/>
              </w:rPr>
              <w:t xml:space="preserve"> 2.4-2021</w:t>
            </w:r>
            <w:r>
              <w:rPr>
                <w:rFonts w:ascii="宋体" w:hAnsi="宋体" w:eastAsia="宋体" w:cs="宋体"/>
                <w:spacing w:val="10"/>
                <w:sz w:val="24"/>
                <w:szCs w:val="24"/>
              </w:rPr>
              <w:t>），</w:t>
            </w:r>
            <w:r>
              <w:rPr>
                <w:rFonts w:ascii="宋体" w:hAnsi="宋体" w:eastAsia="宋体" w:cs="宋体"/>
                <w:spacing w:val="1"/>
                <w:sz w:val="24"/>
                <w:szCs w:val="24"/>
              </w:rPr>
              <w:t>无指向性点声源几何</w:t>
            </w:r>
          </w:p>
        </w:tc>
      </w:tr>
    </w:tbl>
    <w:p w14:paraId="51439A47">
      <w:pPr>
        <w:pStyle w:val="2"/>
      </w:pPr>
    </w:p>
    <w:p w14:paraId="4D00C4DD">
      <w:pPr>
        <w:sectPr>
          <w:footerReference r:id="rId98" w:type="default"/>
          <w:pgSz w:w="11906" w:h="16839"/>
          <w:pgMar w:top="400" w:right="1055" w:bottom="1085" w:left="1054" w:header="0" w:footer="762" w:gutter="0"/>
          <w:cols w:space="720" w:num="1"/>
        </w:sectPr>
      </w:pPr>
    </w:p>
    <w:p w14:paraId="6699D36F">
      <w:pPr>
        <w:spacing w:before="19"/>
      </w:pPr>
    </w:p>
    <w:p w14:paraId="7A425141">
      <w:pPr>
        <w:spacing w:before="19"/>
      </w:pPr>
    </w:p>
    <w:p w14:paraId="7DC8E348">
      <w:pPr>
        <w:spacing w:before="19"/>
      </w:pPr>
    </w:p>
    <w:p w14:paraId="7C57D4B6">
      <w:pPr>
        <w:spacing w:before="18"/>
      </w:pPr>
    </w:p>
    <w:p w14:paraId="59BDE8B0">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4C3DC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27" w:hRule="atLeast"/>
        </w:trPr>
        <w:tc>
          <w:tcPr>
            <w:tcW w:w="734" w:type="dxa"/>
            <w:tcBorders>
              <w:right w:val="single" w:color="000000" w:sz="2" w:space="0"/>
            </w:tcBorders>
            <w:vAlign w:val="top"/>
          </w:tcPr>
          <w:p w14:paraId="438D4B1C">
            <w:pPr>
              <w:rPr>
                <w:rFonts w:ascii="Arial"/>
                <w:sz w:val="21"/>
              </w:rPr>
            </w:pPr>
          </w:p>
        </w:tc>
        <w:tc>
          <w:tcPr>
            <w:tcW w:w="9047" w:type="dxa"/>
            <w:tcBorders>
              <w:left w:val="single" w:color="000000" w:sz="2" w:space="0"/>
            </w:tcBorders>
            <w:vAlign w:val="top"/>
          </w:tcPr>
          <w:p w14:paraId="11C8A564">
            <w:pPr>
              <w:spacing w:before="39" w:line="219" w:lineRule="auto"/>
              <w:ind w:left="113"/>
              <w:rPr>
                <w:rFonts w:ascii="宋体" w:hAnsi="宋体" w:eastAsia="宋体" w:cs="宋体"/>
                <w:sz w:val="24"/>
                <w:szCs w:val="24"/>
              </w:rPr>
            </w:pPr>
            <w:r>
              <w:rPr>
                <w:rFonts w:ascii="宋体" w:hAnsi="宋体" w:eastAsia="宋体" w:cs="宋体"/>
                <w:spacing w:val="-2"/>
                <w:sz w:val="24"/>
                <w:szCs w:val="24"/>
              </w:rPr>
              <w:t>发散衰减的基本公式：</w:t>
            </w:r>
          </w:p>
          <w:p w14:paraId="093D865E">
            <w:pPr>
              <w:spacing w:before="121" w:line="323" w:lineRule="exact"/>
              <w:ind w:left="3675"/>
              <w:rPr>
                <w:rFonts w:ascii="Times New Roman" w:hAnsi="Times New Roman" w:eastAsia="Times New Roman" w:cs="Times New Roman"/>
                <w:sz w:val="24"/>
                <w:szCs w:val="24"/>
              </w:rPr>
            </w:pPr>
            <w:r>
              <w:rPr>
                <w:rFonts w:ascii="Times New Roman" w:hAnsi="Times New Roman" w:eastAsia="Times New Roman" w:cs="Times New Roman"/>
                <w:position w:val="4"/>
                <w:sz w:val="24"/>
                <w:szCs w:val="24"/>
              </w:rPr>
              <w:t>L</w:t>
            </w:r>
            <w:r>
              <w:rPr>
                <w:rFonts w:ascii="Times New Roman" w:hAnsi="Times New Roman" w:eastAsia="Times New Roman" w:cs="Times New Roman"/>
                <w:position w:val="3"/>
                <w:sz w:val="15"/>
                <w:szCs w:val="15"/>
              </w:rPr>
              <w:t>p</w:t>
            </w:r>
            <w:r>
              <w:rPr>
                <w:rFonts w:ascii="Times New Roman" w:hAnsi="Times New Roman" w:eastAsia="Times New Roman" w:cs="Times New Roman"/>
                <w:position w:val="4"/>
                <w:sz w:val="24"/>
                <w:szCs w:val="24"/>
              </w:rPr>
              <w:t>(r)=L</w:t>
            </w:r>
            <w:r>
              <w:rPr>
                <w:rFonts w:ascii="Times New Roman" w:hAnsi="Times New Roman" w:eastAsia="Times New Roman" w:cs="Times New Roman"/>
                <w:position w:val="3"/>
                <w:sz w:val="15"/>
                <w:szCs w:val="15"/>
              </w:rPr>
              <w:t>p</w:t>
            </w:r>
            <w:r>
              <w:rPr>
                <w:rFonts w:ascii="Times New Roman" w:hAnsi="Times New Roman" w:eastAsia="Times New Roman" w:cs="Times New Roman"/>
                <w:position w:val="4"/>
                <w:sz w:val="24"/>
                <w:szCs w:val="24"/>
              </w:rPr>
              <w:t>(r</w:t>
            </w:r>
            <w:r>
              <w:rPr>
                <w:rFonts w:ascii="Times New Roman" w:hAnsi="Times New Roman" w:eastAsia="Times New Roman" w:cs="Times New Roman"/>
                <w:position w:val="4"/>
                <w:sz w:val="15"/>
                <w:szCs w:val="15"/>
              </w:rPr>
              <w:t>0</w:t>
            </w:r>
            <w:r>
              <w:rPr>
                <w:rFonts w:ascii="Times New Roman" w:hAnsi="Times New Roman" w:eastAsia="Times New Roman" w:cs="Times New Roman"/>
                <w:position w:val="4"/>
                <w:sz w:val="24"/>
                <w:szCs w:val="24"/>
              </w:rPr>
              <w:t>) -20lg(r/r</w:t>
            </w:r>
            <w:r>
              <w:rPr>
                <w:rFonts w:ascii="Times New Roman" w:hAnsi="Times New Roman" w:eastAsia="Times New Roman" w:cs="Times New Roman"/>
                <w:position w:val="4"/>
                <w:sz w:val="15"/>
                <w:szCs w:val="15"/>
              </w:rPr>
              <w:t>0</w:t>
            </w:r>
            <w:r>
              <w:rPr>
                <w:rFonts w:ascii="Times New Roman" w:hAnsi="Times New Roman" w:eastAsia="Times New Roman" w:cs="Times New Roman"/>
                <w:position w:val="4"/>
                <w:sz w:val="24"/>
                <w:szCs w:val="24"/>
              </w:rPr>
              <w:t>)</w:t>
            </w:r>
          </w:p>
          <w:p w14:paraId="52DB4595">
            <w:pPr>
              <w:spacing w:before="152" w:line="212" w:lineRule="auto"/>
              <w:ind w:left="594"/>
              <w:rPr>
                <w:rFonts w:ascii="宋体" w:hAnsi="宋体" w:eastAsia="宋体" w:cs="宋体"/>
                <w:sz w:val="24"/>
                <w:szCs w:val="24"/>
              </w:rPr>
            </w:pPr>
            <w:r>
              <w:rPr>
                <w:rFonts w:ascii="宋体" w:hAnsi="宋体" w:eastAsia="宋体" w:cs="宋体"/>
                <w:spacing w:val="-1"/>
                <w:sz w:val="24"/>
                <w:szCs w:val="24"/>
              </w:rPr>
              <w:t>式中：</w:t>
            </w:r>
            <w:r>
              <w:rPr>
                <w:rFonts w:ascii="Times New Roman" w:hAnsi="Times New Roman" w:eastAsia="Times New Roman" w:cs="Times New Roman"/>
                <w:spacing w:val="-1"/>
                <w:sz w:val="24"/>
                <w:szCs w:val="24"/>
              </w:rPr>
              <w:t>L</w:t>
            </w:r>
            <w:r>
              <w:rPr>
                <w:rFonts w:ascii="Times New Roman" w:hAnsi="Times New Roman" w:eastAsia="Times New Roman" w:cs="Times New Roman"/>
                <w:spacing w:val="-1"/>
                <w:position w:val="-1"/>
                <w:sz w:val="15"/>
                <w:szCs w:val="15"/>
              </w:rPr>
              <w:t>p</w:t>
            </w:r>
            <w:r>
              <w:rPr>
                <w:rFonts w:ascii="Times New Roman" w:hAnsi="Times New Roman" w:eastAsia="Times New Roman" w:cs="Times New Roman"/>
                <w:spacing w:val="-1"/>
                <w:sz w:val="24"/>
                <w:szCs w:val="24"/>
              </w:rPr>
              <w:t>(r)—</w:t>
            </w:r>
            <w:r>
              <w:rPr>
                <w:rFonts w:ascii="宋体" w:hAnsi="宋体" w:eastAsia="宋体" w:cs="宋体"/>
                <w:spacing w:val="-1"/>
                <w:sz w:val="24"/>
                <w:szCs w:val="24"/>
              </w:rPr>
              <w:t>预测点处声压级，</w:t>
            </w:r>
            <w:r>
              <w:rPr>
                <w:rFonts w:ascii="Times New Roman" w:hAnsi="Times New Roman" w:eastAsia="Times New Roman" w:cs="Times New Roman"/>
                <w:spacing w:val="-1"/>
                <w:sz w:val="24"/>
                <w:szCs w:val="24"/>
              </w:rPr>
              <w:t>dB</w:t>
            </w:r>
            <w:r>
              <w:rPr>
                <w:rFonts w:ascii="宋体" w:hAnsi="宋体" w:eastAsia="宋体" w:cs="宋体"/>
                <w:spacing w:val="-1"/>
                <w:sz w:val="24"/>
                <w:szCs w:val="24"/>
              </w:rPr>
              <w:t>；</w:t>
            </w:r>
          </w:p>
          <w:p w14:paraId="535E6F1A">
            <w:pPr>
              <w:spacing w:before="192" w:line="211" w:lineRule="auto"/>
              <w:ind w:left="584"/>
              <w:rPr>
                <w:rFonts w:ascii="宋体" w:hAnsi="宋体" w:eastAsia="宋体" w:cs="宋体"/>
                <w:sz w:val="24"/>
                <w:szCs w:val="24"/>
              </w:rPr>
            </w:pPr>
            <w:r>
              <w:rPr>
                <w:rFonts w:ascii="Times New Roman" w:hAnsi="Times New Roman" w:eastAsia="Times New Roman" w:cs="Times New Roman"/>
                <w:spacing w:val="-1"/>
                <w:sz w:val="24"/>
                <w:szCs w:val="24"/>
              </w:rPr>
              <w:t>L</w:t>
            </w:r>
            <w:r>
              <w:rPr>
                <w:rFonts w:ascii="Times New Roman" w:hAnsi="Times New Roman" w:eastAsia="Times New Roman" w:cs="Times New Roman"/>
                <w:spacing w:val="-1"/>
                <w:position w:val="-1"/>
                <w:sz w:val="15"/>
                <w:szCs w:val="15"/>
              </w:rPr>
              <w:t>p</w:t>
            </w:r>
            <w:r>
              <w:rPr>
                <w:rFonts w:ascii="Times New Roman" w:hAnsi="Times New Roman" w:eastAsia="Times New Roman" w:cs="Times New Roman"/>
                <w:spacing w:val="-1"/>
                <w:sz w:val="24"/>
                <w:szCs w:val="24"/>
              </w:rPr>
              <w:t>(r</w:t>
            </w:r>
            <w:r>
              <w:rPr>
                <w:rFonts w:ascii="Times New Roman" w:hAnsi="Times New Roman" w:eastAsia="Times New Roman" w:cs="Times New Roman"/>
                <w:spacing w:val="-1"/>
                <w:sz w:val="15"/>
                <w:szCs w:val="15"/>
              </w:rPr>
              <w:t>0</w:t>
            </w:r>
            <w:r>
              <w:rPr>
                <w:rFonts w:ascii="Times New Roman" w:hAnsi="Times New Roman" w:eastAsia="Times New Roman" w:cs="Times New Roman"/>
                <w:spacing w:val="-1"/>
                <w:sz w:val="24"/>
                <w:szCs w:val="24"/>
              </w:rPr>
              <w:t>)—</w:t>
            </w:r>
            <w:r>
              <w:rPr>
                <w:rFonts w:ascii="宋体" w:hAnsi="宋体" w:eastAsia="宋体" w:cs="宋体"/>
                <w:spacing w:val="-1"/>
                <w:sz w:val="24"/>
                <w:szCs w:val="24"/>
              </w:rPr>
              <w:t>参考位置</w:t>
            </w:r>
            <w:r>
              <w:rPr>
                <w:rFonts w:ascii="Times New Roman" w:hAnsi="Times New Roman" w:eastAsia="Times New Roman" w:cs="Times New Roman"/>
                <w:spacing w:val="-1"/>
                <w:sz w:val="24"/>
                <w:szCs w:val="24"/>
              </w:rPr>
              <w:t>r</w:t>
            </w:r>
            <w:r>
              <w:rPr>
                <w:rFonts w:ascii="Times New Roman" w:hAnsi="Times New Roman" w:eastAsia="Times New Roman" w:cs="Times New Roman"/>
                <w:spacing w:val="-1"/>
                <w:position w:val="-1"/>
                <w:sz w:val="15"/>
                <w:szCs w:val="15"/>
              </w:rPr>
              <w:t>0</w:t>
            </w:r>
            <w:r>
              <w:rPr>
                <w:rFonts w:ascii="Times New Roman" w:hAnsi="Times New Roman" w:eastAsia="Times New Roman" w:cs="Times New Roman"/>
                <w:spacing w:val="23"/>
                <w:w w:val="102"/>
                <w:position w:val="-1"/>
                <w:sz w:val="15"/>
                <w:szCs w:val="15"/>
              </w:rPr>
              <w:t xml:space="preserve"> </w:t>
            </w:r>
            <w:r>
              <w:rPr>
                <w:rFonts w:ascii="宋体" w:hAnsi="宋体" w:eastAsia="宋体" w:cs="宋体"/>
                <w:spacing w:val="-1"/>
                <w:sz w:val="24"/>
                <w:szCs w:val="24"/>
              </w:rPr>
              <w:t>处的声压级，</w:t>
            </w:r>
            <w:r>
              <w:rPr>
                <w:rFonts w:ascii="Times New Roman" w:hAnsi="Times New Roman" w:eastAsia="Times New Roman" w:cs="Times New Roman"/>
                <w:spacing w:val="-1"/>
                <w:sz w:val="24"/>
                <w:szCs w:val="24"/>
              </w:rPr>
              <w:t>dB</w:t>
            </w:r>
            <w:r>
              <w:rPr>
                <w:rFonts w:ascii="宋体" w:hAnsi="宋体" w:eastAsia="宋体" w:cs="宋体"/>
                <w:spacing w:val="-1"/>
                <w:sz w:val="24"/>
                <w:szCs w:val="24"/>
              </w:rPr>
              <w:t>；</w:t>
            </w:r>
          </w:p>
          <w:p w14:paraId="2D6CCA29">
            <w:pPr>
              <w:spacing w:before="191" w:line="220" w:lineRule="auto"/>
              <w:ind w:left="581"/>
              <w:rPr>
                <w:rFonts w:ascii="宋体" w:hAnsi="宋体" w:eastAsia="宋体" w:cs="宋体"/>
                <w:sz w:val="24"/>
                <w:szCs w:val="24"/>
              </w:rPr>
            </w:pPr>
            <w:r>
              <w:rPr>
                <w:rFonts w:ascii="Times New Roman" w:hAnsi="Times New Roman" w:eastAsia="Times New Roman" w:cs="Times New Roman"/>
                <w:spacing w:val="-1"/>
                <w:sz w:val="24"/>
                <w:szCs w:val="24"/>
              </w:rPr>
              <w:t>r—</w:t>
            </w:r>
            <w:r>
              <w:rPr>
                <w:rFonts w:ascii="宋体" w:hAnsi="宋体" w:eastAsia="宋体" w:cs="宋体"/>
                <w:spacing w:val="-1"/>
                <w:sz w:val="24"/>
                <w:szCs w:val="24"/>
              </w:rPr>
              <w:t>预测点距声源的距离；</w:t>
            </w:r>
          </w:p>
          <w:p w14:paraId="432B0039">
            <w:pPr>
              <w:spacing w:before="182" w:line="219" w:lineRule="auto"/>
              <w:ind w:left="581"/>
              <w:rPr>
                <w:rFonts w:ascii="宋体" w:hAnsi="宋体" w:eastAsia="宋体" w:cs="宋体"/>
                <w:sz w:val="24"/>
                <w:szCs w:val="24"/>
              </w:rPr>
            </w:pPr>
            <w:r>
              <w:rPr>
                <w:rFonts w:ascii="Times New Roman" w:hAnsi="Times New Roman" w:eastAsia="Times New Roman" w:cs="Times New Roman"/>
                <w:spacing w:val="-1"/>
                <w:sz w:val="24"/>
                <w:szCs w:val="24"/>
              </w:rPr>
              <w:t>r</w:t>
            </w:r>
            <w:r>
              <w:rPr>
                <w:rFonts w:ascii="Times New Roman" w:hAnsi="Times New Roman" w:eastAsia="Times New Roman" w:cs="Times New Roman"/>
                <w:spacing w:val="-1"/>
                <w:position w:val="-1"/>
                <w:sz w:val="15"/>
                <w:szCs w:val="15"/>
              </w:rPr>
              <w:t>0</w:t>
            </w:r>
            <w:r>
              <w:rPr>
                <w:rFonts w:ascii="Times New Roman" w:hAnsi="Times New Roman" w:eastAsia="Times New Roman" w:cs="Times New Roman"/>
                <w:spacing w:val="-1"/>
                <w:sz w:val="24"/>
                <w:szCs w:val="24"/>
              </w:rPr>
              <w:t>—</w:t>
            </w:r>
            <w:r>
              <w:rPr>
                <w:rFonts w:ascii="宋体" w:hAnsi="宋体" w:eastAsia="宋体" w:cs="宋体"/>
                <w:spacing w:val="-1"/>
                <w:sz w:val="24"/>
                <w:szCs w:val="24"/>
              </w:rPr>
              <w:t>参考位置距声源的距离；</w:t>
            </w:r>
          </w:p>
          <w:p w14:paraId="135AB387">
            <w:pPr>
              <w:spacing w:before="180" w:line="219" w:lineRule="auto"/>
              <w:ind w:left="592"/>
              <w:rPr>
                <w:rFonts w:ascii="宋体" w:hAnsi="宋体" w:eastAsia="宋体" w:cs="宋体"/>
                <w:sz w:val="24"/>
                <w:szCs w:val="24"/>
              </w:rPr>
            </w:pPr>
            <w:r>
              <w:rPr>
                <w:rFonts w:ascii="宋体" w:hAnsi="宋体" w:eastAsia="宋体" w:cs="宋体"/>
                <w:spacing w:val="-1"/>
                <w:sz w:val="24"/>
                <w:szCs w:val="24"/>
              </w:rPr>
              <w:t>建设项目在各受声点的声源叠加按下列公式计算：</w:t>
            </w:r>
          </w:p>
          <w:p w14:paraId="6E95B68C">
            <w:pPr>
              <w:spacing w:before="239" w:line="656" w:lineRule="exact"/>
              <w:ind w:left="3591"/>
            </w:pPr>
            <w:r>
              <w:rPr>
                <w:position w:val="-13"/>
              </w:rPr>
              <w:drawing>
                <wp:inline distT="0" distB="0" distL="0" distR="0">
                  <wp:extent cx="1398270" cy="415925"/>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134"/>
                          <a:stretch>
                            <a:fillRect/>
                          </a:stretch>
                        </pic:blipFill>
                        <pic:spPr>
                          <a:xfrm>
                            <a:off x="0" y="0"/>
                            <a:ext cx="1398270" cy="416304"/>
                          </a:xfrm>
                          <a:prstGeom prst="rect">
                            <a:avLst/>
                          </a:prstGeom>
                        </pic:spPr>
                      </pic:pic>
                    </a:graphicData>
                  </a:graphic>
                </wp:inline>
              </w:drawing>
            </w:r>
          </w:p>
          <w:p w14:paraId="06C1B0B4">
            <w:pPr>
              <w:spacing w:before="188" w:line="212" w:lineRule="auto"/>
              <w:ind w:left="594"/>
              <w:rPr>
                <w:rFonts w:ascii="Times New Roman" w:hAnsi="Times New Roman" w:eastAsia="Times New Roman" w:cs="Times New Roman"/>
                <w:sz w:val="24"/>
                <w:szCs w:val="24"/>
              </w:rPr>
            </w:pPr>
            <w:r>
              <w:rPr>
                <w:rFonts w:ascii="宋体" w:hAnsi="宋体" w:eastAsia="宋体" w:cs="宋体"/>
                <w:spacing w:val="-2"/>
                <w:sz w:val="24"/>
                <w:szCs w:val="24"/>
              </w:rPr>
              <w:t>式中：</w:t>
            </w:r>
            <w:r>
              <w:rPr>
                <w:rFonts w:ascii="Times New Roman" w:hAnsi="Times New Roman" w:eastAsia="Times New Roman" w:cs="Times New Roman"/>
                <w:spacing w:val="-2"/>
                <w:sz w:val="24"/>
                <w:szCs w:val="24"/>
              </w:rPr>
              <w:t>L</w:t>
            </w:r>
            <w:r>
              <w:rPr>
                <w:rFonts w:ascii="Times New Roman" w:hAnsi="Times New Roman" w:eastAsia="Times New Roman" w:cs="Times New Roman"/>
                <w:spacing w:val="-2"/>
                <w:position w:val="-1"/>
                <w:sz w:val="15"/>
                <w:szCs w:val="15"/>
              </w:rPr>
              <w:t>i</w:t>
            </w:r>
            <w:r>
              <w:rPr>
                <w:rFonts w:ascii="Times New Roman" w:hAnsi="Times New Roman" w:eastAsia="Times New Roman" w:cs="Times New Roman"/>
                <w:spacing w:val="-2"/>
                <w:sz w:val="24"/>
                <w:szCs w:val="24"/>
              </w:rPr>
              <w:t>—</w:t>
            </w:r>
            <w:r>
              <w:rPr>
                <w:rFonts w:ascii="宋体" w:hAnsi="宋体" w:eastAsia="宋体" w:cs="宋体"/>
                <w:spacing w:val="-2"/>
                <w:sz w:val="24"/>
                <w:szCs w:val="24"/>
              </w:rPr>
              <w:t>第</w:t>
            </w:r>
            <w:r>
              <w:rPr>
                <w:rFonts w:ascii="Times New Roman" w:hAnsi="Times New Roman" w:eastAsia="Times New Roman" w:cs="Times New Roman"/>
                <w:spacing w:val="-2"/>
                <w:sz w:val="24"/>
                <w:szCs w:val="24"/>
              </w:rPr>
              <w:t>i</w:t>
            </w:r>
            <w:r>
              <w:rPr>
                <w:rFonts w:ascii="宋体" w:hAnsi="宋体" w:eastAsia="宋体" w:cs="宋体"/>
                <w:spacing w:val="-2"/>
                <w:sz w:val="24"/>
                <w:szCs w:val="24"/>
              </w:rPr>
              <w:t>个声源声值</w:t>
            </w:r>
            <w:r>
              <w:rPr>
                <w:rFonts w:ascii="Times New Roman" w:hAnsi="Times New Roman" w:eastAsia="Times New Roman" w:cs="Times New Roman"/>
                <w:spacing w:val="-2"/>
                <w:sz w:val="24"/>
                <w:szCs w:val="24"/>
              </w:rPr>
              <w:t>;</w:t>
            </w:r>
          </w:p>
          <w:p w14:paraId="19AE709D">
            <w:pPr>
              <w:spacing w:before="193" w:line="189" w:lineRule="auto"/>
              <w:ind w:left="1304"/>
              <w:rPr>
                <w:rFonts w:ascii="宋体" w:hAnsi="宋体" w:eastAsia="宋体" w:cs="宋体"/>
                <w:sz w:val="24"/>
                <w:szCs w:val="24"/>
              </w:rPr>
            </w:pPr>
            <w:r>
              <w:rPr>
                <w:rFonts w:ascii="Times New Roman" w:hAnsi="Times New Roman" w:eastAsia="Times New Roman" w:cs="Times New Roman"/>
                <w:spacing w:val="-1"/>
                <w:sz w:val="24"/>
                <w:szCs w:val="24"/>
              </w:rPr>
              <w:t>L</w:t>
            </w:r>
            <w:r>
              <w:rPr>
                <w:rFonts w:ascii="Times New Roman" w:hAnsi="Times New Roman" w:eastAsia="Times New Roman" w:cs="Times New Roman"/>
                <w:spacing w:val="-1"/>
                <w:position w:val="-1"/>
                <w:sz w:val="15"/>
                <w:szCs w:val="15"/>
              </w:rPr>
              <w:t>p</w:t>
            </w:r>
            <w:r>
              <w:rPr>
                <w:rFonts w:ascii="Times New Roman" w:hAnsi="Times New Roman" w:eastAsia="Times New Roman" w:cs="Times New Roman"/>
                <w:spacing w:val="-1"/>
                <w:sz w:val="24"/>
                <w:szCs w:val="24"/>
              </w:rPr>
              <w:t>—</w:t>
            </w:r>
            <w:r>
              <w:rPr>
                <w:rFonts w:ascii="宋体" w:hAnsi="宋体" w:eastAsia="宋体" w:cs="宋体"/>
                <w:spacing w:val="-1"/>
                <w:sz w:val="24"/>
                <w:szCs w:val="24"/>
              </w:rPr>
              <w:t>某点噪声</w:t>
            </w:r>
            <w:r>
              <w:rPr>
                <w:rFonts w:ascii="微软雅黑" w:hAnsi="微软雅黑" w:eastAsia="微软雅黑" w:cs="微软雅黑"/>
                <w:spacing w:val="-1"/>
                <w:sz w:val="24"/>
                <w:szCs w:val="24"/>
              </w:rPr>
              <w:t>总</w:t>
            </w:r>
            <w:r>
              <w:rPr>
                <w:rFonts w:ascii="宋体" w:hAnsi="宋体" w:eastAsia="宋体" w:cs="宋体"/>
                <w:spacing w:val="-1"/>
                <w:sz w:val="24"/>
                <w:szCs w:val="24"/>
              </w:rPr>
              <w:t>叠加值；</w:t>
            </w:r>
          </w:p>
          <w:p w14:paraId="11EAA7CF">
            <w:pPr>
              <w:spacing w:before="141" w:line="219" w:lineRule="auto"/>
              <w:ind w:left="1301"/>
              <w:rPr>
                <w:rFonts w:ascii="宋体" w:hAnsi="宋体" w:eastAsia="宋体" w:cs="宋体"/>
                <w:sz w:val="24"/>
                <w:szCs w:val="24"/>
              </w:rPr>
            </w:pPr>
            <w:r>
              <w:rPr>
                <w:rFonts w:ascii="Times New Roman" w:hAnsi="Times New Roman" w:eastAsia="Times New Roman" w:cs="Times New Roman"/>
                <w:spacing w:val="-1"/>
                <w:sz w:val="24"/>
                <w:szCs w:val="24"/>
              </w:rPr>
              <w:t>n—</w:t>
            </w:r>
            <w:r>
              <w:rPr>
                <w:rFonts w:ascii="宋体" w:hAnsi="宋体" w:eastAsia="宋体" w:cs="宋体"/>
                <w:spacing w:val="-1"/>
                <w:sz w:val="24"/>
                <w:szCs w:val="24"/>
              </w:rPr>
              <w:t>声源个数。</w:t>
            </w:r>
          </w:p>
          <w:p w14:paraId="26E6EDF8">
            <w:pPr>
              <w:spacing w:before="181" w:line="217" w:lineRule="auto"/>
              <w:ind w:left="587"/>
              <w:rPr>
                <w:rFonts w:ascii="宋体" w:hAnsi="宋体" w:eastAsia="宋体" w:cs="宋体"/>
                <w:sz w:val="24"/>
                <w:szCs w:val="24"/>
              </w:rPr>
            </w:pPr>
            <w:r>
              <w:rPr>
                <w:rFonts w:ascii="宋体" w:hAnsi="宋体" w:eastAsia="宋体" w:cs="宋体"/>
                <w:b/>
                <w:bCs/>
                <w:spacing w:val="-3"/>
                <w:sz w:val="24"/>
                <w:szCs w:val="24"/>
              </w:rPr>
              <w:t>②室内声源预测模式</w:t>
            </w:r>
          </w:p>
          <w:p w14:paraId="28B0171B">
            <w:pPr>
              <w:spacing w:before="185" w:line="219" w:lineRule="auto"/>
              <w:ind w:left="594"/>
              <w:rPr>
                <w:rFonts w:ascii="宋体" w:hAnsi="宋体" w:eastAsia="宋体" w:cs="宋体"/>
                <w:sz w:val="24"/>
                <w:szCs w:val="24"/>
              </w:rPr>
            </w:pPr>
            <w:r>
              <w:rPr>
                <w:rFonts w:ascii="宋体" w:hAnsi="宋体" w:eastAsia="宋体" w:cs="宋体"/>
                <w:spacing w:val="-1"/>
                <w:sz w:val="24"/>
                <w:szCs w:val="24"/>
              </w:rPr>
              <w:t>声源位于室内，室内声原可采用等效室外声源声功率级法进行计算。</w:t>
            </w:r>
          </w:p>
          <w:p w14:paraId="62F1EDB1">
            <w:pPr>
              <w:spacing w:before="138" w:line="323" w:lineRule="exact"/>
              <w:ind w:left="3829"/>
              <w:rPr>
                <w:rFonts w:ascii="宋体" w:hAnsi="宋体" w:eastAsia="宋体" w:cs="宋体"/>
                <w:sz w:val="24"/>
                <w:szCs w:val="24"/>
              </w:rPr>
            </w:pPr>
            <w:r>
              <w:rPr>
                <w:rFonts w:ascii="Times New Roman" w:hAnsi="Times New Roman" w:eastAsia="Times New Roman" w:cs="Times New Roman"/>
                <w:position w:val="1"/>
                <w:sz w:val="24"/>
                <w:szCs w:val="24"/>
              </w:rPr>
              <w:t>L</w:t>
            </w:r>
            <w:r>
              <w:rPr>
                <w:rFonts w:ascii="Times New Roman" w:hAnsi="Times New Roman" w:eastAsia="Times New Roman" w:cs="Times New Roman"/>
                <w:sz w:val="15"/>
                <w:szCs w:val="15"/>
              </w:rPr>
              <w:t>P2</w:t>
            </w:r>
            <w:r>
              <w:rPr>
                <w:rFonts w:ascii="Times New Roman" w:hAnsi="Times New Roman" w:eastAsia="Times New Roman" w:cs="Times New Roman"/>
                <w:position w:val="1"/>
                <w:sz w:val="24"/>
                <w:szCs w:val="24"/>
              </w:rPr>
              <w:t>=L</w:t>
            </w:r>
            <w:r>
              <w:rPr>
                <w:rFonts w:ascii="Times New Roman" w:hAnsi="Times New Roman" w:eastAsia="Times New Roman" w:cs="Times New Roman"/>
                <w:sz w:val="15"/>
                <w:szCs w:val="15"/>
              </w:rPr>
              <w:t>P1</w:t>
            </w:r>
            <w:r>
              <w:rPr>
                <w:rFonts w:ascii="Times New Roman" w:hAnsi="Times New Roman" w:eastAsia="Times New Roman" w:cs="Times New Roman"/>
                <w:position w:val="1"/>
                <w:sz w:val="24"/>
                <w:szCs w:val="24"/>
              </w:rPr>
              <w:t>-</w:t>
            </w:r>
            <w:r>
              <w:rPr>
                <w:rFonts w:ascii="宋体" w:hAnsi="宋体" w:eastAsia="宋体" w:cs="宋体"/>
                <w:position w:val="1"/>
                <w:sz w:val="24"/>
                <w:szCs w:val="24"/>
              </w:rPr>
              <w:t>（</w:t>
            </w:r>
            <w:r>
              <w:rPr>
                <w:rFonts w:ascii="Times New Roman" w:hAnsi="Times New Roman" w:eastAsia="Times New Roman" w:cs="Times New Roman"/>
                <w:position w:val="1"/>
                <w:sz w:val="24"/>
                <w:szCs w:val="24"/>
              </w:rPr>
              <w:t>TL+6</w:t>
            </w:r>
            <w:r>
              <w:rPr>
                <w:rFonts w:ascii="宋体" w:hAnsi="宋体" w:eastAsia="宋体" w:cs="宋体"/>
                <w:position w:val="1"/>
                <w:sz w:val="24"/>
                <w:szCs w:val="24"/>
              </w:rPr>
              <w:t>）</w:t>
            </w:r>
          </w:p>
          <w:p w14:paraId="25893028">
            <w:pPr>
              <w:spacing w:before="189" w:line="219" w:lineRule="auto"/>
              <w:ind w:left="594"/>
              <w:rPr>
                <w:rFonts w:ascii="宋体" w:hAnsi="宋体" w:eastAsia="宋体" w:cs="宋体"/>
                <w:sz w:val="24"/>
                <w:szCs w:val="24"/>
              </w:rPr>
            </w:pPr>
            <w:r>
              <w:rPr>
                <w:rFonts w:ascii="宋体" w:hAnsi="宋体" w:eastAsia="宋体" w:cs="宋体"/>
                <w:sz w:val="24"/>
                <w:szCs w:val="24"/>
              </w:rPr>
              <w:t>式中：</w:t>
            </w:r>
            <w:r>
              <w:rPr>
                <w:rFonts w:ascii="Times New Roman" w:hAnsi="Times New Roman" w:eastAsia="Times New Roman" w:cs="Times New Roman"/>
                <w:sz w:val="24"/>
                <w:szCs w:val="24"/>
              </w:rPr>
              <w:t>L</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position w:val="-1"/>
                <w:sz w:val="15"/>
                <w:szCs w:val="15"/>
              </w:rPr>
              <w:t>P1</w:t>
            </w:r>
            <w:r>
              <w:rPr>
                <w:rFonts w:ascii="Times New Roman" w:hAnsi="Times New Roman" w:eastAsia="Times New Roman" w:cs="Times New Roman"/>
                <w:sz w:val="24"/>
                <w:szCs w:val="24"/>
              </w:rPr>
              <w:t>——</w:t>
            </w:r>
            <w:r>
              <w:rPr>
                <w:rFonts w:ascii="宋体" w:hAnsi="宋体" w:eastAsia="宋体" w:cs="宋体"/>
                <w:sz w:val="24"/>
                <w:szCs w:val="24"/>
              </w:rPr>
              <w:t>靠近开口处（或窗户）室内某</w:t>
            </w:r>
            <w:r>
              <w:rPr>
                <w:rFonts w:ascii="宋体" w:hAnsi="宋体" w:eastAsia="宋体" w:cs="宋体"/>
                <w:spacing w:val="-1"/>
                <w:sz w:val="24"/>
                <w:szCs w:val="24"/>
              </w:rPr>
              <w:t>倍频带的声压级或</w:t>
            </w:r>
            <w:r>
              <w:rPr>
                <w:rFonts w:ascii="宋体" w:hAnsi="宋体" w:eastAsia="宋体" w:cs="宋体"/>
                <w:spacing w:val="-58"/>
                <w:sz w:val="24"/>
                <w:szCs w:val="24"/>
              </w:rPr>
              <w:t xml:space="preserve"> </w:t>
            </w:r>
            <w:r>
              <w:rPr>
                <w:rFonts w:ascii="Times New Roman" w:hAnsi="Times New Roman" w:eastAsia="Times New Roman" w:cs="Times New Roman"/>
                <w:spacing w:val="-1"/>
                <w:sz w:val="24"/>
                <w:szCs w:val="24"/>
              </w:rPr>
              <w:t xml:space="preserve">A </w:t>
            </w:r>
            <w:r>
              <w:rPr>
                <w:rFonts w:ascii="宋体" w:hAnsi="宋体" w:eastAsia="宋体" w:cs="宋体"/>
                <w:spacing w:val="-1"/>
                <w:sz w:val="24"/>
                <w:szCs w:val="24"/>
              </w:rPr>
              <w:t>声级，</w:t>
            </w:r>
            <w:r>
              <w:rPr>
                <w:rFonts w:ascii="Times New Roman" w:hAnsi="Times New Roman" w:eastAsia="Times New Roman" w:cs="Times New Roman"/>
                <w:spacing w:val="-1"/>
                <w:sz w:val="24"/>
                <w:szCs w:val="24"/>
              </w:rPr>
              <w:t>dB</w:t>
            </w:r>
            <w:r>
              <w:rPr>
                <w:rFonts w:ascii="宋体" w:hAnsi="宋体" w:eastAsia="宋体" w:cs="宋体"/>
                <w:spacing w:val="-1"/>
                <w:sz w:val="24"/>
                <w:szCs w:val="24"/>
              </w:rPr>
              <w:t>；</w:t>
            </w:r>
          </w:p>
          <w:p w14:paraId="2CEA5A5F">
            <w:pPr>
              <w:spacing w:before="183" w:line="219" w:lineRule="auto"/>
              <w:ind w:left="584"/>
              <w:rPr>
                <w:rFonts w:ascii="宋体" w:hAnsi="宋体" w:eastAsia="宋体" w:cs="宋体"/>
                <w:sz w:val="24"/>
                <w:szCs w:val="24"/>
              </w:rPr>
            </w:pPr>
            <w:r>
              <w:rPr>
                <w:rFonts w:ascii="Times New Roman" w:hAnsi="Times New Roman" w:eastAsia="Times New Roman" w:cs="Times New Roman"/>
                <w:sz w:val="24"/>
                <w:szCs w:val="24"/>
              </w:rPr>
              <w:t>L</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position w:val="-1"/>
                <w:sz w:val="15"/>
                <w:szCs w:val="15"/>
              </w:rPr>
              <w:t>P2</w:t>
            </w:r>
            <w:r>
              <w:rPr>
                <w:rFonts w:ascii="Times New Roman" w:hAnsi="Times New Roman" w:eastAsia="Times New Roman" w:cs="Times New Roman"/>
                <w:sz w:val="24"/>
                <w:szCs w:val="24"/>
              </w:rPr>
              <w:t>——</w:t>
            </w:r>
            <w:r>
              <w:rPr>
                <w:rFonts w:ascii="宋体" w:hAnsi="宋体" w:eastAsia="宋体" w:cs="宋体"/>
                <w:sz w:val="24"/>
                <w:szCs w:val="24"/>
              </w:rPr>
              <w:t>靠近开口处（或窗户）室外某倍频带的声压级或</w:t>
            </w:r>
            <w:r>
              <w:rPr>
                <w:rFonts w:ascii="宋体" w:hAnsi="宋体" w:eastAsia="宋体" w:cs="宋体"/>
                <w:spacing w:val="-58"/>
                <w:sz w:val="24"/>
                <w:szCs w:val="24"/>
              </w:rPr>
              <w:t xml:space="preserve"> </w:t>
            </w:r>
            <w:r>
              <w:rPr>
                <w:rFonts w:ascii="Times New Roman" w:hAnsi="Times New Roman" w:eastAsia="Times New Roman" w:cs="Times New Roman"/>
                <w:sz w:val="24"/>
                <w:szCs w:val="24"/>
              </w:rPr>
              <w:t>A</w:t>
            </w:r>
            <w:r>
              <w:rPr>
                <w:rFonts w:ascii="Times New Roman" w:hAnsi="Times New Roman" w:eastAsia="Times New Roman" w:cs="Times New Roman"/>
                <w:spacing w:val="-1"/>
                <w:sz w:val="24"/>
                <w:szCs w:val="24"/>
              </w:rPr>
              <w:t xml:space="preserve"> </w:t>
            </w:r>
            <w:r>
              <w:rPr>
                <w:rFonts w:ascii="宋体" w:hAnsi="宋体" w:eastAsia="宋体" w:cs="宋体"/>
                <w:spacing w:val="-1"/>
                <w:sz w:val="24"/>
                <w:szCs w:val="24"/>
              </w:rPr>
              <w:t>声级，</w:t>
            </w:r>
            <w:r>
              <w:rPr>
                <w:rFonts w:ascii="Times New Roman" w:hAnsi="Times New Roman" w:eastAsia="Times New Roman" w:cs="Times New Roman"/>
                <w:spacing w:val="-1"/>
                <w:sz w:val="24"/>
                <w:szCs w:val="24"/>
              </w:rPr>
              <w:t>dB</w:t>
            </w:r>
            <w:r>
              <w:rPr>
                <w:rFonts w:ascii="宋体" w:hAnsi="宋体" w:eastAsia="宋体" w:cs="宋体"/>
                <w:spacing w:val="-1"/>
                <w:sz w:val="24"/>
                <w:szCs w:val="24"/>
              </w:rPr>
              <w:t>；</w:t>
            </w:r>
          </w:p>
          <w:p w14:paraId="0B9A8C31">
            <w:pPr>
              <w:spacing w:before="180" w:line="190" w:lineRule="auto"/>
              <w:ind w:left="587"/>
              <w:rPr>
                <w:rFonts w:ascii="宋体" w:hAnsi="宋体" w:eastAsia="宋体" w:cs="宋体"/>
                <w:sz w:val="24"/>
                <w:szCs w:val="24"/>
              </w:rPr>
            </w:pPr>
            <w:r>
              <w:rPr>
                <w:rFonts w:ascii="Times New Roman" w:hAnsi="Times New Roman" w:eastAsia="Times New Roman" w:cs="Times New Roman"/>
                <w:spacing w:val="-2"/>
                <w:sz w:val="24"/>
                <w:szCs w:val="24"/>
              </w:rPr>
              <w:t>TL——</w:t>
            </w:r>
            <w:r>
              <w:rPr>
                <w:rFonts w:ascii="宋体" w:hAnsi="宋体" w:eastAsia="宋体" w:cs="宋体"/>
                <w:spacing w:val="-2"/>
                <w:sz w:val="24"/>
                <w:szCs w:val="24"/>
              </w:rPr>
              <w:t>隔墙（或窗户）倍频带或</w:t>
            </w:r>
            <w:r>
              <w:rPr>
                <w:rFonts w:ascii="宋体" w:hAnsi="宋体" w:eastAsia="宋体" w:cs="宋体"/>
                <w:spacing w:val="-45"/>
                <w:sz w:val="24"/>
                <w:szCs w:val="24"/>
              </w:rPr>
              <w:t xml:space="preserve"> </w:t>
            </w:r>
            <w:r>
              <w:rPr>
                <w:rFonts w:ascii="Times New Roman" w:hAnsi="Times New Roman" w:eastAsia="Times New Roman" w:cs="Times New Roman"/>
                <w:spacing w:val="-2"/>
                <w:sz w:val="24"/>
                <w:szCs w:val="24"/>
              </w:rPr>
              <w:t xml:space="preserve">A </w:t>
            </w:r>
            <w:r>
              <w:rPr>
                <w:rFonts w:ascii="宋体" w:hAnsi="宋体" w:eastAsia="宋体" w:cs="宋体"/>
                <w:spacing w:val="-2"/>
                <w:sz w:val="24"/>
                <w:szCs w:val="24"/>
              </w:rPr>
              <w:t>声级的隔声</w:t>
            </w:r>
            <w:r>
              <w:rPr>
                <w:rFonts w:ascii="微软雅黑" w:hAnsi="微软雅黑" w:eastAsia="微软雅黑" w:cs="微软雅黑"/>
                <w:spacing w:val="-2"/>
                <w:sz w:val="24"/>
                <w:szCs w:val="24"/>
              </w:rPr>
              <w:t>量</w:t>
            </w:r>
            <w:r>
              <w:rPr>
                <w:rFonts w:ascii="微软雅黑" w:hAnsi="微软雅黑" w:eastAsia="微软雅黑" w:cs="微软雅黑"/>
                <w:spacing w:val="-42"/>
                <w:sz w:val="24"/>
                <w:szCs w:val="24"/>
              </w:rPr>
              <w:t xml:space="preserve"> </w:t>
            </w:r>
            <w:r>
              <w:rPr>
                <w:rFonts w:ascii="宋体" w:hAnsi="宋体" w:eastAsia="宋体" w:cs="宋体"/>
                <w:spacing w:val="-2"/>
                <w:sz w:val="24"/>
                <w:szCs w:val="24"/>
              </w:rPr>
              <w:t>，</w:t>
            </w:r>
            <w:r>
              <w:rPr>
                <w:rFonts w:ascii="Times New Roman" w:hAnsi="Times New Roman" w:eastAsia="Times New Roman" w:cs="Times New Roman"/>
                <w:spacing w:val="-2"/>
                <w:sz w:val="24"/>
                <w:szCs w:val="24"/>
              </w:rPr>
              <w:t>dB</w:t>
            </w:r>
            <w:r>
              <w:rPr>
                <w:rFonts w:ascii="宋体" w:hAnsi="宋体" w:eastAsia="宋体" w:cs="宋体"/>
                <w:spacing w:val="-2"/>
                <w:sz w:val="24"/>
                <w:szCs w:val="24"/>
              </w:rPr>
              <w:t>。</w:t>
            </w:r>
          </w:p>
          <w:p w14:paraId="61982AFF">
            <w:pPr>
              <w:spacing w:before="143" w:line="219" w:lineRule="auto"/>
              <w:ind w:left="594"/>
              <w:rPr>
                <w:rFonts w:ascii="宋体" w:hAnsi="宋体" w:eastAsia="宋体" w:cs="宋体"/>
                <w:sz w:val="24"/>
                <w:szCs w:val="24"/>
              </w:rPr>
            </w:pPr>
            <w:r>
              <w:rPr>
                <w:rFonts w:ascii="宋体" w:hAnsi="宋体" w:eastAsia="宋体" w:cs="宋体"/>
                <w:spacing w:val="-1"/>
                <w:sz w:val="24"/>
                <w:szCs w:val="24"/>
              </w:rPr>
              <w:t>也可按下式计算某一室内声源靠近围护结构处产生的倍频带声压级或</w:t>
            </w:r>
            <w:r>
              <w:rPr>
                <w:rFonts w:ascii="宋体" w:hAnsi="宋体" w:eastAsia="宋体" w:cs="宋体"/>
                <w:spacing w:val="-41"/>
                <w:sz w:val="24"/>
                <w:szCs w:val="24"/>
              </w:rPr>
              <w:t xml:space="preserve"> </w:t>
            </w:r>
            <w:r>
              <w:rPr>
                <w:rFonts w:ascii="Times New Roman" w:hAnsi="Times New Roman" w:eastAsia="Times New Roman" w:cs="Times New Roman"/>
                <w:spacing w:val="-1"/>
                <w:sz w:val="24"/>
                <w:szCs w:val="24"/>
              </w:rPr>
              <w:t xml:space="preserve">A </w:t>
            </w:r>
            <w:r>
              <w:rPr>
                <w:rFonts w:ascii="宋体" w:hAnsi="宋体" w:eastAsia="宋体" w:cs="宋体"/>
                <w:spacing w:val="-1"/>
                <w:sz w:val="24"/>
                <w:szCs w:val="24"/>
              </w:rPr>
              <w:t>声级。</w:t>
            </w:r>
          </w:p>
          <w:p w14:paraId="658716F4">
            <w:pPr>
              <w:spacing w:before="146" w:line="801" w:lineRule="exact"/>
              <w:ind w:firstLine="2927"/>
            </w:pPr>
            <w:r>
              <w:rPr>
                <w:position w:val="-16"/>
              </w:rPr>
              <w:drawing>
                <wp:inline distT="0" distB="0" distL="0" distR="0">
                  <wp:extent cx="2319020" cy="50863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135"/>
                          <a:stretch>
                            <a:fillRect/>
                          </a:stretch>
                        </pic:blipFill>
                        <pic:spPr>
                          <a:xfrm>
                            <a:off x="0" y="0"/>
                            <a:ext cx="2319527" cy="509016"/>
                          </a:xfrm>
                          <a:prstGeom prst="rect">
                            <a:avLst/>
                          </a:prstGeom>
                        </pic:spPr>
                      </pic:pic>
                    </a:graphicData>
                  </a:graphic>
                </wp:inline>
              </w:drawing>
            </w:r>
          </w:p>
          <w:p w14:paraId="6648B416">
            <w:pPr>
              <w:spacing w:before="182" w:line="219" w:lineRule="auto"/>
              <w:ind w:left="594"/>
              <w:rPr>
                <w:rFonts w:ascii="宋体" w:hAnsi="宋体" w:eastAsia="宋体" w:cs="宋体"/>
                <w:sz w:val="24"/>
                <w:szCs w:val="24"/>
              </w:rPr>
            </w:pPr>
            <w:r>
              <w:rPr>
                <w:rFonts w:ascii="宋体" w:hAnsi="宋体" w:eastAsia="宋体" w:cs="宋体"/>
                <w:sz w:val="24"/>
                <w:szCs w:val="24"/>
              </w:rPr>
              <w:t>式中：</w:t>
            </w:r>
            <w:r>
              <w:rPr>
                <w:rFonts w:ascii="Times New Roman" w:hAnsi="Times New Roman" w:eastAsia="Times New Roman" w:cs="Times New Roman"/>
                <w:sz w:val="24"/>
                <w:szCs w:val="24"/>
              </w:rPr>
              <w:t>L</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position w:val="-1"/>
                <w:sz w:val="15"/>
                <w:szCs w:val="15"/>
              </w:rPr>
              <w:t>P1</w:t>
            </w:r>
            <w:r>
              <w:rPr>
                <w:rFonts w:ascii="Times New Roman" w:hAnsi="Times New Roman" w:eastAsia="Times New Roman" w:cs="Times New Roman"/>
                <w:sz w:val="24"/>
                <w:szCs w:val="24"/>
              </w:rPr>
              <w:t>——</w:t>
            </w:r>
            <w:r>
              <w:rPr>
                <w:rFonts w:ascii="宋体" w:hAnsi="宋体" w:eastAsia="宋体" w:cs="宋体"/>
                <w:sz w:val="24"/>
                <w:szCs w:val="24"/>
              </w:rPr>
              <w:t>靠近开口处（或窗户）室内某</w:t>
            </w:r>
            <w:r>
              <w:rPr>
                <w:rFonts w:ascii="宋体" w:hAnsi="宋体" w:eastAsia="宋体" w:cs="宋体"/>
                <w:spacing w:val="-1"/>
                <w:sz w:val="24"/>
                <w:szCs w:val="24"/>
              </w:rPr>
              <w:t>倍频带的声压级或</w:t>
            </w:r>
            <w:r>
              <w:rPr>
                <w:rFonts w:ascii="宋体" w:hAnsi="宋体" w:eastAsia="宋体" w:cs="宋体"/>
                <w:spacing w:val="-58"/>
                <w:sz w:val="24"/>
                <w:szCs w:val="24"/>
              </w:rPr>
              <w:t xml:space="preserve"> </w:t>
            </w:r>
            <w:r>
              <w:rPr>
                <w:rFonts w:ascii="Times New Roman" w:hAnsi="Times New Roman" w:eastAsia="Times New Roman" w:cs="Times New Roman"/>
                <w:spacing w:val="-1"/>
                <w:sz w:val="24"/>
                <w:szCs w:val="24"/>
              </w:rPr>
              <w:t xml:space="preserve">A </w:t>
            </w:r>
            <w:r>
              <w:rPr>
                <w:rFonts w:ascii="宋体" w:hAnsi="宋体" w:eastAsia="宋体" w:cs="宋体"/>
                <w:spacing w:val="-1"/>
                <w:sz w:val="24"/>
                <w:szCs w:val="24"/>
              </w:rPr>
              <w:t>声级，</w:t>
            </w:r>
            <w:r>
              <w:rPr>
                <w:rFonts w:ascii="Times New Roman" w:hAnsi="Times New Roman" w:eastAsia="Times New Roman" w:cs="Times New Roman"/>
                <w:spacing w:val="-1"/>
                <w:sz w:val="24"/>
                <w:szCs w:val="24"/>
              </w:rPr>
              <w:t>dB</w:t>
            </w:r>
            <w:r>
              <w:rPr>
                <w:rFonts w:ascii="宋体" w:hAnsi="宋体" w:eastAsia="宋体" w:cs="宋体"/>
                <w:spacing w:val="-1"/>
                <w:sz w:val="24"/>
                <w:szCs w:val="24"/>
              </w:rPr>
              <w:t>；</w:t>
            </w:r>
          </w:p>
          <w:p w14:paraId="7F9FFA5A">
            <w:pPr>
              <w:spacing w:before="183" w:line="219" w:lineRule="auto"/>
              <w:ind w:left="584"/>
              <w:rPr>
                <w:rFonts w:ascii="宋体" w:hAnsi="宋体" w:eastAsia="宋体" w:cs="宋体"/>
                <w:sz w:val="24"/>
                <w:szCs w:val="24"/>
              </w:rPr>
            </w:pPr>
            <w:r>
              <w:rPr>
                <w:rFonts w:ascii="Times New Roman" w:hAnsi="Times New Roman" w:eastAsia="Times New Roman" w:cs="Times New Roman"/>
                <w:spacing w:val="-1"/>
                <w:sz w:val="24"/>
                <w:szCs w:val="24"/>
              </w:rPr>
              <w:t>L</w:t>
            </w:r>
            <w:r>
              <w:rPr>
                <w:rFonts w:ascii="Times New Roman" w:hAnsi="Times New Roman" w:eastAsia="Times New Roman" w:cs="Times New Roman"/>
                <w:spacing w:val="-1"/>
                <w:position w:val="-1"/>
                <w:sz w:val="15"/>
                <w:szCs w:val="15"/>
              </w:rPr>
              <w:t>w</w:t>
            </w:r>
            <w:r>
              <w:rPr>
                <w:rFonts w:ascii="Times New Roman" w:hAnsi="Times New Roman" w:eastAsia="Times New Roman" w:cs="Times New Roman"/>
                <w:spacing w:val="-1"/>
                <w:sz w:val="24"/>
                <w:szCs w:val="24"/>
              </w:rPr>
              <w:t>——</w:t>
            </w:r>
            <w:r>
              <w:rPr>
                <w:rFonts w:ascii="宋体" w:hAnsi="宋体" w:eastAsia="宋体" w:cs="宋体"/>
                <w:spacing w:val="-1"/>
                <w:sz w:val="24"/>
                <w:szCs w:val="24"/>
              </w:rPr>
              <w:t>点声源声功率级（</w:t>
            </w:r>
            <w:r>
              <w:rPr>
                <w:rFonts w:ascii="Times New Roman" w:hAnsi="Times New Roman" w:eastAsia="Times New Roman" w:cs="Times New Roman"/>
                <w:spacing w:val="-1"/>
                <w:sz w:val="24"/>
                <w:szCs w:val="24"/>
              </w:rPr>
              <w:t xml:space="preserve">A </w:t>
            </w:r>
            <w:r>
              <w:rPr>
                <w:rFonts w:ascii="宋体" w:hAnsi="宋体" w:eastAsia="宋体" w:cs="宋体"/>
                <w:spacing w:val="-1"/>
                <w:sz w:val="24"/>
                <w:szCs w:val="24"/>
              </w:rPr>
              <w:t>计权或倍频带</w:t>
            </w:r>
            <w:r>
              <w:rPr>
                <w:rFonts w:ascii="宋体" w:hAnsi="宋体" w:eastAsia="宋体" w:cs="宋体"/>
                <w:spacing w:val="9"/>
                <w:sz w:val="24"/>
                <w:szCs w:val="24"/>
              </w:rPr>
              <w:t>），</w:t>
            </w:r>
            <w:r>
              <w:rPr>
                <w:rFonts w:ascii="Times New Roman" w:hAnsi="Times New Roman" w:eastAsia="Times New Roman" w:cs="Times New Roman"/>
                <w:spacing w:val="-1"/>
                <w:sz w:val="24"/>
                <w:szCs w:val="24"/>
              </w:rPr>
              <w:t>dB</w:t>
            </w:r>
            <w:r>
              <w:rPr>
                <w:rFonts w:ascii="宋体" w:hAnsi="宋体" w:eastAsia="宋体" w:cs="宋体"/>
                <w:spacing w:val="-1"/>
                <w:sz w:val="24"/>
                <w:szCs w:val="24"/>
              </w:rPr>
              <w:t>；</w:t>
            </w:r>
          </w:p>
          <w:p w14:paraId="11475CA3">
            <w:pPr>
              <w:spacing w:before="181" w:line="212" w:lineRule="auto"/>
              <w:ind w:left="588"/>
              <w:rPr>
                <w:rFonts w:ascii="宋体" w:hAnsi="宋体" w:eastAsia="宋体" w:cs="宋体"/>
                <w:sz w:val="24"/>
                <w:szCs w:val="24"/>
              </w:rPr>
            </w:pPr>
            <w:r>
              <w:rPr>
                <w:rFonts w:ascii="Times New Roman" w:hAnsi="Times New Roman" w:eastAsia="Times New Roman" w:cs="Times New Roman"/>
                <w:spacing w:val="-3"/>
                <w:sz w:val="24"/>
                <w:szCs w:val="24"/>
              </w:rPr>
              <w:t>Q——</w:t>
            </w:r>
            <w:r>
              <w:rPr>
                <w:rFonts w:ascii="宋体" w:hAnsi="宋体" w:eastAsia="宋体" w:cs="宋体"/>
                <w:spacing w:val="-3"/>
                <w:sz w:val="24"/>
                <w:szCs w:val="24"/>
              </w:rPr>
              <w:t>指向性因素；取</w:t>
            </w:r>
            <w:r>
              <w:rPr>
                <w:rFonts w:ascii="宋体" w:hAnsi="宋体" w:eastAsia="宋体" w:cs="宋体"/>
                <w:spacing w:val="-25"/>
                <w:sz w:val="24"/>
                <w:szCs w:val="24"/>
              </w:rPr>
              <w:t xml:space="preserve"> </w:t>
            </w:r>
            <w:r>
              <w:rPr>
                <w:rFonts w:ascii="Times New Roman" w:hAnsi="Times New Roman" w:eastAsia="Times New Roman" w:cs="Times New Roman"/>
                <w:spacing w:val="-3"/>
                <w:sz w:val="24"/>
                <w:szCs w:val="24"/>
              </w:rPr>
              <w:t xml:space="preserve">1 </w:t>
            </w:r>
            <w:r>
              <w:rPr>
                <w:rFonts w:ascii="宋体" w:hAnsi="宋体" w:eastAsia="宋体" w:cs="宋体"/>
                <w:spacing w:val="-3"/>
                <w:sz w:val="24"/>
                <w:szCs w:val="24"/>
              </w:rPr>
              <w:t>计算；</w:t>
            </w:r>
          </w:p>
          <w:p w14:paraId="2574BBBF">
            <w:pPr>
              <w:spacing w:before="146" w:line="354" w:lineRule="auto"/>
              <w:ind w:left="110" w:right="108" w:firstLine="473"/>
              <w:rPr>
                <w:rFonts w:ascii="宋体" w:hAnsi="宋体" w:eastAsia="宋体" w:cs="宋体"/>
                <w:sz w:val="24"/>
                <w:szCs w:val="24"/>
              </w:rPr>
            </w:pPr>
            <w:r>
              <w:rPr>
                <w:rFonts w:ascii="Times New Roman" w:hAnsi="Times New Roman" w:eastAsia="Times New Roman" w:cs="Times New Roman"/>
                <w:spacing w:val="-5"/>
                <w:sz w:val="24"/>
                <w:szCs w:val="24"/>
              </w:rPr>
              <w:t>R——</w:t>
            </w:r>
            <w:r>
              <w:rPr>
                <w:rFonts w:ascii="宋体" w:hAnsi="宋体" w:eastAsia="宋体" w:cs="宋体"/>
                <w:spacing w:val="-5"/>
                <w:sz w:val="24"/>
                <w:szCs w:val="24"/>
              </w:rPr>
              <w:t>房间常数；</w:t>
            </w:r>
            <w:r>
              <w:rPr>
                <w:rFonts w:ascii="Times New Roman" w:hAnsi="Times New Roman" w:eastAsia="Times New Roman" w:cs="Times New Roman"/>
                <w:spacing w:val="-5"/>
                <w:sz w:val="24"/>
                <w:szCs w:val="24"/>
              </w:rPr>
              <w:t>R=Sα/</w:t>
            </w:r>
            <w:r>
              <w:rPr>
                <w:rFonts w:ascii="宋体" w:hAnsi="宋体" w:eastAsia="宋体" w:cs="宋体"/>
                <w:spacing w:val="-5"/>
                <w:sz w:val="24"/>
                <w:szCs w:val="24"/>
              </w:rPr>
              <w:t>（</w:t>
            </w:r>
            <w:r>
              <w:rPr>
                <w:rFonts w:ascii="Times New Roman" w:hAnsi="Times New Roman" w:eastAsia="Times New Roman" w:cs="Times New Roman"/>
                <w:spacing w:val="-5"/>
                <w:sz w:val="24"/>
                <w:szCs w:val="24"/>
              </w:rPr>
              <w:t>1-α</w:t>
            </w:r>
            <w:r>
              <w:rPr>
                <w:rFonts w:ascii="宋体" w:hAnsi="宋体" w:eastAsia="宋体" w:cs="宋体"/>
                <w:spacing w:val="-5"/>
                <w:sz w:val="24"/>
                <w:szCs w:val="24"/>
              </w:rPr>
              <w:t>)</w:t>
            </w:r>
            <w:r>
              <w:rPr>
                <w:rFonts w:ascii="宋体" w:hAnsi="宋体" w:eastAsia="宋体" w:cs="宋体"/>
                <w:spacing w:val="47"/>
                <w:sz w:val="24"/>
                <w:szCs w:val="24"/>
              </w:rPr>
              <w:t xml:space="preserve"> </w:t>
            </w:r>
            <w:r>
              <w:rPr>
                <w:rFonts w:ascii="宋体" w:hAnsi="宋体" w:eastAsia="宋体" w:cs="宋体"/>
                <w:spacing w:val="-5"/>
                <w:sz w:val="24"/>
                <w:szCs w:val="24"/>
              </w:rPr>
              <w:t>,</w:t>
            </w:r>
            <w:r>
              <w:rPr>
                <w:rFonts w:ascii="宋体" w:hAnsi="宋体" w:eastAsia="宋体" w:cs="宋体"/>
                <w:spacing w:val="69"/>
                <w:sz w:val="24"/>
                <w:szCs w:val="24"/>
              </w:rPr>
              <w:t xml:space="preserve"> </w:t>
            </w:r>
            <w:r>
              <w:rPr>
                <w:rFonts w:ascii="Times New Roman" w:hAnsi="Times New Roman" w:eastAsia="Times New Roman" w:cs="Times New Roman"/>
                <w:spacing w:val="-5"/>
                <w:sz w:val="24"/>
                <w:szCs w:val="24"/>
              </w:rPr>
              <w:t xml:space="preserve">S </w:t>
            </w:r>
            <w:r>
              <w:rPr>
                <w:rFonts w:ascii="宋体" w:hAnsi="宋体" w:eastAsia="宋体" w:cs="宋体"/>
                <w:spacing w:val="-5"/>
                <w:sz w:val="24"/>
                <w:szCs w:val="24"/>
              </w:rPr>
              <w:t>为房间内表面面积，</w:t>
            </w:r>
            <w:r>
              <w:rPr>
                <w:rFonts w:ascii="Times New Roman" w:hAnsi="Times New Roman" w:eastAsia="Times New Roman" w:cs="Times New Roman"/>
                <w:spacing w:val="-5"/>
                <w:sz w:val="24"/>
                <w:szCs w:val="24"/>
              </w:rPr>
              <w:t>m</w:t>
            </w:r>
            <w:r>
              <w:rPr>
                <w:rFonts w:ascii="Times New Roman" w:hAnsi="Times New Roman" w:eastAsia="Times New Roman" w:cs="Times New Roman"/>
                <w:spacing w:val="-5"/>
                <w:position w:val="8"/>
                <w:sz w:val="15"/>
                <w:szCs w:val="15"/>
              </w:rPr>
              <w:t>2</w:t>
            </w:r>
            <w:r>
              <w:rPr>
                <w:rFonts w:ascii="Times New Roman" w:hAnsi="Times New Roman" w:eastAsia="Times New Roman" w:cs="Times New Roman"/>
                <w:spacing w:val="-9"/>
                <w:position w:val="8"/>
                <w:sz w:val="15"/>
                <w:szCs w:val="15"/>
              </w:rPr>
              <w:t xml:space="preserve"> </w:t>
            </w:r>
            <w:r>
              <w:rPr>
                <w:rFonts w:ascii="宋体" w:hAnsi="宋体" w:eastAsia="宋体" w:cs="宋体"/>
                <w:spacing w:val="-5"/>
                <w:sz w:val="24"/>
                <w:szCs w:val="24"/>
              </w:rPr>
              <w:t>；</w:t>
            </w:r>
            <w:r>
              <w:rPr>
                <w:rFonts w:ascii="Times New Roman" w:hAnsi="Times New Roman" w:eastAsia="Times New Roman" w:cs="Times New Roman"/>
                <w:spacing w:val="-5"/>
                <w:sz w:val="24"/>
                <w:szCs w:val="24"/>
              </w:rPr>
              <w:t>α</w:t>
            </w:r>
            <w:r>
              <w:rPr>
                <w:rFonts w:ascii="宋体" w:hAnsi="宋体" w:eastAsia="宋体" w:cs="宋体"/>
                <w:spacing w:val="-5"/>
                <w:sz w:val="24"/>
                <w:szCs w:val="24"/>
              </w:rPr>
              <w:t>为平均吸声系数；</w:t>
            </w:r>
            <w:r>
              <w:rPr>
                <w:rFonts w:ascii="宋体" w:hAnsi="宋体" w:eastAsia="宋体" w:cs="宋体"/>
                <w:spacing w:val="-1"/>
                <w:sz w:val="24"/>
                <w:szCs w:val="24"/>
              </w:rPr>
              <w:t>本项目为混凝土水泥墙面，吸声系数取</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 xml:space="preserve">0.018 </w:t>
            </w:r>
            <w:r>
              <w:rPr>
                <w:rFonts w:ascii="宋体" w:hAnsi="宋体" w:eastAsia="宋体" w:cs="宋体"/>
                <w:spacing w:val="-1"/>
                <w:sz w:val="24"/>
                <w:szCs w:val="24"/>
              </w:rPr>
              <w:t>计算；</w:t>
            </w:r>
          </w:p>
          <w:p w14:paraId="574D6A61">
            <w:pPr>
              <w:spacing w:before="60" w:line="220" w:lineRule="auto"/>
              <w:ind w:left="581"/>
              <w:rPr>
                <w:rFonts w:ascii="宋体" w:hAnsi="宋体" w:eastAsia="宋体" w:cs="宋体"/>
                <w:sz w:val="24"/>
                <w:szCs w:val="24"/>
              </w:rPr>
            </w:pPr>
            <w:r>
              <w:rPr>
                <w:rFonts w:ascii="Times New Roman" w:hAnsi="Times New Roman" w:eastAsia="Times New Roman" w:cs="Times New Roman"/>
                <w:spacing w:val="-1"/>
                <w:sz w:val="24"/>
                <w:szCs w:val="24"/>
              </w:rPr>
              <w:t>r——</w:t>
            </w:r>
            <w:r>
              <w:rPr>
                <w:rFonts w:ascii="宋体" w:hAnsi="宋体" w:eastAsia="宋体" w:cs="宋体"/>
                <w:spacing w:val="-1"/>
                <w:sz w:val="24"/>
                <w:szCs w:val="24"/>
              </w:rPr>
              <w:t>声源到靠近围护结构某点处的距离，</w:t>
            </w:r>
            <w:r>
              <w:rPr>
                <w:rFonts w:ascii="Times New Roman" w:hAnsi="Times New Roman" w:eastAsia="Times New Roman" w:cs="Times New Roman"/>
                <w:spacing w:val="-1"/>
                <w:sz w:val="24"/>
                <w:szCs w:val="24"/>
              </w:rPr>
              <w:t>m</w:t>
            </w:r>
            <w:r>
              <w:rPr>
                <w:rFonts w:ascii="宋体" w:hAnsi="宋体" w:eastAsia="宋体" w:cs="宋体"/>
                <w:spacing w:val="-1"/>
                <w:sz w:val="24"/>
                <w:szCs w:val="24"/>
              </w:rPr>
              <w:t>；</w:t>
            </w:r>
          </w:p>
          <w:p w14:paraId="08732E29">
            <w:pPr>
              <w:spacing w:before="182" w:line="219" w:lineRule="auto"/>
              <w:ind w:left="590"/>
              <w:rPr>
                <w:rFonts w:ascii="宋体" w:hAnsi="宋体" w:eastAsia="宋体" w:cs="宋体"/>
                <w:sz w:val="24"/>
                <w:szCs w:val="24"/>
              </w:rPr>
            </w:pPr>
            <w:r>
              <w:rPr>
                <w:rFonts w:ascii="宋体" w:hAnsi="宋体" w:eastAsia="宋体" w:cs="宋体"/>
                <w:spacing w:val="-1"/>
                <w:sz w:val="24"/>
                <w:szCs w:val="24"/>
              </w:rPr>
              <w:t>然后按下式计算出所有室内声源在围护结构处产生的</w:t>
            </w:r>
            <w:r>
              <w:rPr>
                <w:rFonts w:ascii="宋体" w:hAnsi="宋体" w:eastAsia="宋体" w:cs="宋体"/>
                <w:spacing w:val="-40"/>
                <w:sz w:val="24"/>
                <w:szCs w:val="24"/>
              </w:rPr>
              <w:t xml:space="preserve"> </w:t>
            </w:r>
            <w:r>
              <w:rPr>
                <w:rFonts w:ascii="Times New Roman" w:hAnsi="Times New Roman" w:eastAsia="Times New Roman" w:cs="Times New Roman"/>
                <w:spacing w:val="-1"/>
                <w:sz w:val="24"/>
                <w:szCs w:val="24"/>
              </w:rPr>
              <w:t xml:space="preserve">i </w:t>
            </w:r>
            <w:r>
              <w:rPr>
                <w:rFonts w:ascii="宋体" w:hAnsi="宋体" w:eastAsia="宋体" w:cs="宋体"/>
                <w:spacing w:val="-1"/>
                <w:sz w:val="24"/>
                <w:szCs w:val="24"/>
              </w:rPr>
              <w:t>倍频带叠加声压级。</w:t>
            </w:r>
          </w:p>
        </w:tc>
      </w:tr>
    </w:tbl>
    <w:p w14:paraId="0FE54720">
      <w:pPr>
        <w:pStyle w:val="2"/>
      </w:pPr>
    </w:p>
    <w:p w14:paraId="13DFD64E">
      <w:pPr>
        <w:sectPr>
          <w:footerReference r:id="rId99" w:type="default"/>
          <w:pgSz w:w="11906" w:h="16839"/>
          <w:pgMar w:top="400" w:right="1055" w:bottom="1085" w:left="1054" w:header="0" w:footer="762" w:gutter="0"/>
          <w:cols w:space="720" w:num="1"/>
        </w:sectPr>
      </w:pPr>
    </w:p>
    <w:p w14:paraId="6B7D10FB">
      <w:pPr>
        <w:spacing w:before="19"/>
      </w:pPr>
    </w:p>
    <w:p w14:paraId="4CCF74F1">
      <w:pPr>
        <w:spacing w:before="19"/>
      </w:pPr>
    </w:p>
    <w:p w14:paraId="2CA4AC11">
      <w:pPr>
        <w:spacing w:before="19"/>
      </w:pPr>
    </w:p>
    <w:p w14:paraId="536386A6">
      <w:pPr>
        <w:spacing w:before="18"/>
      </w:pPr>
    </w:p>
    <w:p w14:paraId="3192F17D">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00DAF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02" w:hRule="atLeast"/>
        </w:trPr>
        <w:tc>
          <w:tcPr>
            <w:tcW w:w="734" w:type="dxa"/>
            <w:tcBorders>
              <w:right w:val="single" w:color="000000" w:sz="2" w:space="0"/>
            </w:tcBorders>
            <w:vAlign w:val="top"/>
          </w:tcPr>
          <w:p w14:paraId="2EDDC130">
            <w:pPr>
              <w:rPr>
                <w:rFonts w:ascii="Arial"/>
                <w:sz w:val="21"/>
              </w:rPr>
            </w:pPr>
          </w:p>
        </w:tc>
        <w:tc>
          <w:tcPr>
            <w:tcW w:w="9047" w:type="dxa"/>
            <w:tcBorders>
              <w:left w:val="single" w:color="000000" w:sz="2" w:space="0"/>
            </w:tcBorders>
            <w:vAlign w:val="top"/>
          </w:tcPr>
          <w:p w14:paraId="342A7381">
            <w:pPr>
              <w:spacing w:before="4" w:line="886" w:lineRule="exact"/>
              <w:ind w:firstLine="3167"/>
            </w:pPr>
            <w:r>
              <w:rPr>
                <w:position w:val="-17"/>
              </w:rPr>
              <w:drawing>
                <wp:inline distT="0" distB="0" distL="0" distR="0">
                  <wp:extent cx="2019300" cy="561975"/>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136"/>
                          <a:stretch>
                            <a:fillRect/>
                          </a:stretch>
                        </pic:blipFill>
                        <pic:spPr>
                          <a:xfrm>
                            <a:off x="0" y="0"/>
                            <a:ext cx="2019300" cy="562356"/>
                          </a:xfrm>
                          <a:prstGeom prst="rect">
                            <a:avLst/>
                          </a:prstGeom>
                        </pic:spPr>
                      </pic:pic>
                    </a:graphicData>
                  </a:graphic>
                </wp:inline>
              </w:drawing>
            </w:r>
          </w:p>
          <w:p w14:paraId="73AD7422">
            <w:pPr>
              <w:spacing w:before="188" w:line="219" w:lineRule="auto"/>
              <w:jc w:val="right"/>
              <w:rPr>
                <w:rFonts w:ascii="宋体" w:hAnsi="宋体" w:eastAsia="宋体" w:cs="宋体"/>
                <w:sz w:val="24"/>
                <w:szCs w:val="24"/>
              </w:rPr>
            </w:pPr>
            <w:r>
              <w:rPr>
                <w:rFonts w:ascii="宋体" w:hAnsi="宋体" w:eastAsia="宋体" w:cs="宋体"/>
                <w:spacing w:val="-1"/>
                <w:sz w:val="24"/>
                <w:szCs w:val="24"/>
              </w:rPr>
              <w:t>式中：</w:t>
            </w:r>
            <w:r>
              <w:rPr>
                <w:rFonts w:ascii="Times New Roman" w:hAnsi="Times New Roman" w:eastAsia="Times New Roman" w:cs="Times New Roman"/>
                <w:spacing w:val="-1"/>
                <w:sz w:val="24"/>
                <w:szCs w:val="24"/>
              </w:rPr>
              <w:t>L</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pacing w:val="-1"/>
                <w:position w:val="-1"/>
                <w:sz w:val="15"/>
                <w:szCs w:val="15"/>
              </w:rPr>
              <w:t>P1i</w:t>
            </w:r>
            <w:r>
              <w:rPr>
                <w:rFonts w:ascii="宋体" w:hAnsi="宋体" w:eastAsia="宋体" w:cs="宋体"/>
                <w:spacing w:val="-1"/>
                <w:sz w:val="24"/>
                <w:szCs w:val="24"/>
              </w:rPr>
              <w:t>（</w:t>
            </w:r>
            <w:r>
              <w:rPr>
                <w:rFonts w:ascii="Times New Roman" w:hAnsi="Times New Roman" w:eastAsia="Times New Roman" w:cs="Times New Roman"/>
                <w:spacing w:val="-1"/>
                <w:sz w:val="24"/>
                <w:szCs w:val="24"/>
              </w:rPr>
              <w:t>T</w:t>
            </w:r>
            <w:r>
              <w:rPr>
                <w:rFonts w:ascii="宋体" w:hAnsi="宋体" w:eastAsia="宋体" w:cs="宋体"/>
                <w:spacing w:val="-1"/>
                <w:sz w:val="24"/>
                <w:szCs w:val="24"/>
              </w:rPr>
              <w:t>）</w:t>
            </w:r>
            <w:r>
              <w:rPr>
                <w:rFonts w:ascii="Times New Roman" w:hAnsi="Times New Roman" w:eastAsia="Times New Roman" w:cs="Times New Roman"/>
                <w:spacing w:val="-1"/>
                <w:sz w:val="24"/>
                <w:szCs w:val="24"/>
              </w:rPr>
              <w:t>——</w:t>
            </w:r>
            <w:r>
              <w:rPr>
                <w:rFonts w:ascii="宋体" w:hAnsi="宋体" w:eastAsia="宋体" w:cs="宋体"/>
                <w:spacing w:val="-1"/>
                <w:sz w:val="24"/>
                <w:szCs w:val="24"/>
              </w:rPr>
              <w:t>靠近围护结构处室内</w:t>
            </w:r>
            <w:r>
              <w:rPr>
                <w:rFonts w:ascii="Times New Roman" w:hAnsi="Times New Roman" w:eastAsia="Times New Roman" w:cs="Times New Roman"/>
                <w:spacing w:val="-1"/>
                <w:sz w:val="24"/>
                <w:szCs w:val="24"/>
              </w:rPr>
              <w:t xml:space="preserve">N </w:t>
            </w:r>
            <w:r>
              <w:rPr>
                <w:rFonts w:ascii="宋体" w:hAnsi="宋体" w:eastAsia="宋体" w:cs="宋体"/>
                <w:spacing w:val="-1"/>
                <w:sz w:val="24"/>
                <w:szCs w:val="24"/>
              </w:rPr>
              <w:t>个声源</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 xml:space="preserve">i </w:t>
            </w:r>
            <w:r>
              <w:rPr>
                <w:rFonts w:ascii="宋体" w:hAnsi="宋体" w:eastAsia="宋体" w:cs="宋体"/>
                <w:spacing w:val="-1"/>
                <w:sz w:val="24"/>
                <w:szCs w:val="24"/>
              </w:rPr>
              <w:t>倍频带的叠加声压级，</w:t>
            </w:r>
            <w:r>
              <w:rPr>
                <w:rFonts w:ascii="Times New Roman" w:hAnsi="Times New Roman" w:eastAsia="Times New Roman" w:cs="Times New Roman"/>
                <w:spacing w:val="-2"/>
                <w:sz w:val="24"/>
                <w:szCs w:val="24"/>
              </w:rPr>
              <w:t>dB</w:t>
            </w:r>
            <w:r>
              <w:rPr>
                <w:rFonts w:ascii="宋体" w:hAnsi="宋体" w:eastAsia="宋体" w:cs="宋体"/>
                <w:spacing w:val="-2"/>
                <w:sz w:val="24"/>
                <w:szCs w:val="24"/>
              </w:rPr>
              <w:t>；</w:t>
            </w:r>
          </w:p>
          <w:p w14:paraId="3B44F453">
            <w:pPr>
              <w:spacing w:before="180" w:line="212" w:lineRule="auto"/>
              <w:ind w:left="584"/>
              <w:rPr>
                <w:rFonts w:ascii="宋体" w:hAnsi="宋体" w:eastAsia="宋体" w:cs="宋体"/>
                <w:sz w:val="24"/>
                <w:szCs w:val="24"/>
              </w:rPr>
            </w:pPr>
            <w:r>
              <w:rPr>
                <w:rFonts w:ascii="Times New Roman" w:hAnsi="Times New Roman" w:eastAsia="Times New Roman" w:cs="Times New Roman"/>
                <w:sz w:val="24"/>
                <w:szCs w:val="24"/>
              </w:rPr>
              <w:t>L</w:t>
            </w:r>
            <w:r>
              <w:rPr>
                <w:rFonts w:ascii="Times New Roman" w:hAnsi="Times New Roman" w:eastAsia="Times New Roman" w:cs="Times New Roman"/>
                <w:position w:val="-1"/>
                <w:sz w:val="15"/>
                <w:szCs w:val="15"/>
              </w:rPr>
              <w:t>p</w:t>
            </w:r>
            <w:r>
              <w:rPr>
                <w:rFonts w:ascii="Times New Roman" w:hAnsi="Times New Roman" w:eastAsia="Times New Roman" w:cs="Times New Roman"/>
                <w:spacing w:val="2"/>
                <w:position w:val="-1"/>
                <w:sz w:val="15"/>
                <w:szCs w:val="15"/>
              </w:rPr>
              <w:t>1</w:t>
            </w:r>
            <w:r>
              <w:rPr>
                <w:rFonts w:ascii="Times New Roman" w:hAnsi="Times New Roman" w:eastAsia="Times New Roman" w:cs="Times New Roman"/>
                <w:position w:val="-1"/>
                <w:sz w:val="15"/>
                <w:szCs w:val="15"/>
              </w:rPr>
              <w:t>ij</w:t>
            </w:r>
            <w:r>
              <w:rPr>
                <w:rFonts w:ascii="Times New Roman" w:hAnsi="Times New Roman" w:eastAsia="Times New Roman" w:cs="Times New Roman"/>
                <w:spacing w:val="2"/>
                <w:sz w:val="24"/>
                <w:szCs w:val="24"/>
              </w:rPr>
              <w:t>——</w:t>
            </w:r>
            <w:r>
              <w:rPr>
                <w:rFonts w:ascii="宋体" w:hAnsi="宋体" w:eastAsia="宋体" w:cs="宋体"/>
                <w:spacing w:val="2"/>
                <w:sz w:val="24"/>
                <w:szCs w:val="24"/>
              </w:rPr>
              <w:t>室内</w:t>
            </w:r>
            <w:r>
              <w:rPr>
                <w:rFonts w:ascii="Times New Roman" w:hAnsi="Times New Roman" w:eastAsia="Times New Roman" w:cs="Times New Roman"/>
                <w:spacing w:val="2"/>
                <w:sz w:val="24"/>
                <w:szCs w:val="24"/>
              </w:rPr>
              <w:t xml:space="preserve">j </w:t>
            </w:r>
            <w:r>
              <w:rPr>
                <w:rFonts w:ascii="宋体" w:hAnsi="宋体" w:eastAsia="宋体" w:cs="宋体"/>
                <w:spacing w:val="2"/>
                <w:sz w:val="24"/>
                <w:szCs w:val="24"/>
              </w:rPr>
              <w:t>声源</w:t>
            </w:r>
            <w:r>
              <w:rPr>
                <w:rFonts w:ascii="宋体" w:hAnsi="宋体" w:eastAsia="宋体" w:cs="宋体"/>
                <w:spacing w:val="-39"/>
                <w:sz w:val="24"/>
                <w:szCs w:val="24"/>
              </w:rPr>
              <w:t xml:space="preserve"> </w:t>
            </w:r>
            <w:r>
              <w:rPr>
                <w:rFonts w:ascii="Times New Roman" w:hAnsi="Times New Roman" w:eastAsia="Times New Roman" w:cs="Times New Roman"/>
                <w:spacing w:val="2"/>
                <w:sz w:val="24"/>
                <w:szCs w:val="24"/>
              </w:rPr>
              <w:t xml:space="preserve">i </w:t>
            </w:r>
            <w:r>
              <w:rPr>
                <w:rFonts w:ascii="宋体" w:hAnsi="宋体" w:eastAsia="宋体" w:cs="宋体"/>
                <w:spacing w:val="2"/>
                <w:sz w:val="24"/>
                <w:szCs w:val="24"/>
              </w:rPr>
              <w:t>倍频带的声压级，</w:t>
            </w:r>
            <w:r>
              <w:rPr>
                <w:rFonts w:ascii="Times New Roman" w:hAnsi="Times New Roman" w:eastAsia="Times New Roman" w:cs="Times New Roman"/>
                <w:sz w:val="24"/>
                <w:szCs w:val="24"/>
              </w:rPr>
              <w:t>dB</w:t>
            </w:r>
            <w:r>
              <w:rPr>
                <w:rFonts w:ascii="宋体" w:hAnsi="宋体" w:eastAsia="宋体" w:cs="宋体"/>
                <w:spacing w:val="2"/>
                <w:sz w:val="24"/>
                <w:szCs w:val="24"/>
              </w:rPr>
              <w:t>；</w:t>
            </w:r>
          </w:p>
          <w:p w14:paraId="4FC0B76A">
            <w:pPr>
              <w:spacing w:before="192" w:line="190" w:lineRule="auto"/>
              <w:ind w:left="577"/>
              <w:rPr>
                <w:rFonts w:ascii="宋体" w:hAnsi="宋体" w:eastAsia="宋体" w:cs="宋体"/>
                <w:sz w:val="24"/>
                <w:szCs w:val="24"/>
              </w:rPr>
            </w:pPr>
            <w:r>
              <w:rPr>
                <w:rFonts w:ascii="Times New Roman" w:hAnsi="Times New Roman" w:eastAsia="Times New Roman" w:cs="Times New Roman"/>
                <w:sz w:val="24"/>
                <w:szCs w:val="24"/>
              </w:rPr>
              <w:t>N——</w:t>
            </w:r>
            <w:r>
              <w:rPr>
                <w:rFonts w:ascii="宋体" w:hAnsi="宋体" w:eastAsia="宋体" w:cs="宋体"/>
                <w:sz w:val="24"/>
                <w:szCs w:val="24"/>
              </w:rPr>
              <w:t>室内声源</w:t>
            </w:r>
            <w:r>
              <w:rPr>
                <w:rFonts w:ascii="微软雅黑" w:hAnsi="微软雅黑" w:eastAsia="微软雅黑" w:cs="微软雅黑"/>
                <w:sz w:val="24"/>
                <w:szCs w:val="24"/>
              </w:rPr>
              <w:t>总</w:t>
            </w:r>
            <w:r>
              <w:rPr>
                <w:rFonts w:ascii="宋体" w:hAnsi="宋体" w:eastAsia="宋体" w:cs="宋体"/>
                <w:sz w:val="24"/>
                <w:szCs w:val="24"/>
              </w:rPr>
              <w:t>数。</w:t>
            </w:r>
          </w:p>
          <w:p w14:paraId="0B0231EE">
            <w:pPr>
              <w:spacing w:before="140" w:line="219" w:lineRule="auto"/>
              <w:ind w:left="588"/>
              <w:rPr>
                <w:rFonts w:ascii="宋体" w:hAnsi="宋体" w:eastAsia="宋体" w:cs="宋体"/>
                <w:sz w:val="24"/>
                <w:szCs w:val="24"/>
              </w:rPr>
            </w:pPr>
            <w:r>
              <w:rPr>
                <w:rFonts w:ascii="宋体" w:hAnsi="宋体" w:eastAsia="宋体" w:cs="宋体"/>
                <w:sz w:val="24"/>
                <w:szCs w:val="24"/>
              </w:rPr>
              <w:t>在室内近似为扩散声场时，按下式计算出靠近室外</w:t>
            </w:r>
            <w:r>
              <w:rPr>
                <w:rFonts w:ascii="宋体" w:hAnsi="宋体" w:eastAsia="宋体" w:cs="宋体"/>
                <w:spacing w:val="-1"/>
                <w:sz w:val="24"/>
                <w:szCs w:val="24"/>
              </w:rPr>
              <w:t>围护结构处的声压级：</w:t>
            </w:r>
          </w:p>
          <w:p w14:paraId="311035B4">
            <w:pPr>
              <w:spacing w:before="120" w:line="323" w:lineRule="exact"/>
              <w:ind w:left="3613"/>
              <w:rPr>
                <w:rFonts w:ascii="Times New Roman" w:hAnsi="Times New Roman" w:eastAsia="Times New Roman" w:cs="Times New Roman"/>
                <w:sz w:val="24"/>
                <w:szCs w:val="24"/>
              </w:rPr>
            </w:pPr>
            <w:r>
              <w:rPr>
                <w:rFonts w:ascii="Times New Roman" w:hAnsi="Times New Roman" w:eastAsia="Times New Roman" w:cs="Times New Roman"/>
                <w:position w:val="4"/>
                <w:sz w:val="24"/>
                <w:szCs w:val="24"/>
              </w:rPr>
              <w:t>L</w:t>
            </w:r>
            <w:r>
              <w:rPr>
                <w:rFonts w:ascii="Times New Roman" w:hAnsi="Times New Roman" w:eastAsia="Times New Roman" w:cs="Times New Roman"/>
                <w:position w:val="3"/>
                <w:sz w:val="15"/>
                <w:szCs w:val="15"/>
              </w:rPr>
              <w:t>p2i</w:t>
            </w:r>
            <w:r>
              <w:rPr>
                <w:rFonts w:ascii="Times New Roman" w:hAnsi="Times New Roman" w:eastAsia="Times New Roman" w:cs="Times New Roman"/>
                <w:position w:val="4"/>
                <w:sz w:val="24"/>
                <w:szCs w:val="24"/>
              </w:rPr>
              <w:t>(T)= L</w:t>
            </w:r>
            <w:r>
              <w:rPr>
                <w:rFonts w:ascii="Times New Roman" w:hAnsi="Times New Roman" w:eastAsia="Times New Roman" w:cs="Times New Roman"/>
                <w:position w:val="3"/>
                <w:sz w:val="15"/>
                <w:szCs w:val="15"/>
              </w:rPr>
              <w:t>pli</w:t>
            </w:r>
            <w:r>
              <w:rPr>
                <w:rFonts w:ascii="Times New Roman" w:hAnsi="Times New Roman" w:eastAsia="Times New Roman" w:cs="Times New Roman"/>
                <w:position w:val="4"/>
                <w:sz w:val="24"/>
                <w:szCs w:val="24"/>
              </w:rPr>
              <w:t>(T)-(TL</w:t>
            </w:r>
            <w:r>
              <w:rPr>
                <w:rFonts w:ascii="Times New Roman" w:hAnsi="Times New Roman" w:eastAsia="Times New Roman" w:cs="Times New Roman"/>
                <w:position w:val="3"/>
                <w:sz w:val="15"/>
                <w:szCs w:val="15"/>
              </w:rPr>
              <w:t>i</w:t>
            </w:r>
            <w:r>
              <w:rPr>
                <w:rFonts w:ascii="Times New Roman" w:hAnsi="Times New Roman" w:eastAsia="Times New Roman" w:cs="Times New Roman"/>
                <w:position w:val="4"/>
                <w:sz w:val="24"/>
                <w:szCs w:val="24"/>
              </w:rPr>
              <w:t>+6)</w:t>
            </w:r>
          </w:p>
          <w:p w14:paraId="23A6D590">
            <w:pPr>
              <w:spacing w:before="153" w:line="218" w:lineRule="auto"/>
              <w:ind w:left="594"/>
              <w:rPr>
                <w:rFonts w:ascii="宋体" w:hAnsi="宋体" w:eastAsia="宋体" w:cs="宋体"/>
                <w:sz w:val="24"/>
                <w:szCs w:val="24"/>
              </w:rPr>
            </w:pPr>
            <w:r>
              <w:rPr>
                <w:rFonts w:ascii="宋体" w:hAnsi="宋体" w:eastAsia="宋体" w:cs="宋体"/>
                <w:sz w:val="24"/>
                <w:szCs w:val="24"/>
              </w:rPr>
              <w:t>式中：</w:t>
            </w:r>
            <w:r>
              <w:rPr>
                <w:rFonts w:ascii="Times New Roman" w:hAnsi="Times New Roman" w:eastAsia="Times New Roman" w:cs="Times New Roman"/>
                <w:sz w:val="24"/>
                <w:szCs w:val="24"/>
              </w:rPr>
              <w:t>L</w:t>
            </w:r>
            <w:r>
              <w:rPr>
                <w:rFonts w:ascii="Times New Roman" w:hAnsi="Times New Roman" w:eastAsia="Times New Roman" w:cs="Times New Roman"/>
                <w:position w:val="-1"/>
                <w:sz w:val="15"/>
                <w:szCs w:val="15"/>
              </w:rPr>
              <w:t>2pi</w:t>
            </w:r>
            <w:r>
              <w:rPr>
                <w:rFonts w:ascii="宋体" w:hAnsi="宋体" w:eastAsia="宋体" w:cs="宋体"/>
                <w:sz w:val="24"/>
                <w:szCs w:val="24"/>
              </w:rPr>
              <w:t>（</w:t>
            </w:r>
            <w:r>
              <w:rPr>
                <w:rFonts w:ascii="Times New Roman" w:hAnsi="Times New Roman" w:eastAsia="Times New Roman" w:cs="Times New Roman"/>
                <w:sz w:val="24"/>
                <w:szCs w:val="24"/>
              </w:rPr>
              <w:t>T</w:t>
            </w:r>
            <w:r>
              <w:rPr>
                <w:rFonts w:ascii="宋体" w:hAnsi="宋体" w:eastAsia="宋体" w:cs="宋体"/>
                <w:sz w:val="24"/>
                <w:szCs w:val="24"/>
              </w:rPr>
              <w:t>）</w:t>
            </w:r>
            <w:r>
              <w:rPr>
                <w:rFonts w:ascii="Times New Roman" w:hAnsi="Times New Roman" w:eastAsia="Times New Roman" w:cs="Times New Roman"/>
                <w:sz w:val="24"/>
                <w:szCs w:val="24"/>
              </w:rPr>
              <w:t>—</w:t>
            </w:r>
            <w:r>
              <w:rPr>
                <w:rFonts w:ascii="宋体" w:hAnsi="宋体" w:eastAsia="宋体" w:cs="宋体"/>
                <w:sz w:val="24"/>
                <w:szCs w:val="24"/>
              </w:rPr>
              <w:t>靠近围护结构处室外</w:t>
            </w:r>
            <w:r>
              <w:rPr>
                <w:rFonts w:ascii="宋体" w:hAnsi="宋体" w:eastAsia="宋体" w:cs="宋体"/>
                <w:spacing w:val="-63"/>
                <w:sz w:val="24"/>
                <w:szCs w:val="24"/>
              </w:rPr>
              <w:t xml:space="preserve"> </w:t>
            </w:r>
            <w:r>
              <w:rPr>
                <w:rFonts w:ascii="Times New Roman" w:hAnsi="Times New Roman" w:eastAsia="Times New Roman" w:cs="Times New Roman"/>
                <w:sz w:val="24"/>
                <w:szCs w:val="24"/>
              </w:rPr>
              <w:t xml:space="preserve">N </w:t>
            </w:r>
            <w:r>
              <w:rPr>
                <w:rFonts w:ascii="宋体" w:hAnsi="宋体" w:eastAsia="宋体" w:cs="宋体"/>
                <w:sz w:val="24"/>
                <w:szCs w:val="24"/>
              </w:rPr>
              <w:t>个声源</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 xml:space="preserve">i </w:t>
            </w:r>
            <w:r>
              <w:rPr>
                <w:rFonts w:ascii="宋体" w:hAnsi="宋体" w:eastAsia="宋体" w:cs="宋体"/>
                <w:spacing w:val="-1"/>
                <w:sz w:val="24"/>
                <w:szCs w:val="24"/>
              </w:rPr>
              <w:t>倍频带的叠加声压级，</w:t>
            </w:r>
            <w:r>
              <w:rPr>
                <w:rFonts w:ascii="Times New Roman" w:hAnsi="Times New Roman" w:eastAsia="Times New Roman" w:cs="Times New Roman"/>
                <w:spacing w:val="-1"/>
                <w:sz w:val="24"/>
                <w:szCs w:val="24"/>
              </w:rPr>
              <w:t>dB</w:t>
            </w:r>
            <w:r>
              <w:rPr>
                <w:rFonts w:ascii="宋体" w:hAnsi="宋体" w:eastAsia="宋体" w:cs="宋体"/>
                <w:spacing w:val="-1"/>
                <w:sz w:val="24"/>
                <w:szCs w:val="24"/>
              </w:rPr>
              <w:t>；</w:t>
            </w:r>
          </w:p>
          <w:p w14:paraId="07F7CD8C">
            <w:pPr>
              <w:spacing w:before="184" w:line="218" w:lineRule="auto"/>
              <w:ind w:left="584"/>
              <w:rPr>
                <w:rFonts w:ascii="宋体" w:hAnsi="宋体" w:eastAsia="宋体" w:cs="宋体"/>
                <w:sz w:val="24"/>
                <w:szCs w:val="24"/>
              </w:rPr>
            </w:pPr>
            <w:r>
              <w:rPr>
                <w:rFonts w:ascii="Times New Roman" w:hAnsi="Times New Roman" w:eastAsia="Times New Roman" w:cs="Times New Roman"/>
                <w:sz w:val="24"/>
                <w:szCs w:val="24"/>
              </w:rPr>
              <w:t>L</w:t>
            </w:r>
            <w:r>
              <w:rPr>
                <w:rFonts w:ascii="Times New Roman" w:hAnsi="Times New Roman" w:eastAsia="Times New Roman" w:cs="Times New Roman"/>
                <w:position w:val="-1"/>
                <w:sz w:val="15"/>
                <w:szCs w:val="15"/>
              </w:rPr>
              <w:t>1pi</w:t>
            </w:r>
            <w:r>
              <w:rPr>
                <w:rFonts w:ascii="宋体" w:hAnsi="宋体" w:eastAsia="宋体" w:cs="宋体"/>
                <w:spacing w:val="2"/>
                <w:sz w:val="24"/>
                <w:szCs w:val="24"/>
              </w:rPr>
              <w:t>（</w:t>
            </w:r>
            <w:r>
              <w:rPr>
                <w:rFonts w:ascii="Times New Roman" w:hAnsi="Times New Roman" w:eastAsia="Times New Roman" w:cs="Times New Roman"/>
                <w:spacing w:val="2"/>
                <w:sz w:val="24"/>
                <w:szCs w:val="24"/>
              </w:rPr>
              <w:t>T</w:t>
            </w:r>
            <w:r>
              <w:rPr>
                <w:rFonts w:ascii="宋体" w:hAnsi="宋体" w:eastAsia="宋体" w:cs="宋体"/>
                <w:spacing w:val="2"/>
                <w:sz w:val="24"/>
                <w:szCs w:val="24"/>
              </w:rPr>
              <w:t>）</w:t>
            </w:r>
            <w:r>
              <w:rPr>
                <w:rFonts w:ascii="Times New Roman" w:hAnsi="Times New Roman" w:eastAsia="Times New Roman" w:cs="Times New Roman"/>
                <w:spacing w:val="2"/>
                <w:sz w:val="24"/>
                <w:szCs w:val="24"/>
              </w:rPr>
              <w:t>—</w:t>
            </w:r>
            <w:r>
              <w:rPr>
                <w:rFonts w:ascii="宋体" w:hAnsi="宋体" w:eastAsia="宋体" w:cs="宋体"/>
                <w:spacing w:val="2"/>
                <w:sz w:val="24"/>
                <w:szCs w:val="24"/>
              </w:rPr>
              <w:t>靠近围护结构处室内</w:t>
            </w:r>
            <w:r>
              <w:rPr>
                <w:rFonts w:ascii="Times New Roman" w:hAnsi="Times New Roman" w:eastAsia="Times New Roman" w:cs="Times New Roman"/>
                <w:spacing w:val="2"/>
                <w:sz w:val="24"/>
                <w:szCs w:val="24"/>
              </w:rPr>
              <w:t xml:space="preserve">N </w:t>
            </w:r>
            <w:r>
              <w:rPr>
                <w:rFonts w:ascii="宋体" w:hAnsi="宋体" w:eastAsia="宋体" w:cs="宋体"/>
                <w:spacing w:val="2"/>
                <w:sz w:val="24"/>
                <w:szCs w:val="24"/>
              </w:rPr>
              <w:t>个声源</w:t>
            </w:r>
            <w:r>
              <w:rPr>
                <w:rFonts w:ascii="宋体" w:hAnsi="宋体" w:eastAsia="宋体" w:cs="宋体"/>
                <w:spacing w:val="-53"/>
                <w:sz w:val="24"/>
                <w:szCs w:val="24"/>
              </w:rPr>
              <w:t xml:space="preserve"> </w:t>
            </w:r>
            <w:r>
              <w:rPr>
                <w:rFonts w:ascii="Times New Roman" w:hAnsi="Times New Roman" w:eastAsia="Times New Roman" w:cs="Times New Roman"/>
                <w:spacing w:val="2"/>
                <w:sz w:val="24"/>
                <w:szCs w:val="24"/>
              </w:rPr>
              <w:t xml:space="preserve">i </w:t>
            </w:r>
            <w:r>
              <w:rPr>
                <w:rFonts w:ascii="宋体" w:hAnsi="宋体" w:eastAsia="宋体" w:cs="宋体"/>
                <w:spacing w:val="1"/>
                <w:sz w:val="24"/>
                <w:szCs w:val="24"/>
              </w:rPr>
              <w:t>倍频带的叠加声压级，</w:t>
            </w:r>
            <w:r>
              <w:rPr>
                <w:rFonts w:ascii="Times New Roman" w:hAnsi="Times New Roman" w:eastAsia="Times New Roman" w:cs="Times New Roman"/>
                <w:sz w:val="24"/>
                <w:szCs w:val="24"/>
              </w:rPr>
              <w:t>dB</w:t>
            </w:r>
            <w:r>
              <w:rPr>
                <w:rFonts w:ascii="宋体" w:hAnsi="宋体" w:eastAsia="宋体" w:cs="宋体"/>
                <w:spacing w:val="1"/>
                <w:sz w:val="24"/>
                <w:szCs w:val="24"/>
              </w:rPr>
              <w:t>；</w:t>
            </w:r>
          </w:p>
          <w:p w14:paraId="0C2E9428">
            <w:pPr>
              <w:spacing w:before="184" w:line="190" w:lineRule="auto"/>
              <w:ind w:left="587"/>
              <w:rPr>
                <w:rFonts w:ascii="宋体" w:hAnsi="宋体" w:eastAsia="宋体" w:cs="宋体"/>
                <w:sz w:val="24"/>
                <w:szCs w:val="24"/>
              </w:rPr>
            </w:pPr>
            <w:r>
              <w:rPr>
                <w:rFonts w:ascii="Times New Roman" w:hAnsi="Times New Roman" w:eastAsia="Times New Roman" w:cs="Times New Roman"/>
                <w:spacing w:val="-2"/>
                <w:sz w:val="24"/>
                <w:szCs w:val="24"/>
              </w:rPr>
              <w:t>TL</w:t>
            </w:r>
            <w:r>
              <w:rPr>
                <w:rFonts w:ascii="Times New Roman" w:hAnsi="Times New Roman" w:eastAsia="Times New Roman" w:cs="Times New Roman"/>
                <w:spacing w:val="-2"/>
                <w:position w:val="-1"/>
                <w:sz w:val="15"/>
                <w:szCs w:val="15"/>
              </w:rPr>
              <w:t>i</w:t>
            </w:r>
            <w:r>
              <w:rPr>
                <w:rFonts w:ascii="Times New Roman" w:hAnsi="Times New Roman" w:eastAsia="Times New Roman" w:cs="Times New Roman"/>
                <w:spacing w:val="-2"/>
                <w:sz w:val="24"/>
                <w:szCs w:val="24"/>
              </w:rPr>
              <w:t>——</w:t>
            </w:r>
            <w:r>
              <w:rPr>
                <w:rFonts w:ascii="宋体" w:hAnsi="宋体" w:eastAsia="宋体" w:cs="宋体"/>
                <w:spacing w:val="-2"/>
                <w:sz w:val="24"/>
                <w:szCs w:val="24"/>
              </w:rPr>
              <w:t>围护结构</w:t>
            </w:r>
            <w:r>
              <w:rPr>
                <w:rFonts w:ascii="宋体" w:hAnsi="宋体" w:eastAsia="宋体" w:cs="宋体"/>
                <w:spacing w:val="-53"/>
                <w:sz w:val="24"/>
                <w:szCs w:val="24"/>
              </w:rPr>
              <w:t xml:space="preserve"> </w:t>
            </w:r>
            <w:r>
              <w:rPr>
                <w:rFonts w:ascii="Times New Roman" w:hAnsi="Times New Roman" w:eastAsia="Times New Roman" w:cs="Times New Roman"/>
                <w:spacing w:val="-2"/>
                <w:sz w:val="24"/>
                <w:szCs w:val="24"/>
              </w:rPr>
              <w:t xml:space="preserve">i </w:t>
            </w:r>
            <w:r>
              <w:rPr>
                <w:rFonts w:ascii="宋体" w:hAnsi="宋体" w:eastAsia="宋体" w:cs="宋体"/>
                <w:spacing w:val="-2"/>
                <w:sz w:val="24"/>
                <w:szCs w:val="24"/>
              </w:rPr>
              <w:t>倍频带的隔声</w:t>
            </w:r>
            <w:r>
              <w:rPr>
                <w:rFonts w:ascii="微软雅黑" w:hAnsi="微软雅黑" w:eastAsia="微软雅黑" w:cs="微软雅黑"/>
                <w:spacing w:val="-2"/>
                <w:sz w:val="24"/>
                <w:szCs w:val="24"/>
              </w:rPr>
              <w:t>量</w:t>
            </w:r>
            <w:r>
              <w:rPr>
                <w:rFonts w:ascii="微软雅黑" w:hAnsi="微软雅黑" w:eastAsia="微软雅黑" w:cs="微软雅黑"/>
                <w:spacing w:val="-42"/>
                <w:sz w:val="24"/>
                <w:szCs w:val="24"/>
              </w:rPr>
              <w:t xml:space="preserve"> </w:t>
            </w:r>
            <w:r>
              <w:rPr>
                <w:rFonts w:ascii="宋体" w:hAnsi="宋体" w:eastAsia="宋体" w:cs="宋体"/>
                <w:spacing w:val="-2"/>
                <w:sz w:val="24"/>
                <w:szCs w:val="24"/>
              </w:rPr>
              <w:t>，</w:t>
            </w:r>
            <w:r>
              <w:rPr>
                <w:rFonts w:ascii="Times New Roman" w:hAnsi="Times New Roman" w:eastAsia="Times New Roman" w:cs="Times New Roman"/>
                <w:spacing w:val="-2"/>
                <w:sz w:val="24"/>
                <w:szCs w:val="24"/>
              </w:rPr>
              <w:t>d</w:t>
            </w:r>
            <w:r>
              <w:rPr>
                <w:rFonts w:ascii="Times New Roman" w:hAnsi="Times New Roman" w:eastAsia="Times New Roman" w:cs="Times New Roman"/>
                <w:spacing w:val="-3"/>
                <w:sz w:val="24"/>
                <w:szCs w:val="24"/>
              </w:rPr>
              <w:t>B</w:t>
            </w:r>
            <w:r>
              <w:rPr>
                <w:rFonts w:ascii="宋体" w:hAnsi="宋体" w:eastAsia="宋体" w:cs="宋体"/>
                <w:spacing w:val="-3"/>
                <w:sz w:val="24"/>
                <w:szCs w:val="24"/>
              </w:rPr>
              <w:t>。</w:t>
            </w:r>
          </w:p>
          <w:p w14:paraId="35983A5B">
            <w:pPr>
              <w:spacing w:before="140" w:line="335" w:lineRule="auto"/>
              <w:ind w:left="109" w:right="102" w:firstLine="480"/>
              <w:rPr>
                <w:rFonts w:ascii="宋体" w:hAnsi="宋体" w:eastAsia="宋体" w:cs="宋体"/>
                <w:sz w:val="24"/>
                <w:szCs w:val="24"/>
              </w:rPr>
            </w:pPr>
            <w:r>
              <w:rPr>
                <w:rFonts w:ascii="宋体" w:hAnsi="宋体" w:eastAsia="宋体" w:cs="宋体"/>
                <w:spacing w:val="-2"/>
                <w:sz w:val="24"/>
                <w:szCs w:val="24"/>
              </w:rPr>
              <w:t>然后按下式将室外声源的声压级和透过面积换算成等效的室外声源，计算出中心</w:t>
            </w:r>
            <w:r>
              <w:rPr>
                <w:rFonts w:ascii="宋体" w:hAnsi="宋体" w:eastAsia="宋体" w:cs="宋体"/>
                <w:spacing w:val="-1"/>
                <w:sz w:val="24"/>
                <w:szCs w:val="24"/>
              </w:rPr>
              <w:t>位置位于透声面积（</w:t>
            </w:r>
            <w:r>
              <w:rPr>
                <w:rFonts w:ascii="Times New Roman" w:hAnsi="Times New Roman" w:eastAsia="Times New Roman" w:cs="Times New Roman"/>
                <w:spacing w:val="-1"/>
                <w:sz w:val="24"/>
                <w:szCs w:val="24"/>
              </w:rPr>
              <w:t>S</w:t>
            </w:r>
            <w:r>
              <w:rPr>
                <w:rFonts w:ascii="宋体" w:hAnsi="宋体" w:eastAsia="宋体" w:cs="宋体"/>
                <w:spacing w:val="-1"/>
                <w:sz w:val="24"/>
                <w:szCs w:val="24"/>
              </w:rPr>
              <w:t>）处的等效声源的倍频带声功率级。</w:t>
            </w:r>
          </w:p>
          <w:p w14:paraId="1138B162">
            <w:pPr>
              <w:spacing w:line="323" w:lineRule="exact"/>
              <w:ind w:left="3817"/>
              <w:rPr>
                <w:rFonts w:ascii="Times New Roman" w:hAnsi="Times New Roman" w:eastAsia="Times New Roman" w:cs="Times New Roman"/>
                <w:sz w:val="24"/>
                <w:szCs w:val="24"/>
              </w:rPr>
            </w:pPr>
            <w:r>
              <w:rPr>
                <w:rFonts w:ascii="Times New Roman" w:hAnsi="Times New Roman" w:eastAsia="Times New Roman" w:cs="Times New Roman"/>
                <w:spacing w:val="-2"/>
                <w:position w:val="4"/>
                <w:sz w:val="24"/>
                <w:szCs w:val="24"/>
              </w:rPr>
              <w:t>L</w:t>
            </w:r>
            <w:r>
              <w:rPr>
                <w:rFonts w:ascii="Times New Roman" w:hAnsi="Times New Roman" w:eastAsia="Times New Roman" w:cs="Times New Roman"/>
                <w:spacing w:val="-2"/>
                <w:position w:val="3"/>
                <w:sz w:val="15"/>
                <w:szCs w:val="15"/>
              </w:rPr>
              <w:t>w</w:t>
            </w:r>
            <w:r>
              <w:rPr>
                <w:rFonts w:ascii="Times New Roman" w:hAnsi="Times New Roman" w:eastAsia="Times New Roman" w:cs="Times New Roman"/>
                <w:spacing w:val="29"/>
                <w:w w:val="101"/>
                <w:position w:val="3"/>
                <w:sz w:val="15"/>
                <w:szCs w:val="15"/>
              </w:rPr>
              <w:t xml:space="preserve"> </w:t>
            </w:r>
            <w:r>
              <w:rPr>
                <w:rFonts w:ascii="Times New Roman" w:hAnsi="Times New Roman" w:eastAsia="Times New Roman" w:cs="Times New Roman"/>
                <w:spacing w:val="-2"/>
                <w:position w:val="4"/>
                <w:sz w:val="24"/>
                <w:szCs w:val="24"/>
              </w:rPr>
              <w:t>=L</w:t>
            </w:r>
            <w:r>
              <w:rPr>
                <w:rFonts w:ascii="Times New Roman" w:hAnsi="Times New Roman" w:eastAsia="Times New Roman" w:cs="Times New Roman"/>
                <w:spacing w:val="-2"/>
                <w:position w:val="3"/>
                <w:sz w:val="15"/>
                <w:szCs w:val="15"/>
              </w:rPr>
              <w:t>P2</w:t>
            </w:r>
            <w:r>
              <w:rPr>
                <w:rFonts w:ascii="Times New Roman" w:hAnsi="Times New Roman" w:eastAsia="Times New Roman" w:cs="Times New Roman"/>
                <w:spacing w:val="-2"/>
                <w:position w:val="4"/>
                <w:sz w:val="24"/>
                <w:szCs w:val="24"/>
              </w:rPr>
              <w:t>(T) +</w:t>
            </w:r>
            <w:r>
              <w:rPr>
                <w:rFonts w:ascii="Times New Roman" w:hAnsi="Times New Roman" w:eastAsia="Times New Roman" w:cs="Times New Roman"/>
                <w:spacing w:val="27"/>
                <w:position w:val="4"/>
                <w:sz w:val="24"/>
                <w:szCs w:val="24"/>
              </w:rPr>
              <w:t xml:space="preserve"> </w:t>
            </w:r>
            <w:r>
              <w:rPr>
                <w:rFonts w:ascii="Times New Roman" w:hAnsi="Times New Roman" w:eastAsia="Times New Roman" w:cs="Times New Roman"/>
                <w:spacing w:val="-2"/>
                <w:position w:val="4"/>
                <w:sz w:val="24"/>
                <w:szCs w:val="24"/>
              </w:rPr>
              <w:t>10lgS</w:t>
            </w:r>
          </w:p>
          <w:p w14:paraId="09F25BE9">
            <w:pPr>
              <w:spacing w:before="153" w:line="219" w:lineRule="auto"/>
              <w:ind w:left="594"/>
              <w:rPr>
                <w:rFonts w:ascii="宋体" w:hAnsi="宋体" w:eastAsia="宋体" w:cs="宋体"/>
                <w:sz w:val="24"/>
                <w:szCs w:val="24"/>
              </w:rPr>
            </w:pPr>
            <w:r>
              <w:rPr>
                <w:rFonts w:ascii="宋体" w:hAnsi="宋体" w:eastAsia="宋体" w:cs="宋体"/>
                <w:sz w:val="24"/>
                <w:szCs w:val="24"/>
              </w:rPr>
              <w:t>式中：</w:t>
            </w:r>
            <w:r>
              <w:rPr>
                <w:rFonts w:ascii="Times New Roman" w:hAnsi="Times New Roman" w:eastAsia="Times New Roman" w:cs="Times New Roman"/>
                <w:sz w:val="24"/>
                <w:szCs w:val="24"/>
              </w:rPr>
              <w:t>L</w:t>
            </w:r>
            <w:r>
              <w:rPr>
                <w:rFonts w:ascii="Times New Roman" w:hAnsi="Times New Roman" w:eastAsia="Times New Roman" w:cs="Times New Roman"/>
                <w:position w:val="-1"/>
                <w:sz w:val="15"/>
                <w:szCs w:val="15"/>
              </w:rPr>
              <w:t>w</w:t>
            </w:r>
            <w:r>
              <w:rPr>
                <w:rFonts w:ascii="Times New Roman" w:hAnsi="Times New Roman" w:eastAsia="Times New Roman" w:cs="Times New Roman"/>
                <w:spacing w:val="18"/>
                <w:w w:val="102"/>
                <w:position w:val="-1"/>
                <w:sz w:val="15"/>
                <w:szCs w:val="15"/>
              </w:rPr>
              <w:t xml:space="preserve"> </w:t>
            </w:r>
            <w:r>
              <w:rPr>
                <w:rFonts w:ascii="Times New Roman" w:hAnsi="Times New Roman" w:eastAsia="Times New Roman" w:cs="Times New Roman"/>
                <w:sz w:val="24"/>
                <w:szCs w:val="24"/>
              </w:rPr>
              <w:t>—</w:t>
            </w:r>
            <w:r>
              <w:rPr>
                <w:rFonts w:ascii="宋体" w:hAnsi="宋体" w:eastAsia="宋体" w:cs="宋体"/>
                <w:sz w:val="24"/>
                <w:szCs w:val="24"/>
              </w:rPr>
              <w:t>中心位置位于透声面积（</w:t>
            </w:r>
            <w:r>
              <w:rPr>
                <w:rFonts w:ascii="Times New Roman" w:hAnsi="Times New Roman" w:eastAsia="Times New Roman" w:cs="Times New Roman"/>
                <w:sz w:val="24"/>
                <w:szCs w:val="24"/>
              </w:rPr>
              <w:t>S</w:t>
            </w:r>
            <w:r>
              <w:rPr>
                <w:rFonts w:ascii="宋体" w:hAnsi="宋体" w:eastAsia="宋体" w:cs="宋体"/>
                <w:sz w:val="24"/>
                <w:szCs w:val="24"/>
              </w:rPr>
              <w:t>）处的等效声源的倍频</w:t>
            </w:r>
            <w:r>
              <w:rPr>
                <w:rFonts w:ascii="宋体" w:hAnsi="宋体" w:eastAsia="宋体" w:cs="宋体"/>
                <w:spacing w:val="-1"/>
                <w:sz w:val="24"/>
                <w:szCs w:val="24"/>
              </w:rPr>
              <w:t>带声功率级，</w:t>
            </w:r>
            <w:r>
              <w:rPr>
                <w:rFonts w:ascii="Times New Roman" w:hAnsi="Times New Roman" w:eastAsia="Times New Roman" w:cs="Times New Roman"/>
                <w:spacing w:val="-1"/>
                <w:sz w:val="24"/>
                <w:szCs w:val="24"/>
              </w:rPr>
              <w:t>dB</w:t>
            </w:r>
            <w:r>
              <w:rPr>
                <w:rFonts w:ascii="宋体" w:hAnsi="宋体" w:eastAsia="宋体" w:cs="宋体"/>
                <w:spacing w:val="-1"/>
                <w:sz w:val="24"/>
                <w:szCs w:val="24"/>
              </w:rPr>
              <w:t>；</w:t>
            </w:r>
          </w:p>
          <w:p w14:paraId="77D2527F">
            <w:pPr>
              <w:spacing w:before="183" w:line="212" w:lineRule="auto"/>
              <w:ind w:left="584"/>
              <w:rPr>
                <w:rFonts w:ascii="宋体" w:hAnsi="宋体" w:eastAsia="宋体" w:cs="宋体"/>
                <w:sz w:val="24"/>
                <w:szCs w:val="24"/>
              </w:rPr>
            </w:pPr>
            <w:r>
              <w:rPr>
                <w:rFonts w:ascii="Times New Roman" w:hAnsi="Times New Roman" w:eastAsia="Times New Roman" w:cs="Times New Roman"/>
                <w:spacing w:val="-1"/>
                <w:sz w:val="24"/>
                <w:szCs w:val="24"/>
              </w:rPr>
              <w:t>L</w:t>
            </w:r>
            <w:r>
              <w:rPr>
                <w:rFonts w:ascii="Times New Roman" w:hAnsi="Times New Roman" w:eastAsia="Times New Roman" w:cs="Times New Roman"/>
                <w:spacing w:val="-1"/>
                <w:position w:val="-1"/>
                <w:sz w:val="15"/>
                <w:szCs w:val="15"/>
              </w:rPr>
              <w:t>p2</w:t>
            </w:r>
            <w:r>
              <w:rPr>
                <w:rFonts w:ascii="Times New Roman" w:hAnsi="Times New Roman" w:eastAsia="Times New Roman" w:cs="Times New Roman"/>
                <w:spacing w:val="46"/>
                <w:w w:val="101"/>
                <w:position w:val="-1"/>
                <w:sz w:val="15"/>
                <w:szCs w:val="15"/>
              </w:rPr>
              <w:t xml:space="preserve"> </w:t>
            </w:r>
            <w:r>
              <w:rPr>
                <w:rFonts w:ascii="Times New Roman" w:hAnsi="Times New Roman" w:eastAsia="Times New Roman" w:cs="Times New Roman"/>
                <w:spacing w:val="-1"/>
                <w:sz w:val="24"/>
                <w:szCs w:val="24"/>
              </w:rPr>
              <w:t>(T)—</w:t>
            </w:r>
            <w:r>
              <w:rPr>
                <w:rFonts w:ascii="宋体" w:hAnsi="宋体" w:eastAsia="宋体" w:cs="宋体"/>
                <w:spacing w:val="-1"/>
                <w:sz w:val="24"/>
                <w:szCs w:val="24"/>
              </w:rPr>
              <w:t>靠近围护结构处室外声源的声压级，</w:t>
            </w:r>
            <w:r>
              <w:rPr>
                <w:rFonts w:ascii="Times New Roman" w:hAnsi="Times New Roman" w:eastAsia="Times New Roman" w:cs="Times New Roman"/>
                <w:spacing w:val="-1"/>
                <w:sz w:val="24"/>
                <w:szCs w:val="24"/>
              </w:rPr>
              <w:t>dB</w:t>
            </w:r>
            <w:r>
              <w:rPr>
                <w:rFonts w:ascii="宋体" w:hAnsi="宋体" w:eastAsia="宋体" w:cs="宋体"/>
                <w:spacing w:val="-1"/>
                <w:sz w:val="24"/>
                <w:szCs w:val="24"/>
              </w:rPr>
              <w:t>；</w:t>
            </w:r>
          </w:p>
          <w:p w14:paraId="3D518BD3">
            <w:pPr>
              <w:spacing w:before="192" w:line="220" w:lineRule="auto"/>
              <w:ind w:left="595"/>
              <w:rPr>
                <w:rFonts w:ascii="宋体" w:hAnsi="宋体" w:eastAsia="宋体" w:cs="宋体"/>
                <w:sz w:val="24"/>
                <w:szCs w:val="24"/>
              </w:rPr>
            </w:pPr>
            <w:r>
              <w:rPr>
                <w:rFonts w:ascii="Times New Roman" w:hAnsi="Times New Roman" w:eastAsia="Times New Roman" w:cs="Times New Roman"/>
                <w:spacing w:val="-2"/>
                <w:sz w:val="24"/>
                <w:szCs w:val="24"/>
              </w:rPr>
              <w:t>S—</w:t>
            </w:r>
            <w:r>
              <w:rPr>
                <w:rFonts w:ascii="宋体" w:hAnsi="宋体" w:eastAsia="宋体" w:cs="宋体"/>
                <w:spacing w:val="-2"/>
                <w:sz w:val="24"/>
                <w:szCs w:val="24"/>
              </w:rPr>
              <w:t>透声面积，</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2"/>
                <w:position w:val="7"/>
                <w:sz w:val="15"/>
                <w:szCs w:val="15"/>
              </w:rPr>
              <w:t>2</w:t>
            </w:r>
            <w:r>
              <w:rPr>
                <w:rFonts w:ascii="宋体" w:hAnsi="宋体" w:eastAsia="宋体" w:cs="宋体"/>
                <w:spacing w:val="-2"/>
                <w:sz w:val="24"/>
                <w:szCs w:val="24"/>
              </w:rPr>
              <w:t>。</w:t>
            </w:r>
          </w:p>
          <w:p w14:paraId="347A2DA6">
            <w:pPr>
              <w:spacing w:before="180" w:line="219" w:lineRule="auto"/>
              <w:ind w:left="590"/>
              <w:rPr>
                <w:rFonts w:ascii="宋体" w:hAnsi="宋体" w:eastAsia="宋体" w:cs="宋体"/>
                <w:sz w:val="24"/>
                <w:szCs w:val="24"/>
              </w:rPr>
            </w:pPr>
            <w:r>
              <w:rPr>
                <w:rFonts w:ascii="宋体" w:hAnsi="宋体" w:eastAsia="宋体" w:cs="宋体"/>
                <w:spacing w:val="-1"/>
                <w:sz w:val="24"/>
                <w:szCs w:val="24"/>
              </w:rPr>
              <w:t>然后按室外声源预测方法计算预测点处的</w:t>
            </w:r>
            <w:r>
              <w:rPr>
                <w:rFonts w:ascii="宋体" w:hAnsi="宋体" w:eastAsia="宋体" w:cs="宋体"/>
                <w:spacing w:val="-49"/>
                <w:sz w:val="24"/>
                <w:szCs w:val="24"/>
              </w:rPr>
              <w:t xml:space="preserve"> </w:t>
            </w:r>
            <w:r>
              <w:rPr>
                <w:rFonts w:ascii="Times New Roman" w:hAnsi="Times New Roman" w:eastAsia="Times New Roman" w:cs="Times New Roman"/>
                <w:spacing w:val="-1"/>
                <w:sz w:val="24"/>
                <w:szCs w:val="24"/>
              </w:rPr>
              <w:t xml:space="preserve">A </w:t>
            </w:r>
            <w:r>
              <w:rPr>
                <w:rFonts w:ascii="宋体" w:hAnsi="宋体" w:eastAsia="宋体" w:cs="宋体"/>
                <w:spacing w:val="-1"/>
                <w:sz w:val="24"/>
                <w:szCs w:val="24"/>
              </w:rPr>
              <w:t>声级。</w:t>
            </w:r>
          </w:p>
          <w:p w14:paraId="4D8779C9">
            <w:pPr>
              <w:spacing w:before="183" w:line="217" w:lineRule="auto"/>
              <w:ind w:left="587"/>
              <w:rPr>
                <w:rFonts w:ascii="宋体" w:hAnsi="宋体" w:eastAsia="宋体" w:cs="宋体"/>
                <w:sz w:val="24"/>
                <w:szCs w:val="24"/>
              </w:rPr>
            </w:pPr>
            <w:r>
              <w:rPr>
                <w:rFonts w:ascii="宋体" w:hAnsi="宋体" w:eastAsia="宋体" w:cs="宋体"/>
                <w:b/>
                <w:bCs/>
                <w:spacing w:val="-3"/>
                <w:sz w:val="24"/>
                <w:szCs w:val="24"/>
              </w:rPr>
              <w:t>③工业企业噪声计算</w:t>
            </w:r>
          </w:p>
          <w:p w14:paraId="5DA62BE1">
            <w:pPr>
              <w:spacing w:before="183" w:line="346" w:lineRule="auto"/>
              <w:ind w:left="111" w:right="102" w:firstLine="478"/>
              <w:rPr>
                <w:rFonts w:ascii="宋体" w:hAnsi="宋体" w:eastAsia="宋体" w:cs="宋体"/>
                <w:sz w:val="24"/>
                <w:szCs w:val="24"/>
              </w:rPr>
            </w:pPr>
            <w:r>
              <w:rPr>
                <w:rFonts w:ascii="宋体" w:hAnsi="宋体" w:eastAsia="宋体" w:cs="宋体"/>
                <w:spacing w:val="-3"/>
                <w:sz w:val="24"/>
                <w:szCs w:val="24"/>
              </w:rPr>
              <w:t>根据《环境影响评价技术导则 声环境》（</w:t>
            </w:r>
            <w:r>
              <w:rPr>
                <w:rFonts w:ascii="Times New Roman" w:hAnsi="Times New Roman" w:eastAsia="Times New Roman" w:cs="Times New Roman"/>
                <w:spacing w:val="-3"/>
                <w:sz w:val="24"/>
                <w:szCs w:val="24"/>
              </w:rPr>
              <w:t>HJ2.4-2021</w:t>
            </w:r>
            <w:r>
              <w:rPr>
                <w:rFonts w:ascii="宋体" w:hAnsi="宋体" w:eastAsia="宋体" w:cs="宋体"/>
                <w:spacing w:val="-3"/>
                <w:sz w:val="24"/>
                <w:szCs w:val="24"/>
              </w:rPr>
              <w:t>）附录</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B</w:t>
            </w:r>
            <w:r>
              <w:rPr>
                <w:rFonts w:ascii="Times New Roman" w:hAnsi="Times New Roman" w:eastAsia="Times New Roman" w:cs="Times New Roman"/>
                <w:spacing w:val="-30"/>
                <w:sz w:val="24"/>
                <w:szCs w:val="24"/>
              </w:rPr>
              <w:t xml:space="preserve"> </w:t>
            </w:r>
            <w:r>
              <w:rPr>
                <w:rFonts w:ascii="宋体" w:hAnsi="宋体" w:eastAsia="宋体" w:cs="宋体"/>
                <w:spacing w:val="-3"/>
                <w:sz w:val="24"/>
                <w:szCs w:val="24"/>
              </w:rPr>
              <w:t>，工业企业噪声计</w:t>
            </w:r>
            <w:r>
              <w:rPr>
                <w:rFonts w:ascii="宋体" w:hAnsi="宋体" w:eastAsia="宋体" w:cs="宋体"/>
                <w:spacing w:val="-2"/>
                <w:sz w:val="24"/>
                <w:szCs w:val="24"/>
              </w:rPr>
              <w:t>算公式如下：</w:t>
            </w:r>
          </w:p>
          <w:p w14:paraId="27796319">
            <w:pPr>
              <w:spacing w:line="897" w:lineRule="exact"/>
              <w:ind w:firstLine="2296"/>
            </w:pPr>
            <w:r>
              <w:rPr>
                <w:position w:val="-17"/>
              </w:rPr>
              <w:drawing>
                <wp:inline distT="0" distB="0" distL="0" distR="0">
                  <wp:extent cx="3124200" cy="569595"/>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137"/>
                          <a:stretch>
                            <a:fillRect/>
                          </a:stretch>
                        </pic:blipFill>
                        <pic:spPr>
                          <a:xfrm>
                            <a:off x="0" y="0"/>
                            <a:ext cx="3124200" cy="569976"/>
                          </a:xfrm>
                          <a:prstGeom prst="rect">
                            <a:avLst/>
                          </a:prstGeom>
                        </pic:spPr>
                      </pic:pic>
                    </a:graphicData>
                  </a:graphic>
                </wp:inline>
              </w:drawing>
            </w:r>
          </w:p>
          <w:p w14:paraId="53F31AC2">
            <w:pPr>
              <w:spacing w:before="176" w:line="351" w:lineRule="auto"/>
              <w:ind w:left="587" w:right="1867" w:firstLine="6"/>
              <w:rPr>
                <w:rFonts w:ascii="宋体" w:hAnsi="宋体" w:eastAsia="宋体" w:cs="宋体"/>
                <w:sz w:val="24"/>
                <w:szCs w:val="24"/>
              </w:rPr>
            </w:pPr>
            <w:r>
              <w:rPr>
                <w:rFonts w:ascii="宋体" w:hAnsi="宋体" w:eastAsia="宋体" w:cs="宋体"/>
                <w:spacing w:val="-2"/>
                <w:sz w:val="24"/>
                <w:szCs w:val="24"/>
              </w:rPr>
              <w:t>式中：</w:t>
            </w:r>
            <w:r>
              <w:rPr>
                <w:rFonts w:ascii="Times New Roman" w:hAnsi="Times New Roman" w:eastAsia="Times New Roman" w:cs="Times New Roman"/>
                <w:spacing w:val="-2"/>
                <w:sz w:val="24"/>
                <w:szCs w:val="24"/>
              </w:rPr>
              <w:t>L</w:t>
            </w:r>
            <w:r>
              <w:rPr>
                <w:rFonts w:ascii="Times New Roman" w:hAnsi="Times New Roman" w:eastAsia="Times New Roman" w:cs="Times New Roman"/>
                <w:spacing w:val="-2"/>
                <w:position w:val="-1"/>
                <w:sz w:val="15"/>
                <w:szCs w:val="15"/>
              </w:rPr>
              <w:t>eqg</w:t>
            </w:r>
            <w:r>
              <w:rPr>
                <w:rFonts w:ascii="Times New Roman" w:hAnsi="Times New Roman" w:eastAsia="Times New Roman" w:cs="Times New Roman"/>
                <w:spacing w:val="-2"/>
                <w:sz w:val="24"/>
                <w:szCs w:val="24"/>
              </w:rPr>
              <w:t>——</w:t>
            </w:r>
            <w:r>
              <w:rPr>
                <w:rFonts w:ascii="宋体" w:hAnsi="宋体" w:eastAsia="宋体" w:cs="宋体"/>
                <w:spacing w:val="-2"/>
                <w:sz w:val="24"/>
                <w:szCs w:val="24"/>
              </w:rPr>
              <w:t>建设项目声源在预测点产生的噪</w:t>
            </w:r>
            <w:r>
              <w:rPr>
                <w:rFonts w:ascii="宋体" w:hAnsi="宋体" w:eastAsia="宋体" w:cs="宋体"/>
                <w:spacing w:val="-3"/>
                <w:sz w:val="24"/>
                <w:szCs w:val="24"/>
              </w:rPr>
              <w:t>声贡献值，</w:t>
            </w:r>
            <w:r>
              <w:rPr>
                <w:rFonts w:ascii="Times New Roman" w:hAnsi="Times New Roman" w:eastAsia="Times New Roman" w:cs="Times New Roman"/>
                <w:spacing w:val="-3"/>
                <w:sz w:val="24"/>
                <w:szCs w:val="24"/>
              </w:rPr>
              <w:t>dB</w:t>
            </w:r>
            <w:r>
              <w:rPr>
                <w:rFonts w:ascii="宋体" w:hAnsi="宋体" w:eastAsia="宋体" w:cs="宋体"/>
                <w:spacing w:val="-3"/>
                <w:sz w:val="24"/>
                <w:szCs w:val="24"/>
              </w:rPr>
              <w:t>；</w:t>
            </w:r>
            <w:r>
              <w:rPr>
                <w:rFonts w:ascii="宋体" w:hAnsi="宋体" w:eastAsia="宋体" w:cs="宋体"/>
                <w:sz w:val="24"/>
                <w:szCs w:val="24"/>
              </w:rPr>
              <w:t xml:space="preserve"> </w:t>
            </w:r>
            <w:r>
              <w:rPr>
                <w:rFonts w:ascii="Times New Roman" w:hAnsi="Times New Roman" w:eastAsia="Times New Roman" w:cs="Times New Roman"/>
                <w:spacing w:val="-1"/>
                <w:sz w:val="24"/>
                <w:szCs w:val="24"/>
              </w:rPr>
              <w:t>T——</w:t>
            </w:r>
            <w:r>
              <w:rPr>
                <w:rFonts w:ascii="宋体" w:hAnsi="宋体" w:eastAsia="宋体" w:cs="宋体"/>
                <w:spacing w:val="-1"/>
                <w:sz w:val="24"/>
                <w:szCs w:val="24"/>
              </w:rPr>
              <w:t>用于计算等效声级的时间，</w:t>
            </w:r>
            <w:r>
              <w:rPr>
                <w:rFonts w:ascii="Times New Roman" w:hAnsi="Times New Roman" w:eastAsia="Times New Roman" w:cs="Times New Roman"/>
                <w:spacing w:val="-1"/>
                <w:sz w:val="24"/>
                <w:szCs w:val="24"/>
              </w:rPr>
              <w:t>s</w:t>
            </w:r>
            <w:r>
              <w:rPr>
                <w:rFonts w:ascii="宋体" w:hAnsi="宋体" w:eastAsia="宋体" w:cs="宋体"/>
                <w:spacing w:val="-1"/>
                <w:sz w:val="24"/>
                <w:szCs w:val="24"/>
              </w:rPr>
              <w:t>；</w:t>
            </w:r>
          </w:p>
          <w:p w14:paraId="20FFAE7E">
            <w:pPr>
              <w:spacing w:before="22" w:line="219" w:lineRule="auto"/>
              <w:ind w:left="577"/>
              <w:rPr>
                <w:rFonts w:ascii="宋体" w:hAnsi="宋体" w:eastAsia="宋体" w:cs="宋体"/>
                <w:sz w:val="24"/>
                <w:szCs w:val="24"/>
              </w:rPr>
            </w:pPr>
            <w:r>
              <w:rPr>
                <w:rFonts w:ascii="Times New Roman" w:hAnsi="Times New Roman" w:eastAsia="Times New Roman" w:cs="Times New Roman"/>
                <w:sz w:val="24"/>
                <w:szCs w:val="24"/>
              </w:rPr>
              <w:t>N——</w:t>
            </w:r>
            <w:r>
              <w:rPr>
                <w:rFonts w:ascii="宋体" w:hAnsi="宋体" w:eastAsia="宋体" w:cs="宋体"/>
                <w:sz w:val="24"/>
                <w:szCs w:val="24"/>
              </w:rPr>
              <w:t>室外声源个数；</w:t>
            </w:r>
          </w:p>
          <w:p w14:paraId="01ED619C">
            <w:pPr>
              <w:spacing w:before="181" w:line="219" w:lineRule="auto"/>
              <w:ind w:left="582"/>
              <w:rPr>
                <w:rFonts w:ascii="宋体" w:hAnsi="宋体" w:eastAsia="宋体" w:cs="宋体"/>
                <w:sz w:val="24"/>
                <w:szCs w:val="24"/>
              </w:rPr>
            </w:pPr>
            <w:r>
              <w:rPr>
                <w:rFonts w:ascii="Times New Roman" w:hAnsi="Times New Roman" w:eastAsia="Times New Roman" w:cs="Times New Roman"/>
                <w:spacing w:val="-3"/>
                <w:sz w:val="24"/>
                <w:szCs w:val="24"/>
              </w:rPr>
              <w:t>ti——</w:t>
            </w:r>
            <w:r>
              <w:rPr>
                <w:rFonts w:ascii="宋体" w:hAnsi="宋体" w:eastAsia="宋体" w:cs="宋体"/>
                <w:spacing w:val="-3"/>
                <w:sz w:val="24"/>
                <w:szCs w:val="24"/>
              </w:rPr>
              <w:t>在</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T</w:t>
            </w:r>
            <w:r>
              <w:rPr>
                <w:rFonts w:ascii="Times New Roman" w:hAnsi="Times New Roman" w:eastAsia="Times New Roman" w:cs="Times New Roman"/>
                <w:spacing w:val="20"/>
                <w:w w:val="101"/>
                <w:sz w:val="24"/>
                <w:szCs w:val="24"/>
              </w:rPr>
              <w:t xml:space="preserve"> </w:t>
            </w:r>
            <w:r>
              <w:rPr>
                <w:rFonts w:ascii="宋体" w:hAnsi="宋体" w:eastAsia="宋体" w:cs="宋体"/>
                <w:spacing w:val="-3"/>
                <w:sz w:val="24"/>
                <w:szCs w:val="24"/>
              </w:rPr>
              <w:t>时间内</w:t>
            </w:r>
            <w:r>
              <w:rPr>
                <w:rFonts w:ascii="宋体" w:hAnsi="宋体" w:eastAsia="宋体" w:cs="宋体"/>
                <w:spacing w:val="-53"/>
                <w:sz w:val="24"/>
                <w:szCs w:val="24"/>
              </w:rPr>
              <w:t xml:space="preserve"> </w:t>
            </w:r>
            <w:r>
              <w:rPr>
                <w:rFonts w:ascii="Times New Roman" w:hAnsi="Times New Roman" w:eastAsia="Times New Roman" w:cs="Times New Roman"/>
                <w:spacing w:val="-3"/>
                <w:sz w:val="24"/>
                <w:szCs w:val="24"/>
              </w:rPr>
              <w:t>i</w:t>
            </w:r>
            <w:r>
              <w:rPr>
                <w:rFonts w:ascii="Times New Roman" w:hAnsi="Times New Roman" w:eastAsia="Times New Roman" w:cs="Times New Roman"/>
                <w:spacing w:val="14"/>
                <w:sz w:val="24"/>
                <w:szCs w:val="24"/>
              </w:rPr>
              <w:t xml:space="preserve"> </w:t>
            </w:r>
            <w:r>
              <w:rPr>
                <w:rFonts w:ascii="宋体" w:hAnsi="宋体" w:eastAsia="宋体" w:cs="宋体"/>
                <w:spacing w:val="-3"/>
                <w:sz w:val="24"/>
                <w:szCs w:val="24"/>
              </w:rPr>
              <w:t>声源工作时间，</w:t>
            </w:r>
            <w:r>
              <w:rPr>
                <w:rFonts w:ascii="Times New Roman" w:hAnsi="Times New Roman" w:eastAsia="Times New Roman" w:cs="Times New Roman"/>
                <w:spacing w:val="-3"/>
                <w:sz w:val="24"/>
                <w:szCs w:val="24"/>
              </w:rPr>
              <w:t>s</w:t>
            </w:r>
            <w:r>
              <w:rPr>
                <w:rFonts w:ascii="宋体" w:hAnsi="宋体" w:eastAsia="宋体" w:cs="宋体"/>
                <w:spacing w:val="-3"/>
                <w:sz w:val="24"/>
                <w:szCs w:val="24"/>
              </w:rPr>
              <w:t>；</w:t>
            </w:r>
          </w:p>
          <w:p w14:paraId="0D719618">
            <w:pPr>
              <w:spacing w:before="183" w:line="219" w:lineRule="auto"/>
              <w:ind w:left="584"/>
              <w:rPr>
                <w:rFonts w:ascii="宋体" w:hAnsi="宋体" w:eastAsia="宋体" w:cs="宋体"/>
                <w:sz w:val="24"/>
                <w:szCs w:val="24"/>
              </w:rPr>
            </w:pPr>
            <w:r>
              <w:rPr>
                <w:rFonts w:ascii="Times New Roman" w:hAnsi="Times New Roman" w:eastAsia="Times New Roman" w:cs="Times New Roman"/>
                <w:spacing w:val="-1"/>
                <w:sz w:val="24"/>
                <w:szCs w:val="24"/>
              </w:rPr>
              <w:t>M——</w:t>
            </w:r>
            <w:r>
              <w:rPr>
                <w:rFonts w:ascii="宋体" w:hAnsi="宋体" w:eastAsia="宋体" w:cs="宋体"/>
                <w:spacing w:val="-1"/>
                <w:sz w:val="24"/>
                <w:szCs w:val="24"/>
              </w:rPr>
              <w:t>等效室外声源个数；</w:t>
            </w:r>
          </w:p>
          <w:p w14:paraId="6B257615">
            <w:pPr>
              <w:spacing w:before="181" w:line="213" w:lineRule="auto"/>
              <w:ind w:left="582"/>
              <w:rPr>
                <w:rFonts w:ascii="宋体" w:hAnsi="宋体" w:eastAsia="宋体" w:cs="宋体"/>
                <w:sz w:val="24"/>
                <w:szCs w:val="24"/>
              </w:rPr>
            </w:pPr>
            <w:r>
              <w:rPr>
                <w:rFonts w:ascii="Times New Roman" w:hAnsi="Times New Roman" w:eastAsia="Times New Roman" w:cs="Times New Roman"/>
                <w:sz w:val="24"/>
                <w:szCs w:val="24"/>
              </w:rPr>
              <w:t>t</w:t>
            </w:r>
            <w:r>
              <w:rPr>
                <w:rFonts w:ascii="Times New Roman" w:hAnsi="Times New Roman" w:eastAsia="Times New Roman" w:cs="Times New Roman"/>
                <w:position w:val="-1"/>
                <w:sz w:val="15"/>
                <w:szCs w:val="15"/>
              </w:rPr>
              <w:t>j</w:t>
            </w:r>
            <w:r>
              <w:rPr>
                <w:rFonts w:ascii="Times New Roman" w:hAnsi="Times New Roman" w:eastAsia="Times New Roman" w:cs="Times New Roman"/>
                <w:spacing w:val="1"/>
                <w:sz w:val="24"/>
                <w:szCs w:val="24"/>
              </w:rPr>
              <w:t>——</w:t>
            </w:r>
            <w:r>
              <w:rPr>
                <w:rFonts w:ascii="宋体" w:hAnsi="宋体" w:eastAsia="宋体" w:cs="宋体"/>
                <w:spacing w:val="1"/>
                <w:sz w:val="24"/>
                <w:szCs w:val="24"/>
              </w:rPr>
              <w:t>在</w:t>
            </w:r>
            <w:r>
              <w:rPr>
                <w:rFonts w:ascii="宋体" w:hAnsi="宋体" w:eastAsia="宋体" w:cs="宋体"/>
                <w:spacing w:val="-43"/>
                <w:sz w:val="24"/>
                <w:szCs w:val="24"/>
              </w:rPr>
              <w:t xml:space="preserve"> </w:t>
            </w:r>
            <w:r>
              <w:rPr>
                <w:rFonts w:ascii="Times New Roman" w:hAnsi="Times New Roman" w:eastAsia="Times New Roman" w:cs="Times New Roman"/>
                <w:spacing w:val="1"/>
                <w:sz w:val="24"/>
                <w:szCs w:val="24"/>
              </w:rPr>
              <w:t>T</w:t>
            </w:r>
            <w:r>
              <w:rPr>
                <w:rFonts w:ascii="Times New Roman" w:hAnsi="Times New Roman" w:eastAsia="Times New Roman" w:cs="Times New Roman"/>
                <w:spacing w:val="21"/>
                <w:sz w:val="24"/>
                <w:szCs w:val="24"/>
              </w:rPr>
              <w:t xml:space="preserve"> </w:t>
            </w:r>
            <w:r>
              <w:rPr>
                <w:rFonts w:ascii="宋体" w:hAnsi="宋体" w:eastAsia="宋体" w:cs="宋体"/>
                <w:spacing w:val="1"/>
                <w:sz w:val="24"/>
                <w:szCs w:val="24"/>
              </w:rPr>
              <w:t>时间内</w:t>
            </w:r>
            <w:r>
              <w:rPr>
                <w:rFonts w:ascii="Times New Roman" w:hAnsi="Times New Roman" w:eastAsia="Times New Roman" w:cs="Times New Roman"/>
                <w:spacing w:val="1"/>
                <w:sz w:val="24"/>
                <w:szCs w:val="24"/>
              </w:rPr>
              <w:t xml:space="preserve">j </w:t>
            </w:r>
            <w:r>
              <w:rPr>
                <w:rFonts w:ascii="宋体" w:hAnsi="宋体" w:eastAsia="宋体" w:cs="宋体"/>
                <w:spacing w:val="1"/>
                <w:sz w:val="24"/>
                <w:szCs w:val="24"/>
              </w:rPr>
              <w:t>声源工作时间，</w:t>
            </w:r>
            <w:r>
              <w:rPr>
                <w:rFonts w:ascii="Times New Roman" w:hAnsi="Times New Roman" w:eastAsia="Times New Roman" w:cs="Times New Roman"/>
                <w:spacing w:val="1"/>
                <w:sz w:val="24"/>
                <w:szCs w:val="24"/>
              </w:rPr>
              <w:t>s</w:t>
            </w:r>
            <w:r>
              <w:rPr>
                <w:rFonts w:ascii="宋体" w:hAnsi="宋体" w:eastAsia="宋体" w:cs="宋体"/>
                <w:spacing w:val="1"/>
                <w:sz w:val="24"/>
                <w:szCs w:val="24"/>
              </w:rPr>
              <w:t>。</w:t>
            </w:r>
          </w:p>
        </w:tc>
      </w:tr>
    </w:tbl>
    <w:p w14:paraId="19886C22">
      <w:pPr>
        <w:pStyle w:val="2"/>
      </w:pPr>
    </w:p>
    <w:p w14:paraId="195C266F">
      <w:pPr>
        <w:sectPr>
          <w:footerReference r:id="rId100" w:type="default"/>
          <w:pgSz w:w="11906" w:h="16839"/>
          <w:pgMar w:top="400" w:right="1055" w:bottom="1085" w:left="1054" w:header="0" w:footer="762" w:gutter="0"/>
          <w:cols w:space="720" w:num="1"/>
        </w:sectPr>
      </w:pPr>
    </w:p>
    <w:p w14:paraId="2D97FFB6">
      <w:pPr>
        <w:spacing w:before="19"/>
      </w:pPr>
    </w:p>
    <w:p w14:paraId="07C004AC">
      <w:pPr>
        <w:spacing w:before="19"/>
      </w:pPr>
    </w:p>
    <w:p w14:paraId="2A7170CA">
      <w:pPr>
        <w:spacing w:before="19"/>
      </w:pPr>
    </w:p>
    <w:p w14:paraId="0E772F59">
      <w:pPr>
        <w:spacing w:before="18"/>
      </w:pPr>
    </w:p>
    <w:p w14:paraId="392345D9">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4E2F7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13" w:hRule="atLeast"/>
        </w:trPr>
        <w:tc>
          <w:tcPr>
            <w:tcW w:w="734" w:type="dxa"/>
            <w:tcBorders>
              <w:right w:val="single" w:color="000000" w:sz="2" w:space="0"/>
            </w:tcBorders>
            <w:vAlign w:val="top"/>
          </w:tcPr>
          <w:p w14:paraId="51390968">
            <w:pPr>
              <w:rPr>
                <w:rFonts w:ascii="Arial"/>
                <w:sz w:val="21"/>
              </w:rPr>
            </w:pPr>
          </w:p>
        </w:tc>
        <w:tc>
          <w:tcPr>
            <w:tcW w:w="9047" w:type="dxa"/>
            <w:tcBorders>
              <w:left w:val="single" w:color="000000" w:sz="2" w:space="0"/>
            </w:tcBorders>
            <w:vAlign w:val="top"/>
          </w:tcPr>
          <w:p w14:paraId="7A000A9B">
            <w:pPr>
              <w:spacing w:before="40" w:line="219" w:lineRule="auto"/>
              <w:ind w:left="584"/>
              <w:rPr>
                <w:rFonts w:ascii="宋体" w:hAnsi="宋体" w:eastAsia="宋体" w:cs="宋体"/>
                <w:sz w:val="24"/>
                <w:szCs w:val="24"/>
              </w:rPr>
            </w:pPr>
            <w:r>
              <w:rPr>
                <w:rFonts w:ascii="Times New Roman" w:hAnsi="Times New Roman" w:eastAsia="Times New Roman" w:cs="Times New Roman"/>
                <w:spacing w:val="-1"/>
                <w:sz w:val="24"/>
                <w:szCs w:val="24"/>
              </w:rPr>
              <w:t>L</w:t>
            </w:r>
            <w:r>
              <w:rPr>
                <w:rFonts w:ascii="Times New Roman" w:hAnsi="Times New Roman" w:eastAsia="Times New Roman" w:cs="Times New Roman"/>
                <w:spacing w:val="-1"/>
                <w:position w:val="-1"/>
                <w:sz w:val="15"/>
                <w:szCs w:val="15"/>
              </w:rPr>
              <w:t>Ai</w:t>
            </w:r>
            <w:r>
              <w:rPr>
                <w:rFonts w:ascii="Times New Roman" w:hAnsi="Times New Roman" w:eastAsia="Times New Roman" w:cs="Times New Roman"/>
                <w:spacing w:val="-1"/>
                <w:sz w:val="24"/>
                <w:szCs w:val="24"/>
              </w:rPr>
              <w:t>——</w:t>
            </w:r>
            <w:r>
              <w:rPr>
                <w:rFonts w:ascii="宋体" w:hAnsi="宋体" w:eastAsia="宋体" w:cs="宋体"/>
                <w:spacing w:val="-1"/>
                <w:sz w:val="24"/>
                <w:szCs w:val="24"/>
              </w:rPr>
              <w:t>第</w:t>
            </w:r>
            <w:r>
              <w:rPr>
                <w:rFonts w:ascii="宋体" w:hAnsi="宋体" w:eastAsia="宋体" w:cs="宋体"/>
                <w:spacing w:val="-37"/>
                <w:sz w:val="24"/>
                <w:szCs w:val="24"/>
              </w:rPr>
              <w:t xml:space="preserve"> </w:t>
            </w:r>
            <w:r>
              <w:rPr>
                <w:rFonts w:ascii="Times New Roman" w:hAnsi="Times New Roman" w:eastAsia="Times New Roman" w:cs="Times New Roman"/>
                <w:spacing w:val="-1"/>
                <w:sz w:val="24"/>
                <w:szCs w:val="24"/>
              </w:rPr>
              <w:t xml:space="preserve">i </w:t>
            </w:r>
            <w:r>
              <w:rPr>
                <w:rFonts w:ascii="宋体" w:hAnsi="宋体" w:eastAsia="宋体" w:cs="宋体"/>
                <w:spacing w:val="-1"/>
                <w:sz w:val="24"/>
                <w:szCs w:val="24"/>
              </w:rPr>
              <w:t>个室外声源在预测点产生的</w:t>
            </w:r>
            <w:r>
              <w:rPr>
                <w:rFonts w:ascii="宋体" w:hAnsi="宋体" w:eastAsia="宋体" w:cs="宋体"/>
                <w:spacing w:val="-58"/>
                <w:sz w:val="24"/>
                <w:szCs w:val="24"/>
              </w:rPr>
              <w:t xml:space="preserve"> </w:t>
            </w:r>
            <w:r>
              <w:rPr>
                <w:rFonts w:ascii="Times New Roman" w:hAnsi="Times New Roman" w:eastAsia="Times New Roman" w:cs="Times New Roman"/>
                <w:spacing w:val="-1"/>
                <w:sz w:val="24"/>
                <w:szCs w:val="24"/>
              </w:rPr>
              <w:t xml:space="preserve">A </w:t>
            </w:r>
            <w:r>
              <w:rPr>
                <w:rFonts w:ascii="宋体" w:hAnsi="宋体" w:eastAsia="宋体" w:cs="宋体"/>
                <w:spacing w:val="-1"/>
                <w:sz w:val="24"/>
                <w:szCs w:val="24"/>
              </w:rPr>
              <w:t>声级，</w:t>
            </w:r>
            <w:r>
              <w:rPr>
                <w:rFonts w:ascii="Times New Roman" w:hAnsi="Times New Roman" w:eastAsia="Times New Roman" w:cs="Times New Roman"/>
                <w:spacing w:val="-1"/>
                <w:sz w:val="24"/>
                <w:szCs w:val="24"/>
              </w:rPr>
              <w:t>dB</w:t>
            </w:r>
            <w:r>
              <w:rPr>
                <w:rFonts w:ascii="宋体" w:hAnsi="宋体" w:eastAsia="宋体" w:cs="宋体"/>
                <w:spacing w:val="-1"/>
                <w:sz w:val="24"/>
                <w:szCs w:val="24"/>
              </w:rPr>
              <w:t>；</w:t>
            </w:r>
          </w:p>
          <w:p w14:paraId="62663054">
            <w:pPr>
              <w:spacing w:before="183" w:line="211" w:lineRule="auto"/>
              <w:ind w:left="584"/>
              <w:rPr>
                <w:rFonts w:ascii="宋体" w:hAnsi="宋体" w:eastAsia="宋体" w:cs="宋体"/>
                <w:sz w:val="24"/>
                <w:szCs w:val="24"/>
              </w:rPr>
            </w:pPr>
            <w:r>
              <w:rPr>
                <w:rFonts w:ascii="Times New Roman" w:hAnsi="Times New Roman" w:eastAsia="Times New Roman" w:cs="Times New Roman"/>
                <w:sz w:val="24"/>
                <w:szCs w:val="24"/>
              </w:rPr>
              <w:t>L</w:t>
            </w:r>
            <w:r>
              <w:rPr>
                <w:rFonts w:ascii="Times New Roman" w:hAnsi="Times New Roman" w:eastAsia="Times New Roman" w:cs="Times New Roman"/>
                <w:position w:val="-1"/>
                <w:sz w:val="15"/>
                <w:szCs w:val="15"/>
              </w:rPr>
              <w:t>Aj</w:t>
            </w:r>
            <w:r>
              <w:rPr>
                <w:rFonts w:ascii="Times New Roman" w:hAnsi="Times New Roman" w:eastAsia="Times New Roman" w:cs="Times New Roman"/>
                <w:spacing w:val="5"/>
                <w:sz w:val="24"/>
                <w:szCs w:val="24"/>
              </w:rPr>
              <w:t>——</w:t>
            </w:r>
            <w:r>
              <w:rPr>
                <w:rFonts w:ascii="宋体" w:hAnsi="宋体" w:eastAsia="宋体" w:cs="宋体"/>
                <w:spacing w:val="5"/>
                <w:sz w:val="24"/>
                <w:szCs w:val="24"/>
              </w:rPr>
              <w:t>第</w:t>
            </w:r>
            <w:r>
              <w:rPr>
                <w:rFonts w:ascii="Times New Roman" w:hAnsi="Times New Roman" w:eastAsia="Times New Roman" w:cs="Times New Roman"/>
                <w:spacing w:val="5"/>
                <w:sz w:val="24"/>
                <w:szCs w:val="24"/>
              </w:rPr>
              <w:t>j</w:t>
            </w:r>
            <w:r>
              <w:rPr>
                <w:rFonts w:ascii="宋体" w:hAnsi="宋体" w:eastAsia="宋体" w:cs="宋体"/>
                <w:spacing w:val="5"/>
                <w:sz w:val="24"/>
                <w:szCs w:val="24"/>
              </w:rPr>
              <w:t>个等效室外声源在预测点产生的</w:t>
            </w:r>
            <w:r>
              <w:rPr>
                <w:rFonts w:ascii="宋体" w:hAnsi="宋体" w:eastAsia="宋体" w:cs="宋体"/>
                <w:spacing w:val="-58"/>
                <w:sz w:val="24"/>
                <w:szCs w:val="24"/>
              </w:rPr>
              <w:t xml:space="preserve"> </w:t>
            </w:r>
            <w:r>
              <w:rPr>
                <w:rFonts w:ascii="Times New Roman" w:hAnsi="Times New Roman" w:eastAsia="Times New Roman" w:cs="Times New Roman"/>
                <w:spacing w:val="5"/>
                <w:sz w:val="24"/>
                <w:szCs w:val="24"/>
              </w:rPr>
              <w:t>A</w:t>
            </w:r>
            <w:r>
              <w:rPr>
                <w:rFonts w:ascii="Times New Roman" w:hAnsi="Times New Roman" w:eastAsia="Times New Roman" w:cs="Times New Roman"/>
                <w:spacing w:val="4"/>
                <w:sz w:val="24"/>
                <w:szCs w:val="24"/>
              </w:rPr>
              <w:t xml:space="preserve"> </w:t>
            </w:r>
            <w:r>
              <w:rPr>
                <w:rFonts w:ascii="宋体" w:hAnsi="宋体" w:eastAsia="宋体" w:cs="宋体"/>
                <w:spacing w:val="4"/>
                <w:sz w:val="24"/>
                <w:szCs w:val="24"/>
              </w:rPr>
              <w:t>声级，</w:t>
            </w:r>
            <w:r>
              <w:rPr>
                <w:rFonts w:ascii="Times New Roman" w:hAnsi="Times New Roman" w:eastAsia="Times New Roman" w:cs="Times New Roman"/>
                <w:sz w:val="24"/>
                <w:szCs w:val="24"/>
              </w:rPr>
              <w:t>dB</w:t>
            </w:r>
            <w:r>
              <w:rPr>
                <w:rFonts w:ascii="宋体" w:hAnsi="宋体" w:eastAsia="宋体" w:cs="宋体"/>
                <w:spacing w:val="4"/>
                <w:sz w:val="24"/>
                <w:szCs w:val="24"/>
              </w:rPr>
              <w:t>；</w:t>
            </w:r>
          </w:p>
          <w:p w14:paraId="44A88CBB">
            <w:pPr>
              <w:spacing w:before="191" w:line="220" w:lineRule="auto"/>
              <w:ind w:left="586"/>
              <w:rPr>
                <w:rFonts w:ascii="宋体" w:hAnsi="宋体" w:eastAsia="宋体" w:cs="宋体"/>
                <w:sz w:val="24"/>
                <w:szCs w:val="24"/>
              </w:rPr>
            </w:pPr>
            <w:r>
              <w:rPr>
                <w:rFonts w:ascii="Times New Roman" w:hAnsi="Times New Roman" w:eastAsia="Times New Roman" w:cs="Times New Roman"/>
                <w:b/>
                <w:bCs/>
                <w:spacing w:val="-6"/>
                <w:sz w:val="24"/>
                <w:szCs w:val="24"/>
              </w:rPr>
              <w:t>4</w:t>
            </w:r>
            <w:r>
              <w:rPr>
                <w:rFonts w:ascii="Times New Roman" w:hAnsi="Times New Roman" w:eastAsia="Times New Roman" w:cs="Times New Roman"/>
                <w:b/>
                <w:bCs/>
                <w:spacing w:val="-32"/>
                <w:sz w:val="24"/>
                <w:szCs w:val="24"/>
              </w:rPr>
              <w:t xml:space="preserve"> </w:t>
            </w:r>
            <w:r>
              <w:rPr>
                <w:rFonts w:ascii="宋体" w:hAnsi="宋体" w:eastAsia="宋体" w:cs="宋体"/>
                <w:b/>
                <w:bCs/>
                <w:spacing w:val="-6"/>
                <w:sz w:val="24"/>
                <w:szCs w:val="24"/>
              </w:rPr>
              <w:t>、厂界达标分析</w:t>
            </w:r>
          </w:p>
          <w:p w14:paraId="3185F9B6">
            <w:pPr>
              <w:spacing w:before="183" w:line="359" w:lineRule="auto"/>
              <w:ind w:left="109" w:right="102" w:firstLine="480"/>
              <w:jc w:val="both"/>
              <w:rPr>
                <w:rFonts w:ascii="宋体" w:hAnsi="宋体" w:eastAsia="宋体" w:cs="宋体"/>
                <w:sz w:val="24"/>
                <w:szCs w:val="24"/>
              </w:rPr>
            </w:pPr>
            <w:r>
              <w:rPr>
                <w:rFonts w:ascii="宋体" w:hAnsi="宋体" w:eastAsia="宋体" w:cs="宋体"/>
                <w:spacing w:val="-2"/>
                <w:sz w:val="24"/>
                <w:szCs w:val="24"/>
              </w:rPr>
              <w:t>本次环评厂界噪声预测采用环安噪声影响评价预测软件预测，现有项目噪声背景</w:t>
            </w:r>
            <w:r>
              <w:rPr>
                <w:rFonts w:ascii="宋体" w:hAnsi="宋体" w:eastAsia="宋体" w:cs="宋体"/>
                <w:spacing w:val="1"/>
                <w:sz w:val="24"/>
                <w:szCs w:val="24"/>
              </w:rPr>
              <w:t>值参照《昆明欧铂瑞木制品有限公司年产</w:t>
            </w:r>
            <w:r>
              <w:rPr>
                <w:rFonts w:ascii="宋体" w:hAnsi="宋体" w:eastAsia="宋体" w:cs="宋体"/>
                <w:spacing w:val="-34"/>
                <w:sz w:val="24"/>
                <w:szCs w:val="24"/>
              </w:rPr>
              <w:t xml:space="preserve"> </w:t>
            </w:r>
            <w:r>
              <w:rPr>
                <w:rFonts w:ascii="Times New Roman" w:hAnsi="Times New Roman" w:eastAsia="Times New Roman" w:cs="Times New Roman"/>
                <w:spacing w:val="1"/>
                <w:sz w:val="24"/>
                <w:szCs w:val="24"/>
              </w:rPr>
              <w:t>3</w:t>
            </w:r>
            <w:r>
              <w:rPr>
                <w:rFonts w:ascii="Times New Roman" w:hAnsi="Times New Roman" w:eastAsia="Times New Roman" w:cs="Times New Roman"/>
                <w:spacing w:val="20"/>
                <w:sz w:val="24"/>
                <w:szCs w:val="24"/>
              </w:rPr>
              <w:t xml:space="preserve"> </w:t>
            </w:r>
            <w:r>
              <w:rPr>
                <w:rFonts w:ascii="宋体" w:hAnsi="宋体" w:eastAsia="宋体" w:cs="宋体"/>
                <w:spacing w:val="1"/>
                <w:sz w:val="24"/>
                <w:szCs w:val="24"/>
              </w:rPr>
              <w:t>万</w:t>
            </w:r>
            <w:r>
              <w:rPr>
                <w:rFonts w:ascii="宋体" w:hAnsi="宋体" w:eastAsia="宋体" w:cs="宋体"/>
                <w:spacing w:val="-56"/>
                <w:sz w:val="24"/>
                <w:szCs w:val="24"/>
              </w:rPr>
              <w:t xml:space="preserve"> </w:t>
            </w:r>
            <w:r>
              <w:rPr>
                <w:rFonts w:ascii="Times New Roman" w:hAnsi="Times New Roman" w:eastAsia="Times New Roman" w:cs="Times New Roman"/>
                <w:spacing w:val="1"/>
                <w:sz w:val="24"/>
                <w:szCs w:val="24"/>
              </w:rPr>
              <w:t>m³</w:t>
            </w:r>
            <w:r>
              <w:rPr>
                <w:rFonts w:ascii="Times New Roman" w:hAnsi="Times New Roman" w:eastAsia="Times New Roman" w:cs="Times New Roman"/>
                <w:spacing w:val="-42"/>
                <w:sz w:val="24"/>
                <w:szCs w:val="24"/>
              </w:rPr>
              <w:t xml:space="preserve"> </w:t>
            </w:r>
            <w:r>
              <w:rPr>
                <w:rFonts w:ascii="宋体" w:hAnsi="宋体" w:eastAsia="宋体" w:cs="宋体"/>
                <w:spacing w:val="1"/>
                <w:sz w:val="24"/>
                <w:szCs w:val="24"/>
              </w:rPr>
              <w:t>免漆生态板及深加工生产线项目竣</w:t>
            </w:r>
            <w:r>
              <w:rPr>
                <w:rFonts w:ascii="宋体" w:hAnsi="宋体" w:eastAsia="宋体" w:cs="宋体"/>
                <w:spacing w:val="-1"/>
                <w:sz w:val="24"/>
                <w:szCs w:val="24"/>
              </w:rPr>
              <w:t>工环境保护验收监测报告表》监测结果，扩建项目噪声预测结</w:t>
            </w:r>
            <w:r>
              <w:rPr>
                <w:rFonts w:ascii="宋体" w:hAnsi="宋体" w:eastAsia="宋体" w:cs="宋体"/>
                <w:spacing w:val="-2"/>
                <w:sz w:val="24"/>
                <w:szCs w:val="24"/>
              </w:rPr>
              <w:t>果见表</w:t>
            </w:r>
            <w:r>
              <w:rPr>
                <w:rFonts w:ascii="宋体" w:hAnsi="宋体" w:eastAsia="宋体" w:cs="宋体"/>
                <w:spacing w:val="-56"/>
                <w:sz w:val="24"/>
                <w:szCs w:val="24"/>
              </w:rPr>
              <w:t xml:space="preserve"> </w:t>
            </w:r>
            <w:r>
              <w:rPr>
                <w:rFonts w:ascii="Times New Roman" w:hAnsi="Times New Roman" w:eastAsia="Times New Roman" w:cs="Times New Roman"/>
                <w:spacing w:val="-2"/>
                <w:sz w:val="24"/>
                <w:szCs w:val="24"/>
              </w:rPr>
              <w:t>4-</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12</w:t>
            </w:r>
            <w:r>
              <w:rPr>
                <w:rFonts w:ascii="宋体" w:hAnsi="宋体" w:eastAsia="宋体" w:cs="宋体"/>
                <w:spacing w:val="-2"/>
                <w:sz w:val="24"/>
                <w:szCs w:val="24"/>
              </w:rPr>
              <w:t>。</w:t>
            </w:r>
          </w:p>
          <w:p w14:paraId="52AF1867">
            <w:pPr>
              <w:spacing w:line="210" w:lineRule="auto"/>
              <w:ind w:left="1310"/>
              <w:rPr>
                <w:rFonts w:ascii="Times New Roman" w:hAnsi="Times New Roman" w:eastAsia="Times New Roman" w:cs="Times New Roman"/>
                <w:sz w:val="24"/>
                <w:szCs w:val="24"/>
              </w:rPr>
            </w:pPr>
            <w:r>
              <w:rPr>
                <w:rFonts w:ascii="宋体" w:hAnsi="宋体" w:eastAsia="宋体" w:cs="宋体"/>
                <w:b/>
                <w:bCs/>
                <w:spacing w:val="-1"/>
                <w:sz w:val="24"/>
                <w:szCs w:val="24"/>
              </w:rPr>
              <w:t>表</w:t>
            </w:r>
            <w:r>
              <w:rPr>
                <w:rFonts w:ascii="宋体" w:hAnsi="宋体" w:eastAsia="宋体" w:cs="宋体"/>
                <w:spacing w:val="-54"/>
                <w:sz w:val="24"/>
                <w:szCs w:val="24"/>
              </w:rPr>
              <w:t xml:space="preserve"> </w:t>
            </w:r>
            <w:r>
              <w:rPr>
                <w:rFonts w:ascii="Times New Roman" w:hAnsi="Times New Roman" w:eastAsia="Times New Roman" w:cs="Times New Roman"/>
                <w:b/>
                <w:bCs/>
                <w:spacing w:val="-1"/>
                <w:sz w:val="24"/>
                <w:szCs w:val="24"/>
              </w:rPr>
              <w:t xml:space="preserve">4-11    </w:t>
            </w:r>
            <w:r>
              <w:rPr>
                <w:rFonts w:ascii="宋体" w:hAnsi="宋体" w:eastAsia="宋体" w:cs="宋体"/>
                <w:b/>
                <w:bCs/>
                <w:spacing w:val="-1"/>
                <w:sz w:val="24"/>
                <w:szCs w:val="24"/>
              </w:rPr>
              <w:t>改扩建项目厂界噪声最大预测结果</w:t>
            </w:r>
            <w:r>
              <w:rPr>
                <w:rFonts w:ascii="宋体" w:hAnsi="宋体" w:eastAsia="宋体" w:cs="宋体"/>
                <w:b/>
                <w:bCs/>
                <w:spacing w:val="-2"/>
                <w:sz w:val="24"/>
                <w:szCs w:val="24"/>
              </w:rPr>
              <w:t>一览表</w:t>
            </w:r>
            <w:r>
              <w:rPr>
                <w:rFonts w:ascii="宋体" w:hAnsi="宋体" w:eastAsia="宋体" w:cs="宋体"/>
                <w:spacing w:val="-2"/>
                <w:sz w:val="24"/>
                <w:szCs w:val="24"/>
              </w:rPr>
              <w:t xml:space="preserve">  </w:t>
            </w:r>
            <w:r>
              <w:rPr>
                <w:rFonts w:ascii="宋体" w:hAnsi="宋体" w:eastAsia="宋体" w:cs="宋体"/>
                <w:b/>
                <w:bCs/>
                <w:spacing w:val="-2"/>
                <w:sz w:val="24"/>
                <w:szCs w:val="24"/>
              </w:rPr>
              <w:t>单位：</w:t>
            </w:r>
            <w:r>
              <w:rPr>
                <w:rFonts w:ascii="Times New Roman" w:hAnsi="Times New Roman" w:eastAsia="Times New Roman" w:cs="Times New Roman"/>
                <w:b/>
                <w:bCs/>
                <w:spacing w:val="-2"/>
                <w:sz w:val="24"/>
                <w:szCs w:val="24"/>
              </w:rPr>
              <w:t>dB(A)</w:t>
            </w:r>
          </w:p>
          <w:p w14:paraId="01C02AB2">
            <w:pPr>
              <w:spacing w:line="156" w:lineRule="exact"/>
            </w:pPr>
          </w:p>
          <w:tbl>
            <w:tblPr>
              <w:tblStyle w:val="10"/>
              <w:tblW w:w="8448" w:type="dxa"/>
              <w:tblInd w:w="2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8"/>
              <w:gridCol w:w="910"/>
              <w:gridCol w:w="852"/>
              <w:gridCol w:w="765"/>
              <w:gridCol w:w="940"/>
              <w:gridCol w:w="1146"/>
              <w:gridCol w:w="1001"/>
              <w:gridCol w:w="805"/>
              <w:gridCol w:w="711"/>
            </w:tblGrid>
            <w:tr w14:paraId="004D3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1318" w:type="dxa"/>
                  <w:vMerge w:val="restart"/>
                  <w:tcBorders>
                    <w:top w:val="single" w:color="000000" w:sz="2" w:space="0"/>
                    <w:left w:val="single" w:color="000000" w:sz="2" w:space="0"/>
                    <w:bottom w:val="nil"/>
                  </w:tcBorders>
                  <w:vAlign w:val="top"/>
                </w:tcPr>
                <w:p w14:paraId="25290B93">
                  <w:pPr>
                    <w:spacing w:before="235" w:line="228" w:lineRule="auto"/>
                    <w:ind w:left="244"/>
                    <w:rPr>
                      <w:rFonts w:ascii="宋体" w:hAnsi="宋体" w:eastAsia="宋体" w:cs="宋体"/>
                      <w:sz w:val="20"/>
                      <w:szCs w:val="20"/>
                    </w:rPr>
                  </w:pPr>
                  <w:r>
                    <w:rPr>
                      <w:rFonts w:ascii="宋体" w:hAnsi="宋体" w:eastAsia="宋体" w:cs="宋体"/>
                      <w:b/>
                      <w:bCs/>
                      <w:spacing w:val="6"/>
                      <w:sz w:val="20"/>
                      <w:szCs w:val="20"/>
                    </w:rPr>
                    <w:t>预测方位</w:t>
                  </w:r>
                </w:p>
              </w:tc>
              <w:tc>
                <w:tcPr>
                  <w:tcW w:w="2527" w:type="dxa"/>
                  <w:gridSpan w:val="3"/>
                  <w:tcBorders>
                    <w:top w:val="single" w:color="000000" w:sz="2" w:space="0"/>
                  </w:tcBorders>
                  <w:vAlign w:val="top"/>
                </w:tcPr>
                <w:p w14:paraId="0B27EF1B">
                  <w:pPr>
                    <w:spacing w:before="30" w:line="229" w:lineRule="auto"/>
                    <w:ind w:left="522"/>
                    <w:rPr>
                      <w:rFonts w:ascii="Times New Roman" w:hAnsi="Times New Roman" w:eastAsia="Times New Roman" w:cs="Times New Roman"/>
                      <w:sz w:val="20"/>
                      <w:szCs w:val="20"/>
                    </w:rPr>
                  </w:pPr>
                  <w:r>
                    <w:rPr>
                      <w:rFonts w:ascii="宋体" w:hAnsi="宋体" w:eastAsia="宋体" w:cs="宋体"/>
                      <w:b/>
                      <w:bCs/>
                      <w:spacing w:val="5"/>
                      <w:sz w:val="20"/>
                      <w:szCs w:val="20"/>
                    </w:rPr>
                    <w:t>空间相对位置</w:t>
                  </w:r>
                  <w:r>
                    <w:rPr>
                      <w:rFonts w:ascii="Times New Roman" w:hAnsi="Times New Roman" w:eastAsia="Times New Roman" w:cs="Times New Roman"/>
                      <w:b/>
                      <w:bCs/>
                      <w:spacing w:val="5"/>
                      <w:sz w:val="20"/>
                      <w:szCs w:val="20"/>
                    </w:rPr>
                    <w:t>/m</w:t>
                  </w:r>
                </w:p>
              </w:tc>
              <w:tc>
                <w:tcPr>
                  <w:tcW w:w="940" w:type="dxa"/>
                  <w:vMerge w:val="restart"/>
                  <w:tcBorders>
                    <w:top w:val="single" w:color="000000" w:sz="2" w:space="0"/>
                    <w:bottom w:val="nil"/>
                    <w:right w:val="single" w:color="000000" w:sz="2" w:space="0"/>
                  </w:tcBorders>
                  <w:vAlign w:val="top"/>
                </w:tcPr>
                <w:p w14:paraId="172DAB53">
                  <w:pPr>
                    <w:spacing w:before="234" w:line="228" w:lineRule="auto"/>
                    <w:ind w:left="158"/>
                    <w:rPr>
                      <w:rFonts w:ascii="宋体" w:hAnsi="宋体" w:eastAsia="宋体" w:cs="宋体"/>
                      <w:sz w:val="20"/>
                      <w:szCs w:val="20"/>
                    </w:rPr>
                  </w:pPr>
                  <w:r>
                    <w:rPr>
                      <w:rFonts w:ascii="宋体" w:hAnsi="宋体" w:eastAsia="宋体" w:cs="宋体"/>
                      <w:b/>
                      <w:bCs/>
                      <w:spacing w:val="4"/>
                      <w:sz w:val="20"/>
                      <w:szCs w:val="20"/>
                    </w:rPr>
                    <w:t>贡献值</w:t>
                  </w:r>
                </w:p>
              </w:tc>
              <w:tc>
                <w:tcPr>
                  <w:tcW w:w="1146" w:type="dxa"/>
                  <w:vMerge w:val="restart"/>
                  <w:tcBorders>
                    <w:top w:val="single" w:color="000000" w:sz="2" w:space="0"/>
                    <w:left w:val="single" w:color="000000" w:sz="2" w:space="0"/>
                    <w:bottom w:val="nil"/>
                    <w:right w:val="single" w:color="000000" w:sz="2" w:space="0"/>
                  </w:tcBorders>
                  <w:vAlign w:val="top"/>
                </w:tcPr>
                <w:p w14:paraId="0DC51DF5">
                  <w:pPr>
                    <w:spacing w:before="29" w:line="361" w:lineRule="auto"/>
                    <w:ind w:left="169" w:right="165" w:firstLine="96"/>
                    <w:rPr>
                      <w:rFonts w:ascii="宋体" w:hAnsi="宋体" w:eastAsia="宋体" w:cs="宋体"/>
                      <w:sz w:val="20"/>
                      <w:szCs w:val="20"/>
                    </w:rPr>
                  </w:pPr>
                  <w:r>
                    <w:rPr>
                      <w:rFonts w:ascii="宋体" w:hAnsi="宋体" w:eastAsia="宋体" w:cs="宋体"/>
                      <w:b/>
                      <w:bCs/>
                      <w:spacing w:val="4"/>
                      <w:sz w:val="20"/>
                      <w:szCs w:val="20"/>
                    </w:rPr>
                    <w:t>背景值</w:t>
                  </w:r>
                  <w:r>
                    <w:rPr>
                      <w:rFonts w:ascii="宋体" w:hAnsi="宋体" w:eastAsia="宋体" w:cs="宋体"/>
                      <w:b/>
                      <w:bCs/>
                      <w:spacing w:val="-1"/>
                      <w:sz w:val="20"/>
                      <w:szCs w:val="20"/>
                    </w:rPr>
                    <w:t>（昼间）</w:t>
                  </w:r>
                </w:p>
              </w:tc>
              <w:tc>
                <w:tcPr>
                  <w:tcW w:w="1001" w:type="dxa"/>
                  <w:vMerge w:val="restart"/>
                  <w:tcBorders>
                    <w:top w:val="single" w:color="000000" w:sz="2" w:space="0"/>
                    <w:left w:val="single" w:color="000000" w:sz="2" w:space="0"/>
                    <w:bottom w:val="nil"/>
                  </w:tcBorders>
                  <w:vAlign w:val="top"/>
                </w:tcPr>
                <w:p w14:paraId="28BD20DE">
                  <w:pPr>
                    <w:spacing w:before="29" w:line="361" w:lineRule="auto"/>
                    <w:ind w:left="124" w:right="62" w:firstLine="68"/>
                    <w:rPr>
                      <w:rFonts w:ascii="宋体" w:hAnsi="宋体" w:eastAsia="宋体" w:cs="宋体"/>
                      <w:sz w:val="20"/>
                      <w:szCs w:val="20"/>
                    </w:rPr>
                  </w:pPr>
                  <w:r>
                    <w:rPr>
                      <w:rFonts w:ascii="宋体" w:hAnsi="宋体" w:eastAsia="宋体" w:cs="宋体"/>
                      <w:b/>
                      <w:bCs/>
                      <w:spacing w:val="5"/>
                      <w:sz w:val="20"/>
                      <w:szCs w:val="20"/>
                    </w:rPr>
                    <w:t>预测值</w:t>
                  </w:r>
                  <w:r>
                    <w:rPr>
                      <w:rFonts w:ascii="宋体" w:hAnsi="宋体" w:eastAsia="宋体" w:cs="宋体"/>
                      <w:b/>
                      <w:bCs/>
                      <w:spacing w:val="-1"/>
                      <w:sz w:val="20"/>
                      <w:szCs w:val="20"/>
                    </w:rPr>
                    <w:t>（昼间）</w:t>
                  </w:r>
                </w:p>
              </w:tc>
              <w:tc>
                <w:tcPr>
                  <w:tcW w:w="805" w:type="dxa"/>
                  <w:vMerge w:val="restart"/>
                  <w:tcBorders>
                    <w:top w:val="single" w:color="000000" w:sz="2" w:space="0"/>
                    <w:bottom w:val="nil"/>
                  </w:tcBorders>
                  <w:vAlign w:val="top"/>
                </w:tcPr>
                <w:p w14:paraId="4B0369F6">
                  <w:pPr>
                    <w:spacing w:before="29" w:line="361" w:lineRule="auto"/>
                    <w:ind w:left="303" w:right="186" w:hanging="107"/>
                    <w:rPr>
                      <w:rFonts w:ascii="宋体" w:hAnsi="宋体" w:eastAsia="宋体" w:cs="宋体"/>
                      <w:sz w:val="20"/>
                      <w:szCs w:val="20"/>
                    </w:rPr>
                  </w:pPr>
                  <w:r>
                    <w:rPr>
                      <w:rFonts w:ascii="宋体" w:hAnsi="宋体" w:eastAsia="宋体" w:cs="宋体"/>
                      <w:b/>
                      <w:bCs/>
                      <w:spacing w:val="3"/>
                      <w:sz w:val="20"/>
                      <w:szCs w:val="20"/>
                    </w:rPr>
                    <w:t>标准</w:t>
                  </w:r>
                  <w:r>
                    <w:rPr>
                      <w:rFonts w:ascii="宋体" w:hAnsi="宋体" w:eastAsia="宋体" w:cs="宋体"/>
                      <w:b/>
                      <w:bCs/>
                      <w:spacing w:val="-2"/>
                      <w:sz w:val="20"/>
                      <w:szCs w:val="20"/>
                    </w:rPr>
                    <w:t>值</w:t>
                  </w:r>
                </w:p>
              </w:tc>
              <w:tc>
                <w:tcPr>
                  <w:tcW w:w="711" w:type="dxa"/>
                  <w:vMerge w:val="restart"/>
                  <w:tcBorders>
                    <w:top w:val="single" w:color="000000" w:sz="2" w:space="0"/>
                    <w:bottom w:val="nil"/>
                    <w:right w:val="single" w:color="000000" w:sz="2" w:space="0"/>
                  </w:tcBorders>
                  <w:vAlign w:val="top"/>
                </w:tcPr>
                <w:p w14:paraId="0BAE7699">
                  <w:pPr>
                    <w:spacing w:before="31" w:line="228" w:lineRule="auto"/>
                    <w:ind w:left="148"/>
                    <w:rPr>
                      <w:rFonts w:ascii="宋体" w:hAnsi="宋体" w:eastAsia="宋体" w:cs="宋体"/>
                      <w:sz w:val="20"/>
                      <w:szCs w:val="20"/>
                    </w:rPr>
                  </w:pPr>
                  <w:r>
                    <w:rPr>
                      <w:rFonts w:ascii="宋体" w:hAnsi="宋体" w:eastAsia="宋体" w:cs="宋体"/>
                      <w:b/>
                      <w:bCs/>
                      <w:spacing w:val="4"/>
                      <w:sz w:val="20"/>
                      <w:szCs w:val="20"/>
                    </w:rPr>
                    <w:t>达标</w:t>
                  </w:r>
                </w:p>
                <w:p w14:paraId="7B3CB495">
                  <w:pPr>
                    <w:spacing w:before="161" w:line="228" w:lineRule="auto"/>
                    <w:ind w:left="150"/>
                    <w:rPr>
                      <w:rFonts w:ascii="宋体" w:hAnsi="宋体" w:eastAsia="宋体" w:cs="宋体"/>
                      <w:sz w:val="20"/>
                      <w:szCs w:val="20"/>
                    </w:rPr>
                  </w:pPr>
                  <w:r>
                    <w:rPr>
                      <w:rFonts w:ascii="宋体" w:hAnsi="宋体" w:eastAsia="宋体" w:cs="宋体"/>
                      <w:b/>
                      <w:bCs/>
                      <w:spacing w:val="3"/>
                      <w:sz w:val="20"/>
                      <w:szCs w:val="20"/>
                    </w:rPr>
                    <w:t>情况</w:t>
                  </w:r>
                </w:p>
              </w:tc>
            </w:tr>
            <w:tr w14:paraId="5DE68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318" w:type="dxa"/>
                  <w:vMerge w:val="continue"/>
                  <w:tcBorders>
                    <w:top w:val="nil"/>
                    <w:left w:val="single" w:color="000000" w:sz="2" w:space="0"/>
                  </w:tcBorders>
                  <w:vAlign w:val="top"/>
                </w:tcPr>
                <w:p w14:paraId="741C7F83">
                  <w:pPr>
                    <w:rPr>
                      <w:rFonts w:ascii="Arial"/>
                      <w:sz w:val="21"/>
                    </w:rPr>
                  </w:pPr>
                </w:p>
              </w:tc>
              <w:tc>
                <w:tcPr>
                  <w:tcW w:w="910" w:type="dxa"/>
                  <w:vAlign w:val="top"/>
                </w:tcPr>
                <w:p w14:paraId="52D62568">
                  <w:pPr>
                    <w:spacing w:before="69" w:line="192" w:lineRule="auto"/>
                    <w:ind w:left="37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X</w:t>
                  </w:r>
                </w:p>
              </w:tc>
              <w:tc>
                <w:tcPr>
                  <w:tcW w:w="852" w:type="dxa"/>
                  <w:tcBorders>
                    <w:right w:val="single" w:color="000000" w:sz="2" w:space="0"/>
                  </w:tcBorders>
                  <w:vAlign w:val="top"/>
                </w:tcPr>
                <w:p w14:paraId="6FB2AFCF">
                  <w:pPr>
                    <w:spacing w:before="69" w:line="192" w:lineRule="auto"/>
                    <w:ind w:left="34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Y</w:t>
                  </w:r>
                </w:p>
              </w:tc>
              <w:tc>
                <w:tcPr>
                  <w:tcW w:w="765" w:type="dxa"/>
                  <w:tcBorders>
                    <w:left w:val="single" w:color="000000" w:sz="2" w:space="0"/>
                  </w:tcBorders>
                  <w:vAlign w:val="top"/>
                </w:tcPr>
                <w:p w14:paraId="6B886FBF">
                  <w:pPr>
                    <w:spacing w:before="69" w:line="192"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Z</w:t>
                  </w:r>
                </w:p>
              </w:tc>
              <w:tc>
                <w:tcPr>
                  <w:tcW w:w="940" w:type="dxa"/>
                  <w:vMerge w:val="continue"/>
                  <w:tcBorders>
                    <w:top w:val="nil"/>
                    <w:right w:val="single" w:color="000000" w:sz="2" w:space="0"/>
                  </w:tcBorders>
                  <w:vAlign w:val="top"/>
                </w:tcPr>
                <w:p w14:paraId="50CA9401">
                  <w:pPr>
                    <w:rPr>
                      <w:rFonts w:ascii="Arial"/>
                      <w:sz w:val="21"/>
                    </w:rPr>
                  </w:pPr>
                </w:p>
              </w:tc>
              <w:tc>
                <w:tcPr>
                  <w:tcW w:w="1146" w:type="dxa"/>
                  <w:vMerge w:val="continue"/>
                  <w:tcBorders>
                    <w:top w:val="nil"/>
                    <w:left w:val="single" w:color="000000" w:sz="2" w:space="0"/>
                    <w:right w:val="single" w:color="000000" w:sz="2" w:space="0"/>
                  </w:tcBorders>
                  <w:vAlign w:val="top"/>
                </w:tcPr>
                <w:p w14:paraId="26481B67">
                  <w:pPr>
                    <w:rPr>
                      <w:rFonts w:ascii="Arial"/>
                      <w:sz w:val="21"/>
                    </w:rPr>
                  </w:pPr>
                </w:p>
              </w:tc>
              <w:tc>
                <w:tcPr>
                  <w:tcW w:w="1001" w:type="dxa"/>
                  <w:vMerge w:val="continue"/>
                  <w:tcBorders>
                    <w:top w:val="nil"/>
                    <w:left w:val="single" w:color="000000" w:sz="2" w:space="0"/>
                  </w:tcBorders>
                  <w:vAlign w:val="top"/>
                </w:tcPr>
                <w:p w14:paraId="179CB9A6">
                  <w:pPr>
                    <w:rPr>
                      <w:rFonts w:ascii="Arial"/>
                      <w:sz w:val="21"/>
                    </w:rPr>
                  </w:pPr>
                </w:p>
              </w:tc>
              <w:tc>
                <w:tcPr>
                  <w:tcW w:w="805" w:type="dxa"/>
                  <w:vMerge w:val="continue"/>
                  <w:tcBorders>
                    <w:top w:val="nil"/>
                  </w:tcBorders>
                  <w:vAlign w:val="top"/>
                </w:tcPr>
                <w:p w14:paraId="70153F1B">
                  <w:pPr>
                    <w:rPr>
                      <w:rFonts w:ascii="Arial"/>
                      <w:sz w:val="21"/>
                    </w:rPr>
                  </w:pPr>
                </w:p>
              </w:tc>
              <w:tc>
                <w:tcPr>
                  <w:tcW w:w="711" w:type="dxa"/>
                  <w:vMerge w:val="continue"/>
                  <w:tcBorders>
                    <w:top w:val="nil"/>
                    <w:right w:val="single" w:color="000000" w:sz="2" w:space="0"/>
                  </w:tcBorders>
                  <w:vAlign w:val="top"/>
                </w:tcPr>
                <w:p w14:paraId="72DECE10">
                  <w:pPr>
                    <w:rPr>
                      <w:rFonts w:ascii="Arial"/>
                      <w:sz w:val="21"/>
                    </w:rPr>
                  </w:pPr>
                </w:p>
              </w:tc>
            </w:tr>
            <w:tr w14:paraId="4D947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318" w:type="dxa"/>
                  <w:tcBorders>
                    <w:left w:val="single" w:color="000000" w:sz="2" w:space="0"/>
                  </w:tcBorders>
                  <w:vAlign w:val="top"/>
                </w:tcPr>
                <w:p w14:paraId="08C918FA">
                  <w:pPr>
                    <w:spacing w:before="31" w:line="228" w:lineRule="auto"/>
                    <w:ind w:left="350"/>
                    <w:rPr>
                      <w:rFonts w:ascii="宋体" w:hAnsi="宋体" w:eastAsia="宋体" w:cs="宋体"/>
                      <w:sz w:val="20"/>
                      <w:szCs w:val="20"/>
                    </w:rPr>
                  </w:pPr>
                  <w:r>
                    <w:rPr>
                      <w:rFonts w:ascii="宋体" w:hAnsi="宋体" w:eastAsia="宋体" w:cs="宋体"/>
                      <w:spacing w:val="6"/>
                      <w:sz w:val="20"/>
                      <w:szCs w:val="20"/>
                    </w:rPr>
                    <w:t>厂界东</w:t>
                  </w:r>
                </w:p>
              </w:tc>
              <w:tc>
                <w:tcPr>
                  <w:tcW w:w="910" w:type="dxa"/>
                  <w:tcBorders>
                    <w:right w:val="single" w:color="000000" w:sz="2" w:space="0"/>
                  </w:tcBorders>
                  <w:vAlign w:val="top"/>
                </w:tcPr>
                <w:p w14:paraId="3D3B4773">
                  <w:pPr>
                    <w:spacing w:before="74" w:line="195" w:lineRule="auto"/>
                    <w:ind w:left="350"/>
                    <w:rPr>
                      <w:rFonts w:ascii="Times New Roman" w:hAnsi="Times New Roman" w:eastAsia="Times New Roman" w:cs="Times New Roman"/>
                      <w:sz w:val="20"/>
                      <w:szCs w:val="20"/>
                    </w:rPr>
                  </w:pPr>
                  <w:r>
                    <w:rPr>
                      <w:rFonts w:ascii="Times New Roman" w:hAnsi="Times New Roman" w:eastAsia="Times New Roman" w:cs="Times New Roman"/>
                      <w:sz w:val="20"/>
                      <w:szCs w:val="20"/>
                    </w:rPr>
                    <w:t>68</w:t>
                  </w:r>
                </w:p>
              </w:tc>
              <w:tc>
                <w:tcPr>
                  <w:tcW w:w="852" w:type="dxa"/>
                  <w:tcBorders>
                    <w:left w:val="single" w:color="000000" w:sz="2" w:space="0"/>
                    <w:right w:val="single" w:color="000000" w:sz="2" w:space="0"/>
                  </w:tcBorders>
                  <w:vAlign w:val="top"/>
                </w:tcPr>
                <w:p w14:paraId="1C332741">
                  <w:pPr>
                    <w:spacing w:before="74" w:line="195" w:lineRule="auto"/>
                    <w:ind w:left="29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-40</w:t>
                  </w:r>
                </w:p>
              </w:tc>
              <w:tc>
                <w:tcPr>
                  <w:tcW w:w="765" w:type="dxa"/>
                  <w:tcBorders>
                    <w:left w:val="single" w:color="000000" w:sz="2" w:space="0"/>
                  </w:tcBorders>
                  <w:vAlign w:val="top"/>
                </w:tcPr>
                <w:p w14:paraId="6349606A">
                  <w:pPr>
                    <w:spacing w:before="74"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940" w:type="dxa"/>
                  <w:tcBorders>
                    <w:right w:val="single" w:color="000000" w:sz="2" w:space="0"/>
                  </w:tcBorders>
                  <w:vAlign w:val="top"/>
                </w:tcPr>
                <w:p w14:paraId="2631BBA7">
                  <w:pPr>
                    <w:spacing w:before="74" w:line="195" w:lineRule="auto"/>
                    <w:ind w:left="28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37.4</w:t>
                  </w:r>
                </w:p>
              </w:tc>
              <w:tc>
                <w:tcPr>
                  <w:tcW w:w="1146" w:type="dxa"/>
                  <w:tcBorders>
                    <w:left w:val="single" w:color="000000" w:sz="2" w:space="0"/>
                    <w:right w:val="single" w:color="000000" w:sz="2" w:space="0"/>
                  </w:tcBorders>
                  <w:vAlign w:val="top"/>
                </w:tcPr>
                <w:p w14:paraId="24D21B9C">
                  <w:pPr>
                    <w:spacing w:before="77" w:line="192" w:lineRule="auto"/>
                    <w:ind w:left="475"/>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1001" w:type="dxa"/>
                  <w:tcBorders>
                    <w:left w:val="single" w:color="000000" w:sz="2" w:space="0"/>
                  </w:tcBorders>
                  <w:vAlign w:val="top"/>
                </w:tcPr>
                <w:p w14:paraId="587F9468">
                  <w:pPr>
                    <w:spacing w:before="74" w:line="195" w:lineRule="auto"/>
                    <w:ind w:left="325"/>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z w:val="20"/>
                      <w:szCs w:val="20"/>
                    </w:rPr>
                    <w:t>1</w:t>
                  </w:r>
                </w:p>
              </w:tc>
              <w:tc>
                <w:tcPr>
                  <w:tcW w:w="805" w:type="dxa"/>
                  <w:vMerge w:val="restart"/>
                  <w:tcBorders>
                    <w:bottom w:val="nil"/>
                  </w:tcBorders>
                  <w:vAlign w:val="top"/>
                </w:tcPr>
                <w:p w14:paraId="0FBFE037">
                  <w:pPr>
                    <w:spacing w:line="418" w:lineRule="auto"/>
                    <w:rPr>
                      <w:rFonts w:ascii="Arial"/>
                      <w:sz w:val="21"/>
                    </w:rPr>
                  </w:pPr>
                </w:p>
                <w:p w14:paraId="076C6E0E">
                  <w:pPr>
                    <w:spacing w:before="65" w:line="374" w:lineRule="auto"/>
                    <w:ind w:left="304" w:right="112" w:hanging="191"/>
                    <w:rPr>
                      <w:rFonts w:ascii="Times New Roman" w:hAnsi="Times New Roman" w:eastAsia="Times New Roman" w:cs="Times New Roman"/>
                      <w:sz w:val="20"/>
                      <w:szCs w:val="20"/>
                    </w:rPr>
                  </w:pPr>
                  <w:r>
                    <w:rPr>
                      <w:rFonts w:ascii="宋体" w:hAnsi="宋体" w:eastAsia="宋体" w:cs="宋体"/>
                      <w:spacing w:val="-11"/>
                      <w:sz w:val="20"/>
                      <w:szCs w:val="20"/>
                    </w:rPr>
                    <w:t>昼间：</w:t>
                  </w:r>
                  <w:r>
                    <w:rPr>
                      <w:rFonts w:ascii="宋体" w:hAnsi="宋体" w:eastAsia="宋体" w:cs="宋体"/>
                      <w:spacing w:val="1"/>
                      <w:sz w:val="20"/>
                      <w:szCs w:val="20"/>
                    </w:rPr>
                    <w:t xml:space="preserve"> </w:t>
                  </w:r>
                  <w:r>
                    <w:rPr>
                      <w:rFonts w:ascii="Times New Roman" w:hAnsi="Times New Roman" w:eastAsia="Times New Roman" w:cs="Times New Roman"/>
                      <w:sz w:val="20"/>
                      <w:szCs w:val="20"/>
                    </w:rPr>
                    <w:t>65</w:t>
                  </w:r>
                </w:p>
              </w:tc>
              <w:tc>
                <w:tcPr>
                  <w:tcW w:w="711" w:type="dxa"/>
                  <w:tcBorders>
                    <w:right w:val="single" w:color="000000" w:sz="2" w:space="0"/>
                  </w:tcBorders>
                  <w:vAlign w:val="top"/>
                </w:tcPr>
                <w:p w14:paraId="7F80BA6A">
                  <w:pPr>
                    <w:spacing w:before="31" w:line="228" w:lineRule="auto"/>
                    <w:ind w:left="148"/>
                    <w:rPr>
                      <w:rFonts w:ascii="宋体" w:hAnsi="宋体" w:eastAsia="宋体" w:cs="宋体"/>
                      <w:sz w:val="20"/>
                      <w:szCs w:val="20"/>
                    </w:rPr>
                  </w:pPr>
                  <w:r>
                    <w:rPr>
                      <w:rFonts w:ascii="宋体" w:hAnsi="宋体" w:eastAsia="宋体" w:cs="宋体"/>
                      <w:spacing w:val="5"/>
                      <w:sz w:val="20"/>
                      <w:szCs w:val="20"/>
                    </w:rPr>
                    <w:t>达标</w:t>
                  </w:r>
                </w:p>
              </w:tc>
            </w:tr>
            <w:tr w14:paraId="2616A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318" w:type="dxa"/>
                  <w:tcBorders>
                    <w:left w:val="single" w:color="000000" w:sz="2" w:space="0"/>
                  </w:tcBorders>
                  <w:vAlign w:val="top"/>
                </w:tcPr>
                <w:p w14:paraId="24A6AB2C">
                  <w:pPr>
                    <w:spacing w:before="32" w:line="228" w:lineRule="auto"/>
                    <w:ind w:left="350"/>
                    <w:rPr>
                      <w:rFonts w:ascii="宋体" w:hAnsi="宋体" w:eastAsia="宋体" w:cs="宋体"/>
                      <w:sz w:val="20"/>
                      <w:szCs w:val="20"/>
                    </w:rPr>
                  </w:pPr>
                  <w:r>
                    <w:rPr>
                      <w:rFonts w:ascii="宋体" w:hAnsi="宋体" w:eastAsia="宋体" w:cs="宋体"/>
                      <w:spacing w:val="6"/>
                      <w:sz w:val="20"/>
                      <w:szCs w:val="20"/>
                    </w:rPr>
                    <w:t>厂界南</w:t>
                  </w:r>
                </w:p>
              </w:tc>
              <w:tc>
                <w:tcPr>
                  <w:tcW w:w="910" w:type="dxa"/>
                  <w:tcBorders>
                    <w:right w:val="single" w:color="000000" w:sz="2" w:space="0"/>
                  </w:tcBorders>
                  <w:vAlign w:val="top"/>
                </w:tcPr>
                <w:p w14:paraId="774934AD">
                  <w:pPr>
                    <w:spacing w:before="74"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-25</w:t>
                  </w:r>
                </w:p>
              </w:tc>
              <w:tc>
                <w:tcPr>
                  <w:tcW w:w="852" w:type="dxa"/>
                  <w:tcBorders>
                    <w:left w:val="single" w:color="000000" w:sz="2" w:space="0"/>
                    <w:right w:val="single" w:color="000000" w:sz="2" w:space="0"/>
                  </w:tcBorders>
                  <w:vAlign w:val="top"/>
                </w:tcPr>
                <w:p w14:paraId="1C1F317A">
                  <w:pPr>
                    <w:spacing w:before="74" w:line="195" w:lineRule="auto"/>
                    <w:ind w:left="29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-81</w:t>
                  </w:r>
                </w:p>
              </w:tc>
              <w:tc>
                <w:tcPr>
                  <w:tcW w:w="765" w:type="dxa"/>
                  <w:tcBorders>
                    <w:left w:val="single" w:color="000000" w:sz="2" w:space="0"/>
                  </w:tcBorders>
                  <w:vAlign w:val="top"/>
                </w:tcPr>
                <w:p w14:paraId="0FE5FA5F">
                  <w:pPr>
                    <w:spacing w:before="74"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940" w:type="dxa"/>
                  <w:tcBorders>
                    <w:right w:val="single" w:color="000000" w:sz="2" w:space="0"/>
                  </w:tcBorders>
                  <w:vAlign w:val="top"/>
                </w:tcPr>
                <w:p w14:paraId="4234EB50">
                  <w:pPr>
                    <w:spacing w:before="74"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42.7</w:t>
                  </w:r>
                </w:p>
              </w:tc>
              <w:tc>
                <w:tcPr>
                  <w:tcW w:w="1146" w:type="dxa"/>
                  <w:tcBorders>
                    <w:left w:val="single" w:color="000000" w:sz="2" w:space="0"/>
                    <w:right w:val="single" w:color="000000" w:sz="2" w:space="0"/>
                  </w:tcBorders>
                  <w:vAlign w:val="top"/>
                </w:tcPr>
                <w:p w14:paraId="0831A684">
                  <w:pPr>
                    <w:spacing w:before="77" w:line="192" w:lineRule="auto"/>
                    <w:ind w:left="475"/>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p>
              </w:tc>
              <w:tc>
                <w:tcPr>
                  <w:tcW w:w="1001" w:type="dxa"/>
                  <w:tcBorders>
                    <w:left w:val="single" w:color="000000" w:sz="2" w:space="0"/>
                  </w:tcBorders>
                  <w:vAlign w:val="top"/>
                </w:tcPr>
                <w:p w14:paraId="7C2A1818">
                  <w:pPr>
                    <w:spacing w:before="74" w:line="195"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57.2</w:t>
                  </w:r>
                </w:p>
              </w:tc>
              <w:tc>
                <w:tcPr>
                  <w:tcW w:w="805" w:type="dxa"/>
                  <w:vMerge w:val="continue"/>
                  <w:tcBorders>
                    <w:top w:val="nil"/>
                    <w:bottom w:val="nil"/>
                  </w:tcBorders>
                  <w:vAlign w:val="top"/>
                </w:tcPr>
                <w:p w14:paraId="5AD20A02">
                  <w:pPr>
                    <w:rPr>
                      <w:rFonts w:ascii="Arial"/>
                      <w:sz w:val="21"/>
                    </w:rPr>
                  </w:pPr>
                </w:p>
              </w:tc>
              <w:tc>
                <w:tcPr>
                  <w:tcW w:w="711" w:type="dxa"/>
                  <w:tcBorders>
                    <w:right w:val="single" w:color="000000" w:sz="2" w:space="0"/>
                  </w:tcBorders>
                  <w:vAlign w:val="top"/>
                </w:tcPr>
                <w:p w14:paraId="4570CB4C">
                  <w:pPr>
                    <w:spacing w:before="32" w:line="228" w:lineRule="auto"/>
                    <w:ind w:left="148"/>
                    <w:rPr>
                      <w:rFonts w:ascii="宋体" w:hAnsi="宋体" w:eastAsia="宋体" w:cs="宋体"/>
                      <w:sz w:val="20"/>
                      <w:szCs w:val="20"/>
                    </w:rPr>
                  </w:pPr>
                  <w:r>
                    <w:rPr>
                      <w:rFonts w:ascii="宋体" w:hAnsi="宋体" w:eastAsia="宋体" w:cs="宋体"/>
                      <w:spacing w:val="5"/>
                      <w:sz w:val="20"/>
                      <w:szCs w:val="20"/>
                    </w:rPr>
                    <w:t>达标</w:t>
                  </w:r>
                </w:p>
              </w:tc>
            </w:tr>
            <w:tr w14:paraId="1B7D1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1318" w:type="dxa"/>
                  <w:tcBorders>
                    <w:left w:val="single" w:color="000000" w:sz="2" w:space="0"/>
                  </w:tcBorders>
                  <w:vAlign w:val="top"/>
                </w:tcPr>
                <w:p w14:paraId="48287FA2">
                  <w:pPr>
                    <w:spacing w:before="35" w:line="228" w:lineRule="auto"/>
                    <w:ind w:left="350"/>
                    <w:rPr>
                      <w:rFonts w:ascii="宋体" w:hAnsi="宋体" w:eastAsia="宋体" w:cs="宋体"/>
                      <w:sz w:val="20"/>
                      <w:szCs w:val="20"/>
                    </w:rPr>
                  </w:pPr>
                  <w:r>
                    <w:rPr>
                      <w:rFonts w:ascii="宋体" w:hAnsi="宋体" w:eastAsia="宋体" w:cs="宋体"/>
                      <w:spacing w:val="6"/>
                      <w:sz w:val="20"/>
                      <w:szCs w:val="20"/>
                    </w:rPr>
                    <w:t>厂界西</w:t>
                  </w:r>
                </w:p>
              </w:tc>
              <w:tc>
                <w:tcPr>
                  <w:tcW w:w="910" w:type="dxa"/>
                  <w:tcBorders>
                    <w:right w:val="single" w:color="000000" w:sz="2" w:space="0"/>
                  </w:tcBorders>
                  <w:vAlign w:val="top"/>
                </w:tcPr>
                <w:p w14:paraId="1754325E">
                  <w:pPr>
                    <w:spacing w:before="77" w:line="195" w:lineRule="auto"/>
                    <w:ind w:left="316"/>
                    <w:rPr>
                      <w:rFonts w:ascii="Times New Roman" w:hAnsi="Times New Roman" w:eastAsia="Times New Roman" w:cs="Times New Roman"/>
                      <w:sz w:val="20"/>
                      <w:szCs w:val="20"/>
                    </w:rPr>
                  </w:pPr>
                  <w:r>
                    <w:rPr>
                      <w:rFonts w:ascii="Times New Roman" w:hAnsi="Times New Roman" w:eastAsia="Times New Roman" w:cs="Times New Roman"/>
                      <w:sz w:val="20"/>
                      <w:szCs w:val="20"/>
                    </w:rPr>
                    <w:t>-35</w:t>
                  </w:r>
                </w:p>
              </w:tc>
              <w:tc>
                <w:tcPr>
                  <w:tcW w:w="852" w:type="dxa"/>
                  <w:tcBorders>
                    <w:left w:val="single" w:color="000000" w:sz="2" w:space="0"/>
                    <w:right w:val="single" w:color="000000" w:sz="2" w:space="0"/>
                  </w:tcBorders>
                  <w:vAlign w:val="top"/>
                </w:tcPr>
                <w:p w14:paraId="4D001195">
                  <w:pPr>
                    <w:spacing w:before="77" w:line="195" w:lineRule="auto"/>
                    <w:ind w:left="29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-33</w:t>
                  </w:r>
                </w:p>
              </w:tc>
              <w:tc>
                <w:tcPr>
                  <w:tcW w:w="765" w:type="dxa"/>
                  <w:tcBorders>
                    <w:left w:val="single" w:color="000000" w:sz="2" w:space="0"/>
                  </w:tcBorders>
                  <w:vAlign w:val="top"/>
                </w:tcPr>
                <w:p w14:paraId="56C64830">
                  <w:pPr>
                    <w:spacing w:before="77"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940" w:type="dxa"/>
                  <w:tcBorders>
                    <w:right w:val="single" w:color="000000" w:sz="2" w:space="0"/>
                  </w:tcBorders>
                  <w:vAlign w:val="top"/>
                </w:tcPr>
                <w:p w14:paraId="08152873">
                  <w:pPr>
                    <w:spacing w:before="77" w:line="195" w:lineRule="auto"/>
                    <w:ind w:left="28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46.2</w:t>
                  </w:r>
                </w:p>
              </w:tc>
              <w:tc>
                <w:tcPr>
                  <w:tcW w:w="1146" w:type="dxa"/>
                  <w:tcBorders>
                    <w:left w:val="single" w:color="000000" w:sz="2" w:space="0"/>
                    <w:right w:val="single" w:color="000000" w:sz="2" w:space="0"/>
                  </w:tcBorders>
                  <w:vAlign w:val="top"/>
                </w:tcPr>
                <w:p w14:paraId="4FD0BA3E">
                  <w:pPr>
                    <w:spacing w:before="77" w:line="195" w:lineRule="auto"/>
                    <w:ind w:left="475"/>
                    <w:rPr>
                      <w:rFonts w:ascii="Times New Roman" w:hAnsi="Times New Roman" w:eastAsia="Times New Roman" w:cs="Times New Roman"/>
                      <w:sz w:val="20"/>
                      <w:szCs w:val="20"/>
                    </w:rPr>
                  </w:pPr>
                  <w:r>
                    <w:rPr>
                      <w:rFonts w:ascii="Times New Roman" w:hAnsi="Times New Roman" w:eastAsia="Times New Roman" w:cs="Times New Roman"/>
                      <w:sz w:val="20"/>
                      <w:szCs w:val="20"/>
                    </w:rPr>
                    <w:t>56</w:t>
                  </w:r>
                </w:p>
              </w:tc>
              <w:tc>
                <w:tcPr>
                  <w:tcW w:w="1001" w:type="dxa"/>
                  <w:tcBorders>
                    <w:left w:val="single" w:color="000000" w:sz="2" w:space="0"/>
                  </w:tcBorders>
                  <w:vAlign w:val="top"/>
                </w:tcPr>
                <w:p w14:paraId="3CAAEDC4">
                  <w:pPr>
                    <w:spacing w:before="77" w:line="195"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56.4</w:t>
                  </w:r>
                </w:p>
              </w:tc>
              <w:tc>
                <w:tcPr>
                  <w:tcW w:w="805" w:type="dxa"/>
                  <w:vMerge w:val="continue"/>
                  <w:tcBorders>
                    <w:top w:val="nil"/>
                    <w:bottom w:val="nil"/>
                  </w:tcBorders>
                  <w:vAlign w:val="top"/>
                </w:tcPr>
                <w:p w14:paraId="45307C25">
                  <w:pPr>
                    <w:rPr>
                      <w:rFonts w:ascii="Arial"/>
                      <w:sz w:val="21"/>
                    </w:rPr>
                  </w:pPr>
                </w:p>
              </w:tc>
              <w:tc>
                <w:tcPr>
                  <w:tcW w:w="711" w:type="dxa"/>
                  <w:tcBorders>
                    <w:right w:val="single" w:color="000000" w:sz="2" w:space="0"/>
                  </w:tcBorders>
                  <w:vAlign w:val="top"/>
                </w:tcPr>
                <w:p w14:paraId="7407A0F6">
                  <w:pPr>
                    <w:spacing w:before="35" w:line="228" w:lineRule="auto"/>
                    <w:ind w:left="148"/>
                    <w:rPr>
                      <w:rFonts w:ascii="宋体" w:hAnsi="宋体" w:eastAsia="宋体" w:cs="宋体"/>
                      <w:sz w:val="20"/>
                      <w:szCs w:val="20"/>
                    </w:rPr>
                  </w:pPr>
                  <w:r>
                    <w:rPr>
                      <w:rFonts w:ascii="宋体" w:hAnsi="宋体" w:eastAsia="宋体" w:cs="宋体"/>
                      <w:spacing w:val="5"/>
                      <w:sz w:val="20"/>
                      <w:szCs w:val="20"/>
                    </w:rPr>
                    <w:t>达标</w:t>
                  </w:r>
                </w:p>
              </w:tc>
            </w:tr>
            <w:tr w14:paraId="6D089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318" w:type="dxa"/>
                  <w:tcBorders>
                    <w:left w:val="single" w:color="000000" w:sz="2" w:space="0"/>
                  </w:tcBorders>
                  <w:vAlign w:val="top"/>
                </w:tcPr>
                <w:p w14:paraId="4CA299AA">
                  <w:pPr>
                    <w:spacing w:before="34" w:line="228" w:lineRule="auto"/>
                    <w:ind w:left="350"/>
                    <w:rPr>
                      <w:rFonts w:ascii="宋体" w:hAnsi="宋体" w:eastAsia="宋体" w:cs="宋体"/>
                      <w:sz w:val="20"/>
                      <w:szCs w:val="20"/>
                    </w:rPr>
                  </w:pPr>
                  <w:r>
                    <w:rPr>
                      <w:rFonts w:ascii="宋体" w:hAnsi="宋体" w:eastAsia="宋体" w:cs="宋体"/>
                      <w:spacing w:val="6"/>
                      <w:sz w:val="20"/>
                      <w:szCs w:val="20"/>
                    </w:rPr>
                    <w:t>厂界北</w:t>
                  </w:r>
                </w:p>
              </w:tc>
              <w:tc>
                <w:tcPr>
                  <w:tcW w:w="910" w:type="dxa"/>
                  <w:tcBorders>
                    <w:right w:val="single" w:color="000000" w:sz="2" w:space="0"/>
                  </w:tcBorders>
                  <w:vAlign w:val="top"/>
                </w:tcPr>
                <w:p w14:paraId="193C4C2E">
                  <w:pPr>
                    <w:spacing w:before="80" w:line="192" w:lineRule="auto"/>
                    <w:ind w:left="40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852" w:type="dxa"/>
                  <w:tcBorders>
                    <w:left w:val="single" w:color="000000" w:sz="2" w:space="0"/>
                    <w:right w:val="single" w:color="000000" w:sz="2" w:space="0"/>
                  </w:tcBorders>
                  <w:vAlign w:val="top"/>
                </w:tcPr>
                <w:p w14:paraId="16C74201">
                  <w:pPr>
                    <w:spacing w:before="77" w:line="195" w:lineRule="auto"/>
                    <w:ind w:left="2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112</w:t>
                  </w:r>
                </w:p>
              </w:tc>
              <w:tc>
                <w:tcPr>
                  <w:tcW w:w="765" w:type="dxa"/>
                  <w:tcBorders>
                    <w:left w:val="single" w:color="000000" w:sz="2" w:space="0"/>
                  </w:tcBorders>
                  <w:vAlign w:val="top"/>
                </w:tcPr>
                <w:p w14:paraId="1CA59143">
                  <w:pPr>
                    <w:spacing w:before="77"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940" w:type="dxa"/>
                  <w:tcBorders>
                    <w:right w:val="single" w:color="000000" w:sz="2" w:space="0"/>
                  </w:tcBorders>
                  <w:vAlign w:val="top"/>
                </w:tcPr>
                <w:p w14:paraId="7BE2B853">
                  <w:pPr>
                    <w:spacing w:before="77" w:line="195" w:lineRule="auto"/>
                    <w:ind w:left="28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34.7</w:t>
                  </w:r>
                </w:p>
              </w:tc>
              <w:tc>
                <w:tcPr>
                  <w:tcW w:w="1146" w:type="dxa"/>
                  <w:tcBorders>
                    <w:left w:val="single" w:color="000000" w:sz="2" w:space="0"/>
                    <w:right w:val="single" w:color="000000" w:sz="2" w:space="0"/>
                  </w:tcBorders>
                  <w:vAlign w:val="top"/>
                </w:tcPr>
                <w:p w14:paraId="1872D931">
                  <w:pPr>
                    <w:spacing w:before="77" w:line="195" w:lineRule="auto"/>
                    <w:ind w:left="475"/>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1001" w:type="dxa"/>
                  <w:tcBorders>
                    <w:left w:val="single" w:color="000000" w:sz="2" w:space="0"/>
                  </w:tcBorders>
                  <w:vAlign w:val="top"/>
                </w:tcPr>
                <w:p w14:paraId="2E641EE1">
                  <w:pPr>
                    <w:spacing w:before="77" w:line="195" w:lineRule="auto"/>
                    <w:ind w:left="325"/>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z w:val="20"/>
                      <w:szCs w:val="20"/>
                    </w:rPr>
                    <w:t>1</w:t>
                  </w:r>
                </w:p>
              </w:tc>
              <w:tc>
                <w:tcPr>
                  <w:tcW w:w="805" w:type="dxa"/>
                  <w:vMerge w:val="continue"/>
                  <w:tcBorders>
                    <w:top w:val="nil"/>
                  </w:tcBorders>
                  <w:vAlign w:val="top"/>
                </w:tcPr>
                <w:p w14:paraId="515798D6">
                  <w:pPr>
                    <w:rPr>
                      <w:rFonts w:ascii="Arial"/>
                      <w:sz w:val="21"/>
                    </w:rPr>
                  </w:pPr>
                </w:p>
              </w:tc>
              <w:tc>
                <w:tcPr>
                  <w:tcW w:w="711" w:type="dxa"/>
                  <w:tcBorders>
                    <w:right w:val="single" w:color="000000" w:sz="2" w:space="0"/>
                  </w:tcBorders>
                  <w:vAlign w:val="top"/>
                </w:tcPr>
                <w:p w14:paraId="344D20B4">
                  <w:pPr>
                    <w:spacing w:before="34" w:line="228" w:lineRule="auto"/>
                    <w:ind w:left="148"/>
                    <w:rPr>
                      <w:rFonts w:ascii="宋体" w:hAnsi="宋体" w:eastAsia="宋体" w:cs="宋体"/>
                      <w:sz w:val="20"/>
                      <w:szCs w:val="20"/>
                    </w:rPr>
                  </w:pPr>
                  <w:r>
                    <w:rPr>
                      <w:rFonts w:ascii="宋体" w:hAnsi="宋体" w:eastAsia="宋体" w:cs="宋体"/>
                      <w:spacing w:val="5"/>
                      <w:sz w:val="20"/>
                      <w:szCs w:val="20"/>
                    </w:rPr>
                    <w:t>达标</w:t>
                  </w:r>
                </w:p>
              </w:tc>
            </w:tr>
            <w:tr w14:paraId="7E968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8448" w:type="dxa"/>
                  <w:gridSpan w:val="9"/>
                  <w:tcBorders>
                    <w:left w:val="single" w:color="000000" w:sz="2" w:space="0"/>
                    <w:right w:val="single" w:color="000000" w:sz="2" w:space="0"/>
                  </w:tcBorders>
                  <w:vAlign w:val="top"/>
                </w:tcPr>
                <w:p w14:paraId="59B73930">
                  <w:pPr>
                    <w:spacing w:before="1" w:line="368" w:lineRule="auto"/>
                    <w:ind w:left="112" w:right="108"/>
                    <w:rPr>
                      <w:rFonts w:ascii="宋体" w:hAnsi="宋体" w:eastAsia="宋体" w:cs="宋体"/>
                      <w:sz w:val="20"/>
                      <w:szCs w:val="20"/>
                    </w:rPr>
                  </w:pPr>
                  <w:r>
                    <w:rPr>
                      <w:rFonts w:ascii="宋体" w:hAnsi="宋体" w:eastAsia="宋体" w:cs="宋体"/>
                      <w:spacing w:val="5"/>
                      <w:sz w:val="20"/>
                      <w:szCs w:val="20"/>
                    </w:rPr>
                    <w:t>注：</w:t>
                  </w:r>
                  <w:r>
                    <w:rPr>
                      <w:rFonts w:ascii="宋体" w:hAnsi="宋体" w:eastAsia="宋体" w:cs="宋体"/>
                      <w:spacing w:val="-59"/>
                      <w:sz w:val="20"/>
                      <w:szCs w:val="20"/>
                    </w:rPr>
                    <w:t xml:space="preserve"> </w:t>
                  </w:r>
                  <w:r>
                    <w:rPr>
                      <w:rFonts w:ascii="宋体" w:hAnsi="宋体" w:eastAsia="宋体" w:cs="宋体"/>
                      <w:spacing w:val="5"/>
                      <w:sz w:val="20"/>
                      <w:szCs w:val="20"/>
                    </w:rPr>
                    <w:t>以项目区中心为坐标原点（</w:t>
                  </w:r>
                  <w:r>
                    <w:rPr>
                      <w:rFonts w:ascii="Times New Roman" w:hAnsi="Times New Roman" w:eastAsia="Times New Roman" w:cs="Times New Roman"/>
                      <w:spacing w:val="5"/>
                      <w:sz w:val="20"/>
                      <w:szCs w:val="20"/>
                    </w:rPr>
                    <w:t>X=0</w:t>
                  </w:r>
                  <w:r>
                    <w:rPr>
                      <w:rFonts w:ascii="Times New Roman" w:hAnsi="Times New Roman" w:eastAsia="Times New Roman" w:cs="Times New Roman"/>
                      <w:spacing w:val="-24"/>
                      <w:sz w:val="20"/>
                      <w:szCs w:val="20"/>
                    </w:rPr>
                    <w:t xml:space="preserve"> </w:t>
                  </w:r>
                  <w:r>
                    <w:rPr>
                      <w:rFonts w:ascii="宋体" w:hAnsi="宋体" w:eastAsia="宋体" w:cs="宋体"/>
                      <w:spacing w:val="5"/>
                      <w:sz w:val="20"/>
                      <w:szCs w:val="20"/>
                    </w:rPr>
                    <w:t>，</w:t>
                  </w:r>
                  <w:r>
                    <w:rPr>
                      <w:rFonts w:ascii="Times New Roman" w:hAnsi="Times New Roman" w:eastAsia="Times New Roman" w:cs="Times New Roman"/>
                      <w:spacing w:val="5"/>
                      <w:sz w:val="20"/>
                      <w:szCs w:val="20"/>
                    </w:rPr>
                    <w:t>Y=0</w:t>
                  </w:r>
                  <w:r>
                    <w:rPr>
                      <w:rFonts w:ascii="Times New Roman" w:hAnsi="Times New Roman" w:eastAsia="Times New Roman" w:cs="Times New Roman"/>
                      <w:spacing w:val="-24"/>
                      <w:sz w:val="20"/>
                      <w:szCs w:val="20"/>
                    </w:rPr>
                    <w:t xml:space="preserve"> </w:t>
                  </w:r>
                  <w:r>
                    <w:rPr>
                      <w:rFonts w:ascii="宋体" w:hAnsi="宋体" w:eastAsia="宋体" w:cs="宋体"/>
                      <w:spacing w:val="5"/>
                      <w:sz w:val="20"/>
                      <w:szCs w:val="20"/>
                    </w:rPr>
                    <w:t>，</w:t>
                  </w:r>
                  <w:r>
                    <w:rPr>
                      <w:rFonts w:ascii="Times New Roman" w:hAnsi="Times New Roman" w:eastAsia="Times New Roman" w:cs="Times New Roman"/>
                      <w:spacing w:val="5"/>
                      <w:sz w:val="20"/>
                      <w:szCs w:val="20"/>
                    </w:rPr>
                    <w:t>Z=</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5"/>
                      <w:sz w:val="20"/>
                      <w:szCs w:val="20"/>
                    </w:rPr>
                    <w:t>1.2</w:t>
                  </w:r>
                  <w:r>
                    <w:rPr>
                      <w:rFonts w:ascii="宋体" w:hAnsi="宋体" w:eastAsia="宋体" w:cs="宋体"/>
                      <w:spacing w:val="20"/>
                      <w:sz w:val="20"/>
                      <w:szCs w:val="20"/>
                    </w:rPr>
                    <w:t>），</w:t>
                  </w:r>
                  <w:r>
                    <w:rPr>
                      <w:rFonts w:ascii="宋体" w:hAnsi="宋体" w:eastAsia="宋体" w:cs="宋体"/>
                      <w:spacing w:val="5"/>
                      <w:sz w:val="20"/>
                      <w:szCs w:val="20"/>
                    </w:rPr>
                    <w:t>正东向为</w:t>
                  </w:r>
                  <w:r>
                    <w:rPr>
                      <w:rFonts w:ascii="宋体" w:hAnsi="宋体" w:eastAsia="宋体" w:cs="宋体"/>
                      <w:spacing w:val="-46"/>
                      <w:sz w:val="20"/>
                      <w:szCs w:val="20"/>
                    </w:rPr>
                    <w:t xml:space="preserve"> </w:t>
                  </w:r>
                  <w:r>
                    <w:rPr>
                      <w:rFonts w:ascii="Times New Roman" w:hAnsi="Times New Roman" w:eastAsia="Times New Roman" w:cs="Times New Roman"/>
                      <w:spacing w:val="5"/>
                      <w:sz w:val="20"/>
                      <w:szCs w:val="20"/>
                    </w:rPr>
                    <w:t xml:space="preserve">X </w:t>
                  </w:r>
                  <w:r>
                    <w:rPr>
                      <w:rFonts w:ascii="宋体" w:hAnsi="宋体" w:eastAsia="宋体" w:cs="宋体"/>
                      <w:spacing w:val="5"/>
                      <w:sz w:val="20"/>
                      <w:szCs w:val="20"/>
                    </w:rPr>
                    <w:t>轴正方向，正北向为</w:t>
                  </w:r>
                  <w:r>
                    <w:rPr>
                      <w:rFonts w:ascii="宋体" w:hAnsi="宋体" w:eastAsia="宋体" w:cs="宋体"/>
                      <w:spacing w:val="-46"/>
                      <w:sz w:val="20"/>
                      <w:szCs w:val="20"/>
                    </w:rPr>
                    <w:t xml:space="preserve"> </w:t>
                  </w:r>
                  <w:r>
                    <w:rPr>
                      <w:rFonts w:ascii="Times New Roman" w:hAnsi="Times New Roman" w:eastAsia="Times New Roman" w:cs="Times New Roman"/>
                      <w:spacing w:val="5"/>
                      <w:sz w:val="20"/>
                      <w:szCs w:val="20"/>
                    </w:rPr>
                    <w:t>Y</w:t>
                  </w:r>
                  <w:r>
                    <w:rPr>
                      <w:rFonts w:ascii="宋体" w:hAnsi="宋体" w:eastAsia="宋体" w:cs="宋体"/>
                      <w:spacing w:val="5"/>
                      <w:sz w:val="20"/>
                      <w:szCs w:val="20"/>
                    </w:rPr>
                    <w:t>轴正方向。</w:t>
                  </w:r>
                </w:p>
              </w:tc>
            </w:tr>
          </w:tbl>
          <w:p w14:paraId="2930D75F">
            <w:pPr>
              <w:spacing w:line="5825" w:lineRule="exact"/>
              <w:ind w:firstLine="100"/>
            </w:pPr>
            <w:r>
              <w:rPr>
                <w:position w:val="-116"/>
              </w:rPr>
              <w:drawing>
                <wp:inline distT="0" distB="0" distL="0" distR="0">
                  <wp:extent cx="5572760" cy="369824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138"/>
                          <a:stretch>
                            <a:fillRect/>
                          </a:stretch>
                        </pic:blipFill>
                        <pic:spPr>
                          <a:xfrm>
                            <a:off x="0" y="0"/>
                            <a:ext cx="5573268" cy="3698748"/>
                          </a:xfrm>
                          <a:prstGeom prst="rect">
                            <a:avLst/>
                          </a:prstGeom>
                        </pic:spPr>
                      </pic:pic>
                    </a:graphicData>
                  </a:graphic>
                </wp:inline>
              </w:drawing>
            </w:r>
          </w:p>
          <w:p w14:paraId="6578FC35">
            <w:pPr>
              <w:spacing w:before="198" w:line="219" w:lineRule="auto"/>
              <w:ind w:left="2612"/>
              <w:rPr>
                <w:rFonts w:ascii="宋体" w:hAnsi="宋体" w:eastAsia="宋体" w:cs="宋体"/>
                <w:sz w:val="24"/>
                <w:szCs w:val="24"/>
              </w:rPr>
            </w:pPr>
            <w:r>
              <w:rPr>
                <w:rFonts w:ascii="宋体" w:hAnsi="宋体" w:eastAsia="宋体" w:cs="宋体"/>
                <w:b/>
                <w:bCs/>
                <w:spacing w:val="-3"/>
                <w:sz w:val="24"/>
                <w:szCs w:val="24"/>
              </w:rPr>
              <w:t>图</w:t>
            </w:r>
            <w:r>
              <w:rPr>
                <w:rFonts w:ascii="宋体" w:hAnsi="宋体" w:eastAsia="宋体" w:cs="宋体"/>
                <w:spacing w:val="-49"/>
                <w:sz w:val="24"/>
                <w:szCs w:val="24"/>
              </w:rPr>
              <w:t xml:space="preserve"> </w:t>
            </w:r>
            <w:r>
              <w:rPr>
                <w:rFonts w:ascii="Times New Roman" w:hAnsi="Times New Roman" w:eastAsia="Times New Roman" w:cs="Times New Roman"/>
                <w:b/>
                <w:bCs/>
                <w:spacing w:val="-3"/>
                <w:sz w:val="24"/>
                <w:szCs w:val="24"/>
              </w:rPr>
              <w:t xml:space="preserve">4-3      </w:t>
            </w:r>
            <w:r>
              <w:rPr>
                <w:rFonts w:ascii="宋体" w:hAnsi="宋体" w:eastAsia="宋体" w:cs="宋体"/>
                <w:b/>
                <w:bCs/>
                <w:spacing w:val="-3"/>
                <w:sz w:val="24"/>
                <w:szCs w:val="24"/>
              </w:rPr>
              <w:t>扩建项目噪声贡献值等声曲线图</w:t>
            </w:r>
          </w:p>
        </w:tc>
      </w:tr>
    </w:tbl>
    <w:p w14:paraId="0EA55255">
      <w:pPr>
        <w:pStyle w:val="2"/>
      </w:pPr>
    </w:p>
    <w:p w14:paraId="6F1CEAA7">
      <w:pPr>
        <w:sectPr>
          <w:footerReference r:id="rId101" w:type="default"/>
          <w:pgSz w:w="11906" w:h="16839"/>
          <w:pgMar w:top="400" w:right="1055" w:bottom="1085" w:left="1054" w:header="0" w:footer="762" w:gutter="0"/>
          <w:cols w:space="720" w:num="1"/>
        </w:sectPr>
      </w:pPr>
    </w:p>
    <w:p w14:paraId="2F881E10">
      <w:pPr>
        <w:spacing w:before="19"/>
      </w:pPr>
    </w:p>
    <w:p w14:paraId="227C76D8">
      <w:pPr>
        <w:spacing w:before="19"/>
      </w:pPr>
    </w:p>
    <w:p w14:paraId="70C801C0">
      <w:pPr>
        <w:spacing w:before="19"/>
      </w:pPr>
    </w:p>
    <w:p w14:paraId="332D1348">
      <w:pPr>
        <w:spacing w:before="18"/>
      </w:pPr>
    </w:p>
    <w:p w14:paraId="6AF34A55">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20541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85" w:hRule="atLeast"/>
        </w:trPr>
        <w:tc>
          <w:tcPr>
            <w:tcW w:w="734" w:type="dxa"/>
            <w:tcBorders>
              <w:right w:val="single" w:color="000000" w:sz="2" w:space="0"/>
            </w:tcBorders>
            <w:vAlign w:val="top"/>
          </w:tcPr>
          <w:p w14:paraId="1DA7463F">
            <w:pPr>
              <w:rPr>
                <w:rFonts w:ascii="Arial"/>
                <w:sz w:val="21"/>
              </w:rPr>
            </w:pPr>
          </w:p>
        </w:tc>
        <w:tc>
          <w:tcPr>
            <w:tcW w:w="9047" w:type="dxa"/>
            <w:tcBorders>
              <w:left w:val="single" w:color="000000" w:sz="2" w:space="0"/>
            </w:tcBorders>
            <w:vAlign w:val="top"/>
          </w:tcPr>
          <w:p w14:paraId="5A904327">
            <w:pPr>
              <w:spacing w:before="40" w:line="359" w:lineRule="auto"/>
              <w:ind w:left="110" w:right="102" w:firstLine="480"/>
              <w:jc w:val="both"/>
              <w:rPr>
                <w:rFonts w:ascii="宋体" w:hAnsi="宋体" w:eastAsia="宋体" w:cs="宋体"/>
                <w:sz w:val="24"/>
                <w:szCs w:val="24"/>
              </w:rPr>
            </w:pPr>
            <w:r>
              <w:rPr>
                <w:rFonts w:ascii="宋体" w:hAnsi="宋体" w:eastAsia="宋体" w:cs="宋体"/>
                <w:spacing w:val="-2"/>
                <w:sz w:val="24"/>
                <w:szCs w:val="24"/>
              </w:rPr>
              <w:t>本项目昼间生产，夜间不生产，根据预测结果，运营期厂界昼间噪声值可以达到</w:t>
            </w:r>
            <w:r>
              <w:rPr>
                <w:rFonts w:ascii="宋体" w:hAnsi="宋体" w:eastAsia="宋体" w:cs="宋体"/>
                <w:spacing w:val="-3"/>
                <w:sz w:val="24"/>
                <w:szCs w:val="24"/>
              </w:rPr>
              <w:t>《工业企业厂界环境噪声排放标准》（</w:t>
            </w:r>
            <w:r>
              <w:rPr>
                <w:rFonts w:ascii="Times New Roman" w:hAnsi="Times New Roman" w:eastAsia="Times New Roman" w:cs="Times New Roman"/>
                <w:spacing w:val="-3"/>
                <w:sz w:val="24"/>
                <w:szCs w:val="24"/>
              </w:rPr>
              <w:t>GB12348-2008</w:t>
            </w:r>
            <w:r>
              <w:rPr>
                <w:rFonts w:ascii="宋体" w:hAnsi="宋体" w:eastAsia="宋体" w:cs="宋体"/>
                <w:spacing w:val="-3"/>
                <w:sz w:val="24"/>
                <w:szCs w:val="24"/>
              </w:rPr>
              <w:t>）中的</w:t>
            </w:r>
            <w:r>
              <w:rPr>
                <w:rFonts w:ascii="宋体" w:hAnsi="宋体" w:eastAsia="宋体" w:cs="宋体"/>
                <w:spacing w:val="-39"/>
                <w:sz w:val="24"/>
                <w:szCs w:val="24"/>
              </w:rPr>
              <w:t xml:space="preserve"> </w:t>
            </w:r>
            <w:r>
              <w:rPr>
                <w:rFonts w:ascii="Times New Roman" w:hAnsi="Times New Roman" w:eastAsia="Times New Roman" w:cs="Times New Roman"/>
                <w:spacing w:val="-3"/>
                <w:sz w:val="24"/>
                <w:szCs w:val="24"/>
              </w:rPr>
              <w:t xml:space="preserve">3 </w:t>
            </w:r>
            <w:r>
              <w:rPr>
                <w:rFonts w:ascii="宋体" w:hAnsi="宋体" w:eastAsia="宋体" w:cs="宋体"/>
                <w:spacing w:val="-3"/>
                <w:sz w:val="24"/>
                <w:szCs w:val="24"/>
              </w:rPr>
              <w:t>类排放标准要求，本项</w:t>
            </w:r>
            <w:r>
              <w:rPr>
                <w:rFonts w:ascii="宋体" w:hAnsi="宋体" w:eastAsia="宋体" w:cs="宋体"/>
                <w:sz w:val="24"/>
                <w:szCs w:val="24"/>
              </w:rPr>
              <w:t>目</w:t>
            </w:r>
            <w:r>
              <w:rPr>
                <w:rFonts w:ascii="宋体" w:hAnsi="宋体" w:eastAsia="宋体" w:cs="宋体"/>
                <w:spacing w:val="-30"/>
                <w:sz w:val="24"/>
                <w:szCs w:val="24"/>
              </w:rPr>
              <w:t xml:space="preserve"> </w:t>
            </w:r>
            <w:r>
              <w:rPr>
                <w:rFonts w:ascii="Times New Roman" w:hAnsi="Times New Roman" w:eastAsia="Times New Roman" w:cs="Times New Roman"/>
                <w:sz w:val="24"/>
                <w:szCs w:val="24"/>
              </w:rPr>
              <w:t>19</w:t>
            </w:r>
            <w:r>
              <w:rPr>
                <w:rFonts w:ascii="宋体" w:hAnsi="宋体" w:eastAsia="宋体" w:cs="宋体"/>
                <w:sz w:val="24"/>
                <w:szCs w:val="24"/>
              </w:rPr>
              <w:t>：</w:t>
            </w:r>
            <w:r>
              <w:rPr>
                <w:rFonts w:ascii="Times New Roman" w:hAnsi="Times New Roman" w:eastAsia="Times New Roman" w:cs="Times New Roman"/>
                <w:sz w:val="24"/>
                <w:szCs w:val="24"/>
              </w:rPr>
              <w:t>00~</w:t>
            </w:r>
            <w:r>
              <w:rPr>
                <w:rFonts w:ascii="宋体" w:hAnsi="宋体" w:eastAsia="宋体" w:cs="宋体"/>
                <w:sz w:val="24"/>
                <w:szCs w:val="24"/>
              </w:rPr>
              <w:t>次日</w:t>
            </w:r>
            <w:r>
              <w:rPr>
                <w:rFonts w:ascii="宋体" w:hAnsi="宋体" w:eastAsia="宋体" w:cs="宋体"/>
                <w:spacing w:val="-40"/>
                <w:sz w:val="24"/>
                <w:szCs w:val="24"/>
              </w:rPr>
              <w:t xml:space="preserve"> </w:t>
            </w:r>
            <w:r>
              <w:rPr>
                <w:rFonts w:ascii="Times New Roman" w:hAnsi="Times New Roman" w:eastAsia="Times New Roman" w:cs="Times New Roman"/>
                <w:sz w:val="24"/>
                <w:szCs w:val="24"/>
              </w:rPr>
              <w:t>8:00</w:t>
            </w:r>
            <w:r>
              <w:rPr>
                <w:rFonts w:ascii="Times New Roman" w:hAnsi="Times New Roman" w:eastAsia="Times New Roman" w:cs="Times New Roman"/>
                <w:spacing w:val="18"/>
                <w:sz w:val="24"/>
                <w:szCs w:val="24"/>
              </w:rPr>
              <w:t xml:space="preserve"> </w:t>
            </w:r>
            <w:r>
              <w:rPr>
                <w:rFonts w:ascii="宋体" w:hAnsi="宋体" w:eastAsia="宋体" w:cs="宋体"/>
                <w:sz w:val="24"/>
                <w:szCs w:val="24"/>
              </w:rPr>
              <w:t>不生产，项目运营期无超标点，项目区</w:t>
            </w:r>
            <w:r>
              <w:rPr>
                <w:rFonts w:ascii="宋体" w:hAnsi="宋体" w:eastAsia="宋体" w:cs="宋体"/>
                <w:spacing w:val="-46"/>
                <w:sz w:val="24"/>
                <w:szCs w:val="24"/>
              </w:rPr>
              <w:t xml:space="preserve"> </w:t>
            </w:r>
            <w:r>
              <w:rPr>
                <w:rFonts w:ascii="Times New Roman" w:hAnsi="Times New Roman" w:eastAsia="Times New Roman" w:cs="Times New Roman"/>
                <w:sz w:val="24"/>
                <w:szCs w:val="24"/>
              </w:rPr>
              <w:t>50m</w:t>
            </w:r>
            <w:r>
              <w:rPr>
                <w:rFonts w:ascii="Times New Roman" w:hAnsi="Times New Roman" w:eastAsia="Times New Roman" w:cs="Times New Roman"/>
                <w:spacing w:val="20"/>
                <w:w w:val="101"/>
                <w:sz w:val="24"/>
                <w:szCs w:val="24"/>
              </w:rPr>
              <w:t xml:space="preserve"> </w:t>
            </w:r>
            <w:r>
              <w:rPr>
                <w:rFonts w:ascii="宋体" w:hAnsi="宋体" w:eastAsia="宋体" w:cs="宋体"/>
                <w:sz w:val="24"/>
                <w:szCs w:val="24"/>
              </w:rPr>
              <w:t>范围内没有</w:t>
            </w:r>
            <w:r>
              <w:rPr>
                <w:rFonts w:ascii="宋体" w:hAnsi="宋体" w:eastAsia="宋体" w:cs="宋体"/>
                <w:spacing w:val="-1"/>
                <w:sz w:val="24"/>
                <w:szCs w:val="24"/>
              </w:rPr>
              <w:t>保护目标，因此对周围环境的影响很小。</w:t>
            </w:r>
          </w:p>
          <w:p w14:paraId="4EC38DD6">
            <w:pPr>
              <w:spacing w:line="219" w:lineRule="auto"/>
              <w:ind w:left="588"/>
              <w:rPr>
                <w:rFonts w:ascii="宋体" w:hAnsi="宋体" w:eastAsia="宋体" w:cs="宋体"/>
                <w:sz w:val="24"/>
                <w:szCs w:val="24"/>
              </w:rPr>
            </w:pPr>
            <w:r>
              <w:rPr>
                <w:rFonts w:ascii="Times New Roman" w:hAnsi="Times New Roman" w:eastAsia="Times New Roman" w:cs="Times New Roman"/>
                <w:b/>
                <w:bCs/>
                <w:spacing w:val="-6"/>
                <w:sz w:val="24"/>
                <w:szCs w:val="24"/>
              </w:rPr>
              <w:t>5</w:t>
            </w:r>
            <w:r>
              <w:rPr>
                <w:rFonts w:ascii="Times New Roman" w:hAnsi="Times New Roman" w:eastAsia="Times New Roman" w:cs="Times New Roman"/>
                <w:b/>
                <w:bCs/>
                <w:spacing w:val="-29"/>
                <w:sz w:val="24"/>
                <w:szCs w:val="24"/>
              </w:rPr>
              <w:t xml:space="preserve"> </w:t>
            </w:r>
            <w:r>
              <w:rPr>
                <w:rFonts w:ascii="宋体" w:hAnsi="宋体" w:eastAsia="宋体" w:cs="宋体"/>
                <w:b/>
                <w:bCs/>
                <w:spacing w:val="-6"/>
                <w:sz w:val="24"/>
                <w:szCs w:val="24"/>
              </w:rPr>
              <w:t>、敏感点影响分析</w:t>
            </w:r>
          </w:p>
          <w:p w14:paraId="58384754">
            <w:pPr>
              <w:spacing w:before="183" w:line="219" w:lineRule="auto"/>
              <w:ind w:left="589"/>
              <w:rPr>
                <w:rFonts w:ascii="宋体" w:hAnsi="宋体" w:eastAsia="宋体" w:cs="宋体"/>
                <w:sz w:val="24"/>
                <w:szCs w:val="24"/>
              </w:rPr>
            </w:pPr>
            <w:r>
              <w:rPr>
                <w:rFonts w:ascii="宋体" w:hAnsi="宋体" w:eastAsia="宋体" w:cs="宋体"/>
                <w:spacing w:val="-1"/>
                <w:sz w:val="24"/>
                <w:szCs w:val="24"/>
              </w:rPr>
              <w:t>根据现场调查，项目周围</w:t>
            </w:r>
            <w:r>
              <w:rPr>
                <w:rFonts w:ascii="宋体" w:hAnsi="宋体" w:eastAsia="宋体" w:cs="宋体"/>
                <w:spacing w:val="-47"/>
                <w:sz w:val="24"/>
                <w:szCs w:val="24"/>
              </w:rPr>
              <w:t xml:space="preserve"> </w:t>
            </w:r>
            <w:r>
              <w:rPr>
                <w:rFonts w:ascii="Times New Roman" w:hAnsi="Times New Roman" w:eastAsia="Times New Roman" w:cs="Times New Roman"/>
                <w:spacing w:val="-1"/>
                <w:sz w:val="24"/>
                <w:szCs w:val="24"/>
              </w:rPr>
              <w:t xml:space="preserve">50m </w:t>
            </w:r>
            <w:r>
              <w:rPr>
                <w:rFonts w:ascii="宋体" w:hAnsi="宋体" w:eastAsia="宋体" w:cs="宋体"/>
                <w:spacing w:val="-1"/>
                <w:sz w:val="24"/>
                <w:szCs w:val="24"/>
              </w:rPr>
              <w:t>范围内无声环境敏感点。</w:t>
            </w:r>
          </w:p>
          <w:p w14:paraId="4E588C68">
            <w:pPr>
              <w:spacing w:before="182" w:line="221" w:lineRule="auto"/>
              <w:ind w:left="588"/>
              <w:rPr>
                <w:rFonts w:ascii="宋体" w:hAnsi="宋体" w:eastAsia="宋体" w:cs="宋体"/>
                <w:sz w:val="24"/>
                <w:szCs w:val="24"/>
              </w:rPr>
            </w:pPr>
            <w:r>
              <w:rPr>
                <w:rFonts w:ascii="Times New Roman" w:hAnsi="Times New Roman" w:eastAsia="Times New Roman" w:cs="Times New Roman"/>
                <w:b/>
                <w:bCs/>
                <w:spacing w:val="-8"/>
                <w:sz w:val="24"/>
                <w:szCs w:val="24"/>
              </w:rPr>
              <w:t>6</w:t>
            </w:r>
            <w:r>
              <w:rPr>
                <w:rFonts w:ascii="Times New Roman" w:hAnsi="Times New Roman" w:eastAsia="Times New Roman" w:cs="Times New Roman"/>
                <w:b/>
                <w:bCs/>
                <w:spacing w:val="-33"/>
                <w:sz w:val="24"/>
                <w:szCs w:val="24"/>
              </w:rPr>
              <w:t xml:space="preserve"> </w:t>
            </w:r>
            <w:r>
              <w:rPr>
                <w:rFonts w:ascii="宋体" w:hAnsi="宋体" w:eastAsia="宋体" w:cs="宋体"/>
                <w:b/>
                <w:bCs/>
                <w:spacing w:val="-8"/>
                <w:sz w:val="24"/>
                <w:szCs w:val="24"/>
              </w:rPr>
              <w:t>、监测要求</w:t>
            </w:r>
          </w:p>
          <w:p w14:paraId="6107E2FD">
            <w:pPr>
              <w:spacing w:before="179" w:line="357" w:lineRule="auto"/>
              <w:ind w:left="110" w:right="102" w:firstLine="479"/>
              <w:rPr>
                <w:rFonts w:ascii="宋体" w:hAnsi="宋体" w:eastAsia="宋体" w:cs="宋体"/>
                <w:sz w:val="24"/>
                <w:szCs w:val="24"/>
              </w:rPr>
            </w:pPr>
            <w:r>
              <w:rPr>
                <w:rFonts w:ascii="宋体" w:hAnsi="宋体" w:eastAsia="宋体" w:cs="宋体"/>
                <w:spacing w:val="-1"/>
                <w:sz w:val="24"/>
                <w:szCs w:val="24"/>
              </w:rPr>
              <w:t>根据《排污单位自行监测技术指南 总则》（</w:t>
            </w:r>
            <w:r>
              <w:rPr>
                <w:rFonts w:ascii="Times New Roman" w:hAnsi="Times New Roman" w:eastAsia="Times New Roman" w:cs="Times New Roman"/>
                <w:spacing w:val="-1"/>
                <w:sz w:val="24"/>
                <w:szCs w:val="24"/>
              </w:rPr>
              <w:t>HJ1084-2020</w:t>
            </w:r>
            <w:r>
              <w:rPr>
                <w:rFonts w:ascii="宋体" w:hAnsi="宋体" w:eastAsia="宋体" w:cs="宋体"/>
                <w:spacing w:val="-1"/>
                <w:sz w:val="24"/>
                <w:szCs w:val="24"/>
              </w:rPr>
              <w:t>）、《排污单位自</w:t>
            </w:r>
            <w:r>
              <w:rPr>
                <w:rFonts w:ascii="宋体" w:hAnsi="宋体" w:eastAsia="宋体" w:cs="宋体"/>
                <w:spacing w:val="-2"/>
                <w:sz w:val="24"/>
                <w:szCs w:val="24"/>
              </w:rPr>
              <w:t>行监</w:t>
            </w:r>
            <w:r>
              <w:rPr>
                <w:rFonts w:ascii="宋体" w:hAnsi="宋体" w:eastAsia="宋体" w:cs="宋体"/>
                <w:spacing w:val="-1"/>
                <w:sz w:val="24"/>
                <w:szCs w:val="24"/>
              </w:rPr>
              <w:t>测技术指南 橡胶和塑料制品》（</w:t>
            </w:r>
            <w:r>
              <w:rPr>
                <w:rFonts w:ascii="Times New Roman" w:hAnsi="Times New Roman" w:eastAsia="Times New Roman" w:cs="Times New Roman"/>
                <w:spacing w:val="-1"/>
                <w:sz w:val="24"/>
                <w:szCs w:val="24"/>
              </w:rPr>
              <w:t>HJ1207-2021</w:t>
            </w:r>
            <w:r>
              <w:rPr>
                <w:rFonts w:ascii="宋体" w:hAnsi="宋体" w:eastAsia="宋体" w:cs="宋体"/>
                <w:spacing w:val="12"/>
                <w:sz w:val="24"/>
                <w:szCs w:val="24"/>
              </w:rPr>
              <w:t>），</w:t>
            </w:r>
            <w:r>
              <w:rPr>
                <w:rFonts w:ascii="宋体" w:hAnsi="宋体" w:eastAsia="宋体" w:cs="宋体"/>
                <w:spacing w:val="-1"/>
                <w:sz w:val="24"/>
                <w:szCs w:val="24"/>
              </w:rPr>
              <w:t>项目自行监测计划如下：</w:t>
            </w:r>
          </w:p>
          <w:p w14:paraId="105C033B">
            <w:pPr>
              <w:spacing w:before="1" w:line="222" w:lineRule="auto"/>
              <w:ind w:left="2804"/>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32"/>
                <w:sz w:val="20"/>
                <w:szCs w:val="20"/>
              </w:rPr>
              <w:t xml:space="preserve"> </w:t>
            </w:r>
            <w:r>
              <w:rPr>
                <w:rFonts w:ascii="Times New Roman" w:hAnsi="Times New Roman" w:eastAsia="Times New Roman" w:cs="Times New Roman"/>
                <w:b/>
                <w:bCs/>
                <w:spacing w:val="6"/>
                <w:sz w:val="20"/>
                <w:szCs w:val="20"/>
              </w:rPr>
              <w:t xml:space="preserve">4-12 </w:t>
            </w:r>
            <w:r>
              <w:rPr>
                <w:rFonts w:ascii="宋体" w:hAnsi="宋体" w:eastAsia="宋体" w:cs="宋体"/>
                <w:b/>
                <w:bCs/>
                <w:spacing w:val="6"/>
                <w:sz w:val="20"/>
                <w:szCs w:val="20"/>
              </w:rPr>
              <w:t>厂界环境噪声监测要求一览表</w:t>
            </w:r>
          </w:p>
          <w:tbl>
            <w:tblPr>
              <w:tblStyle w:val="10"/>
              <w:tblW w:w="8827" w:type="dxa"/>
              <w:tblInd w:w="1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15"/>
              <w:gridCol w:w="2633"/>
              <w:gridCol w:w="2479"/>
            </w:tblGrid>
            <w:tr w14:paraId="1B77A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3715" w:type="dxa"/>
                  <w:vAlign w:val="top"/>
                </w:tcPr>
                <w:p w14:paraId="2EC76C23">
                  <w:pPr>
                    <w:spacing w:before="36" w:line="229" w:lineRule="auto"/>
                    <w:ind w:left="1443"/>
                    <w:rPr>
                      <w:rFonts w:ascii="宋体" w:hAnsi="宋体" w:eastAsia="宋体" w:cs="宋体"/>
                      <w:sz w:val="20"/>
                      <w:szCs w:val="20"/>
                    </w:rPr>
                  </w:pPr>
                  <w:r>
                    <w:rPr>
                      <w:rFonts w:ascii="宋体" w:hAnsi="宋体" w:eastAsia="宋体" w:cs="宋体"/>
                      <w:b/>
                      <w:bCs/>
                      <w:spacing w:val="6"/>
                      <w:sz w:val="20"/>
                      <w:szCs w:val="20"/>
                    </w:rPr>
                    <w:t>监测点位</w:t>
                  </w:r>
                </w:p>
              </w:tc>
              <w:tc>
                <w:tcPr>
                  <w:tcW w:w="2633" w:type="dxa"/>
                  <w:vAlign w:val="top"/>
                </w:tcPr>
                <w:p w14:paraId="32A661F9">
                  <w:pPr>
                    <w:spacing w:before="37" w:line="228" w:lineRule="auto"/>
                    <w:ind w:left="900"/>
                    <w:rPr>
                      <w:rFonts w:ascii="宋体" w:hAnsi="宋体" w:eastAsia="宋体" w:cs="宋体"/>
                      <w:sz w:val="20"/>
                      <w:szCs w:val="20"/>
                    </w:rPr>
                  </w:pPr>
                  <w:r>
                    <w:rPr>
                      <w:rFonts w:ascii="宋体" w:hAnsi="宋体" w:eastAsia="宋体" w:cs="宋体"/>
                      <w:b/>
                      <w:bCs/>
                      <w:spacing w:val="6"/>
                      <w:sz w:val="20"/>
                      <w:szCs w:val="20"/>
                    </w:rPr>
                    <w:t>监测指标</w:t>
                  </w:r>
                </w:p>
              </w:tc>
              <w:tc>
                <w:tcPr>
                  <w:tcW w:w="2479" w:type="dxa"/>
                  <w:vAlign w:val="top"/>
                </w:tcPr>
                <w:p w14:paraId="06975F48">
                  <w:pPr>
                    <w:spacing w:before="36" w:line="228" w:lineRule="auto"/>
                    <w:ind w:left="823"/>
                    <w:rPr>
                      <w:rFonts w:ascii="宋体" w:hAnsi="宋体" w:eastAsia="宋体" w:cs="宋体"/>
                      <w:sz w:val="20"/>
                      <w:szCs w:val="20"/>
                    </w:rPr>
                  </w:pPr>
                  <w:r>
                    <w:rPr>
                      <w:rFonts w:ascii="宋体" w:hAnsi="宋体" w:eastAsia="宋体" w:cs="宋体"/>
                      <w:b/>
                      <w:bCs/>
                      <w:spacing w:val="6"/>
                      <w:sz w:val="20"/>
                      <w:szCs w:val="20"/>
                    </w:rPr>
                    <w:t>监测频次</w:t>
                  </w:r>
                </w:p>
              </w:tc>
            </w:tr>
            <w:tr w14:paraId="7F419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715" w:type="dxa"/>
                  <w:vAlign w:val="top"/>
                </w:tcPr>
                <w:p w14:paraId="3FC5B1D4">
                  <w:pPr>
                    <w:spacing w:before="33" w:line="228" w:lineRule="auto"/>
                    <w:ind w:left="1236"/>
                    <w:rPr>
                      <w:rFonts w:ascii="宋体" w:hAnsi="宋体" w:eastAsia="宋体" w:cs="宋体"/>
                      <w:sz w:val="20"/>
                      <w:szCs w:val="20"/>
                    </w:rPr>
                  </w:pPr>
                  <w:r>
                    <w:rPr>
                      <w:rFonts w:ascii="宋体" w:hAnsi="宋体" w:eastAsia="宋体" w:cs="宋体"/>
                      <w:spacing w:val="7"/>
                      <w:sz w:val="20"/>
                      <w:szCs w:val="20"/>
                    </w:rPr>
                    <w:t>企业厂界四周</w:t>
                  </w:r>
                </w:p>
              </w:tc>
              <w:tc>
                <w:tcPr>
                  <w:tcW w:w="2633" w:type="dxa"/>
                  <w:vAlign w:val="top"/>
                </w:tcPr>
                <w:p w14:paraId="78BB5BA0">
                  <w:pPr>
                    <w:spacing w:before="32" w:line="228" w:lineRule="auto"/>
                    <w:ind w:left="565"/>
                    <w:rPr>
                      <w:rFonts w:ascii="宋体" w:hAnsi="宋体" w:eastAsia="宋体" w:cs="宋体"/>
                      <w:sz w:val="20"/>
                      <w:szCs w:val="20"/>
                    </w:rPr>
                  </w:pPr>
                  <w:r>
                    <w:rPr>
                      <w:rFonts w:ascii="宋体" w:hAnsi="宋体" w:eastAsia="宋体" w:cs="宋体"/>
                      <w:spacing w:val="5"/>
                      <w:sz w:val="20"/>
                      <w:szCs w:val="20"/>
                    </w:rPr>
                    <w:t>等效连续</w:t>
                  </w:r>
                  <w:r>
                    <w:rPr>
                      <w:rFonts w:ascii="宋体" w:hAnsi="宋体" w:eastAsia="宋体" w:cs="宋体"/>
                      <w:spacing w:val="-42"/>
                      <w:sz w:val="20"/>
                      <w:szCs w:val="20"/>
                    </w:rPr>
                    <w:t xml:space="preserve"> </w:t>
                  </w:r>
                  <w:r>
                    <w:rPr>
                      <w:rFonts w:ascii="Times New Roman" w:hAnsi="Times New Roman" w:eastAsia="Times New Roman" w:cs="Times New Roman"/>
                      <w:spacing w:val="5"/>
                      <w:sz w:val="20"/>
                      <w:szCs w:val="20"/>
                    </w:rPr>
                    <w:t>A</w:t>
                  </w:r>
                  <w:r>
                    <w:rPr>
                      <w:rFonts w:ascii="Times New Roman" w:hAnsi="Times New Roman" w:eastAsia="Times New Roman" w:cs="Times New Roman"/>
                      <w:spacing w:val="16"/>
                      <w:sz w:val="20"/>
                      <w:szCs w:val="20"/>
                    </w:rPr>
                    <w:t xml:space="preserve"> </w:t>
                  </w:r>
                  <w:r>
                    <w:rPr>
                      <w:rFonts w:ascii="宋体" w:hAnsi="宋体" w:eastAsia="宋体" w:cs="宋体"/>
                      <w:spacing w:val="5"/>
                      <w:sz w:val="20"/>
                      <w:szCs w:val="20"/>
                    </w:rPr>
                    <w:t>声级</w:t>
                  </w:r>
                </w:p>
              </w:tc>
              <w:tc>
                <w:tcPr>
                  <w:tcW w:w="2479" w:type="dxa"/>
                  <w:vAlign w:val="top"/>
                </w:tcPr>
                <w:p w14:paraId="3D012FA8">
                  <w:pPr>
                    <w:spacing w:before="32" w:line="228" w:lineRule="auto"/>
                    <w:ind w:left="900"/>
                    <w:rPr>
                      <w:rFonts w:ascii="宋体" w:hAnsi="宋体" w:eastAsia="宋体" w:cs="宋体"/>
                      <w:sz w:val="20"/>
                      <w:szCs w:val="20"/>
                    </w:rPr>
                  </w:pPr>
                  <w:r>
                    <w:rPr>
                      <w:rFonts w:ascii="宋体" w:hAnsi="宋体" w:eastAsia="宋体" w:cs="宋体"/>
                      <w:spacing w:val="6"/>
                      <w:sz w:val="20"/>
                      <w:szCs w:val="20"/>
                    </w:rPr>
                    <w:t>季度</w:t>
                  </w:r>
                  <w:r>
                    <w:rPr>
                      <w:rFonts w:ascii="Times New Roman" w:hAnsi="Times New Roman" w:eastAsia="Times New Roman" w:cs="Times New Roman"/>
                      <w:spacing w:val="6"/>
                      <w:sz w:val="20"/>
                      <w:szCs w:val="20"/>
                    </w:rPr>
                    <w:t>/</w:t>
                  </w:r>
                  <w:r>
                    <w:rPr>
                      <w:rFonts w:ascii="宋体" w:hAnsi="宋体" w:eastAsia="宋体" w:cs="宋体"/>
                      <w:spacing w:val="6"/>
                      <w:sz w:val="20"/>
                      <w:szCs w:val="20"/>
                    </w:rPr>
                    <w:t>次</w:t>
                  </w:r>
                </w:p>
              </w:tc>
            </w:tr>
          </w:tbl>
          <w:p w14:paraId="5C254102">
            <w:pPr>
              <w:spacing w:before="36" w:line="221" w:lineRule="auto"/>
              <w:ind w:left="588"/>
              <w:rPr>
                <w:rFonts w:ascii="宋体" w:hAnsi="宋体" w:eastAsia="宋体" w:cs="宋体"/>
                <w:sz w:val="24"/>
                <w:szCs w:val="24"/>
              </w:rPr>
            </w:pPr>
            <w:r>
              <w:rPr>
                <w:rFonts w:ascii="Times New Roman" w:hAnsi="Times New Roman" w:eastAsia="Times New Roman" w:cs="Times New Roman"/>
                <w:b/>
                <w:bCs/>
                <w:spacing w:val="-10"/>
                <w:sz w:val="24"/>
                <w:szCs w:val="24"/>
              </w:rPr>
              <w:t>7</w:t>
            </w:r>
            <w:r>
              <w:rPr>
                <w:rFonts w:ascii="Times New Roman" w:hAnsi="Times New Roman" w:eastAsia="Times New Roman" w:cs="Times New Roman"/>
                <w:b/>
                <w:bCs/>
                <w:spacing w:val="-34"/>
                <w:sz w:val="24"/>
                <w:szCs w:val="24"/>
              </w:rPr>
              <w:t xml:space="preserve"> </w:t>
            </w:r>
            <w:r>
              <w:rPr>
                <w:rFonts w:ascii="宋体" w:hAnsi="宋体" w:eastAsia="宋体" w:cs="宋体"/>
                <w:b/>
                <w:bCs/>
                <w:spacing w:val="-10"/>
                <w:sz w:val="24"/>
                <w:szCs w:val="24"/>
              </w:rPr>
              <w:t>、结论</w:t>
            </w:r>
          </w:p>
          <w:p w14:paraId="2BFF2899">
            <w:pPr>
              <w:spacing w:before="178" w:line="359" w:lineRule="auto"/>
              <w:ind w:left="108" w:right="102" w:firstLine="480"/>
              <w:jc w:val="both"/>
              <w:rPr>
                <w:rFonts w:ascii="宋体" w:hAnsi="宋体" w:eastAsia="宋体" w:cs="宋体"/>
                <w:sz w:val="24"/>
                <w:szCs w:val="24"/>
              </w:rPr>
            </w:pPr>
            <w:r>
              <w:rPr>
                <w:rFonts w:ascii="宋体" w:hAnsi="宋体" w:eastAsia="宋体" w:cs="宋体"/>
                <w:spacing w:val="-2"/>
                <w:sz w:val="24"/>
                <w:szCs w:val="24"/>
              </w:rPr>
              <w:t>根据上述分析可知，项目运营期噪声在采取合理措施后均能达标排放，对周围环</w:t>
            </w:r>
            <w:r>
              <w:rPr>
                <w:rFonts w:ascii="宋体" w:hAnsi="宋体" w:eastAsia="宋体" w:cs="宋体"/>
                <w:spacing w:val="-1"/>
                <w:sz w:val="24"/>
                <w:szCs w:val="24"/>
              </w:rPr>
              <w:t>境影响较小。为了更好的减小项目噪声对周</w:t>
            </w:r>
            <w:r>
              <w:rPr>
                <w:rFonts w:ascii="宋体" w:hAnsi="宋体" w:eastAsia="宋体" w:cs="宋体"/>
                <w:spacing w:val="-2"/>
                <w:sz w:val="24"/>
                <w:szCs w:val="24"/>
              </w:rPr>
              <w:t>边环境的影响，建议运营单位采取如下措</w:t>
            </w:r>
            <w:r>
              <w:rPr>
                <w:rFonts w:ascii="宋体" w:hAnsi="宋体" w:eastAsia="宋体" w:cs="宋体"/>
                <w:spacing w:val="-5"/>
                <w:sz w:val="24"/>
                <w:szCs w:val="24"/>
              </w:rPr>
              <w:t>施：</w:t>
            </w:r>
          </w:p>
          <w:p w14:paraId="58D28936">
            <w:pPr>
              <w:spacing w:line="219" w:lineRule="auto"/>
              <w:ind w:left="6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）尽量选择低噪声型设备，高噪声设备安装减震垫；</w:t>
            </w:r>
          </w:p>
          <w:p w14:paraId="407314C9">
            <w:pPr>
              <w:spacing w:before="184" w:line="219" w:lineRule="auto"/>
              <w:ind w:left="6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）加强设备管理，定期检查维护，加强设备日常保养，及时淘汰落后设备；</w:t>
            </w:r>
          </w:p>
          <w:p w14:paraId="088E26E0">
            <w:pPr>
              <w:spacing w:before="183" w:line="219" w:lineRule="auto"/>
              <w:ind w:left="6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）加强职工环保意识教育，提倡文明生产，防治人为噪声。</w:t>
            </w:r>
          </w:p>
          <w:p w14:paraId="4835E289">
            <w:pPr>
              <w:spacing w:before="181" w:line="219" w:lineRule="auto"/>
              <w:ind w:left="611"/>
              <w:rPr>
                <w:rFonts w:ascii="宋体" w:hAnsi="宋体" w:eastAsia="宋体" w:cs="宋体"/>
                <w:sz w:val="24"/>
                <w:szCs w:val="24"/>
              </w:rPr>
            </w:pPr>
            <w:r>
              <w:rPr>
                <w:rFonts w:ascii="宋体" w:hAnsi="宋体" w:eastAsia="宋体" w:cs="宋体"/>
                <w:b/>
                <w:bCs/>
                <w:spacing w:val="-7"/>
                <w:sz w:val="24"/>
                <w:szCs w:val="24"/>
              </w:rPr>
              <w:t>四、固体废弃物</w:t>
            </w:r>
          </w:p>
          <w:p w14:paraId="636365D2">
            <w:pPr>
              <w:spacing w:before="183" w:line="220" w:lineRule="auto"/>
              <w:ind w:left="583"/>
              <w:rPr>
                <w:rFonts w:ascii="宋体" w:hAnsi="宋体" w:eastAsia="宋体" w:cs="宋体"/>
                <w:sz w:val="24"/>
                <w:szCs w:val="24"/>
              </w:rPr>
            </w:pPr>
            <w:r>
              <w:rPr>
                <w:rFonts w:ascii="Times New Roman" w:hAnsi="Times New Roman" w:eastAsia="Times New Roman" w:cs="Times New Roman"/>
                <w:b/>
                <w:bCs/>
                <w:spacing w:val="-9"/>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b/>
                <w:bCs/>
                <w:spacing w:val="-9"/>
                <w:sz w:val="24"/>
                <w:szCs w:val="24"/>
              </w:rPr>
              <w:t>、一般固废</w:t>
            </w:r>
          </w:p>
          <w:p w14:paraId="78516331">
            <w:pPr>
              <w:spacing w:before="179" w:line="219" w:lineRule="auto"/>
              <w:ind w:left="593"/>
              <w:rPr>
                <w:rFonts w:ascii="宋体" w:hAnsi="宋体" w:eastAsia="宋体" w:cs="宋体"/>
                <w:sz w:val="24"/>
                <w:szCs w:val="24"/>
              </w:rPr>
            </w:pPr>
            <w:r>
              <w:rPr>
                <w:rFonts w:ascii="宋体" w:hAnsi="宋体" w:eastAsia="宋体" w:cs="宋体"/>
                <w:spacing w:val="-1"/>
                <w:sz w:val="24"/>
                <w:szCs w:val="24"/>
              </w:rPr>
              <w:t>项目一般固废主要为废边角料、不合格产品、废弃包装材料。</w:t>
            </w:r>
          </w:p>
          <w:p w14:paraId="2C9C97A4">
            <w:pPr>
              <w:spacing w:before="183" w:line="219" w:lineRule="auto"/>
              <w:ind w:left="600"/>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1</w:t>
            </w:r>
            <w:r>
              <w:rPr>
                <w:rFonts w:ascii="宋体" w:hAnsi="宋体" w:eastAsia="宋体" w:cs="宋体"/>
                <w:b/>
                <w:bCs/>
                <w:spacing w:val="-4"/>
                <w:sz w:val="24"/>
                <w:szCs w:val="24"/>
              </w:rPr>
              <w:t>）边角料及不合格产品</w:t>
            </w:r>
          </w:p>
          <w:p w14:paraId="4F051222">
            <w:pPr>
              <w:spacing w:before="183" w:line="359" w:lineRule="auto"/>
              <w:ind w:left="108" w:right="102" w:firstLine="480"/>
              <w:jc w:val="both"/>
              <w:rPr>
                <w:rFonts w:ascii="宋体" w:hAnsi="宋体" w:eastAsia="宋体" w:cs="宋体"/>
                <w:sz w:val="24"/>
                <w:szCs w:val="24"/>
              </w:rPr>
            </w:pPr>
            <w:r>
              <w:rPr>
                <w:rFonts w:ascii="宋体" w:hAnsi="宋体" w:eastAsia="宋体" w:cs="宋体"/>
                <w:spacing w:val="-2"/>
                <w:sz w:val="24"/>
                <w:szCs w:val="24"/>
              </w:rPr>
              <w:t>根据建设单位提供数据，项目设备试运行、生产时切割、检验过程产生的边角料</w:t>
            </w:r>
            <w:r>
              <w:rPr>
                <w:rFonts w:ascii="宋体" w:hAnsi="宋体" w:eastAsia="宋体" w:cs="宋体"/>
                <w:spacing w:val="-1"/>
                <w:sz w:val="24"/>
                <w:szCs w:val="24"/>
              </w:rPr>
              <w:t>及不合格产品产生率约为</w:t>
            </w:r>
            <w:r>
              <w:rPr>
                <w:rFonts w:ascii="宋体" w:hAnsi="宋体" w:eastAsia="宋体" w:cs="宋体"/>
                <w:spacing w:val="-51"/>
                <w:sz w:val="24"/>
                <w:szCs w:val="24"/>
              </w:rPr>
              <w:t xml:space="preserve"> </w:t>
            </w:r>
            <w:r>
              <w:rPr>
                <w:rFonts w:ascii="Times New Roman" w:hAnsi="Times New Roman" w:eastAsia="Times New Roman" w:cs="Times New Roman"/>
                <w:spacing w:val="-1"/>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30"/>
                <w:sz w:val="24"/>
                <w:szCs w:val="24"/>
              </w:rPr>
              <w:t xml:space="preserve"> </w:t>
            </w:r>
            <w:r>
              <w:rPr>
                <w:rFonts w:ascii="宋体" w:hAnsi="宋体" w:eastAsia="宋体" w:cs="宋体"/>
                <w:spacing w:val="-1"/>
                <w:sz w:val="24"/>
                <w:szCs w:val="24"/>
              </w:rPr>
              <w:t>，项目生产塑料筐</w:t>
            </w:r>
            <w:r>
              <w:rPr>
                <w:rFonts w:ascii="宋体" w:hAnsi="宋体" w:eastAsia="宋体" w:cs="宋体"/>
                <w:spacing w:val="-52"/>
                <w:sz w:val="24"/>
                <w:szCs w:val="24"/>
              </w:rPr>
              <w:t xml:space="preserve"> </w:t>
            </w:r>
            <w:r>
              <w:rPr>
                <w:rFonts w:ascii="Times New Roman" w:hAnsi="Times New Roman" w:eastAsia="Times New Roman" w:cs="Times New Roman"/>
                <w:spacing w:val="-2"/>
                <w:sz w:val="24"/>
                <w:szCs w:val="24"/>
              </w:rPr>
              <w:t>2300t/a</w:t>
            </w:r>
            <w:r>
              <w:rPr>
                <w:rFonts w:ascii="Times New Roman" w:hAnsi="Times New Roman" w:eastAsia="Times New Roman" w:cs="Times New Roman"/>
                <w:spacing w:val="-29"/>
                <w:sz w:val="24"/>
                <w:szCs w:val="24"/>
              </w:rPr>
              <w:t xml:space="preserve"> </w:t>
            </w:r>
            <w:r>
              <w:rPr>
                <w:rFonts w:ascii="宋体" w:hAnsi="宋体" w:eastAsia="宋体" w:cs="宋体"/>
                <w:spacing w:val="-2"/>
                <w:sz w:val="24"/>
                <w:szCs w:val="24"/>
              </w:rPr>
              <w:t>，则产生的边角料及不合格</w:t>
            </w:r>
            <w:r>
              <w:rPr>
                <w:rFonts w:ascii="宋体" w:hAnsi="宋体" w:eastAsia="宋体" w:cs="宋体"/>
                <w:spacing w:val="-3"/>
                <w:sz w:val="24"/>
                <w:szCs w:val="24"/>
              </w:rPr>
              <w:t>产品共有</w:t>
            </w:r>
            <w:r>
              <w:rPr>
                <w:rFonts w:ascii="宋体" w:hAnsi="宋体" w:eastAsia="宋体" w:cs="宋体"/>
                <w:spacing w:val="-41"/>
                <w:sz w:val="24"/>
                <w:szCs w:val="24"/>
              </w:rPr>
              <w:t xml:space="preserve"> </w:t>
            </w:r>
            <w:r>
              <w:rPr>
                <w:rFonts w:ascii="Times New Roman" w:hAnsi="Times New Roman" w:eastAsia="Times New Roman" w:cs="Times New Roman"/>
                <w:spacing w:val="-3"/>
                <w:sz w:val="24"/>
                <w:szCs w:val="24"/>
              </w:rPr>
              <w:t>2.3t/a</w:t>
            </w:r>
            <w:r>
              <w:rPr>
                <w:rFonts w:ascii="Times New Roman" w:hAnsi="Times New Roman" w:eastAsia="Times New Roman" w:cs="Times New Roman"/>
                <w:spacing w:val="-34"/>
                <w:sz w:val="24"/>
                <w:szCs w:val="24"/>
              </w:rPr>
              <w:t xml:space="preserve"> </w:t>
            </w:r>
            <w:r>
              <w:rPr>
                <w:rFonts w:ascii="宋体" w:hAnsi="宋体" w:eastAsia="宋体" w:cs="宋体"/>
                <w:spacing w:val="-3"/>
                <w:sz w:val="24"/>
                <w:szCs w:val="24"/>
              </w:rPr>
              <w:t>，集中收集后外售。</w:t>
            </w:r>
          </w:p>
          <w:p w14:paraId="025CBA63">
            <w:pPr>
              <w:spacing w:before="1" w:line="218" w:lineRule="auto"/>
              <w:ind w:left="600"/>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2</w:t>
            </w:r>
            <w:r>
              <w:rPr>
                <w:rFonts w:ascii="宋体" w:hAnsi="宋体" w:eastAsia="宋体" w:cs="宋体"/>
                <w:b/>
                <w:bCs/>
                <w:spacing w:val="-5"/>
                <w:sz w:val="24"/>
                <w:szCs w:val="24"/>
              </w:rPr>
              <w:t>）废弃包装材料</w:t>
            </w:r>
          </w:p>
          <w:p w14:paraId="217852EF">
            <w:pPr>
              <w:spacing w:before="180" w:line="351" w:lineRule="auto"/>
              <w:ind w:left="109" w:right="102" w:firstLine="480"/>
              <w:rPr>
                <w:rFonts w:ascii="宋体" w:hAnsi="宋体" w:eastAsia="宋体" w:cs="宋体"/>
                <w:sz w:val="24"/>
                <w:szCs w:val="24"/>
              </w:rPr>
            </w:pPr>
            <w:r>
              <w:rPr>
                <w:rFonts w:ascii="宋体" w:hAnsi="宋体" w:eastAsia="宋体" w:cs="宋体"/>
                <w:spacing w:val="-2"/>
                <w:sz w:val="24"/>
                <w:szCs w:val="24"/>
              </w:rPr>
              <w:t>根据建设单位提供数据，项目生产过程中原辅材料包装物及产品包装废弃物产生量为</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1t/a</w:t>
            </w:r>
            <w:r>
              <w:rPr>
                <w:rFonts w:ascii="Times New Roman" w:hAnsi="Times New Roman" w:eastAsia="Times New Roman" w:cs="Times New Roman"/>
                <w:spacing w:val="-34"/>
                <w:sz w:val="24"/>
                <w:szCs w:val="24"/>
              </w:rPr>
              <w:t xml:space="preserve"> </w:t>
            </w:r>
            <w:r>
              <w:rPr>
                <w:rFonts w:ascii="宋体" w:hAnsi="宋体" w:eastAsia="宋体" w:cs="宋体"/>
                <w:spacing w:val="-2"/>
                <w:sz w:val="24"/>
                <w:szCs w:val="24"/>
              </w:rPr>
              <w:t>，均为可回收垃圾，售给废旧物资回收</w:t>
            </w:r>
            <w:r>
              <w:rPr>
                <w:rFonts w:ascii="宋体" w:hAnsi="宋体" w:eastAsia="宋体" w:cs="宋体"/>
                <w:spacing w:val="-3"/>
                <w:sz w:val="24"/>
                <w:szCs w:val="24"/>
              </w:rPr>
              <w:t>部门综合利用。</w:t>
            </w:r>
          </w:p>
        </w:tc>
      </w:tr>
    </w:tbl>
    <w:p w14:paraId="70FEC0B2">
      <w:pPr>
        <w:pStyle w:val="2"/>
      </w:pPr>
    </w:p>
    <w:p w14:paraId="1834994B">
      <w:pPr>
        <w:sectPr>
          <w:footerReference r:id="rId102" w:type="default"/>
          <w:pgSz w:w="11906" w:h="16839"/>
          <w:pgMar w:top="400" w:right="1055" w:bottom="1085" w:left="1054" w:header="0" w:footer="762" w:gutter="0"/>
          <w:cols w:space="720" w:num="1"/>
        </w:sectPr>
      </w:pPr>
    </w:p>
    <w:p w14:paraId="02A40726">
      <w:pPr>
        <w:spacing w:before="19"/>
      </w:pPr>
      <w:r>
        <w:pict>
          <v:shape id="_x0000_s1058" o:spid="_x0000_s1058" style="position:absolute;left:0pt;margin-left:94.9pt;margin-top:743.5pt;height:0.5pt;width:441.55pt;mso-position-horizontal-relative:page;mso-position-vertical-relative:page;z-index:-251632640;mso-width-relative:page;mso-height-relative:page;" filled="f" stroked="t" coordsize="8830,10" o:allowincell="f" path="m0,4l8830,4e">
            <v:fill on="f" focussize="0,0"/>
            <v:stroke weight="0.48pt" color="#000000" miterlimit="2" joinstyle="bevel"/>
            <v:imagedata o:title=""/>
            <o:lock v:ext="edit"/>
          </v:shape>
        </w:pict>
      </w:r>
    </w:p>
    <w:p w14:paraId="669B3C72">
      <w:pPr>
        <w:spacing w:before="19"/>
      </w:pPr>
    </w:p>
    <w:p w14:paraId="780AE037">
      <w:pPr>
        <w:spacing w:before="19"/>
      </w:pPr>
    </w:p>
    <w:p w14:paraId="287B32B9">
      <w:pPr>
        <w:spacing w:before="18"/>
      </w:pPr>
    </w:p>
    <w:p w14:paraId="6A4BED96">
      <w:pPr>
        <w:spacing w:before="18"/>
      </w:pPr>
    </w:p>
    <w:tbl>
      <w:tblPr>
        <w:tblStyle w:val="10"/>
        <w:tblW w:w="978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5"/>
        <w:gridCol w:w="113"/>
        <w:gridCol w:w="460"/>
        <w:gridCol w:w="1025"/>
        <w:gridCol w:w="894"/>
        <w:gridCol w:w="1396"/>
        <w:gridCol w:w="1055"/>
        <w:gridCol w:w="1145"/>
        <w:gridCol w:w="786"/>
        <w:gridCol w:w="458"/>
        <w:gridCol w:w="1588"/>
        <w:gridCol w:w="126"/>
      </w:tblGrid>
      <w:tr w14:paraId="2AD1D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74" w:hRule="atLeast"/>
        </w:trPr>
        <w:tc>
          <w:tcPr>
            <w:tcW w:w="735" w:type="dxa"/>
            <w:vMerge w:val="restart"/>
            <w:tcBorders>
              <w:top w:val="single" w:color="000000" w:sz="6" w:space="0"/>
              <w:left w:val="single" w:color="000000" w:sz="6" w:space="0"/>
              <w:bottom w:val="nil"/>
            </w:tcBorders>
            <w:vAlign w:val="top"/>
          </w:tcPr>
          <w:p w14:paraId="57C53769">
            <w:pPr>
              <w:rPr>
                <w:rFonts w:ascii="Arial"/>
                <w:sz w:val="21"/>
              </w:rPr>
            </w:pPr>
          </w:p>
        </w:tc>
        <w:tc>
          <w:tcPr>
            <w:tcW w:w="9046" w:type="dxa"/>
            <w:gridSpan w:val="11"/>
            <w:tcBorders>
              <w:top w:val="single" w:color="000000" w:sz="6" w:space="0"/>
              <w:right w:val="single" w:color="000000" w:sz="6" w:space="0"/>
            </w:tcBorders>
            <w:vAlign w:val="top"/>
          </w:tcPr>
          <w:p w14:paraId="09461A28">
            <w:pPr>
              <w:spacing w:before="39" w:line="220" w:lineRule="auto"/>
              <w:ind w:left="584"/>
              <w:rPr>
                <w:rFonts w:ascii="宋体" w:hAnsi="宋体" w:eastAsia="宋体" w:cs="宋体"/>
                <w:sz w:val="24"/>
                <w:szCs w:val="24"/>
              </w:rPr>
            </w:pPr>
            <w:r>
              <w:rPr>
                <w:rFonts w:ascii="Times New Roman" w:hAnsi="Times New Roman" w:eastAsia="Times New Roman" w:cs="Times New Roman"/>
                <w:b/>
                <w:bCs/>
                <w:spacing w:val="-7"/>
                <w:sz w:val="24"/>
                <w:szCs w:val="24"/>
              </w:rPr>
              <w:t>2</w:t>
            </w:r>
            <w:r>
              <w:rPr>
                <w:rFonts w:ascii="Times New Roman" w:hAnsi="Times New Roman" w:eastAsia="Times New Roman" w:cs="Times New Roman"/>
                <w:b/>
                <w:bCs/>
                <w:spacing w:val="-33"/>
                <w:sz w:val="24"/>
                <w:szCs w:val="24"/>
              </w:rPr>
              <w:t xml:space="preserve"> </w:t>
            </w:r>
            <w:r>
              <w:rPr>
                <w:rFonts w:ascii="宋体" w:hAnsi="宋体" w:eastAsia="宋体" w:cs="宋体"/>
                <w:b/>
                <w:bCs/>
                <w:spacing w:val="-7"/>
                <w:sz w:val="24"/>
                <w:szCs w:val="24"/>
              </w:rPr>
              <w:t>、生活垃圾</w:t>
            </w:r>
          </w:p>
          <w:p w14:paraId="787A56FE">
            <w:pPr>
              <w:spacing w:before="182" w:line="356" w:lineRule="auto"/>
              <w:ind w:left="107" w:right="102" w:firstLine="481"/>
              <w:jc w:val="both"/>
              <w:rPr>
                <w:rFonts w:ascii="宋体" w:hAnsi="宋体" w:eastAsia="宋体" w:cs="宋体"/>
                <w:sz w:val="24"/>
                <w:szCs w:val="24"/>
              </w:rPr>
            </w:pPr>
            <w:r>
              <w:rPr>
                <w:rFonts w:ascii="宋体" w:hAnsi="宋体" w:eastAsia="宋体" w:cs="宋体"/>
                <w:spacing w:val="5"/>
                <w:sz w:val="24"/>
                <w:szCs w:val="24"/>
              </w:rPr>
              <w:t>本次扩建项目项目员工人数新增</w:t>
            </w:r>
            <w:r>
              <w:rPr>
                <w:rFonts w:ascii="宋体" w:hAnsi="宋体" w:eastAsia="宋体" w:cs="宋体"/>
                <w:spacing w:val="-41"/>
                <w:sz w:val="24"/>
                <w:szCs w:val="24"/>
              </w:rPr>
              <w:t xml:space="preserve"> </w:t>
            </w:r>
            <w:r>
              <w:rPr>
                <w:rFonts w:ascii="Times New Roman" w:hAnsi="Times New Roman" w:eastAsia="Times New Roman" w:cs="Times New Roman"/>
                <w:spacing w:val="5"/>
                <w:sz w:val="24"/>
                <w:szCs w:val="24"/>
              </w:rPr>
              <w:t xml:space="preserve">5 </w:t>
            </w:r>
            <w:r>
              <w:rPr>
                <w:rFonts w:ascii="宋体" w:hAnsi="宋体" w:eastAsia="宋体" w:cs="宋体"/>
                <w:spacing w:val="5"/>
                <w:sz w:val="24"/>
                <w:szCs w:val="24"/>
              </w:rPr>
              <w:t>人，均不在厂区内</w:t>
            </w:r>
            <w:r>
              <w:rPr>
                <w:rFonts w:ascii="宋体" w:hAnsi="宋体" w:eastAsia="宋体" w:cs="宋体"/>
                <w:spacing w:val="4"/>
                <w:sz w:val="24"/>
                <w:szCs w:val="24"/>
              </w:rPr>
              <w:t>食宿，生活垃圾产生量按</w:t>
            </w:r>
            <w:r>
              <w:rPr>
                <w:rFonts w:ascii="Times New Roman" w:hAnsi="Times New Roman" w:eastAsia="Times New Roman" w:cs="Times New Roman"/>
                <w:spacing w:val="-1"/>
                <w:sz w:val="24"/>
                <w:szCs w:val="24"/>
              </w:rPr>
              <w:t xml:space="preserve">0.5kg/d </w:t>
            </w:r>
            <w:r>
              <w:rPr>
                <w:rFonts w:ascii="宋体" w:hAnsi="宋体" w:eastAsia="宋体" w:cs="宋体"/>
                <w:spacing w:val="-1"/>
                <w:sz w:val="24"/>
                <w:szCs w:val="24"/>
              </w:rPr>
              <w:t>计，年工作</w:t>
            </w:r>
            <w:r>
              <w:rPr>
                <w:rFonts w:ascii="宋体" w:hAnsi="宋体" w:eastAsia="宋体" w:cs="宋体"/>
                <w:spacing w:val="-48"/>
                <w:sz w:val="24"/>
                <w:szCs w:val="24"/>
              </w:rPr>
              <w:t xml:space="preserve"> </w:t>
            </w:r>
            <w:r>
              <w:rPr>
                <w:rFonts w:ascii="Times New Roman" w:hAnsi="Times New Roman" w:eastAsia="Times New Roman" w:cs="Times New Roman"/>
                <w:spacing w:val="-1"/>
                <w:sz w:val="24"/>
                <w:szCs w:val="24"/>
              </w:rPr>
              <w:t>300</w:t>
            </w:r>
            <w:r>
              <w:rPr>
                <w:rFonts w:ascii="Times New Roman" w:hAnsi="Times New Roman" w:eastAsia="Times New Roman" w:cs="Times New Roman"/>
                <w:spacing w:val="17"/>
                <w:sz w:val="24"/>
                <w:szCs w:val="24"/>
              </w:rPr>
              <w:t xml:space="preserve"> </w:t>
            </w:r>
            <w:r>
              <w:rPr>
                <w:rFonts w:ascii="宋体" w:hAnsi="宋体" w:eastAsia="宋体" w:cs="宋体"/>
                <w:spacing w:val="-1"/>
                <w:sz w:val="24"/>
                <w:szCs w:val="24"/>
              </w:rPr>
              <w:t>天，则生活垃圾产生量约为</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2.5kg/d</w:t>
            </w:r>
            <w:r>
              <w:rPr>
                <w:rFonts w:ascii="Times New Roman" w:hAnsi="Times New Roman" w:eastAsia="Times New Roman" w:cs="Times New Roman"/>
                <w:spacing w:val="-26"/>
                <w:sz w:val="24"/>
                <w:szCs w:val="24"/>
              </w:rPr>
              <w:t xml:space="preserve"> </w:t>
            </w:r>
            <w:r>
              <w:rPr>
                <w:rFonts w:ascii="宋体" w:hAnsi="宋体" w:eastAsia="宋体" w:cs="宋体"/>
                <w:spacing w:val="-1"/>
                <w:sz w:val="24"/>
                <w:szCs w:val="24"/>
              </w:rPr>
              <w:t>，即</w:t>
            </w:r>
            <w:r>
              <w:rPr>
                <w:rFonts w:ascii="宋体" w:hAnsi="宋体" w:eastAsia="宋体" w:cs="宋体"/>
                <w:spacing w:val="-49"/>
                <w:sz w:val="24"/>
                <w:szCs w:val="24"/>
              </w:rPr>
              <w:t xml:space="preserve"> </w:t>
            </w:r>
            <w:r>
              <w:rPr>
                <w:rFonts w:ascii="Times New Roman" w:hAnsi="Times New Roman" w:eastAsia="Times New Roman" w:cs="Times New Roman"/>
                <w:spacing w:val="-1"/>
                <w:sz w:val="24"/>
                <w:szCs w:val="24"/>
              </w:rPr>
              <w:t>0</w:t>
            </w:r>
            <w:r>
              <w:rPr>
                <w:rFonts w:ascii="Times New Roman" w:hAnsi="Times New Roman" w:eastAsia="Times New Roman" w:cs="Times New Roman"/>
                <w:spacing w:val="-2"/>
                <w:sz w:val="24"/>
                <w:szCs w:val="24"/>
              </w:rPr>
              <w:t>.75t/a</w:t>
            </w:r>
            <w:r>
              <w:rPr>
                <w:rFonts w:ascii="Times New Roman" w:hAnsi="Times New Roman" w:eastAsia="Times New Roman" w:cs="Times New Roman"/>
                <w:spacing w:val="-28"/>
                <w:sz w:val="24"/>
                <w:szCs w:val="24"/>
              </w:rPr>
              <w:t xml:space="preserve"> </w:t>
            </w:r>
            <w:r>
              <w:rPr>
                <w:rFonts w:ascii="宋体" w:hAnsi="宋体" w:eastAsia="宋体" w:cs="宋体"/>
                <w:spacing w:val="-2"/>
                <w:sz w:val="24"/>
                <w:szCs w:val="24"/>
              </w:rPr>
              <w:t>。生活垃圾统</w:t>
            </w:r>
            <w:r>
              <w:rPr>
                <w:rFonts w:ascii="宋体" w:hAnsi="宋体" w:eastAsia="宋体" w:cs="宋体"/>
                <w:spacing w:val="-1"/>
                <w:sz w:val="24"/>
                <w:szCs w:val="24"/>
              </w:rPr>
              <w:t>一收集于垃圾桶内定期由环卫部门清运处理。</w:t>
            </w:r>
          </w:p>
          <w:p w14:paraId="1F410A16">
            <w:pPr>
              <w:spacing w:before="9" w:line="220" w:lineRule="auto"/>
              <w:ind w:left="582"/>
              <w:rPr>
                <w:rFonts w:ascii="宋体" w:hAnsi="宋体" w:eastAsia="宋体" w:cs="宋体"/>
                <w:sz w:val="24"/>
                <w:szCs w:val="24"/>
              </w:rPr>
            </w:pPr>
            <w:r>
              <w:rPr>
                <w:rFonts w:ascii="Times New Roman" w:hAnsi="Times New Roman" w:eastAsia="Times New Roman" w:cs="Times New Roman"/>
                <w:b/>
                <w:bCs/>
                <w:spacing w:val="-7"/>
                <w:sz w:val="24"/>
                <w:szCs w:val="24"/>
              </w:rPr>
              <w:t>3</w:t>
            </w:r>
            <w:r>
              <w:rPr>
                <w:rFonts w:ascii="Times New Roman" w:hAnsi="Times New Roman" w:eastAsia="Times New Roman" w:cs="Times New Roman"/>
                <w:b/>
                <w:bCs/>
                <w:spacing w:val="-31"/>
                <w:sz w:val="24"/>
                <w:szCs w:val="24"/>
              </w:rPr>
              <w:t xml:space="preserve"> </w:t>
            </w:r>
            <w:r>
              <w:rPr>
                <w:rFonts w:ascii="宋体" w:hAnsi="宋体" w:eastAsia="宋体" w:cs="宋体"/>
                <w:b/>
                <w:bCs/>
                <w:spacing w:val="-7"/>
                <w:sz w:val="24"/>
                <w:szCs w:val="24"/>
              </w:rPr>
              <w:t>、危险废物</w:t>
            </w:r>
          </w:p>
          <w:p w14:paraId="7086AE23">
            <w:pPr>
              <w:spacing w:before="181" w:line="219" w:lineRule="auto"/>
              <w:ind w:left="589"/>
              <w:rPr>
                <w:rFonts w:ascii="宋体" w:hAnsi="宋体" w:eastAsia="宋体" w:cs="宋体"/>
                <w:sz w:val="24"/>
                <w:szCs w:val="24"/>
              </w:rPr>
            </w:pPr>
            <w:r>
              <w:rPr>
                <w:rFonts w:ascii="宋体" w:hAnsi="宋体" w:eastAsia="宋体" w:cs="宋体"/>
                <w:spacing w:val="-1"/>
                <w:sz w:val="24"/>
                <w:szCs w:val="24"/>
              </w:rPr>
              <w:t>本项目危险废物为废旧活性炭、废机油。</w:t>
            </w:r>
          </w:p>
          <w:p w14:paraId="7053E539">
            <w:pPr>
              <w:spacing w:before="184" w:line="220" w:lineRule="auto"/>
              <w:ind w:left="599"/>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1</w:t>
            </w:r>
            <w:r>
              <w:rPr>
                <w:rFonts w:ascii="宋体" w:hAnsi="宋体" w:eastAsia="宋体" w:cs="宋体"/>
                <w:b/>
                <w:bCs/>
                <w:spacing w:val="-5"/>
                <w:sz w:val="24"/>
                <w:szCs w:val="24"/>
              </w:rPr>
              <w:t>）废旧活性炭</w:t>
            </w:r>
          </w:p>
          <w:p w14:paraId="3A39EAE1">
            <w:pPr>
              <w:spacing w:before="174" w:line="325" w:lineRule="auto"/>
              <w:ind w:left="108" w:right="102" w:firstLine="543"/>
              <w:jc w:val="both"/>
              <w:rPr>
                <w:rFonts w:ascii="宋体" w:hAnsi="宋体" w:eastAsia="宋体" w:cs="宋体"/>
                <w:sz w:val="24"/>
                <w:szCs w:val="24"/>
              </w:rPr>
            </w:pPr>
            <w:r>
              <w:rPr>
                <w:rFonts w:ascii="宋体" w:hAnsi="宋体" w:eastAsia="宋体" w:cs="宋体"/>
                <w:spacing w:val="-3"/>
                <w:sz w:val="24"/>
                <w:szCs w:val="24"/>
              </w:rPr>
              <w:t>项目产生的有机废气设置活性炭吸附，改扩建</w:t>
            </w:r>
            <w:r>
              <w:rPr>
                <w:rFonts w:ascii="宋体" w:hAnsi="宋体" w:eastAsia="宋体" w:cs="宋体"/>
                <w:spacing w:val="-4"/>
                <w:sz w:val="24"/>
                <w:szCs w:val="24"/>
              </w:rPr>
              <w:t>项目</w:t>
            </w:r>
            <w:r>
              <w:rPr>
                <w:rFonts w:ascii="微软雅黑" w:hAnsi="微软雅黑" w:eastAsia="微软雅黑" w:cs="微软雅黑"/>
                <w:spacing w:val="-4"/>
                <w:sz w:val="24"/>
                <w:szCs w:val="24"/>
              </w:rPr>
              <w:t>废</w:t>
            </w:r>
            <w:r>
              <w:rPr>
                <w:rFonts w:ascii="宋体" w:hAnsi="宋体" w:eastAsia="宋体" w:cs="宋体"/>
                <w:spacing w:val="-4"/>
                <w:sz w:val="24"/>
                <w:szCs w:val="24"/>
              </w:rPr>
              <w:t>活性炭产生</w:t>
            </w:r>
            <w:r>
              <w:rPr>
                <w:rFonts w:ascii="微软雅黑" w:hAnsi="微软雅黑" w:eastAsia="微软雅黑" w:cs="微软雅黑"/>
                <w:spacing w:val="-4"/>
                <w:sz w:val="24"/>
                <w:szCs w:val="24"/>
              </w:rPr>
              <w:t>量</w:t>
            </w:r>
            <w:r>
              <w:rPr>
                <w:rFonts w:ascii="宋体" w:hAnsi="宋体" w:eastAsia="宋体" w:cs="宋体"/>
                <w:spacing w:val="-4"/>
                <w:sz w:val="24"/>
                <w:szCs w:val="24"/>
              </w:rPr>
              <w:t>参考《吸附法</w:t>
            </w:r>
            <w:r>
              <w:rPr>
                <w:rFonts w:ascii="宋体" w:hAnsi="宋体" w:eastAsia="宋体" w:cs="宋体"/>
                <w:spacing w:val="-2"/>
                <w:sz w:val="24"/>
                <w:szCs w:val="24"/>
              </w:rPr>
              <w:t>工业有机</w:t>
            </w:r>
            <w:r>
              <w:rPr>
                <w:rFonts w:ascii="微软雅黑" w:hAnsi="微软雅黑" w:eastAsia="微软雅黑" w:cs="微软雅黑"/>
                <w:spacing w:val="-2"/>
                <w:sz w:val="24"/>
                <w:szCs w:val="24"/>
              </w:rPr>
              <w:t>废气</w:t>
            </w:r>
            <w:r>
              <w:rPr>
                <w:rFonts w:ascii="宋体" w:hAnsi="宋体" w:eastAsia="宋体" w:cs="宋体"/>
                <w:spacing w:val="-2"/>
                <w:sz w:val="24"/>
                <w:szCs w:val="24"/>
              </w:rPr>
              <w:t>治理工程技术规范》（HJ</w:t>
            </w:r>
            <w:r>
              <w:rPr>
                <w:rFonts w:ascii="宋体" w:hAnsi="宋体" w:eastAsia="宋体" w:cs="宋体"/>
                <w:spacing w:val="-39"/>
                <w:sz w:val="24"/>
                <w:szCs w:val="24"/>
              </w:rPr>
              <w:t xml:space="preserve"> </w:t>
            </w:r>
            <w:r>
              <w:rPr>
                <w:rFonts w:ascii="宋体" w:hAnsi="宋体" w:eastAsia="宋体" w:cs="宋体"/>
                <w:spacing w:val="-2"/>
                <w:sz w:val="24"/>
                <w:szCs w:val="24"/>
              </w:rPr>
              <w:t>2026-2013）及《2020</w:t>
            </w:r>
            <w:r>
              <w:rPr>
                <w:rFonts w:ascii="宋体" w:hAnsi="宋体" w:eastAsia="宋体" w:cs="宋体"/>
                <w:spacing w:val="-49"/>
                <w:sz w:val="24"/>
                <w:szCs w:val="24"/>
              </w:rPr>
              <w:t xml:space="preserve"> </w:t>
            </w:r>
            <w:r>
              <w:rPr>
                <w:rFonts w:ascii="宋体" w:hAnsi="宋体" w:eastAsia="宋体" w:cs="宋体"/>
                <w:spacing w:val="-2"/>
                <w:sz w:val="24"/>
                <w:szCs w:val="24"/>
              </w:rPr>
              <w:t>年挥发性有机</w:t>
            </w:r>
            <w:r>
              <w:rPr>
                <w:rFonts w:ascii="微软雅黑" w:hAnsi="微软雅黑" w:eastAsia="微软雅黑" w:cs="微软雅黑"/>
                <w:spacing w:val="-2"/>
                <w:sz w:val="24"/>
                <w:szCs w:val="24"/>
              </w:rPr>
              <w:t>物</w:t>
            </w:r>
            <w:r>
              <w:rPr>
                <w:rFonts w:ascii="宋体" w:hAnsi="宋体" w:eastAsia="宋体" w:cs="宋体"/>
                <w:spacing w:val="-2"/>
                <w:sz w:val="24"/>
                <w:szCs w:val="24"/>
              </w:rPr>
              <w:t>治理攻</w:t>
            </w:r>
            <w:r>
              <w:rPr>
                <w:rFonts w:ascii="宋体" w:hAnsi="宋体" w:eastAsia="宋体" w:cs="宋体"/>
                <w:spacing w:val="-1"/>
                <w:sz w:val="24"/>
                <w:szCs w:val="24"/>
              </w:rPr>
              <w:t>坚方案》（环大</w:t>
            </w:r>
            <w:r>
              <w:rPr>
                <w:rFonts w:ascii="微软雅黑" w:hAnsi="微软雅黑" w:eastAsia="微软雅黑" w:cs="微软雅黑"/>
                <w:spacing w:val="-1"/>
                <w:sz w:val="24"/>
                <w:szCs w:val="24"/>
              </w:rPr>
              <w:t>气</w:t>
            </w:r>
            <w:r>
              <w:rPr>
                <w:rFonts w:ascii="宋体" w:hAnsi="宋体" w:eastAsia="宋体" w:cs="宋体"/>
                <w:spacing w:val="-1"/>
                <w:sz w:val="24"/>
                <w:szCs w:val="24"/>
              </w:rPr>
              <w:t>〔2020〕33</w:t>
            </w:r>
            <w:r>
              <w:rPr>
                <w:rFonts w:ascii="宋体" w:hAnsi="宋体" w:eastAsia="宋体" w:cs="宋体"/>
                <w:spacing w:val="-44"/>
                <w:sz w:val="24"/>
                <w:szCs w:val="24"/>
              </w:rPr>
              <w:t xml:space="preserve"> </w:t>
            </w:r>
            <w:r>
              <w:rPr>
                <w:rFonts w:ascii="宋体" w:hAnsi="宋体" w:eastAsia="宋体" w:cs="宋体"/>
                <w:spacing w:val="-1"/>
                <w:sz w:val="24"/>
                <w:szCs w:val="24"/>
              </w:rPr>
              <w:t>号</w:t>
            </w:r>
            <w:r>
              <w:rPr>
                <w:rFonts w:ascii="宋体" w:hAnsi="宋体" w:eastAsia="宋体" w:cs="宋体"/>
                <w:spacing w:val="7"/>
                <w:sz w:val="24"/>
                <w:szCs w:val="24"/>
              </w:rPr>
              <w:t>），</w:t>
            </w:r>
            <w:r>
              <w:rPr>
                <w:rFonts w:ascii="微软雅黑" w:hAnsi="微软雅黑" w:eastAsia="微软雅黑" w:cs="微软雅黑"/>
                <w:spacing w:val="-1"/>
                <w:sz w:val="24"/>
                <w:szCs w:val="24"/>
              </w:rPr>
              <w:t>颗粒</w:t>
            </w:r>
            <w:r>
              <w:rPr>
                <w:rFonts w:ascii="宋体" w:hAnsi="宋体" w:eastAsia="宋体" w:cs="宋体"/>
                <w:spacing w:val="-1"/>
                <w:sz w:val="24"/>
                <w:szCs w:val="24"/>
              </w:rPr>
              <w:t>炭碘值</w:t>
            </w:r>
            <w:r>
              <w:rPr>
                <w:rFonts w:ascii="Times New Roman" w:hAnsi="Times New Roman" w:eastAsia="Times New Roman" w:cs="Times New Roman"/>
                <w:spacing w:val="-1"/>
                <w:sz w:val="24"/>
                <w:szCs w:val="24"/>
              </w:rPr>
              <w:t xml:space="preserve">≥800mg/g </w:t>
            </w:r>
            <w:r>
              <w:rPr>
                <w:rFonts w:ascii="宋体" w:hAnsi="宋体" w:eastAsia="宋体" w:cs="宋体"/>
                <w:spacing w:val="-1"/>
                <w:sz w:val="24"/>
                <w:szCs w:val="24"/>
              </w:rPr>
              <w:t>其理论饱和吸附</w:t>
            </w:r>
            <w:r>
              <w:rPr>
                <w:rFonts w:ascii="微软雅黑" w:hAnsi="微软雅黑" w:eastAsia="微软雅黑" w:cs="微软雅黑"/>
                <w:spacing w:val="-1"/>
                <w:sz w:val="24"/>
                <w:szCs w:val="24"/>
              </w:rPr>
              <w:t>量</w:t>
            </w:r>
            <w:r>
              <w:rPr>
                <w:rFonts w:ascii="宋体" w:hAnsi="宋体" w:eastAsia="宋体" w:cs="宋体"/>
                <w:spacing w:val="-1"/>
                <w:sz w:val="24"/>
                <w:szCs w:val="24"/>
              </w:rPr>
              <w:t>通常在20%-40%（即</w:t>
            </w:r>
            <w:r>
              <w:rPr>
                <w:rFonts w:ascii="宋体" w:hAnsi="宋体" w:eastAsia="宋体" w:cs="宋体"/>
                <w:spacing w:val="-48"/>
                <w:sz w:val="24"/>
                <w:szCs w:val="24"/>
              </w:rPr>
              <w:t xml:space="preserve"> </w:t>
            </w:r>
            <w:r>
              <w:rPr>
                <w:rFonts w:ascii="宋体" w:hAnsi="宋体" w:eastAsia="宋体" w:cs="宋体"/>
                <w:spacing w:val="-1"/>
                <w:sz w:val="24"/>
                <w:szCs w:val="24"/>
              </w:rPr>
              <w:t>0.2-0.4g/g）之间。本次取</w:t>
            </w:r>
            <w:r>
              <w:rPr>
                <w:rFonts w:ascii="宋体" w:hAnsi="宋体" w:eastAsia="宋体" w:cs="宋体"/>
                <w:spacing w:val="-49"/>
                <w:sz w:val="24"/>
                <w:szCs w:val="24"/>
              </w:rPr>
              <w:t xml:space="preserve"> </w:t>
            </w:r>
            <w:r>
              <w:rPr>
                <w:rFonts w:ascii="宋体" w:hAnsi="宋体" w:eastAsia="宋体" w:cs="宋体"/>
                <w:spacing w:val="-1"/>
                <w:sz w:val="24"/>
                <w:szCs w:val="24"/>
              </w:rPr>
              <w:t>0.3g/g</w:t>
            </w:r>
            <w:r>
              <w:rPr>
                <w:rFonts w:ascii="宋体" w:hAnsi="宋体" w:eastAsia="宋体" w:cs="宋体"/>
                <w:spacing w:val="-2"/>
                <w:sz w:val="24"/>
                <w:szCs w:val="24"/>
              </w:rPr>
              <w:t>，生产废气吸附量约为</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3.726t/a</w:t>
            </w:r>
            <w:r>
              <w:rPr>
                <w:rFonts w:ascii="Times New Roman" w:hAnsi="Times New Roman" w:eastAsia="Times New Roman" w:cs="Times New Roman"/>
                <w:spacing w:val="-34"/>
                <w:sz w:val="24"/>
                <w:szCs w:val="24"/>
              </w:rPr>
              <w:t xml:space="preserve"> </w:t>
            </w:r>
            <w:r>
              <w:rPr>
                <w:rFonts w:ascii="宋体" w:hAnsi="宋体" w:eastAsia="宋体" w:cs="宋体"/>
                <w:spacing w:val="-2"/>
                <w:sz w:val="24"/>
                <w:szCs w:val="24"/>
              </w:rPr>
              <w:t>，则活性炭用量约为</w:t>
            </w:r>
            <w:r>
              <w:rPr>
                <w:rFonts w:ascii="宋体" w:hAnsi="宋体" w:eastAsia="宋体" w:cs="宋体"/>
                <w:spacing w:val="-17"/>
                <w:sz w:val="24"/>
                <w:szCs w:val="24"/>
              </w:rPr>
              <w:t xml:space="preserve"> </w:t>
            </w:r>
            <w:r>
              <w:rPr>
                <w:rFonts w:ascii="Times New Roman" w:hAnsi="Times New Roman" w:eastAsia="Times New Roman" w:cs="Times New Roman"/>
                <w:spacing w:val="-2"/>
                <w:sz w:val="24"/>
                <w:szCs w:val="24"/>
              </w:rPr>
              <w:t>12.42t/a</w:t>
            </w:r>
            <w:r>
              <w:rPr>
                <w:rFonts w:ascii="Times New Roman" w:hAnsi="Times New Roman" w:eastAsia="Times New Roman" w:cs="Times New Roman"/>
                <w:spacing w:val="-34"/>
                <w:sz w:val="24"/>
                <w:szCs w:val="24"/>
              </w:rPr>
              <w:t xml:space="preserve"> </w:t>
            </w:r>
            <w:r>
              <w:rPr>
                <w:rFonts w:ascii="宋体" w:hAnsi="宋体" w:eastAsia="宋体" w:cs="宋体"/>
                <w:spacing w:val="-2"/>
                <w:sz w:val="24"/>
                <w:szCs w:val="24"/>
              </w:rPr>
              <w:t>，废活性炭产生量为活性炭及吸附废气量之和，则废活性炭</w:t>
            </w:r>
            <w:r>
              <w:rPr>
                <w:rFonts w:ascii="宋体" w:hAnsi="宋体" w:eastAsia="宋体" w:cs="宋体"/>
                <w:spacing w:val="-3"/>
                <w:sz w:val="24"/>
                <w:szCs w:val="24"/>
              </w:rPr>
              <w:t>产生量约为</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16.</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146t/a</w:t>
            </w:r>
            <w:r>
              <w:rPr>
                <w:rFonts w:ascii="Times New Roman" w:hAnsi="Times New Roman" w:eastAsia="Times New Roman" w:cs="Times New Roman"/>
                <w:spacing w:val="-30"/>
                <w:sz w:val="24"/>
                <w:szCs w:val="24"/>
              </w:rPr>
              <w:t xml:space="preserve"> </w:t>
            </w:r>
            <w:r>
              <w:rPr>
                <w:rFonts w:ascii="宋体" w:hAnsi="宋体" w:eastAsia="宋体" w:cs="宋体"/>
                <w:spacing w:val="-3"/>
                <w:sz w:val="24"/>
                <w:szCs w:val="24"/>
              </w:rPr>
              <w:t>。废活性炭含有非甲烷总烃，属于《国家危险</w:t>
            </w:r>
            <w:r>
              <w:rPr>
                <w:rFonts w:ascii="宋体" w:hAnsi="宋体" w:eastAsia="宋体" w:cs="宋体"/>
                <w:spacing w:val="-4"/>
                <w:sz w:val="24"/>
                <w:szCs w:val="24"/>
              </w:rPr>
              <w:t>废物名录》（</w:t>
            </w:r>
            <w:r>
              <w:rPr>
                <w:rFonts w:ascii="Times New Roman" w:hAnsi="Times New Roman" w:eastAsia="Times New Roman" w:cs="Times New Roman"/>
                <w:spacing w:val="-4"/>
                <w:sz w:val="24"/>
                <w:szCs w:val="24"/>
              </w:rPr>
              <w:t>2025</w:t>
            </w:r>
            <w:r>
              <w:rPr>
                <w:rFonts w:ascii="宋体" w:hAnsi="宋体" w:eastAsia="宋体" w:cs="宋体"/>
                <w:spacing w:val="-2"/>
                <w:sz w:val="24"/>
                <w:szCs w:val="24"/>
              </w:rPr>
              <w:t>年版）</w:t>
            </w:r>
            <w:r>
              <w:rPr>
                <w:rFonts w:ascii="Times New Roman" w:hAnsi="Times New Roman" w:eastAsia="Times New Roman" w:cs="Times New Roman"/>
                <w:spacing w:val="-2"/>
                <w:sz w:val="24"/>
                <w:szCs w:val="24"/>
              </w:rPr>
              <w:t xml:space="preserve">“HW49 </w:t>
            </w:r>
            <w:r>
              <w:rPr>
                <w:rFonts w:ascii="宋体" w:hAnsi="宋体" w:eastAsia="宋体" w:cs="宋体"/>
                <w:spacing w:val="-2"/>
                <w:sz w:val="24"/>
                <w:szCs w:val="24"/>
              </w:rPr>
              <w:t>其他废物，废物代码为</w:t>
            </w:r>
            <w:r>
              <w:rPr>
                <w:rFonts w:ascii="宋体" w:hAnsi="宋体" w:eastAsia="宋体" w:cs="宋体"/>
                <w:spacing w:val="-39"/>
                <w:sz w:val="24"/>
                <w:szCs w:val="24"/>
              </w:rPr>
              <w:t xml:space="preserve"> </w:t>
            </w:r>
            <w:r>
              <w:rPr>
                <w:rFonts w:ascii="Times New Roman" w:hAnsi="Times New Roman" w:eastAsia="Times New Roman" w:cs="Times New Roman"/>
                <w:spacing w:val="-2"/>
                <w:sz w:val="24"/>
                <w:szCs w:val="24"/>
              </w:rPr>
              <w:t>900-0.39-49”</w:t>
            </w:r>
            <w:r>
              <w:rPr>
                <w:rFonts w:ascii="Times New Roman" w:hAnsi="Times New Roman" w:eastAsia="Times New Roman" w:cs="Times New Roman"/>
                <w:spacing w:val="-32"/>
                <w:sz w:val="24"/>
                <w:szCs w:val="24"/>
              </w:rPr>
              <w:t xml:space="preserve"> </w:t>
            </w:r>
            <w:r>
              <w:rPr>
                <w:rFonts w:ascii="宋体" w:hAnsi="宋体" w:eastAsia="宋体" w:cs="宋体"/>
                <w:spacing w:val="-2"/>
                <w:sz w:val="24"/>
                <w:szCs w:val="24"/>
              </w:rPr>
              <w:t>，危险特性为</w:t>
            </w:r>
            <w:r>
              <w:rPr>
                <w:rFonts w:ascii="Times New Roman" w:hAnsi="Times New Roman" w:eastAsia="Times New Roman" w:cs="Times New Roman"/>
                <w:spacing w:val="-2"/>
                <w:sz w:val="24"/>
                <w:szCs w:val="24"/>
              </w:rPr>
              <w:t>“T”</w:t>
            </w:r>
            <w:r>
              <w:rPr>
                <w:rFonts w:ascii="Times New Roman" w:hAnsi="Times New Roman" w:eastAsia="Times New Roman" w:cs="Times New Roman"/>
                <w:spacing w:val="-28"/>
                <w:sz w:val="24"/>
                <w:szCs w:val="24"/>
              </w:rPr>
              <w:t xml:space="preserve"> </w:t>
            </w:r>
            <w:r>
              <w:rPr>
                <w:rFonts w:ascii="宋体" w:hAnsi="宋体" w:eastAsia="宋体" w:cs="宋体"/>
                <w:spacing w:val="-2"/>
                <w:sz w:val="24"/>
                <w:szCs w:val="24"/>
              </w:rPr>
              <w:t>。为保证吸附效</w:t>
            </w:r>
            <w:r>
              <w:rPr>
                <w:rFonts w:ascii="宋体" w:hAnsi="宋体" w:eastAsia="宋体" w:cs="宋体"/>
                <w:spacing w:val="-4"/>
                <w:sz w:val="24"/>
                <w:szCs w:val="24"/>
              </w:rPr>
              <w:t>率，大约</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 xml:space="preserve">1 </w:t>
            </w:r>
            <w:r>
              <w:rPr>
                <w:rFonts w:ascii="宋体" w:hAnsi="宋体" w:eastAsia="宋体" w:cs="宋体"/>
                <w:spacing w:val="-4"/>
                <w:sz w:val="24"/>
                <w:szCs w:val="24"/>
              </w:rPr>
              <w:t>个月更换一次，废旧活性炭最大储存量为</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1.3455t</w:t>
            </w:r>
            <w:r>
              <w:rPr>
                <w:rFonts w:ascii="宋体" w:hAnsi="宋体" w:eastAsia="宋体" w:cs="宋体"/>
                <w:spacing w:val="-5"/>
                <w:sz w:val="24"/>
                <w:szCs w:val="24"/>
              </w:rPr>
              <w:t>，更换后的废活性炭暂存</w:t>
            </w:r>
            <w:r>
              <w:rPr>
                <w:rFonts w:ascii="宋体" w:hAnsi="宋体" w:eastAsia="宋体" w:cs="宋体"/>
                <w:spacing w:val="-1"/>
                <w:sz w:val="24"/>
                <w:szCs w:val="24"/>
              </w:rPr>
              <w:t>于危废暂存间，委托有资质单位定期清运处置。</w:t>
            </w:r>
          </w:p>
          <w:p w14:paraId="5182D81C">
            <w:pPr>
              <w:spacing w:before="1" w:line="218" w:lineRule="auto"/>
              <w:ind w:left="599"/>
              <w:rPr>
                <w:rFonts w:ascii="宋体" w:hAnsi="宋体" w:eastAsia="宋体" w:cs="宋体"/>
                <w:sz w:val="24"/>
                <w:szCs w:val="24"/>
              </w:rPr>
            </w:pPr>
            <w:r>
              <w:rPr>
                <w:rFonts w:ascii="宋体" w:hAnsi="宋体" w:eastAsia="宋体" w:cs="宋体"/>
                <w:b/>
                <w:bCs/>
                <w:spacing w:val="-6"/>
                <w:sz w:val="24"/>
                <w:szCs w:val="24"/>
              </w:rPr>
              <w:t>（</w:t>
            </w:r>
            <w:r>
              <w:rPr>
                <w:rFonts w:ascii="Times New Roman" w:hAnsi="Times New Roman" w:eastAsia="Times New Roman" w:cs="Times New Roman"/>
                <w:b/>
                <w:bCs/>
                <w:spacing w:val="-6"/>
                <w:sz w:val="24"/>
                <w:szCs w:val="24"/>
              </w:rPr>
              <w:t>2</w:t>
            </w:r>
            <w:r>
              <w:rPr>
                <w:rFonts w:ascii="宋体" w:hAnsi="宋体" w:eastAsia="宋体" w:cs="宋体"/>
                <w:b/>
                <w:bCs/>
                <w:spacing w:val="-6"/>
                <w:sz w:val="24"/>
                <w:szCs w:val="24"/>
              </w:rPr>
              <w:t>）废机油</w:t>
            </w:r>
          </w:p>
          <w:p w14:paraId="326B9763">
            <w:pPr>
              <w:spacing w:before="182" w:line="359" w:lineRule="auto"/>
              <w:ind w:left="112" w:right="102" w:firstLine="480"/>
              <w:jc w:val="both"/>
              <w:rPr>
                <w:rFonts w:ascii="宋体" w:hAnsi="宋体" w:eastAsia="宋体" w:cs="宋体"/>
                <w:sz w:val="24"/>
                <w:szCs w:val="24"/>
              </w:rPr>
            </w:pPr>
            <w:r>
              <w:rPr>
                <w:rFonts w:ascii="宋体" w:hAnsi="宋体" w:eastAsia="宋体" w:cs="宋体"/>
                <w:spacing w:val="-2"/>
                <w:sz w:val="24"/>
                <w:szCs w:val="24"/>
              </w:rPr>
              <w:t>项目设备保养过程中会产生少了量废机油，废机油产生量约为</w:t>
            </w:r>
            <w:r>
              <w:rPr>
                <w:rFonts w:ascii="宋体" w:hAnsi="宋体" w:eastAsia="宋体" w:cs="宋体"/>
                <w:spacing w:val="-42"/>
                <w:sz w:val="24"/>
                <w:szCs w:val="24"/>
              </w:rPr>
              <w:t xml:space="preserve"> </w:t>
            </w:r>
            <w:r>
              <w:rPr>
                <w:rFonts w:ascii="Times New Roman" w:hAnsi="Times New Roman" w:eastAsia="Times New Roman" w:cs="Times New Roman"/>
                <w:spacing w:val="-2"/>
                <w:sz w:val="24"/>
                <w:szCs w:val="24"/>
              </w:rPr>
              <w:t>0.01t/a</w:t>
            </w:r>
            <w:r>
              <w:rPr>
                <w:rFonts w:ascii="宋体" w:hAnsi="宋体" w:eastAsia="宋体" w:cs="宋体"/>
                <w:spacing w:val="-2"/>
                <w:sz w:val="24"/>
                <w:szCs w:val="24"/>
              </w:rPr>
              <w:t>。废机油属</w:t>
            </w:r>
            <w:r>
              <w:rPr>
                <w:rFonts w:ascii="宋体" w:hAnsi="宋体" w:eastAsia="宋体" w:cs="宋体"/>
                <w:sz w:val="24"/>
                <w:szCs w:val="24"/>
              </w:rPr>
              <w:t>《国家危险废物名录》（</w:t>
            </w:r>
            <w:r>
              <w:rPr>
                <w:rFonts w:ascii="Times New Roman" w:hAnsi="Times New Roman" w:eastAsia="Times New Roman" w:cs="Times New Roman"/>
                <w:sz w:val="24"/>
                <w:szCs w:val="24"/>
              </w:rPr>
              <w:t xml:space="preserve">2025 </w:t>
            </w:r>
            <w:r>
              <w:rPr>
                <w:rFonts w:ascii="宋体" w:hAnsi="宋体" w:eastAsia="宋体" w:cs="宋体"/>
                <w:sz w:val="24"/>
                <w:szCs w:val="24"/>
              </w:rPr>
              <w:t>年版）中</w:t>
            </w:r>
            <w:r>
              <w:rPr>
                <w:rFonts w:ascii="Times New Roman" w:hAnsi="Times New Roman" w:eastAsia="Times New Roman" w:cs="Times New Roman"/>
                <w:sz w:val="24"/>
                <w:szCs w:val="24"/>
              </w:rPr>
              <w:t>“</w:t>
            </w:r>
            <w:r>
              <w:rPr>
                <w:rFonts w:ascii="宋体" w:hAnsi="宋体" w:eastAsia="宋体" w:cs="宋体"/>
                <w:sz w:val="24"/>
                <w:szCs w:val="24"/>
              </w:rPr>
              <w:t>其他生产、销售、使用过程中产生的废矿物</w:t>
            </w:r>
            <w:r>
              <w:rPr>
                <w:rFonts w:ascii="宋体" w:hAnsi="宋体" w:eastAsia="宋体" w:cs="宋体"/>
                <w:spacing w:val="-2"/>
                <w:sz w:val="24"/>
                <w:szCs w:val="24"/>
              </w:rPr>
              <w:t>油及沾染矿物油的废弃包装物</w:t>
            </w:r>
            <w:r>
              <w:rPr>
                <w:rFonts w:ascii="Times New Roman" w:hAnsi="Times New Roman" w:eastAsia="Times New Roman" w:cs="Times New Roman"/>
                <w:spacing w:val="-2"/>
                <w:sz w:val="24"/>
                <w:szCs w:val="24"/>
              </w:rPr>
              <w:t>”</w:t>
            </w:r>
            <w:r>
              <w:rPr>
                <w:rFonts w:ascii="宋体" w:hAnsi="宋体" w:eastAsia="宋体" w:cs="宋体"/>
                <w:spacing w:val="-2"/>
                <w:sz w:val="24"/>
                <w:szCs w:val="24"/>
              </w:rPr>
              <w:t>（</w:t>
            </w:r>
            <w:r>
              <w:rPr>
                <w:rFonts w:ascii="Times New Roman" w:hAnsi="Times New Roman" w:eastAsia="Times New Roman" w:cs="Times New Roman"/>
                <w:spacing w:val="-2"/>
                <w:sz w:val="24"/>
                <w:szCs w:val="24"/>
              </w:rPr>
              <w:t>HW08 900-249-08</w:t>
            </w:r>
            <w:r>
              <w:rPr>
                <w:rFonts w:ascii="宋体" w:hAnsi="宋体" w:eastAsia="宋体" w:cs="宋体"/>
                <w:spacing w:val="3"/>
                <w:sz w:val="24"/>
                <w:szCs w:val="24"/>
              </w:rPr>
              <w:t>），</w:t>
            </w:r>
            <w:r>
              <w:rPr>
                <w:rFonts w:ascii="宋体" w:hAnsi="宋体" w:eastAsia="宋体" w:cs="宋体"/>
                <w:spacing w:val="-2"/>
                <w:sz w:val="24"/>
                <w:szCs w:val="24"/>
              </w:rPr>
              <w:t>危险特性为</w:t>
            </w:r>
            <w:r>
              <w:rPr>
                <w:rFonts w:ascii="Times New Roman" w:hAnsi="Times New Roman" w:eastAsia="Times New Roman" w:cs="Times New Roman"/>
                <w:spacing w:val="-2"/>
                <w:sz w:val="24"/>
                <w:szCs w:val="24"/>
              </w:rPr>
              <w:t>“T</w:t>
            </w:r>
            <w:r>
              <w:rPr>
                <w:rFonts w:ascii="Times New Roman" w:hAnsi="Times New Roman" w:eastAsia="Times New Roman" w:cs="Times New Roman"/>
                <w:spacing w:val="-30"/>
                <w:sz w:val="24"/>
                <w:szCs w:val="24"/>
              </w:rPr>
              <w:t xml:space="preserve"> </w:t>
            </w:r>
            <w:r>
              <w:rPr>
                <w:rFonts w:ascii="宋体" w:hAnsi="宋体" w:eastAsia="宋体" w:cs="宋体"/>
                <w:spacing w:val="-2"/>
                <w:sz w:val="24"/>
                <w:szCs w:val="24"/>
              </w:rPr>
              <w:t>，</w:t>
            </w:r>
            <w:r>
              <w:rPr>
                <w:rFonts w:ascii="Times New Roman" w:hAnsi="Times New Roman" w:eastAsia="Times New Roman" w:cs="Times New Roman"/>
                <w:spacing w:val="-2"/>
                <w:sz w:val="24"/>
                <w:szCs w:val="24"/>
              </w:rPr>
              <w:t>I”</w:t>
            </w:r>
            <w:r>
              <w:rPr>
                <w:rFonts w:ascii="Times New Roman" w:hAnsi="Times New Roman" w:eastAsia="Times New Roman" w:cs="Times New Roman"/>
                <w:spacing w:val="-29"/>
                <w:sz w:val="24"/>
                <w:szCs w:val="24"/>
              </w:rPr>
              <w:t xml:space="preserve"> </w:t>
            </w:r>
            <w:r>
              <w:rPr>
                <w:rFonts w:ascii="宋体" w:hAnsi="宋体" w:eastAsia="宋体" w:cs="宋体"/>
                <w:spacing w:val="-2"/>
                <w:sz w:val="24"/>
                <w:szCs w:val="24"/>
              </w:rPr>
              <w:t>，为</w:t>
            </w:r>
            <w:r>
              <w:rPr>
                <w:rFonts w:ascii="宋体" w:hAnsi="宋体" w:eastAsia="宋体" w:cs="宋体"/>
                <w:spacing w:val="-3"/>
                <w:sz w:val="24"/>
                <w:szCs w:val="24"/>
              </w:rPr>
              <w:t>危险废</w:t>
            </w:r>
            <w:r>
              <w:rPr>
                <w:rFonts w:ascii="宋体" w:hAnsi="宋体" w:eastAsia="宋体" w:cs="宋体"/>
                <w:sz w:val="24"/>
                <w:szCs w:val="24"/>
              </w:rPr>
              <w:t>弃物，集中分类收集，暂存于危废暂存间，</w:t>
            </w:r>
            <w:r>
              <w:rPr>
                <w:rFonts w:ascii="宋体" w:hAnsi="宋体" w:eastAsia="宋体" w:cs="宋体"/>
                <w:spacing w:val="-1"/>
                <w:sz w:val="24"/>
                <w:szCs w:val="24"/>
              </w:rPr>
              <w:t>定期委托有资质的单位进行处置。</w:t>
            </w:r>
          </w:p>
          <w:p w14:paraId="3D7DED49">
            <w:pPr>
              <w:spacing w:before="1" w:line="358" w:lineRule="auto"/>
              <w:ind w:left="108" w:right="102" w:firstLine="482"/>
              <w:jc w:val="both"/>
              <w:rPr>
                <w:rFonts w:ascii="宋体" w:hAnsi="宋体" w:eastAsia="宋体" w:cs="宋体"/>
                <w:sz w:val="24"/>
                <w:szCs w:val="24"/>
              </w:rPr>
            </w:pPr>
            <w:r>
              <w:rPr>
                <w:rFonts w:ascii="宋体" w:hAnsi="宋体" w:eastAsia="宋体" w:cs="宋体"/>
                <w:spacing w:val="-1"/>
                <w:sz w:val="24"/>
                <w:szCs w:val="24"/>
              </w:rPr>
              <w:t>厂区已建设</w:t>
            </w:r>
            <w:r>
              <w:rPr>
                <w:rFonts w:ascii="宋体" w:hAnsi="宋体" w:eastAsia="宋体" w:cs="宋体"/>
                <w:spacing w:val="-32"/>
                <w:sz w:val="24"/>
                <w:szCs w:val="24"/>
              </w:rPr>
              <w:t xml:space="preserve"> </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31"/>
                <w:sz w:val="24"/>
                <w:szCs w:val="24"/>
              </w:rPr>
              <w:t xml:space="preserve"> </w:t>
            </w:r>
            <w:r>
              <w:rPr>
                <w:rFonts w:ascii="宋体" w:hAnsi="宋体" w:eastAsia="宋体" w:cs="宋体"/>
                <w:spacing w:val="-1"/>
                <w:sz w:val="24"/>
                <w:szCs w:val="24"/>
              </w:rPr>
              <w:t>间建筑面积为</w:t>
            </w:r>
            <w:r>
              <w:rPr>
                <w:rFonts w:ascii="宋体" w:hAnsi="宋体" w:eastAsia="宋体" w:cs="宋体"/>
                <w:spacing w:val="-30"/>
                <w:sz w:val="24"/>
                <w:szCs w:val="24"/>
              </w:rPr>
              <w:t xml:space="preserve"> </w:t>
            </w:r>
            <w:r>
              <w:rPr>
                <w:rFonts w:ascii="Times New Roman" w:hAnsi="Times New Roman" w:eastAsia="Times New Roman" w:cs="Times New Roman"/>
                <w:spacing w:val="-1"/>
                <w:sz w:val="24"/>
                <w:szCs w:val="24"/>
              </w:rPr>
              <w:t>10m</w:t>
            </w:r>
            <w:r>
              <w:rPr>
                <w:rFonts w:ascii="Times New Roman" w:hAnsi="Times New Roman" w:eastAsia="Times New Roman" w:cs="Times New Roman"/>
                <w:spacing w:val="-1"/>
                <w:position w:val="7"/>
                <w:sz w:val="15"/>
                <w:szCs w:val="15"/>
              </w:rPr>
              <w:t>2</w:t>
            </w:r>
            <w:r>
              <w:rPr>
                <w:rFonts w:ascii="Times New Roman" w:hAnsi="Times New Roman" w:eastAsia="Times New Roman" w:cs="Times New Roman"/>
                <w:spacing w:val="14"/>
                <w:w w:val="102"/>
                <w:position w:val="7"/>
                <w:sz w:val="15"/>
                <w:szCs w:val="15"/>
              </w:rPr>
              <w:t xml:space="preserve"> </w:t>
            </w:r>
            <w:r>
              <w:rPr>
                <w:rFonts w:ascii="宋体" w:hAnsi="宋体" w:eastAsia="宋体" w:cs="宋体"/>
                <w:spacing w:val="-1"/>
                <w:sz w:val="24"/>
                <w:szCs w:val="24"/>
              </w:rPr>
              <w:t>危废暂存间，并与楚雄同磊再生</w:t>
            </w:r>
            <w:r>
              <w:rPr>
                <w:rFonts w:ascii="宋体" w:hAnsi="宋体" w:eastAsia="宋体" w:cs="宋体"/>
                <w:spacing w:val="-2"/>
                <w:sz w:val="24"/>
                <w:szCs w:val="24"/>
              </w:rPr>
              <w:t>资源有限公司签订危废处置协议。本项目产生的废旧活性炭和废机油作为危险废物，委托有资质单位定期清运、处置。</w:t>
            </w:r>
          </w:p>
          <w:p w14:paraId="75ECCA41">
            <w:pPr>
              <w:spacing w:line="206" w:lineRule="auto"/>
              <w:ind w:left="3144"/>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31"/>
                <w:sz w:val="20"/>
                <w:szCs w:val="20"/>
              </w:rPr>
              <w:t xml:space="preserve"> </w:t>
            </w:r>
            <w:r>
              <w:rPr>
                <w:rFonts w:ascii="Times New Roman" w:hAnsi="Times New Roman" w:eastAsia="Times New Roman" w:cs="Times New Roman"/>
                <w:b/>
                <w:bCs/>
                <w:spacing w:val="5"/>
                <w:sz w:val="20"/>
                <w:szCs w:val="20"/>
              </w:rPr>
              <w:t xml:space="preserve">4-13    </w:t>
            </w:r>
            <w:r>
              <w:rPr>
                <w:rFonts w:ascii="宋体" w:hAnsi="宋体" w:eastAsia="宋体" w:cs="宋体"/>
                <w:b/>
                <w:bCs/>
                <w:spacing w:val="5"/>
                <w:sz w:val="20"/>
                <w:szCs w:val="20"/>
              </w:rPr>
              <w:t>危险废物汇总情况表</w:t>
            </w:r>
          </w:p>
        </w:tc>
      </w:tr>
      <w:tr w14:paraId="37574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35" w:type="dxa"/>
            <w:vMerge w:val="continue"/>
            <w:tcBorders>
              <w:top w:val="nil"/>
              <w:left w:val="single" w:color="000000" w:sz="6" w:space="0"/>
              <w:bottom w:val="nil"/>
            </w:tcBorders>
            <w:vAlign w:val="top"/>
          </w:tcPr>
          <w:p w14:paraId="7FFC54CD">
            <w:pPr>
              <w:rPr>
                <w:rFonts w:ascii="Arial"/>
                <w:sz w:val="21"/>
              </w:rPr>
            </w:pPr>
          </w:p>
        </w:tc>
        <w:tc>
          <w:tcPr>
            <w:tcW w:w="113" w:type="dxa"/>
            <w:tcBorders>
              <w:top w:val="nil"/>
              <w:bottom w:val="nil"/>
            </w:tcBorders>
            <w:vAlign w:val="top"/>
          </w:tcPr>
          <w:p w14:paraId="31B72872">
            <w:pPr>
              <w:rPr>
                <w:rFonts w:ascii="Arial"/>
                <w:sz w:val="21"/>
              </w:rPr>
            </w:pPr>
          </w:p>
        </w:tc>
        <w:tc>
          <w:tcPr>
            <w:tcW w:w="460" w:type="dxa"/>
            <w:textDirection w:val="tbRlV"/>
            <w:vAlign w:val="top"/>
          </w:tcPr>
          <w:p w14:paraId="32824270">
            <w:pPr>
              <w:spacing w:before="130" w:line="218" w:lineRule="auto"/>
              <w:ind w:left="44"/>
              <w:rPr>
                <w:rFonts w:ascii="宋体" w:hAnsi="宋体" w:eastAsia="宋体" w:cs="宋体"/>
                <w:sz w:val="20"/>
                <w:szCs w:val="20"/>
              </w:rPr>
            </w:pPr>
            <w:r>
              <w:rPr>
                <w:rFonts w:ascii="宋体" w:hAnsi="宋体" w:eastAsia="宋体" w:cs="宋体"/>
                <w:b/>
                <w:bCs/>
                <w:spacing w:val="6"/>
                <w:sz w:val="20"/>
                <w:szCs w:val="20"/>
              </w:rPr>
              <w:t>序</w:t>
            </w:r>
            <w:r>
              <w:rPr>
                <w:rFonts w:ascii="宋体" w:hAnsi="宋体" w:eastAsia="宋体" w:cs="宋体"/>
                <w:spacing w:val="99"/>
                <w:sz w:val="20"/>
                <w:szCs w:val="20"/>
              </w:rPr>
              <w:t xml:space="preserve"> </w:t>
            </w:r>
            <w:r>
              <w:rPr>
                <w:rFonts w:ascii="宋体" w:hAnsi="宋体" w:eastAsia="宋体" w:cs="宋体"/>
                <w:b/>
                <w:bCs/>
                <w:spacing w:val="6"/>
                <w:sz w:val="20"/>
                <w:szCs w:val="20"/>
              </w:rPr>
              <w:t>号</w:t>
            </w:r>
          </w:p>
        </w:tc>
        <w:tc>
          <w:tcPr>
            <w:tcW w:w="1025" w:type="dxa"/>
            <w:vAlign w:val="top"/>
          </w:tcPr>
          <w:p w14:paraId="528A423C">
            <w:pPr>
              <w:spacing w:before="45" w:line="228" w:lineRule="auto"/>
              <w:ind w:left="199"/>
              <w:rPr>
                <w:rFonts w:ascii="宋体" w:hAnsi="宋体" w:eastAsia="宋体" w:cs="宋体"/>
                <w:sz w:val="20"/>
                <w:szCs w:val="20"/>
              </w:rPr>
            </w:pPr>
            <w:r>
              <w:rPr>
                <w:rFonts w:ascii="宋体" w:hAnsi="宋体" w:eastAsia="宋体" w:cs="宋体"/>
                <w:b/>
                <w:bCs/>
                <w:spacing w:val="4"/>
                <w:sz w:val="20"/>
                <w:szCs w:val="20"/>
              </w:rPr>
              <w:t>危险废</w:t>
            </w:r>
          </w:p>
          <w:p w14:paraId="2242C25D">
            <w:pPr>
              <w:spacing w:before="160" w:line="229" w:lineRule="auto"/>
              <w:ind w:left="196"/>
              <w:rPr>
                <w:rFonts w:ascii="宋体" w:hAnsi="宋体" w:eastAsia="宋体" w:cs="宋体"/>
                <w:sz w:val="20"/>
                <w:szCs w:val="20"/>
              </w:rPr>
            </w:pPr>
            <w:r>
              <w:rPr>
                <w:rFonts w:ascii="宋体" w:hAnsi="宋体" w:eastAsia="宋体" w:cs="宋体"/>
                <w:b/>
                <w:bCs/>
                <w:spacing w:val="5"/>
                <w:sz w:val="20"/>
                <w:szCs w:val="20"/>
              </w:rPr>
              <w:t>物名称</w:t>
            </w:r>
          </w:p>
        </w:tc>
        <w:tc>
          <w:tcPr>
            <w:tcW w:w="894" w:type="dxa"/>
            <w:vAlign w:val="top"/>
          </w:tcPr>
          <w:p w14:paraId="5E97CD72">
            <w:pPr>
              <w:spacing w:before="45" w:line="228" w:lineRule="auto"/>
              <w:ind w:left="134"/>
              <w:rPr>
                <w:rFonts w:ascii="宋体" w:hAnsi="宋体" w:eastAsia="宋体" w:cs="宋体"/>
                <w:sz w:val="20"/>
                <w:szCs w:val="20"/>
              </w:rPr>
            </w:pPr>
            <w:r>
              <w:rPr>
                <w:rFonts w:ascii="宋体" w:hAnsi="宋体" w:eastAsia="宋体" w:cs="宋体"/>
                <w:b/>
                <w:bCs/>
                <w:spacing w:val="4"/>
                <w:sz w:val="20"/>
                <w:szCs w:val="20"/>
              </w:rPr>
              <w:t>危险废</w:t>
            </w:r>
          </w:p>
          <w:p w14:paraId="2BE06C26">
            <w:pPr>
              <w:spacing w:before="160" w:line="228" w:lineRule="auto"/>
              <w:ind w:left="131"/>
              <w:rPr>
                <w:rFonts w:ascii="宋体" w:hAnsi="宋体" w:eastAsia="宋体" w:cs="宋体"/>
                <w:sz w:val="20"/>
                <w:szCs w:val="20"/>
              </w:rPr>
            </w:pPr>
            <w:r>
              <w:rPr>
                <w:rFonts w:ascii="宋体" w:hAnsi="宋体" w:eastAsia="宋体" w:cs="宋体"/>
                <w:b/>
                <w:bCs/>
                <w:spacing w:val="5"/>
                <w:sz w:val="20"/>
                <w:szCs w:val="20"/>
              </w:rPr>
              <w:t>物类别</w:t>
            </w:r>
          </w:p>
        </w:tc>
        <w:tc>
          <w:tcPr>
            <w:tcW w:w="1396" w:type="dxa"/>
            <w:vAlign w:val="top"/>
          </w:tcPr>
          <w:p w14:paraId="76F36A84">
            <w:pPr>
              <w:spacing w:before="44" w:line="354" w:lineRule="auto"/>
              <w:ind w:left="595" w:right="174" w:hanging="419"/>
              <w:rPr>
                <w:rFonts w:ascii="宋体" w:hAnsi="宋体" w:eastAsia="宋体" w:cs="宋体"/>
                <w:sz w:val="20"/>
                <w:szCs w:val="20"/>
              </w:rPr>
            </w:pPr>
            <w:r>
              <w:rPr>
                <w:rFonts w:ascii="宋体" w:hAnsi="宋体" w:eastAsia="宋体" w:cs="宋体"/>
                <w:b/>
                <w:bCs/>
                <w:spacing w:val="6"/>
                <w:sz w:val="20"/>
                <w:szCs w:val="20"/>
              </w:rPr>
              <w:t>危险废物代</w:t>
            </w:r>
            <w:r>
              <w:rPr>
                <w:rFonts w:ascii="宋体" w:hAnsi="宋体" w:eastAsia="宋体" w:cs="宋体"/>
                <w:b/>
                <w:bCs/>
                <w:spacing w:val="-1"/>
                <w:sz w:val="20"/>
                <w:szCs w:val="20"/>
              </w:rPr>
              <w:t>码</w:t>
            </w:r>
          </w:p>
        </w:tc>
        <w:tc>
          <w:tcPr>
            <w:tcW w:w="1055" w:type="dxa"/>
            <w:vAlign w:val="top"/>
          </w:tcPr>
          <w:p w14:paraId="15E3CC08">
            <w:pPr>
              <w:spacing w:before="44" w:line="354" w:lineRule="auto"/>
              <w:ind w:left="215" w:right="209" w:firstLine="1"/>
              <w:rPr>
                <w:rFonts w:ascii="宋体" w:hAnsi="宋体" w:eastAsia="宋体" w:cs="宋体"/>
                <w:sz w:val="20"/>
                <w:szCs w:val="20"/>
              </w:rPr>
            </w:pPr>
            <w:r>
              <w:rPr>
                <w:rFonts w:ascii="宋体" w:hAnsi="宋体" w:eastAsia="宋体" w:cs="宋体"/>
                <w:b/>
                <w:bCs/>
                <w:spacing w:val="5"/>
                <w:sz w:val="20"/>
                <w:szCs w:val="20"/>
              </w:rPr>
              <w:t>产生量</w:t>
            </w:r>
            <w:r>
              <w:rPr>
                <w:rFonts w:ascii="宋体" w:hAnsi="宋体" w:eastAsia="宋体" w:cs="宋体"/>
                <w:b/>
                <w:bCs/>
                <w:spacing w:val="-1"/>
                <w:sz w:val="20"/>
                <w:szCs w:val="20"/>
              </w:rPr>
              <w:t>（</w:t>
            </w:r>
            <w:r>
              <w:rPr>
                <w:rFonts w:ascii="Times New Roman" w:hAnsi="Times New Roman" w:eastAsia="Times New Roman" w:cs="Times New Roman"/>
                <w:b/>
                <w:bCs/>
                <w:spacing w:val="-1"/>
                <w:sz w:val="20"/>
                <w:szCs w:val="20"/>
              </w:rPr>
              <w:t>t/a</w:t>
            </w:r>
            <w:r>
              <w:rPr>
                <w:rFonts w:ascii="宋体" w:hAnsi="宋体" w:eastAsia="宋体" w:cs="宋体"/>
                <w:b/>
                <w:bCs/>
                <w:spacing w:val="-1"/>
                <w:sz w:val="20"/>
                <w:szCs w:val="20"/>
              </w:rPr>
              <w:t>）</w:t>
            </w:r>
          </w:p>
        </w:tc>
        <w:tc>
          <w:tcPr>
            <w:tcW w:w="1145" w:type="dxa"/>
            <w:vAlign w:val="top"/>
          </w:tcPr>
          <w:p w14:paraId="1555E8BC">
            <w:pPr>
              <w:spacing w:before="248" w:line="228" w:lineRule="auto"/>
              <w:ind w:left="158"/>
              <w:rPr>
                <w:rFonts w:ascii="宋体" w:hAnsi="宋体" w:eastAsia="宋体" w:cs="宋体"/>
                <w:sz w:val="20"/>
                <w:szCs w:val="20"/>
              </w:rPr>
            </w:pPr>
            <w:r>
              <w:rPr>
                <w:rFonts w:ascii="宋体" w:hAnsi="宋体" w:eastAsia="宋体" w:cs="宋体"/>
                <w:b/>
                <w:bCs/>
                <w:spacing w:val="6"/>
                <w:sz w:val="20"/>
                <w:szCs w:val="20"/>
              </w:rPr>
              <w:t>产生工序</w:t>
            </w:r>
          </w:p>
        </w:tc>
        <w:tc>
          <w:tcPr>
            <w:tcW w:w="786" w:type="dxa"/>
            <w:vAlign w:val="top"/>
          </w:tcPr>
          <w:p w14:paraId="5E5077C3">
            <w:pPr>
              <w:spacing w:before="45" w:line="228" w:lineRule="auto"/>
              <w:ind w:left="192"/>
              <w:rPr>
                <w:rFonts w:ascii="宋体" w:hAnsi="宋体" w:eastAsia="宋体" w:cs="宋体"/>
                <w:sz w:val="20"/>
                <w:szCs w:val="20"/>
              </w:rPr>
            </w:pPr>
            <w:r>
              <w:rPr>
                <w:rFonts w:ascii="宋体" w:hAnsi="宋体" w:eastAsia="宋体" w:cs="宋体"/>
                <w:b/>
                <w:bCs/>
                <w:spacing w:val="2"/>
                <w:sz w:val="20"/>
                <w:szCs w:val="20"/>
              </w:rPr>
              <w:t>危险</w:t>
            </w:r>
          </w:p>
          <w:p w14:paraId="3BD7B65A">
            <w:pPr>
              <w:spacing w:before="160" w:line="228" w:lineRule="auto"/>
              <w:ind w:left="189"/>
              <w:rPr>
                <w:rFonts w:ascii="宋体" w:hAnsi="宋体" w:eastAsia="宋体" w:cs="宋体"/>
                <w:sz w:val="20"/>
                <w:szCs w:val="20"/>
              </w:rPr>
            </w:pPr>
            <w:r>
              <w:rPr>
                <w:rFonts w:ascii="宋体" w:hAnsi="宋体" w:eastAsia="宋体" w:cs="宋体"/>
                <w:b/>
                <w:bCs/>
                <w:spacing w:val="3"/>
                <w:sz w:val="20"/>
                <w:szCs w:val="20"/>
              </w:rPr>
              <w:t>特性</w:t>
            </w:r>
          </w:p>
        </w:tc>
        <w:tc>
          <w:tcPr>
            <w:tcW w:w="458" w:type="dxa"/>
            <w:textDirection w:val="tbRlV"/>
            <w:vAlign w:val="top"/>
          </w:tcPr>
          <w:p w14:paraId="3521203E">
            <w:pPr>
              <w:spacing w:before="118" w:line="218" w:lineRule="auto"/>
              <w:ind w:left="44"/>
              <w:rPr>
                <w:rFonts w:ascii="宋体" w:hAnsi="宋体" w:eastAsia="宋体" w:cs="宋体"/>
                <w:sz w:val="20"/>
                <w:szCs w:val="20"/>
              </w:rPr>
            </w:pPr>
            <w:r>
              <w:rPr>
                <w:rFonts w:ascii="宋体" w:hAnsi="宋体" w:eastAsia="宋体" w:cs="宋体"/>
                <w:b/>
                <w:bCs/>
                <w:spacing w:val="6"/>
                <w:sz w:val="20"/>
                <w:szCs w:val="20"/>
              </w:rPr>
              <w:t>形</w:t>
            </w:r>
            <w:r>
              <w:rPr>
                <w:rFonts w:ascii="宋体" w:hAnsi="宋体" w:eastAsia="宋体" w:cs="宋体"/>
                <w:spacing w:val="99"/>
                <w:sz w:val="20"/>
                <w:szCs w:val="20"/>
              </w:rPr>
              <w:t xml:space="preserve"> </w:t>
            </w:r>
            <w:r>
              <w:rPr>
                <w:rFonts w:ascii="宋体" w:hAnsi="宋体" w:eastAsia="宋体" w:cs="宋体"/>
                <w:b/>
                <w:bCs/>
                <w:spacing w:val="6"/>
                <w:sz w:val="20"/>
                <w:szCs w:val="20"/>
              </w:rPr>
              <w:t>态</w:t>
            </w:r>
          </w:p>
        </w:tc>
        <w:tc>
          <w:tcPr>
            <w:tcW w:w="1588" w:type="dxa"/>
            <w:vAlign w:val="top"/>
          </w:tcPr>
          <w:p w14:paraId="481C2511">
            <w:pPr>
              <w:spacing w:before="249" w:line="228" w:lineRule="auto"/>
              <w:ind w:left="173"/>
              <w:rPr>
                <w:rFonts w:ascii="宋体" w:hAnsi="宋体" w:eastAsia="宋体" w:cs="宋体"/>
                <w:sz w:val="20"/>
                <w:szCs w:val="20"/>
              </w:rPr>
            </w:pPr>
            <w:r>
              <w:rPr>
                <w:rFonts w:ascii="宋体" w:hAnsi="宋体" w:eastAsia="宋体" w:cs="宋体"/>
                <w:b/>
                <w:bCs/>
                <w:spacing w:val="6"/>
                <w:sz w:val="20"/>
                <w:szCs w:val="20"/>
              </w:rPr>
              <w:t>污染防治措施</w:t>
            </w:r>
          </w:p>
        </w:tc>
        <w:tc>
          <w:tcPr>
            <w:tcW w:w="126" w:type="dxa"/>
            <w:tcBorders>
              <w:top w:val="nil"/>
              <w:bottom w:val="nil"/>
              <w:right w:val="single" w:color="000000" w:sz="6" w:space="0"/>
            </w:tcBorders>
            <w:vAlign w:val="top"/>
          </w:tcPr>
          <w:p w14:paraId="1CC3F3FC">
            <w:pPr>
              <w:rPr>
                <w:rFonts w:ascii="Arial"/>
                <w:sz w:val="21"/>
              </w:rPr>
            </w:pPr>
          </w:p>
        </w:tc>
      </w:tr>
      <w:tr w14:paraId="7BB00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735" w:type="dxa"/>
            <w:vMerge w:val="continue"/>
            <w:tcBorders>
              <w:top w:val="nil"/>
              <w:left w:val="single" w:color="000000" w:sz="6" w:space="0"/>
              <w:bottom w:val="nil"/>
            </w:tcBorders>
            <w:vAlign w:val="top"/>
          </w:tcPr>
          <w:p w14:paraId="194B6909">
            <w:pPr>
              <w:rPr>
                <w:rFonts w:ascii="Arial"/>
                <w:sz w:val="21"/>
              </w:rPr>
            </w:pPr>
          </w:p>
        </w:tc>
        <w:tc>
          <w:tcPr>
            <w:tcW w:w="113" w:type="dxa"/>
            <w:tcBorders>
              <w:top w:val="nil"/>
              <w:bottom w:val="nil"/>
            </w:tcBorders>
            <w:vAlign w:val="top"/>
          </w:tcPr>
          <w:p w14:paraId="3582B5C8">
            <w:pPr>
              <w:rPr>
                <w:rFonts w:ascii="Arial"/>
                <w:sz w:val="21"/>
              </w:rPr>
            </w:pPr>
          </w:p>
        </w:tc>
        <w:tc>
          <w:tcPr>
            <w:tcW w:w="460" w:type="dxa"/>
            <w:vAlign w:val="top"/>
          </w:tcPr>
          <w:p w14:paraId="6E7B8839">
            <w:pPr>
              <w:spacing w:before="87" w:line="195" w:lineRule="auto"/>
              <w:ind w:left="192"/>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025" w:type="dxa"/>
            <w:vAlign w:val="top"/>
          </w:tcPr>
          <w:p w14:paraId="6536D0FE">
            <w:pPr>
              <w:spacing w:before="44" w:line="227" w:lineRule="auto"/>
              <w:ind w:left="195"/>
              <w:rPr>
                <w:rFonts w:ascii="宋体" w:hAnsi="宋体" w:eastAsia="宋体" w:cs="宋体"/>
                <w:sz w:val="20"/>
                <w:szCs w:val="20"/>
              </w:rPr>
            </w:pPr>
            <w:r>
              <w:rPr>
                <w:rFonts w:ascii="宋体" w:hAnsi="宋体" w:eastAsia="宋体" w:cs="宋体"/>
                <w:spacing w:val="7"/>
                <w:sz w:val="20"/>
                <w:szCs w:val="20"/>
              </w:rPr>
              <w:t>废机油</w:t>
            </w:r>
          </w:p>
        </w:tc>
        <w:tc>
          <w:tcPr>
            <w:tcW w:w="894" w:type="dxa"/>
            <w:vAlign w:val="top"/>
          </w:tcPr>
          <w:p w14:paraId="7386C0E1">
            <w:pPr>
              <w:spacing w:before="87" w:line="195" w:lineRule="auto"/>
              <w:ind w:left="162"/>
              <w:rPr>
                <w:rFonts w:ascii="Times New Roman" w:hAnsi="Times New Roman" w:eastAsia="Times New Roman" w:cs="Times New Roman"/>
                <w:sz w:val="20"/>
                <w:szCs w:val="20"/>
              </w:rPr>
            </w:pPr>
            <w:r>
              <w:rPr>
                <w:rFonts w:ascii="Times New Roman" w:hAnsi="Times New Roman" w:eastAsia="Times New Roman" w:cs="Times New Roman"/>
                <w:sz w:val="20"/>
                <w:szCs w:val="20"/>
              </w:rPr>
              <w:t>HW</w:t>
            </w:r>
            <w:r>
              <w:rPr>
                <w:rFonts w:ascii="Times New Roman" w:hAnsi="Times New Roman" w:eastAsia="Times New Roman" w:cs="Times New Roman"/>
                <w:spacing w:val="10"/>
                <w:sz w:val="20"/>
                <w:szCs w:val="20"/>
              </w:rPr>
              <w:t>08</w:t>
            </w:r>
          </w:p>
        </w:tc>
        <w:tc>
          <w:tcPr>
            <w:tcW w:w="1396" w:type="dxa"/>
            <w:vAlign w:val="top"/>
          </w:tcPr>
          <w:p w14:paraId="660D15B0">
            <w:pPr>
              <w:spacing w:before="87" w:line="195" w:lineRule="auto"/>
              <w:ind w:left="2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900-249-08</w:t>
            </w:r>
          </w:p>
        </w:tc>
        <w:tc>
          <w:tcPr>
            <w:tcW w:w="1055" w:type="dxa"/>
            <w:vAlign w:val="top"/>
          </w:tcPr>
          <w:p w14:paraId="03E3AEAB">
            <w:pPr>
              <w:spacing w:before="87"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1145" w:type="dxa"/>
            <w:vAlign w:val="top"/>
          </w:tcPr>
          <w:p w14:paraId="50B1EA28">
            <w:pPr>
              <w:spacing w:before="44" w:line="227" w:lineRule="auto"/>
              <w:ind w:left="157"/>
              <w:rPr>
                <w:rFonts w:ascii="宋体" w:hAnsi="宋体" w:eastAsia="宋体" w:cs="宋体"/>
                <w:sz w:val="20"/>
                <w:szCs w:val="20"/>
              </w:rPr>
            </w:pPr>
            <w:r>
              <w:rPr>
                <w:rFonts w:ascii="宋体" w:hAnsi="宋体" w:eastAsia="宋体" w:cs="宋体"/>
                <w:spacing w:val="7"/>
                <w:sz w:val="20"/>
                <w:szCs w:val="20"/>
              </w:rPr>
              <w:t>机械设备</w:t>
            </w:r>
          </w:p>
        </w:tc>
        <w:tc>
          <w:tcPr>
            <w:tcW w:w="786" w:type="dxa"/>
            <w:vAlign w:val="top"/>
          </w:tcPr>
          <w:p w14:paraId="6CBB055B">
            <w:pPr>
              <w:spacing w:before="84" w:line="183"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T</w:t>
            </w:r>
            <w:r>
              <w:rPr>
                <w:rFonts w:ascii="Times New Roman" w:hAnsi="Times New Roman" w:eastAsia="Times New Roman" w:cs="Times New Roman"/>
                <w:spacing w:val="-21"/>
                <w:sz w:val="20"/>
                <w:szCs w:val="20"/>
              </w:rPr>
              <w:t xml:space="preserve"> </w:t>
            </w:r>
            <w:r>
              <w:rPr>
                <w:rFonts w:ascii="宋体" w:hAnsi="宋体" w:eastAsia="宋体" w:cs="宋体"/>
                <w:spacing w:val="-5"/>
                <w:sz w:val="20"/>
                <w:szCs w:val="20"/>
              </w:rPr>
              <w:t>，</w:t>
            </w:r>
            <w:r>
              <w:rPr>
                <w:rFonts w:ascii="Times New Roman" w:hAnsi="Times New Roman" w:eastAsia="Times New Roman" w:cs="Times New Roman"/>
                <w:spacing w:val="-5"/>
                <w:sz w:val="20"/>
                <w:szCs w:val="20"/>
              </w:rPr>
              <w:t>I</w:t>
            </w:r>
          </w:p>
        </w:tc>
        <w:tc>
          <w:tcPr>
            <w:tcW w:w="458" w:type="dxa"/>
            <w:vAlign w:val="top"/>
          </w:tcPr>
          <w:p w14:paraId="0E5EE5AA">
            <w:pPr>
              <w:spacing w:before="44" w:line="228" w:lineRule="auto"/>
              <w:ind w:left="134"/>
              <w:rPr>
                <w:rFonts w:ascii="宋体" w:hAnsi="宋体" w:eastAsia="宋体" w:cs="宋体"/>
                <w:sz w:val="20"/>
                <w:szCs w:val="20"/>
              </w:rPr>
            </w:pPr>
            <w:r>
              <w:rPr>
                <w:rFonts w:ascii="宋体" w:hAnsi="宋体" w:eastAsia="宋体" w:cs="宋体"/>
                <w:sz w:val="20"/>
                <w:szCs w:val="20"/>
              </w:rPr>
              <w:t>液</w:t>
            </w:r>
          </w:p>
        </w:tc>
        <w:tc>
          <w:tcPr>
            <w:tcW w:w="1588" w:type="dxa"/>
            <w:vMerge w:val="restart"/>
            <w:tcBorders>
              <w:bottom w:val="nil"/>
            </w:tcBorders>
            <w:vAlign w:val="top"/>
          </w:tcPr>
          <w:p w14:paraId="26FE69A0">
            <w:pPr>
              <w:spacing w:before="48" w:line="376" w:lineRule="auto"/>
              <w:ind w:left="118" w:right="101" w:firstLine="64"/>
              <w:rPr>
                <w:rFonts w:ascii="宋体" w:hAnsi="宋体" w:eastAsia="宋体" w:cs="宋体"/>
                <w:sz w:val="20"/>
                <w:szCs w:val="20"/>
              </w:rPr>
            </w:pPr>
            <w:r>
              <w:rPr>
                <w:rFonts w:ascii="宋体" w:hAnsi="宋体" w:eastAsia="宋体" w:cs="宋体"/>
                <w:spacing w:val="7"/>
                <w:sz w:val="20"/>
                <w:szCs w:val="20"/>
              </w:rPr>
              <w:t>暂存于危废暂</w:t>
            </w:r>
            <w:r>
              <w:rPr>
                <w:rFonts w:ascii="宋体" w:hAnsi="宋体" w:eastAsia="宋体" w:cs="宋体"/>
                <w:spacing w:val="-6"/>
                <w:sz w:val="20"/>
                <w:szCs w:val="20"/>
              </w:rPr>
              <w:t>存间，委托有资</w:t>
            </w:r>
          </w:p>
        </w:tc>
        <w:tc>
          <w:tcPr>
            <w:tcW w:w="126" w:type="dxa"/>
            <w:tcBorders>
              <w:top w:val="nil"/>
              <w:bottom w:val="nil"/>
              <w:right w:val="single" w:color="000000" w:sz="6" w:space="0"/>
            </w:tcBorders>
            <w:vAlign w:val="top"/>
          </w:tcPr>
          <w:p w14:paraId="16B541AE">
            <w:pPr>
              <w:rPr>
                <w:rFonts w:ascii="Arial"/>
                <w:sz w:val="21"/>
              </w:rPr>
            </w:pPr>
          </w:p>
        </w:tc>
      </w:tr>
      <w:tr w14:paraId="47982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735" w:type="dxa"/>
            <w:vMerge w:val="continue"/>
            <w:tcBorders>
              <w:top w:val="nil"/>
              <w:left w:val="single" w:color="000000" w:sz="6" w:space="0"/>
              <w:bottom w:val="single" w:color="000000" w:sz="6" w:space="0"/>
            </w:tcBorders>
            <w:vAlign w:val="top"/>
          </w:tcPr>
          <w:p w14:paraId="4B5998FB">
            <w:pPr>
              <w:rPr>
                <w:rFonts w:ascii="Arial"/>
                <w:sz w:val="21"/>
              </w:rPr>
            </w:pPr>
          </w:p>
        </w:tc>
        <w:tc>
          <w:tcPr>
            <w:tcW w:w="113" w:type="dxa"/>
            <w:tcBorders>
              <w:top w:val="nil"/>
              <w:bottom w:val="single" w:color="000000" w:sz="6" w:space="0"/>
            </w:tcBorders>
            <w:vAlign w:val="top"/>
          </w:tcPr>
          <w:p w14:paraId="53B776E8">
            <w:pPr>
              <w:rPr>
                <w:rFonts w:ascii="Arial"/>
                <w:sz w:val="21"/>
              </w:rPr>
            </w:pPr>
          </w:p>
        </w:tc>
        <w:tc>
          <w:tcPr>
            <w:tcW w:w="460" w:type="dxa"/>
            <w:tcBorders>
              <w:bottom w:val="single" w:color="000000" w:sz="6" w:space="0"/>
            </w:tcBorders>
            <w:vAlign w:val="top"/>
          </w:tcPr>
          <w:p w14:paraId="6BA881E2">
            <w:pPr>
              <w:spacing w:before="89" w:line="195" w:lineRule="auto"/>
              <w:ind w:left="172"/>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025" w:type="dxa"/>
            <w:tcBorders>
              <w:bottom w:val="single" w:color="000000" w:sz="6" w:space="0"/>
            </w:tcBorders>
            <w:vAlign w:val="top"/>
          </w:tcPr>
          <w:p w14:paraId="627B5F8E">
            <w:pPr>
              <w:spacing w:before="48" w:line="228" w:lineRule="auto"/>
              <w:ind w:left="195"/>
              <w:rPr>
                <w:rFonts w:ascii="宋体" w:hAnsi="宋体" w:eastAsia="宋体" w:cs="宋体"/>
                <w:sz w:val="20"/>
                <w:szCs w:val="20"/>
              </w:rPr>
            </w:pPr>
            <w:r>
              <w:rPr>
                <w:rFonts w:ascii="宋体" w:hAnsi="宋体" w:eastAsia="宋体" w:cs="宋体"/>
                <w:spacing w:val="7"/>
                <w:sz w:val="20"/>
                <w:szCs w:val="20"/>
              </w:rPr>
              <w:t>废旧活</w:t>
            </w:r>
          </w:p>
        </w:tc>
        <w:tc>
          <w:tcPr>
            <w:tcW w:w="894" w:type="dxa"/>
            <w:tcBorders>
              <w:bottom w:val="single" w:color="000000" w:sz="6" w:space="0"/>
            </w:tcBorders>
            <w:vAlign w:val="top"/>
          </w:tcPr>
          <w:p w14:paraId="71EEC661">
            <w:pPr>
              <w:spacing w:before="89" w:line="195" w:lineRule="auto"/>
              <w:ind w:left="162"/>
              <w:rPr>
                <w:rFonts w:ascii="Times New Roman" w:hAnsi="Times New Roman" w:eastAsia="Times New Roman" w:cs="Times New Roman"/>
                <w:sz w:val="20"/>
                <w:szCs w:val="20"/>
              </w:rPr>
            </w:pPr>
            <w:r>
              <w:rPr>
                <w:rFonts w:ascii="Times New Roman" w:hAnsi="Times New Roman" w:eastAsia="Times New Roman" w:cs="Times New Roman"/>
                <w:sz w:val="20"/>
                <w:szCs w:val="20"/>
              </w:rPr>
              <w:t>HW</w:t>
            </w:r>
            <w:r>
              <w:rPr>
                <w:rFonts w:ascii="Times New Roman" w:hAnsi="Times New Roman" w:eastAsia="Times New Roman" w:cs="Times New Roman"/>
                <w:spacing w:val="10"/>
                <w:sz w:val="20"/>
                <w:szCs w:val="20"/>
              </w:rPr>
              <w:t>49</w:t>
            </w:r>
          </w:p>
        </w:tc>
        <w:tc>
          <w:tcPr>
            <w:tcW w:w="1396" w:type="dxa"/>
            <w:tcBorders>
              <w:bottom w:val="single" w:color="000000" w:sz="6" w:space="0"/>
            </w:tcBorders>
            <w:vAlign w:val="top"/>
          </w:tcPr>
          <w:p w14:paraId="1210E23F">
            <w:pPr>
              <w:spacing w:before="89" w:line="195" w:lineRule="auto"/>
              <w:ind w:left="2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900-039-49</w:t>
            </w:r>
          </w:p>
        </w:tc>
        <w:tc>
          <w:tcPr>
            <w:tcW w:w="1055" w:type="dxa"/>
            <w:tcBorders>
              <w:bottom w:val="single" w:color="000000" w:sz="6" w:space="0"/>
            </w:tcBorders>
            <w:vAlign w:val="top"/>
          </w:tcPr>
          <w:p w14:paraId="3B8785A5">
            <w:pPr>
              <w:spacing w:before="89" w:line="195" w:lineRule="auto"/>
              <w:ind w:left="260"/>
              <w:rPr>
                <w:rFonts w:ascii="Times New Roman" w:hAnsi="Times New Roman" w:eastAsia="Times New Roman" w:cs="Times New Roman"/>
                <w:sz w:val="20"/>
                <w:szCs w:val="20"/>
              </w:rPr>
            </w:pPr>
            <w:r>
              <w:rPr>
                <w:rFonts w:ascii="Times New Roman" w:hAnsi="Times New Roman" w:eastAsia="Times New Roman" w:cs="Times New Roman"/>
                <w:sz w:val="20"/>
                <w:szCs w:val="20"/>
              </w:rPr>
              <w:t>16.146</w:t>
            </w:r>
          </w:p>
        </w:tc>
        <w:tc>
          <w:tcPr>
            <w:tcW w:w="1145" w:type="dxa"/>
            <w:tcBorders>
              <w:bottom w:val="single" w:color="000000" w:sz="6" w:space="0"/>
            </w:tcBorders>
            <w:vAlign w:val="top"/>
          </w:tcPr>
          <w:p w14:paraId="6E7CAB2A">
            <w:pPr>
              <w:spacing w:before="48" w:line="228" w:lineRule="auto"/>
              <w:ind w:left="161"/>
              <w:rPr>
                <w:rFonts w:ascii="宋体" w:hAnsi="宋体" w:eastAsia="宋体" w:cs="宋体"/>
                <w:sz w:val="20"/>
                <w:szCs w:val="20"/>
              </w:rPr>
            </w:pPr>
            <w:r>
              <w:rPr>
                <w:rFonts w:ascii="宋体" w:hAnsi="宋体" w:eastAsia="宋体" w:cs="宋体"/>
                <w:spacing w:val="6"/>
                <w:sz w:val="20"/>
                <w:szCs w:val="20"/>
              </w:rPr>
              <w:t>活性炭吸</w:t>
            </w:r>
          </w:p>
        </w:tc>
        <w:tc>
          <w:tcPr>
            <w:tcW w:w="786" w:type="dxa"/>
            <w:tcBorders>
              <w:bottom w:val="single" w:color="000000" w:sz="6" w:space="0"/>
            </w:tcBorders>
            <w:vAlign w:val="top"/>
          </w:tcPr>
          <w:p w14:paraId="04D92B87">
            <w:pPr>
              <w:spacing w:before="92" w:line="192" w:lineRule="auto"/>
              <w:ind w:left="336"/>
              <w:rPr>
                <w:rFonts w:ascii="Times New Roman" w:hAnsi="Times New Roman" w:eastAsia="Times New Roman" w:cs="Times New Roman"/>
                <w:sz w:val="20"/>
                <w:szCs w:val="20"/>
              </w:rPr>
            </w:pPr>
            <w:r>
              <w:rPr>
                <w:rFonts w:ascii="Times New Roman" w:hAnsi="Times New Roman" w:eastAsia="Times New Roman" w:cs="Times New Roman"/>
                <w:sz w:val="20"/>
                <w:szCs w:val="20"/>
              </w:rPr>
              <w:t>T</w:t>
            </w:r>
          </w:p>
        </w:tc>
        <w:tc>
          <w:tcPr>
            <w:tcW w:w="458" w:type="dxa"/>
            <w:tcBorders>
              <w:bottom w:val="single" w:color="000000" w:sz="6" w:space="0"/>
            </w:tcBorders>
            <w:vAlign w:val="top"/>
          </w:tcPr>
          <w:p w14:paraId="35E24A92">
            <w:pPr>
              <w:spacing w:before="48" w:line="228" w:lineRule="auto"/>
              <w:ind w:left="151"/>
              <w:rPr>
                <w:rFonts w:ascii="宋体" w:hAnsi="宋体" w:eastAsia="宋体" w:cs="宋体"/>
                <w:sz w:val="20"/>
                <w:szCs w:val="20"/>
              </w:rPr>
            </w:pPr>
            <w:r>
              <w:rPr>
                <w:rFonts w:ascii="宋体" w:hAnsi="宋体" w:eastAsia="宋体" w:cs="宋体"/>
                <w:sz w:val="20"/>
                <w:szCs w:val="20"/>
              </w:rPr>
              <w:t>固</w:t>
            </w:r>
          </w:p>
        </w:tc>
        <w:tc>
          <w:tcPr>
            <w:tcW w:w="1588" w:type="dxa"/>
            <w:vMerge w:val="continue"/>
            <w:tcBorders>
              <w:top w:val="nil"/>
              <w:bottom w:val="single" w:color="000000" w:sz="6" w:space="0"/>
            </w:tcBorders>
            <w:vAlign w:val="top"/>
          </w:tcPr>
          <w:p w14:paraId="6E790B22">
            <w:pPr>
              <w:rPr>
                <w:rFonts w:ascii="Arial"/>
                <w:sz w:val="21"/>
              </w:rPr>
            </w:pPr>
          </w:p>
        </w:tc>
        <w:tc>
          <w:tcPr>
            <w:tcW w:w="126" w:type="dxa"/>
            <w:tcBorders>
              <w:top w:val="nil"/>
              <w:bottom w:val="single" w:color="000000" w:sz="6" w:space="0"/>
              <w:right w:val="single" w:color="000000" w:sz="6" w:space="0"/>
            </w:tcBorders>
            <w:vAlign w:val="top"/>
          </w:tcPr>
          <w:p w14:paraId="5CE7307F">
            <w:pPr>
              <w:rPr>
                <w:rFonts w:ascii="Arial"/>
                <w:sz w:val="21"/>
              </w:rPr>
            </w:pPr>
          </w:p>
        </w:tc>
      </w:tr>
    </w:tbl>
    <w:p w14:paraId="4C783F07">
      <w:pPr>
        <w:pStyle w:val="2"/>
      </w:pPr>
    </w:p>
    <w:p w14:paraId="20A11A8D">
      <w:pPr>
        <w:sectPr>
          <w:footerReference r:id="rId103" w:type="default"/>
          <w:pgSz w:w="11906" w:h="16839"/>
          <w:pgMar w:top="400" w:right="1055" w:bottom="1085" w:left="1054" w:header="0" w:footer="762" w:gutter="0"/>
          <w:cols w:space="720" w:num="1"/>
        </w:sectPr>
      </w:pPr>
    </w:p>
    <w:p w14:paraId="6E76BD9B">
      <w:pPr>
        <w:spacing w:before="19"/>
      </w:pPr>
    </w:p>
    <w:p w14:paraId="1D807F6A">
      <w:pPr>
        <w:spacing w:before="19"/>
      </w:pPr>
    </w:p>
    <w:p w14:paraId="7CD6B6E3">
      <w:pPr>
        <w:spacing w:before="19"/>
      </w:pPr>
    </w:p>
    <w:p w14:paraId="75D4CE63">
      <w:pPr>
        <w:spacing w:before="18"/>
      </w:pPr>
    </w:p>
    <w:p w14:paraId="0B800386">
      <w:pPr>
        <w:spacing w:before="18"/>
      </w:pPr>
    </w:p>
    <w:tbl>
      <w:tblPr>
        <w:tblStyle w:val="10"/>
        <w:tblW w:w="978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5"/>
        <w:gridCol w:w="113"/>
        <w:gridCol w:w="460"/>
        <w:gridCol w:w="1025"/>
        <w:gridCol w:w="894"/>
        <w:gridCol w:w="1396"/>
        <w:gridCol w:w="1055"/>
        <w:gridCol w:w="1145"/>
        <w:gridCol w:w="786"/>
        <w:gridCol w:w="458"/>
        <w:gridCol w:w="1588"/>
        <w:gridCol w:w="126"/>
      </w:tblGrid>
      <w:tr w14:paraId="65C16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36" w:hRule="atLeast"/>
        </w:trPr>
        <w:tc>
          <w:tcPr>
            <w:tcW w:w="735" w:type="dxa"/>
            <w:vMerge w:val="restart"/>
            <w:tcBorders>
              <w:top w:val="single" w:color="000000" w:sz="6" w:space="0"/>
              <w:left w:val="single" w:color="000000" w:sz="6" w:space="0"/>
              <w:bottom w:val="nil"/>
            </w:tcBorders>
            <w:vAlign w:val="top"/>
          </w:tcPr>
          <w:p w14:paraId="100624AA">
            <w:pPr>
              <w:rPr>
                <w:rFonts w:ascii="Arial"/>
                <w:sz w:val="21"/>
              </w:rPr>
            </w:pPr>
          </w:p>
        </w:tc>
        <w:tc>
          <w:tcPr>
            <w:tcW w:w="113" w:type="dxa"/>
            <w:tcBorders>
              <w:top w:val="single" w:color="000000" w:sz="6" w:space="0"/>
              <w:bottom w:val="nil"/>
            </w:tcBorders>
            <w:vAlign w:val="top"/>
          </w:tcPr>
          <w:p w14:paraId="3E399EF6">
            <w:pPr>
              <w:rPr>
                <w:rFonts w:ascii="Arial"/>
                <w:sz w:val="21"/>
              </w:rPr>
            </w:pPr>
          </w:p>
        </w:tc>
        <w:tc>
          <w:tcPr>
            <w:tcW w:w="460" w:type="dxa"/>
            <w:vAlign w:val="top"/>
          </w:tcPr>
          <w:p w14:paraId="64BFE14A">
            <w:pPr>
              <w:rPr>
                <w:rFonts w:ascii="Arial"/>
                <w:sz w:val="21"/>
              </w:rPr>
            </w:pPr>
          </w:p>
        </w:tc>
        <w:tc>
          <w:tcPr>
            <w:tcW w:w="1025" w:type="dxa"/>
            <w:vAlign w:val="top"/>
          </w:tcPr>
          <w:p w14:paraId="173A47F5">
            <w:pPr>
              <w:spacing w:before="47" w:line="229" w:lineRule="auto"/>
              <w:ind w:left="304"/>
              <w:rPr>
                <w:rFonts w:ascii="宋体" w:hAnsi="宋体" w:eastAsia="宋体" w:cs="宋体"/>
                <w:sz w:val="20"/>
                <w:szCs w:val="20"/>
              </w:rPr>
            </w:pPr>
            <w:r>
              <w:rPr>
                <w:rFonts w:ascii="宋体" w:hAnsi="宋体" w:eastAsia="宋体" w:cs="宋体"/>
                <w:spacing w:val="3"/>
                <w:sz w:val="20"/>
                <w:szCs w:val="20"/>
              </w:rPr>
              <w:t>性炭</w:t>
            </w:r>
          </w:p>
        </w:tc>
        <w:tc>
          <w:tcPr>
            <w:tcW w:w="894" w:type="dxa"/>
            <w:vAlign w:val="top"/>
          </w:tcPr>
          <w:p w14:paraId="64ED3F3C">
            <w:pPr>
              <w:rPr>
                <w:rFonts w:ascii="Arial"/>
                <w:sz w:val="21"/>
              </w:rPr>
            </w:pPr>
          </w:p>
        </w:tc>
        <w:tc>
          <w:tcPr>
            <w:tcW w:w="1396" w:type="dxa"/>
            <w:vAlign w:val="top"/>
          </w:tcPr>
          <w:p w14:paraId="19F4E878">
            <w:pPr>
              <w:rPr>
                <w:rFonts w:ascii="Arial"/>
                <w:sz w:val="21"/>
              </w:rPr>
            </w:pPr>
          </w:p>
        </w:tc>
        <w:tc>
          <w:tcPr>
            <w:tcW w:w="1055" w:type="dxa"/>
            <w:vAlign w:val="top"/>
          </w:tcPr>
          <w:p w14:paraId="6055C784">
            <w:pPr>
              <w:rPr>
                <w:rFonts w:ascii="Arial"/>
                <w:sz w:val="21"/>
              </w:rPr>
            </w:pPr>
          </w:p>
        </w:tc>
        <w:tc>
          <w:tcPr>
            <w:tcW w:w="1145" w:type="dxa"/>
            <w:vAlign w:val="top"/>
          </w:tcPr>
          <w:p w14:paraId="7F7E29A6">
            <w:pPr>
              <w:spacing w:before="46" w:line="227" w:lineRule="auto"/>
              <w:ind w:left="280"/>
              <w:rPr>
                <w:rFonts w:ascii="宋体" w:hAnsi="宋体" w:eastAsia="宋体" w:cs="宋体"/>
                <w:sz w:val="20"/>
                <w:szCs w:val="20"/>
              </w:rPr>
            </w:pPr>
            <w:r>
              <w:rPr>
                <w:rFonts w:ascii="宋体" w:hAnsi="宋体" w:eastAsia="宋体" w:cs="宋体"/>
                <w:spacing w:val="1"/>
                <w:sz w:val="20"/>
                <w:szCs w:val="20"/>
              </w:rPr>
              <w:t>附装置</w:t>
            </w:r>
          </w:p>
        </w:tc>
        <w:tc>
          <w:tcPr>
            <w:tcW w:w="786" w:type="dxa"/>
            <w:vAlign w:val="top"/>
          </w:tcPr>
          <w:p w14:paraId="25C126FA">
            <w:pPr>
              <w:rPr>
                <w:rFonts w:ascii="Arial"/>
                <w:sz w:val="21"/>
              </w:rPr>
            </w:pPr>
          </w:p>
        </w:tc>
        <w:tc>
          <w:tcPr>
            <w:tcW w:w="458" w:type="dxa"/>
            <w:vAlign w:val="top"/>
          </w:tcPr>
          <w:p w14:paraId="161FCC5B">
            <w:pPr>
              <w:rPr>
                <w:rFonts w:ascii="Arial"/>
                <w:sz w:val="21"/>
              </w:rPr>
            </w:pPr>
          </w:p>
        </w:tc>
        <w:tc>
          <w:tcPr>
            <w:tcW w:w="1588" w:type="dxa"/>
            <w:vAlign w:val="top"/>
          </w:tcPr>
          <w:p w14:paraId="68473084">
            <w:pPr>
              <w:spacing w:before="45" w:line="360" w:lineRule="auto"/>
              <w:ind w:left="490" w:right="156" w:hanging="313"/>
              <w:rPr>
                <w:rFonts w:ascii="宋体" w:hAnsi="宋体" w:eastAsia="宋体" w:cs="宋体"/>
                <w:sz w:val="20"/>
                <w:szCs w:val="20"/>
              </w:rPr>
            </w:pPr>
            <w:r>
              <w:rPr>
                <w:rFonts w:ascii="宋体" w:hAnsi="宋体" w:eastAsia="宋体" w:cs="宋体"/>
                <w:spacing w:val="8"/>
                <w:sz w:val="20"/>
                <w:szCs w:val="20"/>
              </w:rPr>
              <w:t>质单位定期清</w:t>
            </w:r>
            <w:r>
              <w:rPr>
                <w:rFonts w:ascii="宋体" w:hAnsi="宋体" w:eastAsia="宋体" w:cs="宋体"/>
                <w:spacing w:val="6"/>
                <w:sz w:val="20"/>
                <w:szCs w:val="20"/>
              </w:rPr>
              <w:t>运处置</w:t>
            </w:r>
          </w:p>
        </w:tc>
        <w:tc>
          <w:tcPr>
            <w:tcW w:w="126" w:type="dxa"/>
            <w:tcBorders>
              <w:top w:val="single" w:color="000000" w:sz="6" w:space="0"/>
              <w:bottom w:val="nil"/>
              <w:right w:val="single" w:color="000000" w:sz="6" w:space="0"/>
            </w:tcBorders>
            <w:vAlign w:val="top"/>
          </w:tcPr>
          <w:p w14:paraId="0F959E2A">
            <w:pPr>
              <w:rPr>
                <w:rFonts w:ascii="Arial"/>
                <w:sz w:val="21"/>
              </w:rPr>
            </w:pPr>
          </w:p>
        </w:tc>
      </w:tr>
      <w:tr w14:paraId="63217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65" w:hRule="atLeast"/>
        </w:trPr>
        <w:tc>
          <w:tcPr>
            <w:tcW w:w="735" w:type="dxa"/>
            <w:vMerge w:val="continue"/>
            <w:tcBorders>
              <w:top w:val="nil"/>
              <w:left w:val="single" w:color="000000" w:sz="6" w:space="0"/>
              <w:bottom w:val="single" w:color="000000" w:sz="6" w:space="0"/>
            </w:tcBorders>
            <w:vAlign w:val="top"/>
          </w:tcPr>
          <w:p w14:paraId="1DD303D0">
            <w:pPr>
              <w:rPr>
                <w:rFonts w:ascii="Arial"/>
                <w:sz w:val="21"/>
              </w:rPr>
            </w:pPr>
          </w:p>
        </w:tc>
        <w:tc>
          <w:tcPr>
            <w:tcW w:w="9046" w:type="dxa"/>
            <w:gridSpan w:val="11"/>
            <w:tcBorders>
              <w:bottom w:val="single" w:color="000000" w:sz="6" w:space="0"/>
              <w:right w:val="single" w:color="000000" w:sz="6" w:space="0"/>
            </w:tcBorders>
            <w:vAlign w:val="top"/>
          </w:tcPr>
          <w:p w14:paraId="6240C98E">
            <w:pPr>
              <w:spacing w:before="31" w:line="223" w:lineRule="auto"/>
              <w:ind w:left="2671"/>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24"/>
                <w:sz w:val="20"/>
                <w:szCs w:val="20"/>
              </w:rPr>
              <w:t xml:space="preserve"> </w:t>
            </w:r>
            <w:r>
              <w:rPr>
                <w:rFonts w:ascii="Times New Roman" w:hAnsi="Times New Roman" w:eastAsia="Times New Roman" w:cs="Times New Roman"/>
                <w:b/>
                <w:bCs/>
                <w:spacing w:val="5"/>
                <w:sz w:val="20"/>
                <w:szCs w:val="20"/>
              </w:rPr>
              <w:t xml:space="preserve">4-15      </w:t>
            </w:r>
            <w:r>
              <w:rPr>
                <w:rFonts w:ascii="宋体" w:hAnsi="宋体" w:eastAsia="宋体" w:cs="宋体"/>
                <w:b/>
                <w:bCs/>
                <w:spacing w:val="5"/>
                <w:sz w:val="20"/>
                <w:szCs w:val="20"/>
              </w:rPr>
              <w:t>危险废物贮存场所基本信息表</w:t>
            </w:r>
          </w:p>
          <w:tbl>
            <w:tblPr>
              <w:tblStyle w:val="10"/>
              <w:tblW w:w="8829" w:type="dxa"/>
              <w:tblInd w:w="10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1407"/>
              <w:gridCol w:w="1744"/>
              <w:gridCol w:w="1424"/>
              <w:gridCol w:w="814"/>
              <w:gridCol w:w="1797"/>
              <w:gridCol w:w="784"/>
            </w:tblGrid>
            <w:tr w14:paraId="316E1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859" w:type="dxa"/>
                  <w:vAlign w:val="top"/>
                </w:tcPr>
                <w:p w14:paraId="6D8721F2">
                  <w:pPr>
                    <w:spacing w:before="37" w:line="359" w:lineRule="auto"/>
                    <w:ind w:left="329" w:right="112" w:hanging="210"/>
                    <w:rPr>
                      <w:rFonts w:ascii="宋体" w:hAnsi="宋体" w:eastAsia="宋体" w:cs="宋体"/>
                      <w:sz w:val="20"/>
                      <w:szCs w:val="20"/>
                    </w:rPr>
                  </w:pPr>
                  <w:r>
                    <w:rPr>
                      <w:rFonts w:ascii="宋体" w:hAnsi="宋体" w:eastAsia="宋体" w:cs="宋体"/>
                      <w:b/>
                      <w:bCs/>
                      <w:spacing w:val="5"/>
                      <w:sz w:val="20"/>
                      <w:szCs w:val="20"/>
                    </w:rPr>
                    <w:t>贮存场</w:t>
                  </w:r>
                  <w:r>
                    <w:rPr>
                      <w:rFonts w:ascii="宋体" w:hAnsi="宋体" w:eastAsia="宋体" w:cs="宋体"/>
                      <w:b/>
                      <w:bCs/>
                      <w:spacing w:val="-2"/>
                      <w:sz w:val="20"/>
                      <w:szCs w:val="20"/>
                    </w:rPr>
                    <w:t>所</w:t>
                  </w:r>
                </w:p>
              </w:tc>
              <w:tc>
                <w:tcPr>
                  <w:tcW w:w="1407" w:type="dxa"/>
                  <w:vAlign w:val="top"/>
                </w:tcPr>
                <w:p w14:paraId="58BF12CE">
                  <w:pPr>
                    <w:spacing w:before="37" w:line="359" w:lineRule="auto"/>
                    <w:ind w:left="599" w:right="177" w:hanging="416"/>
                    <w:rPr>
                      <w:rFonts w:ascii="宋体" w:hAnsi="宋体" w:eastAsia="宋体" w:cs="宋体"/>
                      <w:sz w:val="20"/>
                      <w:szCs w:val="20"/>
                    </w:rPr>
                  </w:pPr>
                  <w:r>
                    <w:rPr>
                      <w:rFonts w:ascii="宋体" w:hAnsi="宋体" w:eastAsia="宋体" w:cs="宋体"/>
                      <w:b/>
                      <w:bCs/>
                      <w:spacing w:val="6"/>
                      <w:sz w:val="20"/>
                      <w:szCs w:val="20"/>
                    </w:rPr>
                    <w:t>危险废物名</w:t>
                  </w:r>
                  <w:r>
                    <w:rPr>
                      <w:rFonts w:ascii="宋体" w:hAnsi="宋体" w:eastAsia="宋体" w:cs="宋体"/>
                      <w:b/>
                      <w:bCs/>
                      <w:spacing w:val="-1"/>
                      <w:sz w:val="20"/>
                      <w:szCs w:val="20"/>
                    </w:rPr>
                    <w:t>称</w:t>
                  </w:r>
                </w:p>
              </w:tc>
              <w:tc>
                <w:tcPr>
                  <w:tcW w:w="1744" w:type="dxa"/>
                  <w:vAlign w:val="top"/>
                </w:tcPr>
                <w:p w14:paraId="6704A1CC">
                  <w:pPr>
                    <w:spacing w:before="240" w:line="228" w:lineRule="auto"/>
                    <w:ind w:left="459"/>
                    <w:rPr>
                      <w:rFonts w:ascii="宋体" w:hAnsi="宋体" w:eastAsia="宋体" w:cs="宋体"/>
                      <w:sz w:val="20"/>
                      <w:szCs w:val="20"/>
                    </w:rPr>
                  </w:pPr>
                  <w:r>
                    <w:rPr>
                      <w:rFonts w:ascii="宋体" w:hAnsi="宋体" w:eastAsia="宋体" w:cs="宋体"/>
                      <w:b/>
                      <w:bCs/>
                      <w:spacing w:val="5"/>
                      <w:sz w:val="20"/>
                      <w:szCs w:val="20"/>
                    </w:rPr>
                    <w:t>危废类别</w:t>
                  </w:r>
                </w:p>
              </w:tc>
              <w:tc>
                <w:tcPr>
                  <w:tcW w:w="1424" w:type="dxa"/>
                  <w:vAlign w:val="top"/>
                </w:tcPr>
                <w:p w14:paraId="60DF0F1C">
                  <w:pPr>
                    <w:spacing w:before="240" w:line="228" w:lineRule="auto"/>
                    <w:ind w:left="299"/>
                    <w:rPr>
                      <w:rFonts w:ascii="宋体" w:hAnsi="宋体" w:eastAsia="宋体" w:cs="宋体"/>
                      <w:sz w:val="20"/>
                      <w:szCs w:val="20"/>
                    </w:rPr>
                  </w:pPr>
                  <w:r>
                    <w:rPr>
                      <w:rFonts w:ascii="宋体" w:hAnsi="宋体" w:eastAsia="宋体" w:cs="宋体"/>
                      <w:b/>
                      <w:bCs/>
                      <w:spacing w:val="5"/>
                      <w:sz w:val="20"/>
                      <w:szCs w:val="20"/>
                    </w:rPr>
                    <w:t>危废代码</w:t>
                  </w:r>
                </w:p>
              </w:tc>
              <w:tc>
                <w:tcPr>
                  <w:tcW w:w="814" w:type="dxa"/>
                  <w:vAlign w:val="top"/>
                </w:tcPr>
                <w:p w14:paraId="607DC0E0">
                  <w:pPr>
                    <w:spacing w:before="36" w:line="229" w:lineRule="auto"/>
                    <w:ind w:left="236"/>
                    <w:rPr>
                      <w:rFonts w:ascii="宋体" w:hAnsi="宋体" w:eastAsia="宋体" w:cs="宋体"/>
                      <w:sz w:val="20"/>
                      <w:szCs w:val="20"/>
                    </w:rPr>
                  </w:pPr>
                  <w:r>
                    <w:rPr>
                      <w:rFonts w:ascii="宋体" w:hAnsi="宋体" w:eastAsia="宋体" w:cs="宋体"/>
                      <w:b/>
                      <w:bCs/>
                      <w:spacing w:val="-14"/>
                      <w:sz w:val="20"/>
                      <w:szCs w:val="20"/>
                    </w:rPr>
                    <w:t>占地</w:t>
                  </w:r>
                </w:p>
                <w:p w14:paraId="305FB486">
                  <w:pPr>
                    <w:spacing w:before="160" w:line="228" w:lineRule="auto"/>
                    <w:ind w:left="202"/>
                    <w:rPr>
                      <w:rFonts w:ascii="宋体" w:hAnsi="宋体" w:eastAsia="宋体" w:cs="宋体"/>
                      <w:sz w:val="20"/>
                      <w:szCs w:val="20"/>
                    </w:rPr>
                  </w:pPr>
                  <w:r>
                    <w:rPr>
                      <w:rFonts w:ascii="宋体" w:hAnsi="宋体" w:eastAsia="宋体" w:cs="宋体"/>
                      <w:b/>
                      <w:bCs/>
                      <w:spacing w:val="3"/>
                      <w:sz w:val="20"/>
                      <w:szCs w:val="20"/>
                    </w:rPr>
                    <w:t>面积</w:t>
                  </w:r>
                </w:p>
              </w:tc>
              <w:tc>
                <w:tcPr>
                  <w:tcW w:w="1797" w:type="dxa"/>
                  <w:vAlign w:val="top"/>
                </w:tcPr>
                <w:p w14:paraId="10949519">
                  <w:pPr>
                    <w:spacing w:before="240" w:line="228" w:lineRule="auto"/>
                    <w:ind w:left="485"/>
                    <w:rPr>
                      <w:rFonts w:ascii="宋体" w:hAnsi="宋体" w:eastAsia="宋体" w:cs="宋体"/>
                      <w:sz w:val="20"/>
                      <w:szCs w:val="20"/>
                    </w:rPr>
                  </w:pPr>
                  <w:r>
                    <w:rPr>
                      <w:rFonts w:ascii="宋体" w:hAnsi="宋体" w:eastAsia="宋体" w:cs="宋体"/>
                      <w:b/>
                      <w:bCs/>
                      <w:spacing w:val="6"/>
                      <w:sz w:val="20"/>
                      <w:szCs w:val="20"/>
                    </w:rPr>
                    <w:t>贮存方式</w:t>
                  </w:r>
                </w:p>
              </w:tc>
              <w:tc>
                <w:tcPr>
                  <w:tcW w:w="784" w:type="dxa"/>
                  <w:vAlign w:val="top"/>
                </w:tcPr>
                <w:p w14:paraId="1DF937C6">
                  <w:pPr>
                    <w:spacing w:before="36" w:line="228" w:lineRule="auto"/>
                    <w:ind w:left="188"/>
                    <w:rPr>
                      <w:rFonts w:ascii="宋体" w:hAnsi="宋体" w:eastAsia="宋体" w:cs="宋体"/>
                      <w:sz w:val="20"/>
                      <w:szCs w:val="20"/>
                    </w:rPr>
                  </w:pPr>
                  <w:r>
                    <w:rPr>
                      <w:rFonts w:ascii="宋体" w:hAnsi="宋体" w:eastAsia="宋体" w:cs="宋体"/>
                      <w:b/>
                      <w:bCs/>
                      <w:spacing w:val="3"/>
                      <w:sz w:val="20"/>
                      <w:szCs w:val="20"/>
                    </w:rPr>
                    <w:t>贮存</w:t>
                  </w:r>
                </w:p>
                <w:p w14:paraId="565014C9">
                  <w:pPr>
                    <w:spacing w:before="161" w:line="228" w:lineRule="auto"/>
                    <w:ind w:left="188"/>
                    <w:rPr>
                      <w:rFonts w:ascii="宋体" w:hAnsi="宋体" w:eastAsia="宋体" w:cs="宋体"/>
                      <w:sz w:val="20"/>
                      <w:szCs w:val="20"/>
                    </w:rPr>
                  </w:pPr>
                  <w:r>
                    <w:rPr>
                      <w:rFonts w:ascii="宋体" w:hAnsi="宋体" w:eastAsia="宋体" w:cs="宋体"/>
                      <w:b/>
                      <w:bCs/>
                      <w:spacing w:val="3"/>
                      <w:sz w:val="20"/>
                      <w:szCs w:val="20"/>
                    </w:rPr>
                    <w:t>周期</w:t>
                  </w:r>
                </w:p>
              </w:tc>
            </w:tr>
            <w:tr w14:paraId="5C475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859" w:type="dxa"/>
                  <w:vMerge w:val="restart"/>
                  <w:tcBorders>
                    <w:bottom w:val="nil"/>
                  </w:tcBorders>
                  <w:vAlign w:val="top"/>
                </w:tcPr>
                <w:p w14:paraId="7BA7AE59">
                  <w:pPr>
                    <w:spacing w:line="377" w:lineRule="auto"/>
                    <w:rPr>
                      <w:rFonts w:ascii="Arial"/>
                      <w:sz w:val="21"/>
                    </w:rPr>
                  </w:pPr>
                </w:p>
                <w:p w14:paraId="42AE0784">
                  <w:pPr>
                    <w:spacing w:before="65" w:line="378" w:lineRule="auto"/>
                    <w:ind w:left="222" w:right="112" w:hanging="99"/>
                    <w:rPr>
                      <w:rFonts w:ascii="宋体" w:hAnsi="宋体" w:eastAsia="宋体" w:cs="宋体"/>
                      <w:sz w:val="20"/>
                      <w:szCs w:val="20"/>
                    </w:rPr>
                  </w:pPr>
                  <w:r>
                    <w:rPr>
                      <w:rFonts w:ascii="宋体" w:hAnsi="宋体" w:eastAsia="宋体" w:cs="宋体"/>
                      <w:spacing w:val="6"/>
                      <w:sz w:val="20"/>
                      <w:szCs w:val="20"/>
                    </w:rPr>
                    <w:t>危废暂</w:t>
                  </w:r>
                  <w:r>
                    <w:rPr>
                      <w:rFonts w:ascii="宋体" w:hAnsi="宋体" w:eastAsia="宋体" w:cs="宋体"/>
                      <w:spacing w:val="5"/>
                      <w:sz w:val="20"/>
                      <w:szCs w:val="20"/>
                    </w:rPr>
                    <w:t>存间</w:t>
                  </w:r>
                </w:p>
              </w:tc>
              <w:tc>
                <w:tcPr>
                  <w:tcW w:w="1407" w:type="dxa"/>
                  <w:vAlign w:val="top"/>
                </w:tcPr>
                <w:p w14:paraId="25ABB60D">
                  <w:pPr>
                    <w:spacing w:before="236" w:line="227" w:lineRule="auto"/>
                    <w:ind w:left="391"/>
                    <w:rPr>
                      <w:rFonts w:ascii="宋体" w:hAnsi="宋体" w:eastAsia="宋体" w:cs="宋体"/>
                      <w:sz w:val="20"/>
                      <w:szCs w:val="20"/>
                    </w:rPr>
                  </w:pPr>
                  <w:r>
                    <w:rPr>
                      <w:rFonts w:ascii="宋体" w:hAnsi="宋体" w:eastAsia="宋体" w:cs="宋体"/>
                      <w:spacing w:val="7"/>
                      <w:sz w:val="20"/>
                      <w:szCs w:val="20"/>
                    </w:rPr>
                    <w:t>废机油</w:t>
                  </w:r>
                </w:p>
              </w:tc>
              <w:tc>
                <w:tcPr>
                  <w:tcW w:w="1744" w:type="dxa"/>
                  <w:vAlign w:val="top"/>
                </w:tcPr>
                <w:p w14:paraId="0E99C1AB">
                  <w:pPr>
                    <w:spacing w:before="32" w:line="359" w:lineRule="auto"/>
                    <w:ind w:left="141" w:right="136" w:firstLine="5"/>
                    <w:rPr>
                      <w:rFonts w:ascii="宋体" w:hAnsi="宋体" w:eastAsia="宋体" w:cs="宋体"/>
                      <w:sz w:val="20"/>
                      <w:szCs w:val="20"/>
                    </w:rPr>
                  </w:pPr>
                  <w:r>
                    <w:rPr>
                      <w:rFonts w:ascii="Times New Roman" w:hAnsi="Times New Roman" w:eastAsia="Times New Roman" w:cs="Times New Roman"/>
                      <w:sz w:val="20"/>
                      <w:szCs w:val="20"/>
                    </w:rPr>
                    <w:t>HW</w:t>
                  </w:r>
                  <w:r>
                    <w:rPr>
                      <w:rFonts w:ascii="Times New Roman" w:hAnsi="Times New Roman" w:eastAsia="Times New Roman" w:cs="Times New Roman"/>
                      <w:spacing w:val="9"/>
                      <w:sz w:val="20"/>
                      <w:szCs w:val="20"/>
                    </w:rPr>
                    <w:t xml:space="preserve">08 </w:t>
                  </w:r>
                  <w:r>
                    <w:rPr>
                      <w:rFonts w:ascii="宋体" w:hAnsi="宋体" w:eastAsia="宋体" w:cs="宋体"/>
                      <w:spacing w:val="9"/>
                      <w:sz w:val="20"/>
                      <w:szCs w:val="20"/>
                    </w:rPr>
                    <w:t>废矿物油</w:t>
                  </w:r>
                  <w:r>
                    <w:rPr>
                      <w:rFonts w:ascii="宋体" w:hAnsi="宋体" w:eastAsia="宋体" w:cs="宋体"/>
                      <w:spacing w:val="8"/>
                      <w:sz w:val="20"/>
                      <w:szCs w:val="20"/>
                    </w:rPr>
                    <w:t>及含矿物油废物</w:t>
                  </w:r>
                </w:p>
              </w:tc>
              <w:tc>
                <w:tcPr>
                  <w:tcW w:w="1424" w:type="dxa"/>
                  <w:vAlign w:val="top"/>
                </w:tcPr>
                <w:p w14:paraId="2B396903">
                  <w:pPr>
                    <w:spacing w:before="281"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900-249-08</w:t>
                  </w:r>
                </w:p>
              </w:tc>
              <w:tc>
                <w:tcPr>
                  <w:tcW w:w="814" w:type="dxa"/>
                  <w:vMerge w:val="restart"/>
                  <w:tcBorders>
                    <w:bottom w:val="nil"/>
                  </w:tcBorders>
                  <w:vAlign w:val="top"/>
                </w:tcPr>
                <w:p w14:paraId="786F312E">
                  <w:pPr>
                    <w:spacing w:line="306" w:lineRule="auto"/>
                    <w:rPr>
                      <w:rFonts w:ascii="Arial"/>
                      <w:sz w:val="21"/>
                    </w:rPr>
                  </w:pPr>
                </w:p>
                <w:p w14:paraId="2B32214F">
                  <w:pPr>
                    <w:spacing w:line="307" w:lineRule="auto"/>
                    <w:rPr>
                      <w:rFonts w:ascii="Arial"/>
                      <w:sz w:val="21"/>
                    </w:rPr>
                  </w:pPr>
                </w:p>
                <w:p w14:paraId="690AB222">
                  <w:pPr>
                    <w:spacing w:before="57" w:line="216" w:lineRule="auto"/>
                    <w:ind w:left="208"/>
                    <w:rPr>
                      <w:rFonts w:ascii="Times New Roman" w:hAnsi="Times New Roman" w:eastAsia="Times New Roman" w:cs="Times New Roman"/>
                      <w:sz w:val="13"/>
                      <w:szCs w:val="13"/>
                    </w:rPr>
                  </w:pPr>
                  <w:r>
                    <w:rPr>
                      <w:rFonts w:ascii="Times New Roman" w:hAnsi="Times New Roman" w:eastAsia="Times New Roman" w:cs="Times New Roman"/>
                      <w:spacing w:val="-1"/>
                      <w:position w:val="-1"/>
                      <w:sz w:val="20"/>
                      <w:szCs w:val="20"/>
                    </w:rPr>
                    <w:t>10m</w:t>
                  </w:r>
                  <w:r>
                    <w:rPr>
                      <w:rFonts w:ascii="Times New Roman" w:hAnsi="Times New Roman" w:eastAsia="Times New Roman" w:cs="Times New Roman"/>
                      <w:spacing w:val="-1"/>
                      <w:position w:val="5"/>
                      <w:sz w:val="13"/>
                      <w:szCs w:val="13"/>
                    </w:rPr>
                    <w:t>2</w:t>
                  </w:r>
                </w:p>
              </w:tc>
              <w:tc>
                <w:tcPr>
                  <w:tcW w:w="1797" w:type="dxa"/>
                  <w:vAlign w:val="top"/>
                </w:tcPr>
                <w:p w14:paraId="0A1B0831">
                  <w:pPr>
                    <w:spacing w:before="32" w:line="359" w:lineRule="auto"/>
                    <w:ind w:left="275" w:right="160" w:hanging="104"/>
                    <w:rPr>
                      <w:rFonts w:ascii="宋体" w:hAnsi="宋体" w:eastAsia="宋体" w:cs="宋体"/>
                      <w:sz w:val="20"/>
                      <w:szCs w:val="20"/>
                    </w:rPr>
                  </w:pPr>
                  <w:r>
                    <w:rPr>
                      <w:rFonts w:ascii="宋体" w:hAnsi="宋体" w:eastAsia="宋体" w:cs="宋体"/>
                      <w:spacing w:val="8"/>
                      <w:sz w:val="20"/>
                      <w:szCs w:val="20"/>
                    </w:rPr>
                    <w:t>专用危险废物收集桶收集暂存</w:t>
                  </w:r>
                </w:p>
              </w:tc>
              <w:tc>
                <w:tcPr>
                  <w:tcW w:w="784" w:type="dxa"/>
                  <w:vAlign w:val="top"/>
                </w:tcPr>
                <w:p w14:paraId="673A721B">
                  <w:pPr>
                    <w:spacing w:before="236" w:line="228" w:lineRule="auto"/>
                    <w:ind w:left="116"/>
                    <w:rPr>
                      <w:rFonts w:ascii="宋体" w:hAnsi="宋体" w:eastAsia="宋体" w:cs="宋体"/>
                      <w:sz w:val="20"/>
                      <w:szCs w:val="20"/>
                    </w:rPr>
                  </w:pPr>
                  <w:r>
                    <w:rPr>
                      <w:rFonts w:ascii="Times New Roman" w:hAnsi="Times New Roman" w:eastAsia="Times New Roman" w:cs="Times New Roman"/>
                      <w:sz w:val="20"/>
                      <w:szCs w:val="20"/>
                    </w:rPr>
                    <w:t xml:space="preserve">3 </w:t>
                  </w:r>
                  <w:r>
                    <w:rPr>
                      <w:rFonts w:ascii="宋体" w:hAnsi="宋体" w:eastAsia="宋体" w:cs="宋体"/>
                      <w:sz w:val="20"/>
                      <w:szCs w:val="20"/>
                    </w:rPr>
                    <w:t>个月</w:t>
                  </w:r>
                </w:p>
              </w:tc>
            </w:tr>
            <w:tr w14:paraId="40D25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859" w:type="dxa"/>
                  <w:vMerge w:val="continue"/>
                  <w:tcBorders>
                    <w:top w:val="nil"/>
                  </w:tcBorders>
                  <w:vAlign w:val="top"/>
                </w:tcPr>
                <w:p w14:paraId="06651498">
                  <w:pPr>
                    <w:rPr>
                      <w:rFonts w:ascii="Arial"/>
                      <w:sz w:val="21"/>
                    </w:rPr>
                  </w:pPr>
                </w:p>
              </w:tc>
              <w:tc>
                <w:tcPr>
                  <w:tcW w:w="1407" w:type="dxa"/>
                  <w:vAlign w:val="top"/>
                </w:tcPr>
                <w:p w14:paraId="58BC81BE">
                  <w:pPr>
                    <w:spacing w:before="239" w:line="228" w:lineRule="auto"/>
                    <w:ind w:left="182"/>
                    <w:rPr>
                      <w:rFonts w:ascii="宋体" w:hAnsi="宋体" w:eastAsia="宋体" w:cs="宋体"/>
                      <w:sz w:val="20"/>
                      <w:szCs w:val="20"/>
                    </w:rPr>
                  </w:pPr>
                  <w:r>
                    <w:rPr>
                      <w:rFonts w:ascii="宋体" w:hAnsi="宋体" w:eastAsia="宋体" w:cs="宋体"/>
                      <w:spacing w:val="8"/>
                      <w:sz w:val="20"/>
                      <w:szCs w:val="20"/>
                    </w:rPr>
                    <w:t>废旧活性炭</w:t>
                  </w:r>
                </w:p>
              </w:tc>
              <w:tc>
                <w:tcPr>
                  <w:tcW w:w="1744" w:type="dxa"/>
                  <w:vAlign w:val="top"/>
                </w:tcPr>
                <w:p w14:paraId="0320A5AD">
                  <w:pPr>
                    <w:spacing w:before="239" w:line="228" w:lineRule="auto"/>
                    <w:ind w:left="147"/>
                    <w:rPr>
                      <w:rFonts w:ascii="宋体" w:hAnsi="宋体" w:eastAsia="宋体" w:cs="宋体"/>
                      <w:sz w:val="20"/>
                      <w:szCs w:val="20"/>
                    </w:rPr>
                  </w:pPr>
                  <w:r>
                    <w:rPr>
                      <w:rFonts w:ascii="Times New Roman" w:hAnsi="Times New Roman" w:eastAsia="Times New Roman" w:cs="Times New Roman"/>
                      <w:sz w:val="20"/>
                      <w:szCs w:val="20"/>
                    </w:rPr>
                    <w:t>HW</w:t>
                  </w:r>
                  <w:r>
                    <w:rPr>
                      <w:rFonts w:ascii="Times New Roman" w:hAnsi="Times New Roman" w:eastAsia="Times New Roman" w:cs="Times New Roman"/>
                      <w:spacing w:val="9"/>
                      <w:sz w:val="20"/>
                      <w:szCs w:val="20"/>
                    </w:rPr>
                    <w:t xml:space="preserve">49 </w:t>
                  </w:r>
                  <w:r>
                    <w:rPr>
                      <w:rFonts w:ascii="宋体" w:hAnsi="宋体" w:eastAsia="宋体" w:cs="宋体"/>
                      <w:spacing w:val="9"/>
                      <w:sz w:val="20"/>
                      <w:szCs w:val="20"/>
                    </w:rPr>
                    <w:t>其他废物</w:t>
                  </w:r>
                </w:p>
              </w:tc>
              <w:tc>
                <w:tcPr>
                  <w:tcW w:w="1424" w:type="dxa"/>
                  <w:vAlign w:val="top"/>
                </w:tcPr>
                <w:p w14:paraId="14726E1C">
                  <w:pPr>
                    <w:spacing w:before="282"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900-039-49</w:t>
                  </w:r>
                </w:p>
              </w:tc>
              <w:tc>
                <w:tcPr>
                  <w:tcW w:w="814" w:type="dxa"/>
                  <w:vMerge w:val="continue"/>
                  <w:tcBorders>
                    <w:top w:val="nil"/>
                  </w:tcBorders>
                  <w:vAlign w:val="top"/>
                </w:tcPr>
                <w:p w14:paraId="255581B7">
                  <w:pPr>
                    <w:rPr>
                      <w:rFonts w:ascii="Arial"/>
                      <w:sz w:val="21"/>
                    </w:rPr>
                  </w:pPr>
                </w:p>
              </w:tc>
              <w:tc>
                <w:tcPr>
                  <w:tcW w:w="1797" w:type="dxa"/>
                  <w:vAlign w:val="top"/>
                </w:tcPr>
                <w:p w14:paraId="1918AA91">
                  <w:pPr>
                    <w:spacing w:before="35" w:line="360" w:lineRule="auto"/>
                    <w:ind w:left="275" w:right="160" w:hanging="104"/>
                    <w:rPr>
                      <w:rFonts w:ascii="宋体" w:hAnsi="宋体" w:eastAsia="宋体" w:cs="宋体"/>
                      <w:sz w:val="20"/>
                      <w:szCs w:val="20"/>
                    </w:rPr>
                  </w:pPr>
                  <w:r>
                    <w:rPr>
                      <w:rFonts w:ascii="宋体" w:hAnsi="宋体" w:eastAsia="宋体" w:cs="宋体"/>
                      <w:spacing w:val="8"/>
                      <w:sz w:val="20"/>
                      <w:szCs w:val="20"/>
                    </w:rPr>
                    <w:t>专用危险废物收集桶收集暂存</w:t>
                  </w:r>
                </w:p>
              </w:tc>
              <w:tc>
                <w:tcPr>
                  <w:tcW w:w="784" w:type="dxa"/>
                  <w:vAlign w:val="top"/>
                </w:tcPr>
                <w:p w14:paraId="71E079B1">
                  <w:pPr>
                    <w:spacing w:before="239" w:line="228" w:lineRule="auto"/>
                    <w:ind w:left="132"/>
                    <w:rPr>
                      <w:rFonts w:ascii="宋体" w:hAnsi="宋体" w:eastAsia="宋体" w:cs="宋体"/>
                      <w:sz w:val="20"/>
                      <w:szCs w:val="20"/>
                    </w:rPr>
                  </w:pP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个月</w:t>
                  </w:r>
                </w:p>
              </w:tc>
            </w:tr>
          </w:tbl>
          <w:p w14:paraId="0779F8B9">
            <w:pPr>
              <w:spacing w:before="276" w:line="219" w:lineRule="auto"/>
              <w:ind w:left="585"/>
              <w:rPr>
                <w:rFonts w:ascii="宋体" w:hAnsi="宋体" w:eastAsia="宋体" w:cs="宋体"/>
                <w:sz w:val="24"/>
                <w:szCs w:val="24"/>
              </w:rPr>
            </w:pPr>
            <w:r>
              <w:rPr>
                <w:rFonts w:ascii="Times New Roman" w:hAnsi="Times New Roman" w:eastAsia="Times New Roman" w:cs="Times New Roman"/>
                <w:b/>
                <w:bCs/>
                <w:spacing w:val="-4"/>
                <w:sz w:val="24"/>
                <w:szCs w:val="24"/>
              </w:rPr>
              <w:t>4</w:t>
            </w:r>
            <w:r>
              <w:rPr>
                <w:rFonts w:ascii="Times New Roman" w:hAnsi="Times New Roman" w:eastAsia="Times New Roman" w:cs="Times New Roman"/>
                <w:b/>
                <w:bCs/>
                <w:spacing w:val="-27"/>
                <w:sz w:val="24"/>
                <w:szCs w:val="24"/>
              </w:rPr>
              <w:t xml:space="preserve"> </w:t>
            </w:r>
            <w:r>
              <w:rPr>
                <w:rFonts w:ascii="宋体" w:hAnsi="宋体" w:eastAsia="宋体" w:cs="宋体"/>
                <w:b/>
                <w:bCs/>
                <w:spacing w:val="-4"/>
                <w:sz w:val="24"/>
                <w:szCs w:val="24"/>
              </w:rPr>
              <w:t>、依托现有危废暂存间可行性分析</w:t>
            </w:r>
          </w:p>
          <w:p w14:paraId="50570862">
            <w:pPr>
              <w:spacing w:before="176" w:line="310" w:lineRule="auto"/>
              <w:ind w:left="106" w:right="102" w:firstLine="482"/>
              <w:jc w:val="both"/>
              <w:rPr>
                <w:rFonts w:ascii="宋体" w:hAnsi="宋体" w:eastAsia="宋体" w:cs="宋体"/>
                <w:sz w:val="24"/>
                <w:szCs w:val="24"/>
              </w:rPr>
            </w:pPr>
            <w:r>
              <w:rPr>
                <w:rFonts w:ascii="宋体" w:hAnsi="宋体" w:eastAsia="宋体" w:cs="宋体"/>
                <w:sz w:val="24"/>
                <w:szCs w:val="24"/>
              </w:rPr>
              <w:t>本项目为扩建项目，根据《昆明欧铂瑞木制品有限公司年产</w:t>
            </w:r>
            <w:r>
              <w:rPr>
                <w:rFonts w:ascii="宋体" w:hAnsi="宋体" w:eastAsia="宋体" w:cs="宋体"/>
                <w:spacing w:val="-36"/>
                <w:sz w:val="24"/>
                <w:szCs w:val="24"/>
              </w:rPr>
              <w:t xml:space="preserve"> </w:t>
            </w:r>
            <w:r>
              <w:rPr>
                <w:rFonts w:ascii="Times New Roman" w:hAnsi="Times New Roman" w:eastAsia="Times New Roman" w:cs="Times New Roman"/>
                <w:sz w:val="24"/>
                <w:szCs w:val="24"/>
              </w:rPr>
              <w:t>3</w:t>
            </w:r>
            <w:r>
              <w:rPr>
                <w:rFonts w:ascii="Times New Roman" w:hAnsi="Times New Roman" w:eastAsia="Times New Roman" w:cs="Times New Roman"/>
                <w:spacing w:val="18"/>
                <w:sz w:val="24"/>
                <w:szCs w:val="24"/>
              </w:rPr>
              <w:t xml:space="preserve"> </w:t>
            </w:r>
            <w:r>
              <w:rPr>
                <w:rFonts w:ascii="宋体" w:hAnsi="宋体" w:eastAsia="宋体" w:cs="宋体"/>
                <w:sz w:val="24"/>
                <w:szCs w:val="24"/>
              </w:rPr>
              <w:t>万</w:t>
            </w:r>
            <w:r>
              <w:rPr>
                <w:rFonts w:ascii="宋体" w:hAnsi="宋体" w:eastAsia="宋体" w:cs="宋体"/>
                <w:spacing w:val="-56"/>
                <w:sz w:val="24"/>
                <w:szCs w:val="24"/>
              </w:rPr>
              <w:t xml:space="preserve"> </w:t>
            </w:r>
            <w:r>
              <w:rPr>
                <w:rFonts w:ascii="Times New Roman" w:hAnsi="Times New Roman" w:eastAsia="Times New Roman" w:cs="Times New Roman"/>
                <w:sz w:val="24"/>
                <w:szCs w:val="24"/>
              </w:rPr>
              <w:t>m</w:t>
            </w:r>
            <w:r>
              <w:rPr>
                <w:rFonts w:ascii="Times New Roman" w:hAnsi="Times New Roman" w:eastAsia="Times New Roman" w:cs="Times New Roman"/>
                <w:position w:val="7"/>
                <w:sz w:val="15"/>
                <w:szCs w:val="15"/>
              </w:rPr>
              <w:t>3</w:t>
            </w:r>
            <w:r>
              <w:rPr>
                <w:rFonts w:ascii="Times New Roman" w:hAnsi="Times New Roman" w:eastAsia="Times New Roman" w:cs="Times New Roman"/>
                <w:spacing w:val="17"/>
                <w:w w:val="102"/>
                <w:position w:val="7"/>
                <w:sz w:val="15"/>
                <w:szCs w:val="15"/>
              </w:rPr>
              <w:t xml:space="preserve"> </w:t>
            </w:r>
            <w:r>
              <w:rPr>
                <w:rFonts w:ascii="宋体" w:hAnsi="宋体" w:eastAsia="宋体" w:cs="宋体"/>
                <w:sz w:val="24"/>
                <w:szCs w:val="24"/>
              </w:rPr>
              <w:t>免漆生态板</w:t>
            </w:r>
            <w:r>
              <w:rPr>
                <w:rFonts w:ascii="宋体" w:hAnsi="宋体" w:eastAsia="宋体" w:cs="宋体"/>
                <w:spacing w:val="-1"/>
                <w:sz w:val="24"/>
                <w:szCs w:val="24"/>
              </w:rPr>
              <w:t>及深加工生产线项目竣工环境保护验收监测</w:t>
            </w:r>
            <w:r>
              <w:rPr>
                <w:rFonts w:ascii="宋体" w:hAnsi="宋体" w:eastAsia="宋体" w:cs="宋体"/>
                <w:spacing w:val="-2"/>
                <w:sz w:val="24"/>
                <w:szCs w:val="24"/>
              </w:rPr>
              <w:t>报告表》及验收意见，厂区内已按照《危</w:t>
            </w:r>
            <w:r>
              <w:rPr>
                <w:rFonts w:ascii="宋体" w:hAnsi="宋体" w:eastAsia="宋体" w:cs="宋体"/>
                <w:spacing w:val="-1"/>
                <w:sz w:val="24"/>
                <w:szCs w:val="24"/>
              </w:rPr>
              <w:t>险废物贮存污染控制标准》（</w:t>
            </w:r>
            <w:r>
              <w:rPr>
                <w:rFonts w:ascii="Times New Roman" w:hAnsi="Times New Roman" w:eastAsia="Times New Roman" w:cs="Times New Roman"/>
                <w:spacing w:val="-1"/>
                <w:sz w:val="24"/>
                <w:szCs w:val="24"/>
              </w:rPr>
              <w:t>GB18597-2023</w:t>
            </w:r>
            <w:r>
              <w:rPr>
                <w:rFonts w:ascii="宋体" w:hAnsi="宋体" w:eastAsia="宋体" w:cs="宋体"/>
                <w:spacing w:val="-1"/>
                <w:sz w:val="24"/>
                <w:szCs w:val="24"/>
              </w:rPr>
              <w:t>）要求设置一间</w:t>
            </w:r>
            <w:r>
              <w:rPr>
                <w:rFonts w:ascii="宋体" w:hAnsi="宋体" w:eastAsia="宋体" w:cs="宋体"/>
                <w:spacing w:val="-17"/>
                <w:sz w:val="24"/>
                <w:szCs w:val="24"/>
              </w:rPr>
              <w:t xml:space="preserve"> </w:t>
            </w:r>
            <w:r>
              <w:rPr>
                <w:rFonts w:ascii="Times New Roman" w:hAnsi="Times New Roman" w:eastAsia="Times New Roman" w:cs="Times New Roman"/>
                <w:spacing w:val="-1"/>
                <w:sz w:val="24"/>
                <w:szCs w:val="24"/>
              </w:rPr>
              <w:t>10m</w:t>
            </w:r>
            <w:r>
              <w:rPr>
                <w:rFonts w:ascii="Times New Roman" w:hAnsi="Times New Roman" w:eastAsia="Times New Roman" w:cs="Times New Roman"/>
                <w:spacing w:val="-1"/>
                <w:position w:val="8"/>
                <w:sz w:val="15"/>
                <w:szCs w:val="15"/>
              </w:rPr>
              <w:t>2</w:t>
            </w:r>
            <w:r>
              <w:rPr>
                <w:rFonts w:ascii="Times New Roman" w:hAnsi="Times New Roman" w:eastAsia="Times New Roman" w:cs="Times New Roman"/>
                <w:spacing w:val="14"/>
                <w:w w:val="101"/>
                <w:position w:val="8"/>
                <w:sz w:val="15"/>
                <w:szCs w:val="15"/>
              </w:rPr>
              <w:t xml:space="preserve"> </w:t>
            </w:r>
            <w:r>
              <w:rPr>
                <w:rFonts w:ascii="宋体" w:hAnsi="宋体" w:eastAsia="宋体" w:cs="宋体"/>
                <w:spacing w:val="-1"/>
                <w:sz w:val="24"/>
                <w:szCs w:val="24"/>
              </w:rPr>
              <w:t>危废暂存间，采用</w:t>
            </w:r>
            <w:r>
              <w:rPr>
                <w:rFonts w:ascii="宋体" w:hAnsi="宋体" w:eastAsia="宋体" w:cs="宋体"/>
                <w:spacing w:val="-2"/>
                <w:sz w:val="24"/>
                <w:szCs w:val="24"/>
              </w:rPr>
              <w:t>混凝土硬化</w:t>
            </w:r>
            <w:r>
              <w:rPr>
                <w:rFonts w:ascii="Times New Roman" w:hAnsi="Times New Roman" w:eastAsia="Times New Roman" w:cs="Times New Roman"/>
                <w:spacing w:val="-2"/>
                <w:sz w:val="24"/>
                <w:szCs w:val="24"/>
              </w:rPr>
              <w:t>+</w:t>
            </w:r>
            <w:r>
              <w:rPr>
                <w:rFonts w:ascii="宋体" w:hAnsi="宋体" w:eastAsia="宋体" w:cs="宋体"/>
                <w:spacing w:val="-2"/>
                <w:sz w:val="24"/>
                <w:szCs w:val="24"/>
              </w:rPr>
              <w:t>对墙面地面涂刷环氧树脂漆进行防渗，防渗系数</w:t>
            </w:r>
            <w:r>
              <w:rPr>
                <w:rFonts w:ascii="Times New Roman" w:hAnsi="Times New Roman" w:eastAsia="Times New Roman" w:cs="Times New Roman"/>
                <w:spacing w:val="-2"/>
                <w:sz w:val="24"/>
                <w:szCs w:val="24"/>
              </w:rPr>
              <w:t>≤1×10</w:t>
            </w:r>
            <w:r>
              <w:rPr>
                <w:rFonts w:ascii="Times New Roman" w:hAnsi="Times New Roman" w:eastAsia="Times New Roman" w:cs="Times New Roman"/>
                <w:spacing w:val="-2"/>
                <w:position w:val="8"/>
                <w:sz w:val="15"/>
                <w:szCs w:val="15"/>
              </w:rPr>
              <w:t>-</w:t>
            </w:r>
            <w:r>
              <w:rPr>
                <w:rFonts w:ascii="Times New Roman" w:hAnsi="Times New Roman" w:eastAsia="Times New Roman" w:cs="Times New Roman"/>
                <w:spacing w:val="-7"/>
                <w:position w:val="8"/>
                <w:sz w:val="15"/>
                <w:szCs w:val="15"/>
              </w:rPr>
              <w:t xml:space="preserve"> </w:t>
            </w:r>
            <w:r>
              <w:rPr>
                <w:rFonts w:ascii="Times New Roman" w:hAnsi="Times New Roman" w:eastAsia="Times New Roman" w:cs="Times New Roman"/>
                <w:spacing w:val="-2"/>
                <w:position w:val="8"/>
                <w:sz w:val="15"/>
                <w:szCs w:val="15"/>
              </w:rPr>
              <w:t>10</w:t>
            </w:r>
            <w:r>
              <w:rPr>
                <w:rFonts w:ascii="Times New Roman" w:hAnsi="Times New Roman" w:eastAsia="Times New Roman" w:cs="Times New Roman"/>
                <w:spacing w:val="-2"/>
                <w:sz w:val="24"/>
                <w:szCs w:val="24"/>
              </w:rPr>
              <w:t>cm/s</w:t>
            </w:r>
            <w:r>
              <w:rPr>
                <w:rFonts w:ascii="Times New Roman" w:hAnsi="Times New Roman" w:eastAsia="Times New Roman" w:cs="Times New Roman"/>
                <w:spacing w:val="-33"/>
                <w:sz w:val="24"/>
                <w:szCs w:val="24"/>
              </w:rPr>
              <w:t xml:space="preserve"> </w:t>
            </w:r>
            <w:r>
              <w:rPr>
                <w:rFonts w:ascii="宋体" w:hAnsi="宋体" w:eastAsia="宋体" w:cs="宋体"/>
                <w:spacing w:val="-2"/>
                <w:sz w:val="24"/>
                <w:szCs w:val="24"/>
              </w:rPr>
              <w:t>，并设置围</w:t>
            </w:r>
            <w:r>
              <w:rPr>
                <w:rFonts w:ascii="宋体" w:hAnsi="宋体" w:eastAsia="宋体" w:cs="宋体"/>
                <w:spacing w:val="-1"/>
                <w:sz w:val="24"/>
                <w:szCs w:val="24"/>
              </w:rPr>
              <w:t>堰、托盘，并张贴标识标牌，现有危险废物</w:t>
            </w:r>
            <w:r>
              <w:rPr>
                <w:rFonts w:ascii="宋体" w:hAnsi="宋体" w:eastAsia="宋体" w:cs="宋体"/>
                <w:spacing w:val="-2"/>
                <w:sz w:val="24"/>
                <w:szCs w:val="24"/>
              </w:rPr>
              <w:t>废机油委托楚雄同磊再生资源有限公司处</w:t>
            </w:r>
            <w:r>
              <w:rPr>
                <w:rFonts w:ascii="宋体" w:hAnsi="宋体" w:eastAsia="宋体" w:cs="宋体"/>
                <w:spacing w:val="-1"/>
                <w:sz w:val="24"/>
                <w:szCs w:val="24"/>
              </w:rPr>
              <w:t>置。本项目完成环保手续后危险废物废旧活</w:t>
            </w:r>
            <w:r>
              <w:rPr>
                <w:rFonts w:ascii="宋体" w:hAnsi="宋体" w:eastAsia="宋体" w:cs="宋体"/>
                <w:spacing w:val="-2"/>
                <w:sz w:val="24"/>
                <w:szCs w:val="24"/>
              </w:rPr>
              <w:t>性炭与废机油有资质单位签订专属危废处</w:t>
            </w:r>
            <w:r>
              <w:rPr>
                <w:rFonts w:ascii="宋体" w:hAnsi="宋体" w:eastAsia="宋体" w:cs="宋体"/>
                <w:sz w:val="24"/>
                <w:szCs w:val="24"/>
              </w:rPr>
              <w:t>置协议。根据现场调查，危</w:t>
            </w:r>
            <w:r>
              <w:rPr>
                <w:rFonts w:ascii="微软雅黑" w:hAnsi="微软雅黑" w:eastAsia="微软雅黑" w:cs="微软雅黑"/>
                <w:sz w:val="24"/>
                <w:szCs w:val="24"/>
              </w:rPr>
              <w:t>废</w:t>
            </w:r>
            <w:r>
              <w:rPr>
                <w:rFonts w:ascii="宋体" w:hAnsi="宋体" w:eastAsia="宋体" w:cs="宋体"/>
                <w:sz w:val="24"/>
                <w:szCs w:val="24"/>
              </w:rPr>
              <w:t>暂存间最大储存</w:t>
            </w:r>
            <w:r>
              <w:rPr>
                <w:rFonts w:ascii="微软雅黑" w:hAnsi="微软雅黑" w:eastAsia="微软雅黑" w:cs="微软雅黑"/>
                <w:sz w:val="24"/>
                <w:szCs w:val="24"/>
              </w:rPr>
              <w:t>量</w:t>
            </w:r>
            <w:r>
              <w:rPr>
                <w:rFonts w:ascii="宋体" w:hAnsi="宋体" w:eastAsia="宋体" w:cs="宋体"/>
                <w:sz w:val="24"/>
                <w:szCs w:val="24"/>
              </w:rPr>
              <w:t>为</w:t>
            </w:r>
            <w:r>
              <w:rPr>
                <w:rFonts w:ascii="宋体" w:hAnsi="宋体" w:eastAsia="宋体" w:cs="宋体"/>
                <w:spacing w:val="-29"/>
                <w:sz w:val="24"/>
                <w:szCs w:val="24"/>
              </w:rPr>
              <w:t xml:space="preserve"> </w:t>
            </w:r>
            <w:r>
              <w:rPr>
                <w:rFonts w:ascii="Times New Roman" w:hAnsi="Times New Roman" w:eastAsia="Times New Roman" w:cs="Times New Roman"/>
                <w:sz w:val="24"/>
                <w:szCs w:val="24"/>
              </w:rPr>
              <w:t>10t</w:t>
            </w:r>
            <w:r>
              <w:rPr>
                <w:rFonts w:ascii="Times New Roman" w:hAnsi="Times New Roman" w:eastAsia="Times New Roman" w:cs="Times New Roman"/>
                <w:spacing w:val="-25"/>
                <w:sz w:val="24"/>
                <w:szCs w:val="24"/>
              </w:rPr>
              <w:t xml:space="preserve"> </w:t>
            </w:r>
            <w:r>
              <w:rPr>
                <w:rFonts w:ascii="宋体" w:hAnsi="宋体" w:eastAsia="宋体" w:cs="宋体"/>
                <w:sz w:val="24"/>
                <w:szCs w:val="24"/>
              </w:rPr>
              <w:t>。危</w:t>
            </w:r>
            <w:r>
              <w:rPr>
                <w:rFonts w:ascii="微软雅黑" w:hAnsi="微软雅黑" w:eastAsia="微软雅黑" w:cs="微软雅黑"/>
                <w:sz w:val="24"/>
                <w:szCs w:val="24"/>
              </w:rPr>
              <w:t>废</w:t>
            </w:r>
            <w:r>
              <w:rPr>
                <w:rFonts w:ascii="宋体" w:hAnsi="宋体" w:eastAsia="宋体" w:cs="宋体"/>
                <w:spacing w:val="-1"/>
                <w:sz w:val="24"/>
                <w:szCs w:val="24"/>
              </w:rPr>
              <w:t>暂存间危</w:t>
            </w:r>
            <w:r>
              <w:rPr>
                <w:rFonts w:ascii="微软雅黑" w:hAnsi="微软雅黑" w:eastAsia="微软雅黑" w:cs="微软雅黑"/>
                <w:spacing w:val="-1"/>
                <w:sz w:val="24"/>
                <w:szCs w:val="24"/>
              </w:rPr>
              <w:t>废</w:t>
            </w:r>
            <w:r>
              <w:rPr>
                <w:rFonts w:ascii="宋体" w:hAnsi="宋体" w:eastAsia="宋体" w:cs="宋体"/>
                <w:spacing w:val="-1"/>
                <w:sz w:val="24"/>
                <w:szCs w:val="24"/>
              </w:rPr>
              <w:t>每月度进行</w:t>
            </w:r>
            <w:r>
              <w:rPr>
                <w:rFonts w:ascii="宋体" w:hAnsi="宋体" w:eastAsia="宋体" w:cs="宋体"/>
                <w:spacing w:val="-2"/>
                <w:sz w:val="24"/>
                <w:szCs w:val="24"/>
              </w:rPr>
              <w:t>一次清运，现有危</w:t>
            </w:r>
            <w:r>
              <w:rPr>
                <w:rFonts w:ascii="微软雅黑" w:hAnsi="微软雅黑" w:eastAsia="微软雅黑" w:cs="微软雅黑"/>
                <w:spacing w:val="-2"/>
                <w:sz w:val="24"/>
                <w:szCs w:val="24"/>
              </w:rPr>
              <w:t>废</w:t>
            </w:r>
            <w:r>
              <w:rPr>
                <w:rFonts w:ascii="宋体" w:hAnsi="宋体" w:eastAsia="宋体" w:cs="宋体"/>
                <w:spacing w:val="-2"/>
                <w:sz w:val="24"/>
                <w:szCs w:val="24"/>
              </w:rPr>
              <w:t>暂存间危</w:t>
            </w:r>
            <w:r>
              <w:rPr>
                <w:rFonts w:ascii="微软雅黑" w:hAnsi="微软雅黑" w:eastAsia="微软雅黑" w:cs="微软雅黑"/>
                <w:spacing w:val="-2"/>
                <w:sz w:val="24"/>
                <w:szCs w:val="24"/>
              </w:rPr>
              <w:t>废</w:t>
            </w:r>
            <w:r>
              <w:rPr>
                <w:rFonts w:ascii="宋体" w:hAnsi="宋体" w:eastAsia="宋体" w:cs="宋体"/>
                <w:spacing w:val="-2"/>
                <w:sz w:val="24"/>
                <w:szCs w:val="24"/>
              </w:rPr>
              <w:t>最大储存</w:t>
            </w:r>
            <w:r>
              <w:rPr>
                <w:rFonts w:ascii="微软雅黑" w:hAnsi="微软雅黑" w:eastAsia="微软雅黑" w:cs="微软雅黑"/>
                <w:spacing w:val="-2"/>
                <w:sz w:val="24"/>
                <w:szCs w:val="24"/>
              </w:rPr>
              <w:t>量</w:t>
            </w:r>
            <w:r>
              <w:rPr>
                <w:rFonts w:ascii="宋体" w:hAnsi="宋体" w:eastAsia="宋体" w:cs="宋体"/>
                <w:spacing w:val="-2"/>
                <w:sz w:val="24"/>
                <w:szCs w:val="24"/>
              </w:rPr>
              <w:t>为</w:t>
            </w:r>
            <w:r>
              <w:rPr>
                <w:rFonts w:ascii="微软雅黑" w:hAnsi="微软雅黑" w:eastAsia="微软雅黑" w:cs="微软雅黑"/>
                <w:spacing w:val="-2"/>
                <w:sz w:val="24"/>
                <w:szCs w:val="24"/>
              </w:rPr>
              <w:t>废</w:t>
            </w:r>
            <w:r>
              <w:rPr>
                <w:rFonts w:ascii="宋体" w:hAnsi="宋体" w:eastAsia="宋体" w:cs="宋体"/>
                <w:spacing w:val="-2"/>
                <w:sz w:val="24"/>
                <w:szCs w:val="24"/>
              </w:rPr>
              <w:t>机油</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0.016t</w:t>
            </w:r>
            <w:r>
              <w:rPr>
                <w:rFonts w:ascii="宋体" w:hAnsi="宋体" w:eastAsia="宋体" w:cs="宋体"/>
                <w:spacing w:val="-2"/>
                <w:sz w:val="24"/>
                <w:szCs w:val="24"/>
              </w:rPr>
              <w:t>、</w:t>
            </w:r>
            <w:r>
              <w:rPr>
                <w:rFonts w:ascii="微软雅黑" w:hAnsi="微软雅黑" w:eastAsia="微软雅黑" w:cs="微软雅黑"/>
                <w:spacing w:val="-2"/>
                <w:sz w:val="24"/>
                <w:szCs w:val="24"/>
              </w:rPr>
              <w:t>废</w:t>
            </w:r>
            <w:r>
              <w:rPr>
                <w:rFonts w:ascii="宋体" w:hAnsi="宋体" w:eastAsia="宋体" w:cs="宋体"/>
                <w:spacing w:val="-2"/>
                <w:sz w:val="24"/>
                <w:szCs w:val="24"/>
              </w:rPr>
              <w:t>漆桶</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0.04t</w:t>
            </w:r>
            <w:r>
              <w:rPr>
                <w:rFonts w:ascii="宋体" w:hAnsi="宋体" w:eastAsia="宋体" w:cs="宋体"/>
                <w:spacing w:val="-2"/>
                <w:sz w:val="24"/>
                <w:szCs w:val="24"/>
              </w:rPr>
              <w:t>、</w:t>
            </w:r>
            <w:r>
              <w:rPr>
                <w:rFonts w:ascii="微软雅黑" w:hAnsi="微软雅黑" w:eastAsia="微软雅黑" w:cs="微软雅黑"/>
                <w:spacing w:val="-2"/>
                <w:sz w:val="24"/>
                <w:szCs w:val="24"/>
              </w:rPr>
              <w:t>废</w:t>
            </w:r>
            <w:r>
              <w:rPr>
                <w:rFonts w:ascii="宋体" w:hAnsi="宋体" w:eastAsia="宋体" w:cs="宋体"/>
                <w:spacing w:val="-2"/>
                <w:sz w:val="24"/>
                <w:szCs w:val="24"/>
              </w:rPr>
              <w:t>活性炭</w:t>
            </w:r>
            <w:r>
              <w:rPr>
                <w:rFonts w:ascii="Times New Roman" w:hAnsi="Times New Roman" w:eastAsia="Times New Roman" w:cs="Times New Roman"/>
                <w:spacing w:val="-2"/>
                <w:sz w:val="24"/>
                <w:szCs w:val="24"/>
              </w:rPr>
              <w:t>1.04t</w:t>
            </w:r>
            <w:r>
              <w:rPr>
                <w:rFonts w:ascii="Times New Roman" w:hAnsi="Times New Roman" w:eastAsia="Times New Roman" w:cs="Times New Roman"/>
                <w:spacing w:val="-31"/>
                <w:sz w:val="24"/>
                <w:szCs w:val="24"/>
              </w:rPr>
              <w:t xml:space="preserve"> </w:t>
            </w:r>
            <w:r>
              <w:rPr>
                <w:rFonts w:ascii="宋体" w:hAnsi="宋体" w:eastAsia="宋体" w:cs="宋体"/>
                <w:spacing w:val="-2"/>
                <w:sz w:val="24"/>
                <w:szCs w:val="24"/>
              </w:rPr>
              <w:t>，</w:t>
            </w:r>
            <w:r>
              <w:rPr>
                <w:rFonts w:ascii="微软雅黑" w:hAnsi="微软雅黑" w:eastAsia="微软雅黑" w:cs="微软雅黑"/>
                <w:spacing w:val="-2"/>
                <w:sz w:val="24"/>
                <w:szCs w:val="24"/>
              </w:rPr>
              <w:t>废</w:t>
            </w:r>
            <w:r>
              <w:rPr>
                <w:rFonts w:ascii="宋体" w:hAnsi="宋体" w:eastAsia="宋体" w:cs="宋体"/>
                <w:spacing w:val="-2"/>
                <w:sz w:val="24"/>
                <w:szCs w:val="24"/>
              </w:rPr>
              <w:t>漆渣</w:t>
            </w:r>
            <w:r>
              <w:rPr>
                <w:rFonts w:ascii="宋体" w:hAnsi="宋体" w:eastAsia="宋体" w:cs="宋体"/>
                <w:spacing w:val="-49"/>
                <w:sz w:val="24"/>
                <w:szCs w:val="24"/>
              </w:rPr>
              <w:t xml:space="preserve"> </w:t>
            </w:r>
            <w:r>
              <w:rPr>
                <w:rFonts w:ascii="Times New Roman" w:hAnsi="Times New Roman" w:eastAsia="Times New Roman" w:cs="Times New Roman"/>
                <w:spacing w:val="-2"/>
                <w:sz w:val="24"/>
                <w:szCs w:val="24"/>
              </w:rPr>
              <w:t>0.016t</w:t>
            </w:r>
            <w:r>
              <w:rPr>
                <w:rFonts w:ascii="Times New Roman" w:hAnsi="Times New Roman" w:eastAsia="Times New Roman" w:cs="Times New Roman"/>
                <w:spacing w:val="-30"/>
                <w:sz w:val="24"/>
                <w:szCs w:val="24"/>
              </w:rPr>
              <w:t xml:space="preserve"> </w:t>
            </w:r>
            <w:r>
              <w:rPr>
                <w:rFonts w:ascii="宋体" w:hAnsi="宋体" w:eastAsia="宋体" w:cs="宋体"/>
                <w:spacing w:val="-2"/>
                <w:sz w:val="24"/>
                <w:szCs w:val="24"/>
              </w:rPr>
              <w:t>，危</w:t>
            </w:r>
            <w:r>
              <w:rPr>
                <w:rFonts w:ascii="微软雅黑" w:hAnsi="微软雅黑" w:eastAsia="微软雅黑" w:cs="微软雅黑"/>
                <w:spacing w:val="-2"/>
                <w:sz w:val="24"/>
                <w:szCs w:val="24"/>
              </w:rPr>
              <w:t>废</w:t>
            </w:r>
            <w:r>
              <w:rPr>
                <w:rFonts w:ascii="宋体" w:hAnsi="宋体" w:eastAsia="宋体" w:cs="宋体"/>
                <w:spacing w:val="-2"/>
                <w:sz w:val="24"/>
                <w:szCs w:val="24"/>
              </w:rPr>
              <w:t>暂存间危</w:t>
            </w:r>
            <w:r>
              <w:rPr>
                <w:rFonts w:ascii="微软雅黑" w:hAnsi="微软雅黑" w:eastAsia="微软雅黑" w:cs="微软雅黑"/>
                <w:spacing w:val="-2"/>
                <w:sz w:val="24"/>
                <w:szCs w:val="24"/>
              </w:rPr>
              <w:t>废</w:t>
            </w:r>
            <w:r>
              <w:rPr>
                <w:rFonts w:ascii="宋体" w:hAnsi="宋体" w:eastAsia="宋体" w:cs="宋体"/>
                <w:spacing w:val="-2"/>
                <w:sz w:val="24"/>
                <w:szCs w:val="24"/>
              </w:rPr>
              <w:t>最大存</w:t>
            </w:r>
            <w:r>
              <w:rPr>
                <w:rFonts w:ascii="宋体" w:hAnsi="宋体" w:eastAsia="宋体" w:cs="宋体"/>
                <w:spacing w:val="-3"/>
                <w:sz w:val="24"/>
                <w:szCs w:val="24"/>
              </w:rPr>
              <w:t>储</w:t>
            </w:r>
            <w:r>
              <w:rPr>
                <w:rFonts w:ascii="微软雅黑" w:hAnsi="微软雅黑" w:eastAsia="微软雅黑" w:cs="微软雅黑"/>
                <w:spacing w:val="-3"/>
                <w:sz w:val="24"/>
                <w:szCs w:val="24"/>
              </w:rPr>
              <w:t>量</w:t>
            </w:r>
            <w:r>
              <w:rPr>
                <w:rFonts w:ascii="宋体" w:hAnsi="宋体" w:eastAsia="宋体" w:cs="宋体"/>
                <w:spacing w:val="-3"/>
                <w:sz w:val="24"/>
                <w:szCs w:val="24"/>
              </w:rPr>
              <w:t>为</w:t>
            </w:r>
            <w:r>
              <w:rPr>
                <w:rFonts w:ascii="宋体" w:hAnsi="宋体" w:eastAsia="宋体" w:cs="宋体"/>
                <w:spacing w:val="-30"/>
                <w:sz w:val="24"/>
                <w:szCs w:val="24"/>
              </w:rPr>
              <w:t xml:space="preserve"> </w:t>
            </w:r>
            <w:r>
              <w:rPr>
                <w:rFonts w:ascii="Times New Roman" w:hAnsi="Times New Roman" w:eastAsia="Times New Roman" w:cs="Times New Roman"/>
                <w:spacing w:val="-3"/>
                <w:sz w:val="24"/>
                <w:szCs w:val="24"/>
              </w:rPr>
              <w:t>1.</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112t</w:t>
            </w:r>
            <w:r>
              <w:rPr>
                <w:rFonts w:ascii="Times New Roman" w:hAnsi="Times New Roman" w:eastAsia="Times New Roman" w:cs="Times New Roman"/>
                <w:spacing w:val="-31"/>
                <w:sz w:val="24"/>
                <w:szCs w:val="24"/>
              </w:rPr>
              <w:t xml:space="preserve"> </w:t>
            </w:r>
            <w:r>
              <w:rPr>
                <w:rFonts w:ascii="宋体" w:hAnsi="宋体" w:eastAsia="宋体" w:cs="宋体"/>
                <w:spacing w:val="-3"/>
                <w:sz w:val="24"/>
                <w:szCs w:val="24"/>
              </w:rPr>
              <w:t>，本次改扩建项目危</w:t>
            </w:r>
            <w:r>
              <w:rPr>
                <w:rFonts w:ascii="微软雅黑" w:hAnsi="微软雅黑" w:eastAsia="微软雅黑" w:cs="微软雅黑"/>
                <w:spacing w:val="-3"/>
                <w:sz w:val="24"/>
                <w:szCs w:val="24"/>
              </w:rPr>
              <w:t>废</w:t>
            </w:r>
            <w:r>
              <w:rPr>
                <w:rFonts w:ascii="宋体" w:hAnsi="宋体" w:eastAsia="宋体" w:cs="宋体"/>
                <w:spacing w:val="-3"/>
                <w:sz w:val="24"/>
                <w:szCs w:val="24"/>
              </w:rPr>
              <w:t>年</w:t>
            </w:r>
            <w:r>
              <w:rPr>
                <w:rFonts w:ascii="宋体" w:hAnsi="宋体" w:eastAsia="宋体" w:cs="宋体"/>
                <w:spacing w:val="-2"/>
                <w:sz w:val="24"/>
                <w:szCs w:val="24"/>
              </w:rPr>
              <w:t>产生</w:t>
            </w:r>
            <w:r>
              <w:rPr>
                <w:rFonts w:ascii="微软雅黑" w:hAnsi="微软雅黑" w:eastAsia="微软雅黑" w:cs="微软雅黑"/>
                <w:spacing w:val="-2"/>
                <w:sz w:val="24"/>
                <w:szCs w:val="24"/>
              </w:rPr>
              <w:t>量</w:t>
            </w:r>
            <w:r>
              <w:rPr>
                <w:rFonts w:ascii="宋体" w:hAnsi="宋体" w:eastAsia="宋体" w:cs="宋体"/>
                <w:spacing w:val="-2"/>
                <w:sz w:val="24"/>
                <w:szCs w:val="24"/>
              </w:rPr>
              <w:t>为</w:t>
            </w:r>
            <w:r>
              <w:rPr>
                <w:rFonts w:ascii="微软雅黑" w:hAnsi="微软雅黑" w:eastAsia="微软雅黑" w:cs="微软雅黑"/>
                <w:spacing w:val="-2"/>
                <w:sz w:val="24"/>
                <w:szCs w:val="24"/>
              </w:rPr>
              <w:t>废</w:t>
            </w:r>
            <w:r>
              <w:rPr>
                <w:rFonts w:ascii="宋体" w:hAnsi="宋体" w:eastAsia="宋体" w:cs="宋体"/>
                <w:spacing w:val="-2"/>
                <w:sz w:val="24"/>
                <w:szCs w:val="24"/>
              </w:rPr>
              <w:t>机油</w:t>
            </w:r>
            <w:r>
              <w:rPr>
                <w:rFonts w:ascii="宋体" w:hAnsi="宋体" w:eastAsia="宋体" w:cs="宋体"/>
                <w:spacing w:val="-49"/>
                <w:sz w:val="24"/>
                <w:szCs w:val="24"/>
              </w:rPr>
              <w:t xml:space="preserve"> </w:t>
            </w:r>
            <w:r>
              <w:rPr>
                <w:rFonts w:ascii="Times New Roman" w:hAnsi="Times New Roman" w:eastAsia="Times New Roman" w:cs="Times New Roman"/>
                <w:spacing w:val="-2"/>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2"/>
                <w:sz w:val="24"/>
                <w:szCs w:val="24"/>
              </w:rPr>
              <w:t>1t</w:t>
            </w:r>
            <w:r>
              <w:rPr>
                <w:rFonts w:ascii="Times New Roman" w:hAnsi="Times New Roman" w:eastAsia="Times New Roman" w:cs="Times New Roman"/>
                <w:spacing w:val="-31"/>
                <w:sz w:val="24"/>
                <w:szCs w:val="24"/>
              </w:rPr>
              <w:t xml:space="preserve"> </w:t>
            </w:r>
            <w:r>
              <w:rPr>
                <w:rFonts w:ascii="宋体" w:hAnsi="宋体" w:eastAsia="宋体" w:cs="宋体"/>
                <w:spacing w:val="-2"/>
                <w:sz w:val="24"/>
                <w:szCs w:val="24"/>
              </w:rPr>
              <w:t>、</w:t>
            </w:r>
            <w:r>
              <w:rPr>
                <w:rFonts w:ascii="微软雅黑" w:hAnsi="微软雅黑" w:eastAsia="微软雅黑" w:cs="微软雅黑"/>
                <w:spacing w:val="-2"/>
                <w:sz w:val="24"/>
                <w:szCs w:val="24"/>
              </w:rPr>
              <w:t>废</w:t>
            </w:r>
            <w:r>
              <w:rPr>
                <w:rFonts w:ascii="宋体" w:hAnsi="宋体" w:eastAsia="宋体" w:cs="宋体"/>
                <w:spacing w:val="-2"/>
                <w:sz w:val="24"/>
                <w:szCs w:val="24"/>
              </w:rPr>
              <w:t>活性炭</w:t>
            </w:r>
            <w:r>
              <w:rPr>
                <w:rFonts w:ascii="宋体" w:hAnsi="宋体" w:eastAsia="宋体" w:cs="宋体"/>
                <w:spacing w:val="-29"/>
                <w:sz w:val="24"/>
                <w:szCs w:val="24"/>
              </w:rPr>
              <w:t xml:space="preserve"> </w:t>
            </w:r>
            <w:r>
              <w:rPr>
                <w:rFonts w:ascii="Times New Roman" w:hAnsi="Times New Roman" w:eastAsia="Times New Roman" w:cs="Times New Roman"/>
                <w:spacing w:val="-2"/>
                <w:sz w:val="24"/>
                <w:szCs w:val="24"/>
              </w:rPr>
              <w:t>16.</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2"/>
                <w:sz w:val="24"/>
                <w:szCs w:val="24"/>
              </w:rPr>
              <w:t>146t</w:t>
            </w:r>
            <w:r>
              <w:rPr>
                <w:rFonts w:ascii="Times New Roman" w:hAnsi="Times New Roman" w:eastAsia="Times New Roman" w:cs="Times New Roman"/>
                <w:spacing w:val="-22"/>
                <w:sz w:val="24"/>
                <w:szCs w:val="24"/>
              </w:rPr>
              <w:t xml:space="preserve"> </w:t>
            </w:r>
            <w:r>
              <w:rPr>
                <w:rFonts w:ascii="宋体" w:hAnsi="宋体" w:eastAsia="宋体" w:cs="宋体"/>
                <w:spacing w:val="-2"/>
                <w:sz w:val="24"/>
                <w:szCs w:val="24"/>
              </w:rPr>
              <w:t>。则每月产生</w:t>
            </w:r>
            <w:r>
              <w:rPr>
                <w:rFonts w:ascii="微软雅黑" w:hAnsi="微软雅黑" w:eastAsia="微软雅黑" w:cs="微软雅黑"/>
                <w:spacing w:val="-2"/>
                <w:sz w:val="24"/>
                <w:szCs w:val="24"/>
              </w:rPr>
              <w:t>量</w:t>
            </w:r>
            <w:r>
              <w:rPr>
                <w:rFonts w:ascii="宋体" w:hAnsi="宋体" w:eastAsia="宋体" w:cs="宋体"/>
                <w:spacing w:val="-2"/>
                <w:sz w:val="24"/>
                <w:szCs w:val="24"/>
              </w:rPr>
              <w:t>为</w:t>
            </w:r>
            <w:r>
              <w:rPr>
                <w:rFonts w:ascii="微软雅黑" w:hAnsi="微软雅黑" w:eastAsia="微软雅黑" w:cs="微软雅黑"/>
                <w:spacing w:val="-2"/>
                <w:sz w:val="24"/>
                <w:szCs w:val="24"/>
              </w:rPr>
              <w:t>废</w:t>
            </w:r>
            <w:r>
              <w:rPr>
                <w:rFonts w:ascii="宋体" w:hAnsi="宋体" w:eastAsia="宋体" w:cs="宋体"/>
                <w:spacing w:val="-2"/>
                <w:sz w:val="24"/>
                <w:szCs w:val="24"/>
              </w:rPr>
              <w:t>机油</w:t>
            </w:r>
            <w:r>
              <w:rPr>
                <w:rFonts w:ascii="宋体" w:hAnsi="宋体" w:eastAsia="宋体" w:cs="宋体"/>
                <w:spacing w:val="-49"/>
                <w:sz w:val="24"/>
                <w:szCs w:val="24"/>
              </w:rPr>
              <w:t xml:space="preserve"> </w:t>
            </w:r>
            <w:r>
              <w:rPr>
                <w:rFonts w:ascii="Times New Roman" w:hAnsi="Times New Roman" w:eastAsia="Times New Roman" w:cs="Times New Roman"/>
                <w:spacing w:val="-2"/>
                <w:sz w:val="24"/>
                <w:szCs w:val="24"/>
              </w:rPr>
              <w:t>0.008</w:t>
            </w:r>
            <w:r>
              <w:rPr>
                <w:rFonts w:ascii="Times New Roman" w:hAnsi="Times New Roman" w:eastAsia="Times New Roman" w:cs="Times New Roman"/>
                <w:spacing w:val="-3"/>
                <w:sz w:val="24"/>
                <w:szCs w:val="24"/>
              </w:rPr>
              <w:t>3t</w:t>
            </w:r>
            <w:r>
              <w:rPr>
                <w:rFonts w:ascii="Times New Roman" w:hAnsi="Times New Roman" w:eastAsia="Times New Roman" w:cs="Times New Roman"/>
                <w:spacing w:val="-32"/>
                <w:sz w:val="24"/>
                <w:szCs w:val="24"/>
              </w:rPr>
              <w:t xml:space="preserve"> </w:t>
            </w:r>
            <w:r>
              <w:rPr>
                <w:rFonts w:ascii="宋体" w:hAnsi="宋体" w:eastAsia="宋体" w:cs="宋体"/>
                <w:spacing w:val="-3"/>
                <w:sz w:val="24"/>
                <w:szCs w:val="24"/>
              </w:rPr>
              <w:t>、</w:t>
            </w:r>
            <w:r>
              <w:rPr>
                <w:rFonts w:ascii="微软雅黑" w:hAnsi="微软雅黑" w:eastAsia="微软雅黑" w:cs="微软雅黑"/>
                <w:spacing w:val="-3"/>
                <w:sz w:val="24"/>
                <w:szCs w:val="24"/>
              </w:rPr>
              <w:t>废</w:t>
            </w:r>
            <w:r>
              <w:rPr>
                <w:rFonts w:ascii="宋体" w:hAnsi="宋体" w:eastAsia="宋体" w:cs="宋体"/>
                <w:spacing w:val="-3"/>
                <w:sz w:val="24"/>
                <w:szCs w:val="24"/>
              </w:rPr>
              <w:t>活性炭</w:t>
            </w:r>
            <w:r>
              <w:rPr>
                <w:rFonts w:ascii="Times New Roman" w:hAnsi="Times New Roman" w:eastAsia="Times New Roman" w:cs="Times New Roman"/>
                <w:spacing w:val="-11"/>
                <w:sz w:val="24"/>
                <w:szCs w:val="24"/>
              </w:rPr>
              <w:t>1.3455t</w:t>
            </w:r>
            <w:r>
              <w:rPr>
                <w:rFonts w:ascii="Times New Roman" w:hAnsi="Times New Roman" w:eastAsia="Times New Roman" w:cs="Times New Roman"/>
                <w:spacing w:val="47"/>
                <w:sz w:val="24"/>
                <w:szCs w:val="24"/>
              </w:rPr>
              <w:t xml:space="preserve"> </w:t>
            </w:r>
            <w:r>
              <w:rPr>
                <w:rFonts w:ascii="宋体" w:hAnsi="宋体" w:eastAsia="宋体" w:cs="宋体"/>
                <w:spacing w:val="-11"/>
                <w:sz w:val="24"/>
                <w:szCs w:val="24"/>
              </w:rPr>
              <w:t xml:space="preserve">， </w:t>
            </w:r>
            <w:r>
              <w:rPr>
                <w:rFonts w:ascii="微软雅黑" w:hAnsi="微软雅黑" w:eastAsia="微软雅黑" w:cs="微软雅黑"/>
                <w:spacing w:val="-11"/>
                <w:sz w:val="24"/>
                <w:szCs w:val="24"/>
              </w:rPr>
              <w:t>总</w:t>
            </w:r>
            <w:r>
              <w:rPr>
                <w:rFonts w:ascii="微软雅黑" w:hAnsi="微软雅黑" w:eastAsia="微软雅黑" w:cs="微软雅黑"/>
                <w:spacing w:val="13"/>
                <w:sz w:val="24"/>
                <w:szCs w:val="24"/>
              </w:rPr>
              <w:t xml:space="preserve"> </w:t>
            </w:r>
            <w:r>
              <w:rPr>
                <w:rFonts w:ascii="宋体" w:hAnsi="宋体" w:eastAsia="宋体" w:cs="宋体"/>
                <w:spacing w:val="-11"/>
                <w:sz w:val="24"/>
                <w:szCs w:val="24"/>
              </w:rPr>
              <w:t>计</w:t>
            </w:r>
            <w:r>
              <w:rPr>
                <w:rFonts w:ascii="宋体" w:hAnsi="宋体" w:eastAsia="宋体" w:cs="宋体"/>
                <w:spacing w:val="44"/>
                <w:sz w:val="24"/>
                <w:szCs w:val="24"/>
              </w:rPr>
              <w:t xml:space="preserve"> </w:t>
            </w:r>
            <w:r>
              <w:rPr>
                <w:rFonts w:ascii="Times New Roman" w:hAnsi="Times New Roman" w:eastAsia="Times New Roman" w:cs="Times New Roman"/>
                <w:spacing w:val="-11"/>
                <w:sz w:val="24"/>
                <w:szCs w:val="24"/>
              </w:rPr>
              <w:t>1.3438t</w:t>
            </w:r>
            <w:r>
              <w:rPr>
                <w:rFonts w:ascii="Times New Roman" w:hAnsi="Times New Roman" w:eastAsia="Times New Roman" w:cs="Times New Roman"/>
                <w:spacing w:val="46"/>
                <w:sz w:val="24"/>
                <w:szCs w:val="24"/>
              </w:rPr>
              <w:t xml:space="preserve"> </w:t>
            </w:r>
            <w:r>
              <w:rPr>
                <w:rFonts w:ascii="宋体" w:hAnsi="宋体" w:eastAsia="宋体" w:cs="宋体"/>
                <w:spacing w:val="-11"/>
                <w:sz w:val="24"/>
                <w:szCs w:val="24"/>
              </w:rPr>
              <w:t>。</w:t>
            </w:r>
            <w:r>
              <w:rPr>
                <w:rFonts w:ascii="宋体" w:hAnsi="宋体" w:eastAsia="宋体" w:cs="宋体"/>
                <w:spacing w:val="-33"/>
                <w:sz w:val="24"/>
                <w:szCs w:val="24"/>
              </w:rPr>
              <w:t xml:space="preserve"> </w:t>
            </w:r>
            <w:r>
              <w:rPr>
                <w:rFonts w:ascii="宋体" w:hAnsi="宋体" w:eastAsia="宋体" w:cs="宋体"/>
                <w:spacing w:val="-11"/>
                <w:sz w:val="24"/>
                <w:szCs w:val="24"/>
              </w:rPr>
              <w:t>项 目</w:t>
            </w:r>
            <w:r>
              <w:rPr>
                <w:rFonts w:ascii="宋体" w:hAnsi="宋体" w:eastAsia="宋体" w:cs="宋体"/>
                <w:spacing w:val="-28"/>
                <w:sz w:val="24"/>
                <w:szCs w:val="24"/>
              </w:rPr>
              <w:t xml:space="preserve"> </w:t>
            </w:r>
            <w:r>
              <w:rPr>
                <w:rFonts w:ascii="宋体" w:hAnsi="宋体" w:eastAsia="宋体" w:cs="宋体"/>
                <w:spacing w:val="-11"/>
                <w:sz w:val="24"/>
                <w:szCs w:val="24"/>
              </w:rPr>
              <w:t>改</w:t>
            </w:r>
            <w:r>
              <w:rPr>
                <w:rFonts w:ascii="宋体" w:hAnsi="宋体" w:eastAsia="宋体" w:cs="宋体"/>
                <w:spacing w:val="-36"/>
                <w:sz w:val="24"/>
                <w:szCs w:val="24"/>
              </w:rPr>
              <w:t xml:space="preserve"> </w:t>
            </w:r>
            <w:r>
              <w:rPr>
                <w:rFonts w:ascii="宋体" w:hAnsi="宋体" w:eastAsia="宋体" w:cs="宋体"/>
                <w:spacing w:val="-11"/>
                <w:sz w:val="24"/>
                <w:szCs w:val="24"/>
              </w:rPr>
              <w:t>扩</w:t>
            </w:r>
            <w:r>
              <w:rPr>
                <w:rFonts w:ascii="宋体" w:hAnsi="宋体" w:eastAsia="宋体" w:cs="宋体"/>
                <w:spacing w:val="-33"/>
                <w:sz w:val="24"/>
                <w:szCs w:val="24"/>
              </w:rPr>
              <w:t xml:space="preserve"> </w:t>
            </w:r>
            <w:r>
              <w:rPr>
                <w:rFonts w:ascii="宋体" w:hAnsi="宋体" w:eastAsia="宋体" w:cs="宋体"/>
                <w:spacing w:val="-11"/>
                <w:sz w:val="24"/>
                <w:szCs w:val="24"/>
              </w:rPr>
              <w:t>建</w:t>
            </w:r>
            <w:r>
              <w:rPr>
                <w:rFonts w:ascii="宋体" w:hAnsi="宋体" w:eastAsia="宋体" w:cs="宋体"/>
                <w:spacing w:val="-32"/>
                <w:sz w:val="24"/>
                <w:szCs w:val="24"/>
              </w:rPr>
              <w:t xml:space="preserve"> </w:t>
            </w:r>
            <w:r>
              <w:rPr>
                <w:rFonts w:ascii="宋体" w:hAnsi="宋体" w:eastAsia="宋体" w:cs="宋体"/>
                <w:spacing w:val="-11"/>
                <w:sz w:val="24"/>
                <w:szCs w:val="24"/>
              </w:rPr>
              <w:t>后</w:t>
            </w:r>
            <w:r>
              <w:rPr>
                <w:rFonts w:ascii="宋体" w:hAnsi="宋体" w:eastAsia="宋体" w:cs="宋体"/>
                <w:spacing w:val="-34"/>
                <w:sz w:val="24"/>
                <w:szCs w:val="24"/>
              </w:rPr>
              <w:t xml:space="preserve"> </w:t>
            </w:r>
            <w:r>
              <w:rPr>
                <w:rFonts w:ascii="宋体" w:hAnsi="宋体" w:eastAsia="宋体" w:cs="宋体"/>
                <w:spacing w:val="-11"/>
                <w:sz w:val="24"/>
                <w:szCs w:val="24"/>
              </w:rPr>
              <w:t>危</w:t>
            </w:r>
            <w:r>
              <w:rPr>
                <w:rFonts w:ascii="宋体" w:hAnsi="宋体" w:eastAsia="宋体" w:cs="宋体"/>
                <w:spacing w:val="-35"/>
                <w:sz w:val="24"/>
                <w:szCs w:val="24"/>
              </w:rPr>
              <w:t xml:space="preserve"> </w:t>
            </w:r>
            <w:r>
              <w:rPr>
                <w:rFonts w:ascii="微软雅黑" w:hAnsi="微软雅黑" w:eastAsia="微软雅黑" w:cs="微软雅黑"/>
                <w:spacing w:val="-11"/>
                <w:sz w:val="24"/>
                <w:szCs w:val="24"/>
              </w:rPr>
              <w:t>废</w:t>
            </w:r>
            <w:r>
              <w:rPr>
                <w:rFonts w:ascii="微软雅黑" w:hAnsi="微软雅黑" w:eastAsia="微软雅黑" w:cs="微软雅黑"/>
                <w:spacing w:val="20"/>
                <w:sz w:val="24"/>
                <w:szCs w:val="24"/>
              </w:rPr>
              <w:t xml:space="preserve"> </w:t>
            </w:r>
            <w:r>
              <w:rPr>
                <w:rFonts w:ascii="宋体" w:hAnsi="宋体" w:eastAsia="宋体" w:cs="宋体"/>
                <w:spacing w:val="-11"/>
                <w:sz w:val="24"/>
                <w:szCs w:val="24"/>
              </w:rPr>
              <w:t>暂</w:t>
            </w:r>
            <w:r>
              <w:rPr>
                <w:rFonts w:ascii="宋体" w:hAnsi="宋体" w:eastAsia="宋体" w:cs="宋体"/>
                <w:spacing w:val="-37"/>
                <w:sz w:val="24"/>
                <w:szCs w:val="24"/>
              </w:rPr>
              <w:t xml:space="preserve"> </w:t>
            </w:r>
            <w:r>
              <w:rPr>
                <w:rFonts w:ascii="宋体" w:hAnsi="宋体" w:eastAsia="宋体" w:cs="宋体"/>
                <w:spacing w:val="-11"/>
                <w:sz w:val="24"/>
                <w:szCs w:val="24"/>
              </w:rPr>
              <w:t>存 间</w:t>
            </w:r>
            <w:r>
              <w:rPr>
                <w:rFonts w:ascii="宋体" w:hAnsi="宋体" w:eastAsia="宋体" w:cs="宋体"/>
                <w:spacing w:val="-34"/>
                <w:sz w:val="24"/>
                <w:szCs w:val="24"/>
              </w:rPr>
              <w:t xml:space="preserve"> </w:t>
            </w:r>
            <w:r>
              <w:rPr>
                <w:rFonts w:ascii="宋体" w:hAnsi="宋体" w:eastAsia="宋体" w:cs="宋体"/>
                <w:spacing w:val="-11"/>
                <w:sz w:val="24"/>
                <w:szCs w:val="24"/>
              </w:rPr>
              <w:t>危</w:t>
            </w:r>
            <w:r>
              <w:rPr>
                <w:rFonts w:ascii="宋体" w:hAnsi="宋体" w:eastAsia="宋体" w:cs="宋体"/>
                <w:spacing w:val="-38"/>
                <w:sz w:val="24"/>
                <w:szCs w:val="24"/>
              </w:rPr>
              <w:t xml:space="preserve"> </w:t>
            </w:r>
            <w:r>
              <w:rPr>
                <w:rFonts w:ascii="微软雅黑" w:hAnsi="微软雅黑" w:eastAsia="微软雅黑" w:cs="微软雅黑"/>
                <w:spacing w:val="-11"/>
                <w:sz w:val="24"/>
                <w:szCs w:val="24"/>
              </w:rPr>
              <w:t>废</w:t>
            </w:r>
            <w:r>
              <w:rPr>
                <w:rFonts w:ascii="微软雅黑" w:hAnsi="微软雅黑" w:eastAsia="微软雅黑" w:cs="微软雅黑"/>
                <w:spacing w:val="16"/>
                <w:sz w:val="24"/>
                <w:szCs w:val="24"/>
              </w:rPr>
              <w:t xml:space="preserve"> </w:t>
            </w:r>
            <w:r>
              <w:rPr>
                <w:rFonts w:ascii="宋体" w:hAnsi="宋体" w:eastAsia="宋体" w:cs="宋体"/>
                <w:spacing w:val="-11"/>
                <w:sz w:val="24"/>
                <w:szCs w:val="24"/>
              </w:rPr>
              <w:t>最</w:t>
            </w:r>
            <w:r>
              <w:rPr>
                <w:rFonts w:ascii="宋体" w:hAnsi="宋体" w:eastAsia="宋体" w:cs="宋体"/>
                <w:spacing w:val="-34"/>
                <w:sz w:val="24"/>
                <w:szCs w:val="24"/>
              </w:rPr>
              <w:t xml:space="preserve"> </w:t>
            </w:r>
            <w:r>
              <w:rPr>
                <w:rFonts w:ascii="宋体" w:hAnsi="宋体" w:eastAsia="宋体" w:cs="宋体"/>
                <w:spacing w:val="-11"/>
                <w:sz w:val="24"/>
                <w:szCs w:val="24"/>
              </w:rPr>
              <w:t>大</w:t>
            </w:r>
            <w:r>
              <w:rPr>
                <w:rFonts w:ascii="宋体" w:hAnsi="宋体" w:eastAsia="宋体" w:cs="宋体"/>
                <w:spacing w:val="-34"/>
                <w:sz w:val="24"/>
                <w:szCs w:val="24"/>
              </w:rPr>
              <w:t xml:space="preserve"> </w:t>
            </w:r>
            <w:r>
              <w:rPr>
                <w:rFonts w:ascii="宋体" w:hAnsi="宋体" w:eastAsia="宋体" w:cs="宋体"/>
                <w:spacing w:val="-11"/>
                <w:sz w:val="24"/>
                <w:szCs w:val="24"/>
              </w:rPr>
              <w:t>存</w:t>
            </w:r>
            <w:r>
              <w:rPr>
                <w:rFonts w:ascii="宋体" w:hAnsi="宋体" w:eastAsia="宋体" w:cs="宋体"/>
                <w:spacing w:val="-38"/>
                <w:sz w:val="24"/>
                <w:szCs w:val="24"/>
              </w:rPr>
              <w:t xml:space="preserve"> </w:t>
            </w:r>
            <w:r>
              <w:rPr>
                <w:rFonts w:ascii="宋体" w:hAnsi="宋体" w:eastAsia="宋体" w:cs="宋体"/>
                <w:spacing w:val="-11"/>
                <w:sz w:val="24"/>
                <w:szCs w:val="24"/>
              </w:rPr>
              <w:t>储</w:t>
            </w:r>
            <w:r>
              <w:rPr>
                <w:rFonts w:ascii="宋体" w:hAnsi="宋体" w:eastAsia="宋体" w:cs="宋体"/>
                <w:spacing w:val="-28"/>
                <w:sz w:val="24"/>
                <w:szCs w:val="24"/>
              </w:rPr>
              <w:t xml:space="preserve"> </w:t>
            </w:r>
            <w:r>
              <w:rPr>
                <w:rFonts w:ascii="微软雅黑" w:hAnsi="微软雅黑" w:eastAsia="微软雅黑" w:cs="微软雅黑"/>
                <w:spacing w:val="-11"/>
                <w:sz w:val="24"/>
                <w:szCs w:val="24"/>
              </w:rPr>
              <w:t>量</w:t>
            </w:r>
            <w:r>
              <w:rPr>
                <w:rFonts w:ascii="微软雅黑" w:hAnsi="微软雅黑" w:eastAsia="微软雅黑" w:cs="微软雅黑"/>
                <w:spacing w:val="16"/>
                <w:sz w:val="24"/>
                <w:szCs w:val="24"/>
              </w:rPr>
              <w:t xml:space="preserve"> </w:t>
            </w:r>
            <w:r>
              <w:rPr>
                <w:rFonts w:ascii="宋体" w:hAnsi="宋体" w:eastAsia="宋体" w:cs="宋体"/>
                <w:spacing w:val="-11"/>
                <w:sz w:val="24"/>
                <w:szCs w:val="24"/>
              </w:rPr>
              <w:t>为</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pacing w:val="-2"/>
                <w:sz w:val="24"/>
                <w:szCs w:val="24"/>
              </w:rPr>
              <w:t>112+1.3455=2.4575t</w:t>
            </w:r>
            <w:r>
              <w:rPr>
                <w:rFonts w:ascii="宋体" w:hAnsi="宋体" w:eastAsia="宋体" w:cs="宋体"/>
                <w:spacing w:val="-2"/>
                <w:sz w:val="24"/>
                <w:szCs w:val="24"/>
              </w:rPr>
              <w:t>＜</w:t>
            </w:r>
            <w:r>
              <w:rPr>
                <w:rFonts w:ascii="Times New Roman" w:hAnsi="Times New Roman" w:eastAsia="Times New Roman" w:cs="Times New Roman"/>
                <w:spacing w:val="-2"/>
                <w:sz w:val="24"/>
                <w:szCs w:val="24"/>
              </w:rPr>
              <w:t>10t</w:t>
            </w:r>
            <w:r>
              <w:rPr>
                <w:rFonts w:ascii="Times New Roman" w:hAnsi="Times New Roman" w:eastAsia="Times New Roman" w:cs="Times New Roman"/>
                <w:spacing w:val="-30"/>
                <w:sz w:val="24"/>
                <w:szCs w:val="24"/>
              </w:rPr>
              <w:t xml:space="preserve"> </w:t>
            </w:r>
            <w:r>
              <w:rPr>
                <w:rFonts w:ascii="宋体" w:hAnsi="宋体" w:eastAsia="宋体" w:cs="宋体"/>
                <w:spacing w:val="-2"/>
                <w:sz w:val="24"/>
                <w:szCs w:val="24"/>
              </w:rPr>
              <w:t>，则改扩建项目依托使用现有危</w:t>
            </w:r>
            <w:r>
              <w:rPr>
                <w:rFonts w:ascii="微软雅黑" w:hAnsi="微软雅黑" w:eastAsia="微软雅黑" w:cs="微软雅黑"/>
                <w:spacing w:val="-2"/>
                <w:sz w:val="24"/>
                <w:szCs w:val="24"/>
              </w:rPr>
              <w:t>废</w:t>
            </w:r>
            <w:r>
              <w:rPr>
                <w:rFonts w:ascii="宋体" w:hAnsi="宋体" w:eastAsia="宋体" w:cs="宋体"/>
                <w:spacing w:val="-2"/>
                <w:sz w:val="24"/>
                <w:szCs w:val="24"/>
              </w:rPr>
              <w:t>暂存间可行。</w:t>
            </w:r>
          </w:p>
          <w:p w14:paraId="58A41919">
            <w:pPr>
              <w:spacing w:line="219" w:lineRule="auto"/>
              <w:ind w:left="587"/>
              <w:rPr>
                <w:rFonts w:ascii="宋体" w:hAnsi="宋体" w:eastAsia="宋体" w:cs="宋体"/>
                <w:sz w:val="24"/>
                <w:szCs w:val="24"/>
              </w:rPr>
            </w:pPr>
            <w:r>
              <w:rPr>
                <w:rFonts w:ascii="Times New Roman" w:hAnsi="Times New Roman" w:eastAsia="Times New Roman" w:cs="Times New Roman"/>
                <w:b/>
                <w:bCs/>
                <w:spacing w:val="-5"/>
                <w:sz w:val="24"/>
                <w:szCs w:val="24"/>
              </w:rPr>
              <w:t>6</w:t>
            </w:r>
            <w:r>
              <w:rPr>
                <w:rFonts w:ascii="Times New Roman" w:hAnsi="Times New Roman" w:eastAsia="Times New Roman" w:cs="Times New Roman"/>
                <w:b/>
                <w:bCs/>
                <w:spacing w:val="-31"/>
                <w:sz w:val="24"/>
                <w:szCs w:val="24"/>
              </w:rPr>
              <w:t xml:space="preserve"> </w:t>
            </w:r>
            <w:r>
              <w:rPr>
                <w:rFonts w:ascii="宋体" w:hAnsi="宋体" w:eastAsia="宋体" w:cs="宋体"/>
                <w:b/>
                <w:bCs/>
                <w:spacing w:val="-5"/>
                <w:sz w:val="24"/>
                <w:szCs w:val="24"/>
              </w:rPr>
              <w:t>、危废储存、管理要求：</w:t>
            </w:r>
          </w:p>
          <w:p w14:paraId="5AC7E532">
            <w:pPr>
              <w:spacing w:before="183" w:line="219" w:lineRule="auto"/>
              <w:ind w:left="599"/>
              <w:rPr>
                <w:rFonts w:ascii="宋体" w:hAnsi="宋体" w:eastAsia="宋体" w:cs="宋体"/>
                <w:sz w:val="24"/>
                <w:szCs w:val="24"/>
              </w:rPr>
            </w:pPr>
            <w:r>
              <w:rPr>
                <w:rFonts w:ascii="宋体" w:hAnsi="宋体" w:eastAsia="宋体" w:cs="宋体"/>
                <w:b/>
                <w:bCs/>
                <w:spacing w:val="-6"/>
                <w:sz w:val="24"/>
                <w:szCs w:val="24"/>
              </w:rPr>
              <w:t>（</w:t>
            </w:r>
            <w:r>
              <w:rPr>
                <w:rFonts w:ascii="Times New Roman" w:hAnsi="Times New Roman" w:eastAsia="Times New Roman" w:cs="Times New Roman"/>
                <w:b/>
                <w:bCs/>
                <w:spacing w:val="-6"/>
                <w:sz w:val="24"/>
                <w:szCs w:val="24"/>
              </w:rPr>
              <w:t>1</w:t>
            </w:r>
            <w:r>
              <w:rPr>
                <w:rFonts w:ascii="宋体" w:hAnsi="宋体" w:eastAsia="宋体" w:cs="宋体"/>
                <w:b/>
                <w:bCs/>
                <w:spacing w:val="-6"/>
                <w:sz w:val="24"/>
                <w:szCs w:val="24"/>
              </w:rPr>
              <w:t>）储存</w:t>
            </w:r>
          </w:p>
          <w:p w14:paraId="2F60D958">
            <w:pPr>
              <w:spacing w:before="177" w:line="356" w:lineRule="auto"/>
              <w:ind w:left="107" w:right="71" w:firstLine="483"/>
              <w:jc w:val="both"/>
              <w:rPr>
                <w:rFonts w:ascii="宋体" w:hAnsi="宋体" w:eastAsia="宋体" w:cs="宋体"/>
                <w:sz w:val="24"/>
                <w:szCs w:val="24"/>
              </w:rPr>
            </w:pPr>
            <w:r>
              <w:rPr>
                <w:rFonts w:ascii="宋体" w:hAnsi="宋体" w:eastAsia="宋体" w:cs="宋体"/>
                <w:spacing w:val="-2"/>
                <w:sz w:val="24"/>
                <w:szCs w:val="24"/>
              </w:rPr>
              <w:t>厂区已建设</w:t>
            </w:r>
            <w:r>
              <w:rPr>
                <w:rFonts w:ascii="宋体" w:hAnsi="宋体" w:eastAsia="宋体" w:cs="宋体"/>
                <w:spacing w:val="-19"/>
                <w:sz w:val="24"/>
                <w:szCs w:val="24"/>
              </w:rPr>
              <w:t xml:space="preserve"> </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31"/>
                <w:sz w:val="24"/>
                <w:szCs w:val="24"/>
              </w:rPr>
              <w:t xml:space="preserve"> </w:t>
            </w:r>
            <w:r>
              <w:rPr>
                <w:rFonts w:ascii="宋体" w:hAnsi="宋体" w:eastAsia="宋体" w:cs="宋体"/>
                <w:spacing w:val="-2"/>
                <w:sz w:val="24"/>
                <w:szCs w:val="24"/>
              </w:rPr>
              <w:t>间</w:t>
            </w:r>
            <w:r>
              <w:rPr>
                <w:rFonts w:ascii="宋体" w:hAnsi="宋体" w:eastAsia="宋体" w:cs="宋体"/>
                <w:spacing w:val="-30"/>
                <w:sz w:val="24"/>
                <w:szCs w:val="24"/>
              </w:rPr>
              <w:t xml:space="preserve"> </w:t>
            </w:r>
            <w:r>
              <w:rPr>
                <w:rFonts w:ascii="Times New Roman" w:hAnsi="Times New Roman" w:eastAsia="Times New Roman" w:cs="Times New Roman"/>
                <w:spacing w:val="-2"/>
                <w:sz w:val="24"/>
                <w:szCs w:val="24"/>
              </w:rPr>
              <w:t>10m</w:t>
            </w:r>
            <w:r>
              <w:rPr>
                <w:rFonts w:ascii="Times New Roman" w:hAnsi="Times New Roman" w:eastAsia="Times New Roman" w:cs="Times New Roman"/>
                <w:spacing w:val="-2"/>
                <w:position w:val="8"/>
                <w:sz w:val="15"/>
                <w:szCs w:val="15"/>
              </w:rPr>
              <w:t>2</w:t>
            </w:r>
            <w:r>
              <w:rPr>
                <w:rFonts w:ascii="Times New Roman" w:hAnsi="Times New Roman" w:eastAsia="Times New Roman" w:cs="Times New Roman"/>
                <w:spacing w:val="31"/>
                <w:w w:val="102"/>
                <w:position w:val="8"/>
                <w:sz w:val="15"/>
                <w:szCs w:val="15"/>
              </w:rPr>
              <w:t xml:space="preserve"> </w:t>
            </w:r>
            <w:r>
              <w:rPr>
                <w:rFonts w:ascii="宋体" w:hAnsi="宋体" w:eastAsia="宋体" w:cs="宋体"/>
                <w:spacing w:val="-2"/>
                <w:sz w:val="24"/>
                <w:szCs w:val="24"/>
              </w:rPr>
              <w:t>的危废暂存间，本项目废机油与废旧活性炭暂存于危废暂存间，危废暂存间内新增盛装桶、托盘，并定期委托有资质单位清运处置。根据《昆</w:t>
            </w:r>
            <w:r>
              <w:rPr>
                <w:rFonts w:ascii="宋体" w:hAnsi="宋体" w:eastAsia="宋体" w:cs="宋体"/>
                <w:spacing w:val="1"/>
                <w:sz w:val="24"/>
                <w:szCs w:val="24"/>
              </w:rPr>
              <w:t>明欧铂瑞木制品有限公司年产</w:t>
            </w:r>
            <w:r>
              <w:rPr>
                <w:rFonts w:ascii="宋体" w:hAnsi="宋体" w:eastAsia="宋体" w:cs="宋体"/>
                <w:spacing w:val="-48"/>
                <w:sz w:val="24"/>
                <w:szCs w:val="24"/>
              </w:rPr>
              <w:t xml:space="preserve"> </w:t>
            </w:r>
            <w:r>
              <w:rPr>
                <w:rFonts w:ascii="Times New Roman" w:hAnsi="Times New Roman" w:eastAsia="Times New Roman" w:cs="Times New Roman"/>
                <w:spacing w:val="1"/>
                <w:sz w:val="24"/>
                <w:szCs w:val="24"/>
              </w:rPr>
              <w:t xml:space="preserve">3 </w:t>
            </w:r>
            <w:r>
              <w:rPr>
                <w:rFonts w:ascii="宋体" w:hAnsi="宋体" w:eastAsia="宋体" w:cs="宋体"/>
                <w:spacing w:val="1"/>
                <w:sz w:val="24"/>
                <w:szCs w:val="24"/>
              </w:rPr>
              <w:t>万</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7"/>
                <w:w w:val="101"/>
                <w:position w:val="8"/>
                <w:sz w:val="15"/>
                <w:szCs w:val="15"/>
              </w:rPr>
              <w:t xml:space="preserve"> </w:t>
            </w:r>
            <w:r>
              <w:rPr>
                <w:rFonts w:ascii="宋体" w:hAnsi="宋体" w:eastAsia="宋体" w:cs="宋体"/>
                <w:spacing w:val="1"/>
                <w:sz w:val="24"/>
                <w:szCs w:val="24"/>
              </w:rPr>
              <w:t>免漆生态板及深加工生产</w:t>
            </w:r>
            <w:r>
              <w:rPr>
                <w:rFonts w:ascii="宋体" w:hAnsi="宋体" w:eastAsia="宋体" w:cs="宋体"/>
                <w:sz w:val="24"/>
                <w:szCs w:val="24"/>
              </w:rPr>
              <w:t>线项目竣工环境保护</w:t>
            </w:r>
            <w:r>
              <w:rPr>
                <w:rFonts w:ascii="宋体" w:hAnsi="宋体" w:eastAsia="宋体" w:cs="宋体"/>
                <w:spacing w:val="-1"/>
                <w:sz w:val="24"/>
                <w:szCs w:val="24"/>
              </w:rPr>
              <w:t>验收监测报告表》及验收意见，已建危废暂存间已按《危险废物贮存污染控制标准》</w:t>
            </w:r>
            <w:r>
              <w:rPr>
                <w:rFonts w:ascii="宋体" w:hAnsi="宋体" w:eastAsia="宋体" w:cs="宋体"/>
                <w:spacing w:val="13"/>
                <w:sz w:val="24"/>
                <w:szCs w:val="24"/>
              </w:rPr>
              <w:t xml:space="preserve"> </w:t>
            </w:r>
            <w:r>
              <w:rPr>
                <w:rFonts w:ascii="宋体" w:hAnsi="宋体" w:eastAsia="宋体" w:cs="宋体"/>
                <w:sz w:val="24"/>
                <w:szCs w:val="24"/>
              </w:rPr>
              <w:t>（</w:t>
            </w:r>
            <w:r>
              <w:rPr>
                <w:rFonts w:ascii="Times New Roman" w:hAnsi="Times New Roman" w:eastAsia="Times New Roman" w:cs="Times New Roman"/>
                <w:sz w:val="24"/>
                <w:szCs w:val="24"/>
              </w:rPr>
              <w:t>GB18597-2023</w:t>
            </w:r>
            <w:r>
              <w:rPr>
                <w:rFonts w:ascii="宋体" w:hAnsi="宋体" w:eastAsia="宋体" w:cs="宋体"/>
                <w:sz w:val="24"/>
                <w:szCs w:val="24"/>
              </w:rPr>
              <w:t>）要求建设，已采用混凝土硬化</w:t>
            </w:r>
            <w:r>
              <w:rPr>
                <w:rFonts w:ascii="Times New Roman" w:hAnsi="Times New Roman" w:eastAsia="Times New Roman" w:cs="Times New Roman"/>
                <w:sz w:val="24"/>
                <w:szCs w:val="24"/>
              </w:rPr>
              <w:t>+</w:t>
            </w:r>
            <w:r>
              <w:rPr>
                <w:rFonts w:ascii="宋体" w:hAnsi="宋体" w:eastAsia="宋体" w:cs="宋体"/>
                <w:sz w:val="24"/>
                <w:szCs w:val="24"/>
              </w:rPr>
              <w:t>对墙面地面涂刷环</w:t>
            </w:r>
            <w:r>
              <w:rPr>
                <w:rFonts w:ascii="宋体" w:hAnsi="宋体" w:eastAsia="宋体" w:cs="宋体"/>
                <w:spacing w:val="-1"/>
                <w:sz w:val="24"/>
                <w:szCs w:val="24"/>
              </w:rPr>
              <w:t>氧树脂漆进行防</w:t>
            </w:r>
          </w:p>
        </w:tc>
      </w:tr>
    </w:tbl>
    <w:p w14:paraId="7D376845">
      <w:pPr>
        <w:pStyle w:val="2"/>
      </w:pPr>
    </w:p>
    <w:p w14:paraId="2807FB4E">
      <w:pPr>
        <w:sectPr>
          <w:footerReference r:id="rId104" w:type="default"/>
          <w:pgSz w:w="11906" w:h="16839"/>
          <w:pgMar w:top="400" w:right="1055" w:bottom="1085" w:left="1054" w:header="0" w:footer="762" w:gutter="0"/>
          <w:cols w:space="720" w:num="1"/>
        </w:sectPr>
      </w:pPr>
    </w:p>
    <w:p w14:paraId="0F06A628">
      <w:pPr>
        <w:spacing w:before="19"/>
      </w:pPr>
    </w:p>
    <w:p w14:paraId="00FD05E7">
      <w:pPr>
        <w:spacing w:before="19"/>
      </w:pPr>
    </w:p>
    <w:p w14:paraId="47696185">
      <w:pPr>
        <w:spacing w:before="19"/>
      </w:pPr>
    </w:p>
    <w:p w14:paraId="13AADDBA">
      <w:pPr>
        <w:spacing w:before="18"/>
      </w:pPr>
    </w:p>
    <w:p w14:paraId="2532E336">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6C560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00" w:hRule="atLeast"/>
        </w:trPr>
        <w:tc>
          <w:tcPr>
            <w:tcW w:w="734" w:type="dxa"/>
            <w:tcBorders>
              <w:right w:val="single" w:color="000000" w:sz="2" w:space="0"/>
            </w:tcBorders>
            <w:vAlign w:val="top"/>
          </w:tcPr>
          <w:p w14:paraId="26D0B996">
            <w:pPr>
              <w:rPr>
                <w:rFonts w:ascii="Arial"/>
                <w:sz w:val="21"/>
              </w:rPr>
            </w:pPr>
          </w:p>
        </w:tc>
        <w:tc>
          <w:tcPr>
            <w:tcW w:w="9047" w:type="dxa"/>
            <w:tcBorders>
              <w:left w:val="single" w:color="000000" w:sz="2" w:space="0"/>
            </w:tcBorders>
            <w:vAlign w:val="top"/>
          </w:tcPr>
          <w:p w14:paraId="7BFAE0C7">
            <w:pPr>
              <w:spacing w:before="41" w:line="359" w:lineRule="auto"/>
              <w:ind w:left="107" w:right="102" w:firstLine="2"/>
              <w:jc w:val="both"/>
              <w:rPr>
                <w:rFonts w:ascii="宋体" w:hAnsi="宋体" w:eastAsia="宋体" w:cs="宋体"/>
                <w:sz w:val="24"/>
                <w:szCs w:val="24"/>
              </w:rPr>
            </w:pPr>
            <w:r>
              <w:rPr>
                <w:rFonts w:ascii="宋体" w:hAnsi="宋体" w:eastAsia="宋体" w:cs="宋体"/>
                <w:spacing w:val="1"/>
                <w:sz w:val="24"/>
                <w:szCs w:val="24"/>
              </w:rPr>
              <w:t>渗，防渗系数</w:t>
            </w:r>
            <w:r>
              <w:rPr>
                <w:rFonts w:ascii="Times New Roman" w:hAnsi="Times New Roman" w:eastAsia="Times New Roman" w:cs="Times New Roman"/>
                <w:spacing w:val="1"/>
                <w:sz w:val="24"/>
                <w:szCs w:val="24"/>
              </w:rPr>
              <w:t>≤1×10</w:t>
            </w:r>
            <w:r>
              <w:rPr>
                <w:rFonts w:ascii="Times New Roman" w:hAnsi="Times New Roman" w:eastAsia="Times New Roman" w:cs="Times New Roman"/>
                <w:spacing w:val="1"/>
                <w:position w:val="7"/>
                <w:sz w:val="15"/>
                <w:szCs w:val="15"/>
              </w:rPr>
              <w:t>-</w:t>
            </w:r>
            <w:r>
              <w:rPr>
                <w:rFonts w:ascii="Times New Roman" w:hAnsi="Times New Roman" w:eastAsia="Times New Roman" w:cs="Times New Roman"/>
                <w:spacing w:val="-8"/>
                <w:position w:val="7"/>
                <w:sz w:val="15"/>
                <w:szCs w:val="15"/>
              </w:rPr>
              <w:t xml:space="preserve"> </w:t>
            </w:r>
            <w:r>
              <w:rPr>
                <w:rFonts w:ascii="Times New Roman" w:hAnsi="Times New Roman" w:eastAsia="Times New Roman" w:cs="Times New Roman"/>
                <w:spacing w:val="1"/>
                <w:position w:val="7"/>
                <w:sz w:val="15"/>
                <w:szCs w:val="15"/>
              </w:rPr>
              <w:t>10</w:t>
            </w:r>
            <w:r>
              <w:rPr>
                <w:rFonts w:ascii="Times New Roman" w:hAnsi="Times New Roman" w:eastAsia="Times New Roman" w:cs="Times New Roman"/>
                <w:sz w:val="24"/>
                <w:szCs w:val="24"/>
              </w:rPr>
              <w:t>cm</w:t>
            </w:r>
            <w:r>
              <w:rPr>
                <w:rFonts w:ascii="Times New Roman" w:hAnsi="Times New Roman" w:eastAsia="Times New Roman" w:cs="Times New Roman"/>
                <w:spacing w:val="1"/>
                <w:sz w:val="24"/>
                <w:szCs w:val="24"/>
              </w:rPr>
              <w:t>/s</w:t>
            </w:r>
            <w:r>
              <w:rPr>
                <w:rFonts w:ascii="Times New Roman" w:hAnsi="Times New Roman" w:eastAsia="Times New Roman" w:cs="Times New Roman"/>
                <w:spacing w:val="-28"/>
                <w:sz w:val="24"/>
                <w:szCs w:val="24"/>
              </w:rPr>
              <w:t xml:space="preserve"> </w:t>
            </w:r>
            <w:r>
              <w:rPr>
                <w:rFonts w:ascii="宋体" w:hAnsi="宋体" w:eastAsia="宋体" w:cs="宋体"/>
                <w:spacing w:val="1"/>
                <w:sz w:val="24"/>
                <w:szCs w:val="24"/>
              </w:rPr>
              <w:t>，并设置围堰、托盘，按《危险废物识别标志设置技术规</w:t>
            </w:r>
            <w:r>
              <w:rPr>
                <w:rFonts w:ascii="宋体" w:hAnsi="宋体" w:eastAsia="宋体" w:cs="宋体"/>
                <w:spacing w:val="2"/>
                <w:sz w:val="24"/>
                <w:szCs w:val="24"/>
              </w:rPr>
              <w:t>范》（</w:t>
            </w:r>
            <w:r>
              <w:rPr>
                <w:rFonts w:ascii="Times New Roman" w:hAnsi="Times New Roman" w:eastAsia="Times New Roman" w:cs="Times New Roman"/>
                <w:sz w:val="24"/>
                <w:szCs w:val="24"/>
              </w:rPr>
              <w:t>HJ</w:t>
            </w:r>
            <w:r>
              <w:rPr>
                <w:rFonts w:ascii="Times New Roman" w:hAnsi="Times New Roman" w:eastAsia="Times New Roman" w:cs="Times New Roman"/>
                <w:spacing w:val="2"/>
                <w:sz w:val="24"/>
                <w:szCs w:val="24"/>
              </w:rPr>
              <w:t>1276-2022</w:t>
            </w:r>
            <w:r>
              <w:rPr>
                <w:rFonts w:ascii="宋体" w:hAnsi="宋体" w:eastAsia="宋体" w:cs="宋体"/>
                <w:spacing w:val="10"/>
                <w:sz w:val="24"/>
                <w:szCs w:val="24"/>
              </w:rPr>
              <w:t>），</w:t>
            </w:r>
            <w:r>
              <w:rPr>
                <w:rFonts w:ascii="宋体" w:hAnsi="宋体" w:eastAsia="宋体" w:cs="宋体"/>
                <w:spacing w:val="2"/>
                <w:sz w:val="24"/>
                <w:szCs w:val="24"/>
              </w:rPr>
              <w:t>设立警示标志，门</w:t>
            </w:r>
            <w:r>
              <w:rPr>
                <w:rFonts w:ascii="宋体" w:hAnsi="宋体" w:eastAsia="宋体" w:cs="宋体"/>
                <w:spacing w:val="1"/>
                <w:sz w:val="24"/>
                <w:szCs w:val="24"/>
              </w:rPr>
              <w:t>口需粘贴标准规范的危险废物标识和危废</w:t>
            </w:r>
            <w:r>
              <w:rPr>
                <w:rFonts w:ascii="宋体" w:hAnsi="宋体" w:eastAsia="宋体" w:cs="宋体"/>
                <w:spacing w:val="-1"/>
                <w:sz w:val="24"/>
                <w:szCs w:val="24"/>
              </w:rPr>
              <w:t>信息板，屋内粘贴企业《危险废物管理制度</w:t>
            </w:r>
            <w:r>
              <w:rPr>
                <w:rFonts w:ascii="宋体" w:hAnsi="宋体" w:eastAsia="宋体" w:cs="宋体"/>
                <w:spacing w:val="-2"/>
                <w:sz w:val="24"/>
                <w:szCs w:val="24"/>
              </w:rPr>
              <w:t>》，盛装危险废物的容器上必须粘贴危险</w:t>
            </w:r>
            <w:r>
              <w:rPr>
                <w:rFonts w:ascii="宋体" w:hAnsi="宋体" w:eastAsia="宋体" w:cs="宋体"/>
                <w:spacing w:val="-1"/>
                <w:sz w:val="24"/>
                <w:szCs w:val="24"/>
              </w:rPr>
              <w:t>废物标签。厂区现有危废为废机油、含油固</w:t>
            </w:r>
            <w:r>
              <w:rPr>
                <w:rFonts w:ascii="宋体" w:hAnsi="宋体" w:eastAsia="宋体" w:cs="宋体"/>
                <w:spacing w:val="-2"/>
                <w:sz w:val="24"/>
                <w:szCs w:val="24"/>
              </w:rPr>
              <w:t>废、废胶桶等，分类盛装，暂存于危废暂</w:t>
            </w:r>
            <w:r>
              <w:rPr>
                <w:rFonts w:ascii="宋体" w:hAnsi="宋体" w:eastAsia="宋体" w:cs="宋体"/>
                <w:spacing w:val="-1"/>
                <w:sz w:val="24"/>
                <w:szCs w:val="24"/>
              </w:rPr>
              <w:t>存间中，并设有围堰，定期委托楚雄同磊再</w:t>
            </w:r>
            <w:r>
              <w:rPr>
                <w:rFonts w:ascii="宋体" w:hAnsi="宋体" w:eastAsia="宋体" w:cs="宋体"/>
                <w:spacing w:val="-2"/>
                <w:sz w:val="24"/>
                <w:szCs w:val="24"/>
              </w:rPr>
              <w:t>生资源有限公司处置，危废暂存间建筑面</w:t>
            </w:r>
            <w:r>
              <w:rPr>
                <w:rFonts w:ascii="宋体" w:hAnsi="宋体" w:eastAsia="宋体" w:cs="宋体"/>
                <w:spacing w:val="-4"/>
                <w:sz w:val="24"/>
                <w:szCs w:val="24"/>
              </w:rPr>
              <w:t>积为</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10m</w:t>
            </w:r>
            <w:r>
              <w:rPr>
                <w:rFonts w:ascii="Times New Roman" w:hAnsi="Times New Roman" w:eastAsia="Times New Roman" w:cs="Times New Roman"/>
                <w:spacing w:val="-4"/>
                <w:position w:val="8"/>
                <w:sz w:val="15"/>
                <w:szCs w:val="15"/>
              </w:rPr>
              <w:t>2</w:t>
            </w:r>
            <w:r>
              <w:rPr>
                <w:rFonts w:ascii="Times New Roman" w:hAnsi="Times New Roman" w:eastAsia="Times New Roman" w:cs="Times New Roman"/>
                <w:spacing w:val="-8"/>
                <w:position w:val="8"/>
                <w:sz w:val="15"/>
                <w:szCs w:val="15"/>
              </w:rPr>
              <w:t xml:space="preserve"> </w:t>
            </w:r>
            <w:r>
              <w:rPr>
                <w:rFonts w:ascii="宋体" w:hAnsi="宋体" w:eastAsia="宋体" w:cs="宋体"/>
                <w:spacing w:val="-4"/>
                <w:sz w:val="24"/>
                <w:szCs w:val="24"/>
              </w:rPr>
              <w:t>，目前使用面积约为</w:t>
            </w:r>
            <w:r>
              <w:rPr>
                <w:rFonts w:ascii="宋体" w:hAnsi="宋体" w:eastAsia="宋体" w:cs="宋体"/>
                <w:spacing w:val="-55"/>
                <w:sz w:val="24"/>
                <w:szCs w:val="24"/>
              </w:rPr>
              <w:t xml:space="preserve"> </w:t>
            </w:r>
            <w:r>
              <w:rPr>
                <w:rFonts w:ascii="Times New Roman" w:hAnsi="Times New Roman" w:eastAsia="Times New Roman" w:cs="Times New Roman"/>
                <w:spacing w:val="-4"/>
                <w:sz w:val="24"/>
                <w:szCs w:val="24"/>
              </w:rPr>
              <w:t>2m</w:t>
            </w:r>
            <w:r>
              <w:rPr>
                <w:rFonts w:ascii="Times New Roman" w:hAnsi="Times New Roman" w:eastAsia="Times New Roman" w:cs="Times New Roman"/>
                <w:spacing w:val="-4"/>
                <w:position w:val="8"/>
                <w:sz w:val="15"/>
                <w:szCs w:val="15"/>
              </w:rPr>
              <w:t>2</w:t>
            </w:r>
            <w:r>
              <w:rPr>
                <w:rFonts w:ascii="宋体" w:hAnsi="宋体" w:eastAsia="宋体" w:cs="宋体"/>
                <w:spacing w:val="-4"/>
                <w:sz w:val="24"/>
                <w:szCs w:val="24"/>
              </w:rPr>
              <w:t>，本项目废机油与废旧活性炭产生量较少，尚有充</w:t>
            </w:r>
            <w:r>
              <w:rPr>
                <w:rFonts w:ascii="宋体" w:hAnsi="宋体" w:eastAsia="宋体" w:cs="宋体"/>
                <w:spacing w:val="-1"/>
                <w:sz w:val="24"/>
                <w:szCs w:val="24"/>
              </w:rPr>
              <w:t>足的空间可以暂存废机油与废旧活性炭，且</w:t>
            </w:r>
            <w:r>
              <w:rPr>
                <w:rFonts w:ascii="宋体" w:hAnsi="宋体" w:eastAsia="宋体" w:cs="宋体"/>
                <w:spacing w:val="-2"/>
                <w:sz w:val="24"/>
                <w:szCs w:val="24"/>
              </w:rPr>
              <w:t>危废暂存间设置分区贮存，各危险废物分</w:t>
            </w:r>
            <w:r>
              <w:rPr>
                <w:rFonts w:ascii="宋体" w:hAnsi="宋体" w:eastAsia="宋体" w:cs="宋体"/>
                <w:spacing w:val="-1"/>
                <w:sz w:val="24"/>
                <w:szCs w:val="24"/>
              </w:rPr>
              <w:t>类盛装，本项目废机油与废旧活性炭暂存于</w:t>
            </w:r>
            <w:r>
              <w:rPr>
                <w:rFonts w:ascii="宋体" w:hAnsi="宋体" w:eastAsia="宋体" w:cs="宋体"/>
                <w:spacing w:val="-2"/>
                <w:sz w:val="24"/>
                <w:szCs w:val="24"/>
              </w:rPr>
              <w:t>危废暂存间，定期委托有资质单位清运处置是可行的。</w:t>
            </w:r>
          </w:p>
          <w:p w14:paraId="5E2913F9">
            <w:pPr>
              <w:spacing w:line="219" w:lineRule="auto"/>
              <w:ind w:left="600"/>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2</w:t>
            </w:r>
            <w:r>
              <w:rPr>
                <w:rFonts w:ascii="宋体" w:hAnsi="宋体" w:eastAsia="宋体" w:cs="宋体"/>
                <w:b/>
                <w:bCs/>
                <w:spacing w:val="-5"/>
                <w:sz w:val="24"/>
                <w:szCs w:val="24"/>
              </w:rPr>
              <w:t>）管理要求</w:t>
            </w:r>
          </w:p>
          <w:p w14:paraId="52FBA102">
            <w:pPr>
              <w:spacing w:before="180" w:line="360" w:lineRule="auto"/>
              <w:ind w:left="109" w:right="102" w:firstLine="479"/>
              <w:rPr>
                <w:rFonts w:ascii="宋体" w:hAnsi="宋体" w:eastAsia="宋体" w:cs="宋体"/>
                <w:sz w:val="24"/>
                <w:szCs w:val="24"/>
              </w:rPr>
            </w:pPr>
            <w:r>
              <w:rPr>
                <w:rFonts w:ascii="宋体" w:hAnsi="宋体" w:eastAsia="宋体" w:cs="宋体"/>
                <w:spacing w:val="5"/>
                <w:sz w:val="24"/>
                <w:szCs w:val="24"/>
              </w:rPr>
              <w:t>①危险废物存入贮存设施前应对危险废物类别和特性与危险废物标签等危险废</w:t>
            </w:r>
            <w:r>
              <w:rPr>
                <w:rFonts w:ascii="宋体" w:hAnsi="宋体" w:eastAsia="宋体" w:cs="宋体"/>
                <w:sz w:val="24"/>
                <w:szCs w:val="24"/>
              </w:rPr>
              <w:t>物识别标志的一致性进行核验，不一致的或类别</w:t>
            </w:r>
            <w:r>
              <w:rPr>
                <w:rFonts w:ascii="宋体" w:hAnsi="宋体" w:eastAsia="宋体" w:cs="宋体"/>
                <w:spacing w:val="-1"/>
                <w:sz w:val="24"/>
                <w:szCs w:val="24"/>
              </w:rPr>
              <w:t>、特性不明的不应存入。</w:t>
            </w:r>
          </w:p>
          <w:p w14:paraId="0FA9968B">
            <w:pPr>
              <w:spacing w:line="359" w:lineRule="auto"/>
              <w:ind w:left="108" w:right="96" w:firstLine="479"/>
              <w:rPr>
                <w:rFonts w:ascii="宋体" w:hAnsi="宋体" w:eastAsia="宋体" w:cs="宋体"/>
                <w:sz w:val="24"/>
                <w:szCs w:val="24"/>
              </w:rPr>
            </w:pPr>
            <w:r>
              <w:rPr>
                <w:rFonts w:ascii="宋体" w:hAnsi="宋体" w:eastAsia="宋体" w:cs="宋体"/>
                <w:spacing w:val="-2"/>
                <w:sz w:val="24"/>
                <w:szCs w:val="24"/>
              </w:rPr>
              <w:t>②定期检查危险废物的贮存状况，及时清理贮存设施地面，更换破损泄漏的危险</w:t>
            </w:r>
            <w:r>
              <w:rPr>
                <w:rFonts w:ascii="宋体" w:hAnsi="宋体" w:eastAsia="宋体" w:cs="宋体"/>
                <w:spacing w:val="-1"/>
                <w:sz w:val="24"/>
                <w:szCs w:val="24"/>
              </w:rPr>
              <w:t>废物贮存容器和包装物，保证堆存危险废物的防雨、防</w:t>
            </w:r>
            <w:r>
              <w:rPr>
                <w:rFonts w:ascii="宋体" w:hAnsi="宋体" w:eastAsia="宋体" w:cs="宋体"/>
                <w:spacing w:val="-2"/>
                <w:sz w:val="24"/>
                <w:szCs w:val="24"/>
              </w:rPr>
              <w:t>风、防扬尘等设施功能完好。</w:t>
            </w:r>
          </w:p>
          <w:p w14:paraId="5A287741">
            <w:pPr>
              <w:spacing w:before="3" w:line="358" w:lineRule="auto"/>
              <w:ind w:left="110" w:right="102" w:firstLine="477"/>
              <w:rPr>
                <w:rFonts w:ascii="宋体" w:hAnsi="宋体" w:eastAsia="宋体" w:cs="宋体"/>
                <w:sz w:val="24"/>
                <w:szCs w:val="24"/>
              </w:rPr>
            </w:pPr>
            <w:r>
              <w:rPr>
                <w:rFonts w:ascii="宋体" w:hAnsi="宋体" w:eastAsia="宋体" w:cs="宋体"/>
                <w:spacing w:val="-2"/>
                <w:sz w:val="24"/>
                <w:szCs w:val="24"/>
              </w:rPr>
              <w:t>③根据《危险废物转移管理办法》，应按照国家有关标准和规定建立危险废物管理台账并保存。建立贮存设施环境管理制度、管理人员岗位职责制度、设施运行操作</w:t>
            </w:r>
            <w:r>
              <w:rPr>
                <w:rFonts w:ascii="宋体" w:hAnsi="宋体" w:eastAsia="宋体" w:cs="宋体"/>
                <w:spacing w:val="-1"/>
                <w:sz w:val="24"/>
                <w:szCs w:val="24"/>
              </w:rPr>
              <w:t>制度、人员岗位培训制度等。电子</w:t>
            </w:r>
            <w:r>
              <w:rPr>
                <w:rFonts w:ascii="Times New Roman" w:hAnsi="Times New Roman" w:eastAsia="Times New Roman" w:cs="Times New Roman"/>
                <w:spacing w:val="-1"/>
                <w:sz w:val="24"/>
                <w:szCs w:val="24"/>
              </w:rPr>
              <w:t>+</w:t>
            </w:r>
            <w:r>
              <w:rPr>
                <w:rFonts w:ascii="宋体" w:hAnsi="宋体" w:eastAsia="宋体" w:cs="宋体"/>
                <w:spacing w:val="-1"/>
                <w:sz w:val="24"/>
                <w:szCs w:val="24"/>
              </w:rPr>
              <w:t>纸质台账至少保存</w:t>
            </w:r>
            <w:r>
              <w:rPr>
                <w:rFonts w:ascii="宋体" w:hAnsi="宋体" w:eastAsia="宋体" w:cs="宋体"/>
                <w:spacing w:val="-45"/>
                <w:sz w:val="24"/>
                <w:szCs w:val="24"/>
              </w:rPr>
              <w:t xml:space="preserve"> </w:t>
            </w:r>
            <w:r>
              <w:rPr>
                <w:rFonts w:ascii="Times New Roman" w:hAnsi="Times New Roman" w:eastAsia="Times New Roman" w:cs="Times New Roman"/>
                <w:spacing w:val="-1"/>
                <w:sz w:val="24"/>
                <w:szCs w:val="24"/>
              </w:rPr>
              <w:t xml:space="preserve">5 </w:t>
            </w:r>
            <w:r>
              <w:rPr>
                <w:rFonts w:ascii="宋体" w:hAnsi="宋体" w:eastAsia="宋体" w:cs="宋体"/>
                <w:spacing w:val="-1"/>
                <w:sz w:val="24"/>
                <w:szCs w:val="24"/>
              </w:rPr>
              <w:t>年。</w:t>
            </w:r>
          </w:p>
          <w:p w14:paraId="0878A57D">
            <w:pPr>
              <w:spacing w:before="1" w:line="359" w:lineRule="auto"/>
              <w:ind w:left="109" w:right="41" w:firstLine="478"/>
              <w:rPr>
                <w:rFonts w:ascii="宋体" w:hAnsi="宋体" w:eastAsia="宋体" w:cs="宋体"/>
                <w:sz w:val="24"/>
                <w:szCs w:val="24"/>
              </w:rPr>
            </w:pPr>
            <w:r>
              <w:rPr>
                <w:rFonts w:ascii="宋体" w:hAnsi="宋体" w:eastAsia="宋体" w:cs="宋体"/>
                <w:spacing w:val="-2"/>
                <w:sz w:val="24"/>
                <w:szCs w:val="24"/>
              </w:rPr>
              <w:t>④应根据国家土壤和地下水污染防治的有关规定，结合贮存设施特点建立土壤和</w:t>
            </w:r>
            <w:r>
              <w:rPr>
                <w:rFonts w:ascii="宋体" w:hAnsi="宋体" w:eastAsia="宋体" w:cs="宋体"/>
                <w:spacing w:val="-6"/>
                <w:sz w:val="24"/>
                <w:szCs w:val="24"/>
              </w:rPr>
              <w:t>地下水污染隐患排查制度，并定期开展隐患排查；发现隐患应及时采取</w:t>
            </w:r>
            <w:r>
              <w:rPr>
                <w:rFonts w:ascii="宋体" w:hAnsi="宋体" w:eastAsia="宋体" w:cs="宋体"/>
                <w:spacing w:val="-7"/>
                <w:sz w:val="24"/>
                <w:szCs w:val="24"/>
              </w:rPr>
              <w:t>措施消除隐患，</w:t>
            </w:r>
            <w:r>
              <w:rPr>
                <w:rFonts w:ascii="宋体" w:hAnsi="宋体" w:eastAsia="宋体" w:cs="宋体"/>
                <w:spacing w:val="-2"/>
                <w:sz w:val="24"/>
                <w:szCs w:val="24"/>
              </w:rPr>
              <w:t>并建立档案。</w:t>
            </w:r>
          </w:p>
          <w:p w14:paraId="78277CBF">
            <w:pPr>
              <w:spacing w:line="359" w:lineRule="auto"/>
              <w:ind w:left="110" w:right="102" w:firstLine="477"/>
              <w:rPr>
                <w:rFonts w:ascii="宋体" w:hAnsi="宋体" w:eastAsia="宋体" w:cs="宋体"/>
                <w:sz w:val="24"/>
                <w:szCs w:val="24"/>
              </w:rPr>
            </w:pPr>
            <w:r>
              <w:rPr>
                <w:rFonts w:ascii="宋体" w:hAnsi="宋体" w:eastAsia="宋体" w:cs="宋体"/>
                <w:sz w:val="24"/>
                <w:szCs w:val="24"/>
              </w:rPr>
              <w:t>⑤根据《昆明欧铂瑞木制品有限公司年产</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3</w:t>
            </w:r>
            <w:r>
              <w:rPr>
                <w:rFonts w:ascii="Times New Roman" w:hAnsi="Times New Roman" w:eastAsia="Times New Roman" w:cs="Times New Roman"/>
                <w:spacing w:val="18"/>
                <w:sz w:val="24"/>
                <w:szCs w:val="24"/>
              </w:rPr>
              <w:t xml:space="preserve"> </w:t>
            </w:r>
            <w:r>
              <w:rPr>
                <w:rFonts w:ascii="宋体" w:hAnsi="宋体" w:eastAsia="宋体" w:cs="宋体"/>
                <w:sz w:val="24"/>
                <w:szCs w:val="24"/>
              </w:rPr>
              <w:t>万</w:t>
            </w:r>
            <w:r>
              <w:rPr>
                <w:rFonts w:ascii="宋体" w:hAnsi="宋体" w:eastAsia="宋体" w:cs="宋体"/>
                <w:spacing w:val="-56"/>
                <w:sz w:val="24"/>
                <w:szCs w:val="24"/>
              </w:rPr>
              <w:t xml:space="preserve"> </w:t>
            </w:r>
            <w:r>
              <w:rPr>
                <w:rFonts w:ascii="Times New Roman" w:hAnsi="Times New Roman" w:eastAsia="Times New Roman" w:cs="Times New Roman"/>
                <w:sz w:val="24"/>
                <w:szCs w:val="24"/>
              </w:rPr>
              <w:t>m</w:t>
            </w:r>
            <w:r>
              <w:rPr>
                <w:rFonts w:ascii="Times New Roman" w:hAnsi="Times New Roman" w:eastAsia="Times New Roman" w:cs="Times New Roman"/>
                <w:position w:val="8"/>
                <w:sz w:val="15"/>
                <w:szCs w:val="15"/>
              </w:rPr>
              <w:t>3</w:t>
            </w:r>
            <w:r>
              <w:rPr>
                <w:rFonts w:ascii="Times New Roman" w:hAnsi="Times New Roman" w:eastAsia="Times New Roman" w:cs="Times New Roman"/>
                <w:spacing w:val="17"/>
                <w:w w:val="101"/>
                <w:position w:val="8"/>
                <w:sz w:val="15"/>
                <w:szCs w:val="15"/>
              </w:rPr>
              <w:t xml:space="preserve"> </w:t>
            </w:r>
            <w:r>
              <w:rPr>
                <w:rFonts w:ascii="宋体" w:hAnsi="宋体" w:eastAsia="宋体" w:cs="宋体"/>
                <w:sz w:val="24"/>
                <w:szCs w:val="24"/>
              </w:rPr>
              <w:t>免漆生态板及深加工生产线项</w:t>
            </w:r>
            <w:r>
              <w:rPr>
                <w:rFonts w:ascii="宋体" w:hAnsi="宋体" w:eastAsia="宋体" w:cs="宋体"/>
                <w:spacing w:val="-2"/>
                <w:sz w:val="24"/>
                <w:szCs w:val="24"/>
              </w:rPr>
              <w:t>目竣工环境保护验收监测报告表》及验收意见，已建危废暂存间已按《危险废物贮存</w:t>
            </w:r>
            <w:r>
              <w:rPr>
                <w:rFonts w:ascii="宋体" w:hAnsi="宋体" w:eastAsia="宋体" w:cs="宋体"/>
                <w:sz w:val="24"/>
                <w:szCs w:val="24"/>
              </w:rPr>
              <w:t>污染控制标准》（</w:t>
            </w:r>
            <w:r>
              <w:rPr>
                <w:rFonts w:ascii="Times New Roman" w:hAnsi="Times New Roman" w:eastAsia="Times New Roman" w:cs="Times New Roman"/>
                <w:sz w:val="24"/>
                <w:szCs w:val="24"/>
              </w:rPr>
              <w:t>GB18597-2023</w:t>
            </w:r>
            <w:r>
              <w:rPr>
                <w:rFonts w:ascii="宋体" w:hAnsi="宋体" w:eastAsia="宋体" w:cs="宋体"/>
                <w:sz w:val="24"/>
                <w:szCs w:val="24"/>
              </w:rPr>
              <w:t>）要求建设，已采用混凝土硬化</w:t>
            </w:r>
            <w:r>
              <w:rPr>
                <w:rFonts w:ascii="Times New Roman" w:hAnsi="Times New Roman" w:eastAsia="Times New Roman" w:cs="Times New Roman"/>
                <w:sz w:val="24"/>
                <w:szCs w:val="24"/>
              </w:rPr>
              <w:t>+</w:t>
            </w:r>
            <w:r>
              <w:rPr>
                <w:rFonts w:ascii="宋体" w:hAnsi="宋体" w:eastAsia="宋体" w:cs="宋体"/>
                <w:sz w:val="24"/>
                <w:szCs w:val="24"/>
              </w:rPr>
              <w:t>对墙</w:t>
            </w:r>
            <w:r>
              <w:rPr>
                <w:rFonts w:ascii="宋体" w:hAnsi="宋体" w:eastAsia="宋体" w:cs="宋体"/>
                <w:spacing w:val="-1"/>
                <w:sz w:val="24"/>
                <w:szCs w:val="24"/>
              </w:rPr>
              <w:t>面地面涂刷环</w:t>
            </w:r>
            <w:r>
              <w:rPr>
                <w:rFonts w:ascii="宋体" w:hAnsi="宋体" w:eastAsia="宋体" w:cs="宋体"/>
                <w:spacing w:val="1"/>
                <w:sz w:val="24"/>
                <w:szCs w:val="24"/>
              </w:rPr>
              <w:t>氧树脂漆进行防渗，防渗系数</w:t>
            </w:r>
            <w:r>
              <w:rPr>
                <w:rFonts w:ascii="Times New Roman" w:hAnsi="Times New Roman" w:eastAsia="Times New Roman" w:cs="Times New Roman"/>
                <w:spacing w:val="1"/>
                <w:sz w:val="24"/>
                <w:szCs w:val="24"/>
              </w:rPr>
              <w:t>≤1×10</w:t>
            </w:r>
            <w:r>
              <w:rPr>
                <w:rFonts w:ascii="Times New Roman" w:hAnsi="Times New Roman" w:eastAsia="Times New Roman" w:cs="Times New Roman"/>
                <w:spacing w:val="1"/>
                <w:position w:val="8"/>
                <w:sz w:val="15"/>
                <w:szCs w:val="15"/>
              </w:rPr>
              <w:t>-</w:t>
            </w:r>
            <w:r>
              <w:rPr>
                <w:rFonts w:ascii="Times New Roman" w:hAnsi="Times New Roman" w:eastAsia="Times New Roman" w:cs="Times New Roman"/>
                <w:spacing w:val="-8"/>
                <w:position w:val="8"/>
                <w:sz w:val="15"/>
                <w:szCs w:val="15"/>
              </w:rPr>
              <w:t xml:space="preserve"> </w:t>
            </w:r>
            <w:r>
              <w:rPr>
                <w:rFonts w:ascii="Times New Roman" w:hAnsi="Times New Roman" w:eastAsia="Times New Roman" w:cs="Times New Roman"/>
                <w:spacing w:val="1"/>
                <w:position w:val="8"/>
                <w:sz w:val="15"/>
                <w:szCs w:val="15"/>
              </w:rPr>
              <w:t>10</w:t>
            </w:r>
            <w:r>
              <w:rPr>
                <w:rFonts w:ascii="Times New Roman" w:hAnsi="Times New Roman" w:eastAsia="Times New Roman" w:cs="Times New Roman"/>
                <w:sz w:val="24"/>
                <w:szCs w:val="24"/>
              </w:rPr>
              <w:t>cm</w:t>
            </w:r>
            <w:r>
              <w:rPr>
                <w:rFonts w:ascii="Times New Roman" w:hAnsi="Times New Roman" w:eastAsia="Times New Roman" w:cs="Times New Roman"/>
                <w:spacing w:val="1"/>
                <w:sz w:val="24"/>
                <w:szCs w:val="24"/>
              </w:rPr>
              <w:t>/s</w:t>
            </w:r>
            <w:r>
              <w:rPr>
                <w:rFonts w:ascii="Times New Roman" w:hAnsi="Times New Roman" w:eastAsia="Times New Roman" w:cs="Times New Roman"/>
                <w:spacing w:val="-28"/>
                <w:sz w:val="24"/>
                <w:szCs w:val="24"/>
              </w:rPr>
              <w:t xml:space="preserve"> </w:t>
            </w:r>
            <w:r>
              <w:rPr>
                <w:rFonts w:ascii="宋体" w:hAnsi="宋体" w:eastAsia="宋体" w:cs="宋体"/>
                <w:spacing w:val="1"/>
                <w:sz w:val="24"/>
                <w:szCs w:val="24"/>
              </w:rPr>
              <w:t>，并设置围堰、托盘，并按《危险废物识</w:t>
            </w:r>
            <w:r>
              <w:rPr>
                <w:rFonts w:ascii="宋体" w:hAnsi="宋体" w:eastAsia="宋体" w:cs="宋体"/>
                <w:spacing w:val="2"/>
                <w:sz w:val="24"/>
                <w:szCs w:val="24"/>
              </w:rPr>
              <w:t>别标志设置技术规范》（</w:t>
            </w:r>
            <w:r>
              <w:rPr>
                <w:rFonts w:ascii="Times New Roman" w:hAnsi="Times New Roman" w:eastAsia="Times New Roman" w:cs="Times New Roman"/>
                <w:sz w:val="24"/>
                <w:szCs w:val="24"/>
              </w:rPr>
              <w:t>HJ</w:t>
            </w:r>
            <w:r>
              <w:rPr>
                <w:rFonts w:ascii="Times New Roman" w:hAnsi="Times New Roman" w:eastAsia="Times New Roman" w:cs="Times New Roman"/>
                <w:spacing w:val="2"/>
                <w:sz w:val="24"/>
                <w:szCs w:val="24"/>
              </w:rPr>
              <w:t>1276-2022</w:t>
            </w:r>
            <w:r>
              <w:rPr>
                <w:rFonts w:ascii="宋体" w:hAnsi="宋体" w:eastAsia="宋体" w:cs="宋体"/>
                <w:spacing w:val="2"/>
                <w:sz w:val="24"/>
                <w:szCs w:val="24"/>
              </w:rPr>
              <w:t>）要求设置危险废物贮存设施</w:t>
            </w:r>
            <w:r>
              <w:rPr>
                <w:rFonts w:ascii="宋体" w:hAnsi="宋体" w:eastAsia="宋体" w:cs="宋体"/>
                <w:spacing w:val="1"/>
                <w:sz w:val="24"/>
                <w:szCs w:val="24"/>
              </w:rPr>
              <w:t>、场所标志，还</w:t>
            </w:r>
            <w:r>
              <w:rPr>
                <w:rFonts w:ascii="宋体" w:hAnsi="宋体" w:eastAsia="宋体" w:cs="宋体"/>
                <w:sz w:val="24"/>
                <w:szCs w:val="24"/>
              </w:rPr>
              <w:t>需增加危险废物贮存分区标志和清洗沉渣危险废物</w:t>
            </w:r>
            <w:r>
              <w:rPr>
                <w:rFonts w:ascii="宋体" w:hAnsi="宋体" w:eastAsia="宋体" w:cs="宋体"/>
                <w:spacing w:val="-1"/>
                <w:sz w:val="24"/>
                <w:szCs w:val="24"/>
              </w:rPr>
              <w:t>标签等危险废物识别标志。</w:t>
            </w:r>
          </w:p>
          <w:p w14:paraId="20BE84F9">
            <w:pPr>
              <w:spacing w:before="2" w:line="350" w:lineRule="auto"/>
              <w:ind w:left="120" w:firstLine="466"/>
              <w:rPr>
                <w:rFonts w:ascii="宋体" w:hAnsi="宋体" w:eastAsia="宋体" w:cs="宋体"/>
                <w:sz w:val="24"/>
                <w:szCs w:val="24"/>
              </w:rPr>
            </w:pPr>
            <w:r>
              <w:rPr>
                <w:rFonts w:ascii="宋体" w:hAnsi="宋体" w:eastAsia="宋体" w:cs="宋体"/>
                <w:spacing w:val="-5"/>
                <w:sz w:val="24"/>
                <w:szCs w:val="24"/>
              </w:rPr>
              <w:t>⑥根据《道路危险废物运输管理规定》、《危险废物收</w:t>
            </w:r>
            <w:r>
              <w:rPr>
                <w:rFonts w:ascii="宋体" w:hAnsi="宋体" w:eastAsia="宋体" w:cs="宋体"/>
                <w:spacing w:val="-6"/>
                <w:sz w:val="24"/>
                <w:szCs w:val="24"/>
              </w:rPr>
              <w:t>集、贮存、运输技术规范》</w:t>
            </w:r>
            <w:r>
              <w:rPr>
                <w:rFonts w:ascii="宋体" w:hAnsi="宋体" w:eastAsia="宋体" w:cs="宋体"/>
                <w:sz w:val="24"/>
                <w:szCs w:val="24"/>
              </w:rPr>
              <w:t xml:space="preserve"> </w:t>
            </w:r>
            <w:r>
              <w:rPr>
                <w:rFonts w:ascii="宋体" w:hAnsi="宋体" w:eastAsia="宋体" w:cs="宋体"/>
                <w:spacing w:val="1"/>
                <w:sz w:val="24"/>
                <w:szCs w:val="24"/>
              </w:rPr>
              <w:t>（</w:t>
            </w:r>
            <w:r>
              <w:rPr>
                <w:rFonts w:ascii="Times New Roman" w:hAnsi="Times New Roman" w:eastAsia="Times New Roman" w:cs="Times New Roman"/>
                <w:sz w:val="24"/>
                <w:szCs w:val="24"/>
              </w:rPr>
              <w:t>HJ</w:t>
            </w:r>
            <w:r>
              <w:rPr>
                <w:rFonts w:ascii="Times New Roman" w:hAnsi="Times New Roman" w:eastAsia="Times New Roman" w:cs="Times New Roman"/>
                <w:spacing w:val="1"/>
                <w:sz w:val="24"/>
                <w:szCs w:val="24"/>
              </w:rPr>
              <w:t>2025-2012</w:t>
            </w:r>
            <w:r>
              <w:rPr>
                <w:rFonts w:ascii="宋体" w:hAnsi="宋体" w:eastAsia="宋体" w:cs="宋体"/>
                <w:spacing w:val="11"/>
                <w:sz w:val="24"/>
                <w:szCs w:val="24"/>
              </w:rPr>
              <w:t>），</w:t>
            </w:r>
            <w:r>
              <w:rPr>
                <w:rFonts w:ascii="宋体" w:hAnsi="宋体" w:eastAsia="宋体" w:cs="宋体"/>
                <w:spacing w:val="1"/>
                <w:sz w:val="24"/>
                <w:szCs w:val="24"/>
              </w:rPr>
              <w:t>危废企业运输必须持有交通运输部门核发的《道路运输经营许可</w:t>
            </w:r>
          </w:p>
        </w:tc>
      </w:tr>
    </w:tbl>
    <w:p w14:paraId="236EC70D">
      <w:pPr>
        <w:pStyle w:val="2"/>
      </w:pPr>
    </w:p>
    <w:p w14:paraId="2A842A51">
      <w:pPr>
        <w:sectPr>
          <w:footerReference r:id="rId105" w:type="default"/>
          <w:pgSz w:w="11906" w:h="16839"/>
          <w:pgMar w:top="400" w:right="1055" w:bottom="1085" w:left="1054" w:header="0" w:footer="762" w:gutter="0"/>
          <w:cols w:space="720" w:num="1"/>
        </w:sectPr>
      </w:pPr>
    </w:p>
    <w:p w14:paraId="10F0CD2C">
      <w:pPr>
        <w:spacing w:before="19"/>
      </w:pPr>
    </w:p>
    <w:p w14:paraId="6763E6D8">
      <w:pPr>
        <w:spacing w:before="19"/>
      </w:pPr>
    </w:p>
    <w:p w14:paraId="548B0C52">
      <w:pPr>
        <w:spacing w:before="19"/>
      </w:pPr>
    </w:p>
    <w:p w14:paraId="267AC24D">
      <w:pPr>
        <w:spacing w:before="18"/>
      </w:pPr>
    </w:p>
    <w:p w14:paraId="19365376">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63FFA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00" w:hRule="atLeast"/>
        </w:trPr>
        <w:tc>
          <w:tcPr>
            <w:tcW w:w="734" w:type="dxa"/>
            <w:tcBorders>
              <w:right w:val="single" w:color="000000" w:sz="2" w:space="0"/>
            </w:tcBorders>
            <w:vAlign w:val="top"/>
          </w:tcPr>
          <w:p w14:paraId="21DBB0F5">
            <w:pPr>
              <w:rPr>
                <w:rFonts w:ascii="Arial"/>
                <w:sz w:val="21"/>
              </w:rPr>
            </w:pPr>
          </w:p>
        </w:tc>
        <w:tc>
          <w:tcPr>
            <w:tcW w:w="9047" w:type="dxa"/>
            <w:tcBorders>
              <w:left w:val="single" w:color="000000" w:sz="2" w:space="0"/>
            </w:tcBorders>
            <w:vAlign w:val="top"/>
          </w:tcPr>
          <w:p w14:paraId="0095C4DA">
            <w:pPr>
              <w:spacing w:before="42" w:line="359" w:lineRule="auto"/>
              <w:ind w:left="108" w:right="41"/>
              <w:jc w:val="both"/>
              <w:rPr>
                <w:rFonts w:ascii="宋体" w:hAnsi="宋体" w:eastAsia="宋体" w:cs="宋体"/>
                <w:sz w:val="24"/>
                <w:szCs w:val="24"/>
              </w:rPr>
            </w:pPr>
            <w:r>
              <w:rPr>
                <w:rFonts w:ascii="宋体" w:hAnsi="宋体" w:eastAsia="宋体" w:cs="宋体"/>
                <w:spacing w:val="-5"/>
                <w:sz w:val="24"/>
                <w:szCs w:val="24"/>
              </w:rPr>
              <w:t>证》，且经营范围需包含</w:t>
            </w:r>
            <w:r>
              <w:rPr>
                <w:rFonts w:ascii="Times New Roman" w:hAnsi="Times New Roman" w:eastAsia="Times New Roman" w:cs="Times New Roman"/>
                <w:spacing w:val="-5"/>
                <w:sz w:val="24"/>
                <w:szCs w:val="24"/>
              </w:rPr>
              <w:t>“</w:t>
            </w:r>
            <w:r>
              <w:rPr>
                <w:rFonts w:ascii="宋体" w:hAnsi="宋体" w:eastAsia="宋体" w:cs="宋体"/>
                <w:spacing w:val="-5"/>
                <w:sz w:val="24"/>
                <w:szCs w:val="24"/>
              </w:rPr>
              <w:t>危险废物运输</w:t>
            </w:r>
            <w:r>
              <w:rPr>
                <w:rFonts w:ascii="Times New Roman" w:hAnsi="Times New Roman" w:eastAsia="Times New Roman" w:cs="Times New Roman"/>
                <w:spacing w:val="-5"/>
                <w:sz w:val="24"/>
                <w:szCs w:val="24"/>
              </w:rPr>
              <w:t>”</w:t>
            </w:r>
            <w:r>
              <w:rPr>
                <w:rFonts w:ascii="宋体" w:hAnsi="宋体" w:eastAsia="宋体" w:cs="宋体"/>
                <w:spacing w:val="-5"/>
                <w:sz w:val="24"/>
                <w:szCs w:val="24"/>
              </w:rPr>
              <w:t>，运输车辆必须</w:t>
            </w:r>
            <w:r>
              <w:rPr>
                <w:rFonts w:ascii="宋体" w:hAnsi="宋体" w:eastAsia="宋体" w:cs="宋体"/>
                <w:spacing w:val="-6"/>
                <w:sz w:val="24"/>
                <w:szCs w:val="24"/>
              </w:rPr>
              <w:t>是专用的危险货物运输车辆，</w:t>
            </w:r>
            <w:r>
              <w:rPr>
                <w:rFonts w:ascii="宋体" w:hAnsi="宋体" w:eastAsia="宋体" w:cs="宋体"/>
                <w:spacing w:val="-1"/>
                <w:sz w:val="24"/>
                <w:szCs w:val="24"/>
              </w:rPr>
              <w:t>并定期进行检验；双人运输，驾驶员和押运</w:t>
            </w:r>
            <w:r>
              <w:rPr>
                <w:rFonts w:ascii="宋体" w:hAnsi="宋体" w:eastAsia="宋体" w:cs="宋体"/>
                <w:spacing w:val="-2"/>
                <w:sz w:val="24"/>
                <w:szCs w:val="24"/>
              </w:rPr>
              <w:t>员必须持有相应的从业资格证，受过专业</w:t>
            </w:r>
            <w:r>
              <w:rPr>
                <w:rFonts w:ascii="宋体" w:hAnsi="宋体" w:eastAsia="宋体" w:cs="宋体"/>
                <w:spacing w:val="-6"/>
                <w:sz w:val="24"/>
                <w:szCs w:val="24"/>
              </w:rPr>
              <w:t>培训，了解所运危险废物的特性及应急处理方法。运输应按照规定的时间</w:t>
            </w:r>
            <w:r>
              <w:rPr>
                <w:rFonts w:ascii="宋体" w:hAnsi="宋体" w:eastAsia="宋体" w:cs="宋体"/>
                <w:spacing w:val="-7"/>
                <w:sz w:val="24"/>
                <w:szCs w:val="24"/>
              </w:rPr>
              <w:t>、路线行驶，</w:t>
            </w:r>
            <w:r>
              <w:rPr>
                <w:rFonts w:ascii="宋体" w:hAnsi="宋体" w:eastAsia="宋体" w:cs="宋体"/>
                <w:spacing w:val="-2"/>
                <w:sz w:val="24"/>
                <w:szCs w:val="24"/>
              </w:rPr>
              <w:t>尽量避开人口密集区、水源保护区等敏感区域。车辆限速行驶，保持安全车距，严禁</w:t>
            </w:r>
            <w:r>
              <w:rPr>
                <w:rFonts w:ascii="宋体" w:hAnsi="宋体" w:eastAsia="宋体" w:cs="宋体"/>
                <w:spacing w:val="-1"/>
                <w:sz w:val="24"/>
                <w:szCs w:val="24"/>
              </w:rPr>
              <w:t>超载。随车必须携带所运废物相适应的应急</w:t>
            </w:r>
            <w:r>
              <w:rPr>
                <w:rFonts w:ascii="宋体" w:hAnsi="宋体" w:eastAsia="宋体" w:cs="宋体"/>
                <w:spacing w:val="-2"/>
                <w:sz w:val="24"/>
                <w:szCs w:val="24"/>
              </w:rPr>
              <w:t>防护器材和消防器材，以及《道路危险货</w:t>
            </w:r>
            <w:r>
              <w:rPr>
                <w:rFonts w:ascii="宋体" w:hAnsi="宋体" w:eastAsia="宋体" w:cs="宋体"/>
                <w:spacing w:val="-1"/>
                <w:sz w:val="24"/>
                <w:szCs w:val="24"/>
              </w:rPr>
              <w:t>物运输安全卡》等应急文件。</w:t>
            </w:r>
          </w:p>
          <w:p w14:paraId="3B38E524">
            <w:pPr>
              <w:spacing w:before="2" w:line="358" w:lineRule="auto"/>
              <w:ind w:left="110" w:right="102" w:firstLine="477"/>
              <w:rPr>
                <w:rFonts w:ascii="宋体" w:hAnsi="宋体" w:eastAsia="宋体" w:cs="宋体"/>
                <w:sz w:val="24"/>
                <w:szCs w:val="24"/>
              </w:rPr>
            </w:pPr>
            <w:r>
              <w:rPr>
                <w:rFonts w:ascii="宋体" w:hAnsi="宋体" w:eastAsia="宋体" w:cs="宋体"/>
                <w:spacing w:val="-2"/>
                <w:sz w:val="24"/>
                <w:szCs w:val="24"/>
              </w:rPr>
              <w:t>⑦建设单位应建立规范的管理和技术人员培训制度，定期对管理和技术人员进行培训，编制应急预案，针对危险废物收集、贮存过程中易发事故环节定期组织应急演</w:t>
            </w:r>
            <w:r>
              <w:rPr>
                <w:rFonts w:ascii="宋体" w:hAnsi="宋体" w:eastAsia="宋体" w:cs="宋体"/>
                <w:sz w:val="24"/>
                <w:szCs w:val="24"/>
              </w:rPr>
              <w:t>练</w:t>
            </w:r>
          </w:p>
          <w:p w14:paraId="7391167C">
            <w:pPr>
              <w:spacing w:line="219" w:lineRule="auto"/>
              <w:ind w:left="593"/>
              <w:rPr>
                <w:rFonts w:ascii="宋体" w:hAnsi="宋体" w:eastAsia="宋体" w:cs="宋体"/>
                <w:sz w:val="24"/>
                <w:szCs w:val="24"/>
              </w:rPr>
            </w:pPr>
            <w:r>
              <w:rPr>
                <w:rFonts w:ascii="宋体" w:hAnsi="宋体" w:eastAsia="宋体" w:cs="宋体"/>
                <w:b/>
                <w:bCs/>
                <w:spacing w:val="-3"/>
                <w:sz w:val="24"/>
                <w:szCs w:val="24"/>
              </w:rPr>
              <w:t>五、地下水、土壤环境影响分析</w:t>
            </w:r>
          </w:p>
          <w:p w14:paraId="0C29E862">
            <w:pPr>
              <w:spacing w:before="180" w:line="220" w:lineRule="auto"/>
              <w:ind w:left="595"/>
              <w:rPr>
                <w:rFonts w:ascii="宋体" w:hAnsi="宋体" w:eastAsia="宋体" w:cs="宋体"/>
                <w:sz w:val="24"/>
                <w:szCs w:val="24"/>
              </w:rPr>
            </w:pPr>
            <w:r>
              <w:rPr>
                <w:rFonts w:ascii="Times New Roman" w:hAnsi="Times New Roman" w:eastAsia="Times New Roman" w:cs="Times New Roman"/>
                <w:b/>
                <w:bCs/>
                <w:spacing w:val="-8"/>
                <w:sz w:val="24"/>
                <w:szCs w:val="24"/>
              </w:rPr>
              <w:t>1</w:t>
            </w:r>
            <w:r>
              <w:rPr>
                <w:rFonts w:ascii="Times New Roman" w:hAnsi="Times New Roman" w:eastAsia="Times New Roman" w:cs="Times New Roman"/>
                <w:b/>
                <w:bCs/>
                <w:spacing w:val="-32"/>
                <w:sz w:val="24"/>
                <w:szCs w:val="24"/>
              </w:rPr>
              <w:t xml:space="preserve"> </w:t>
            </w:r>
            <w:r>
              <w:rPr>
                <w:rFonts w:ascii="宋体" w:hAnsi="宋体" w:eastAsia="宋体" w:cs="宋体"/>
                <w:b/>
                <w:bCs/>
                <w:spacing w:val="-8"/>
                <w:sz w:val="24"/>
                <w:szCs w:val="24"/>
              </w:rPr>
              <w:t>、污染源分析</w:t>
            </w:r>
          </w:p>
          <w:p w14:paraId="5DF15155">
            <w:pPr>
              <w:spacing w:before="182" w:line="219" w:lineRule="auto"/>
              <w:ind w:left="592"/>
              <w:rPr>
                <w:rFonts w:ascii="宋体" w:hAnsi="宋体" w:eastAsia="宋体" w:cs="宋体"/>
                <w:sz w:val="24"/>
                <w:szCs w:val="24"/>
              </w:rPr>
            </w:pPr>
            <w:r>
              <w:rPr>
                <w:rFonts w:ascii="宋体" w:hAnsi="宋体" w:eastAsia="宋体" w:cs="宋体"/>
                <w:spacing w:val="-1"/>
                <w:sz w:val="24"/>
                <w:szCs w:val="24"/>
              </w:rPr>
              <w:t>从项目原料、燃料、产品、三废等物质分析。</w:t>
            </w:r>
          </w:p>
          <w:p w14:paraId="52903BE9">
            <w:pPr>
              <w:spacing w:before="184" w:line="359" w:lineRule="auto"/>
              <w:ind w:left="590" w:right="22" w:firstLine="4"/>
              <w:rPr>
                <w:rFonts w:ascii="宋体" w:hAnsi="宋体" w:eastAsia="宋体" w:cs="宋体"/>
                <w:sz w:val="24"/>
                <w:szCs w:val="24"/>
              </w:rPr>
            </w:pPr>
            <w:r>
              <w:rPr>
                <w:rFonts w:ascii="宋体" w:hAnsi="宋体" w:eastAsia="宋体" w:cs="宋体"/>
                <w:b/>
                <w:bCs/>
                <w:spacing w:val="-7"/>
                <w:sz w:val="24"/>
                <w:szCs w:val="24"/>
              </w:rPr>
              <w:t>原料、产品：</w:t>
            </w:r>
            <w:r>
              <w:rPr>
                <w:rFonts w:ascii="Times New Roman" w:hAnsi="Times New Roman" w:eastAsia="Times New Roman" w:cs="Times New Roman"/>
                <w:spacing w:val="-7"/>
                <w:sz w:val="24"/>
                <w:szCs w:val="24"/>
              </w:rPr>
              <w:t>PP</w:t>
            </w:r>
            <w:r>
              <w:rPr>
                <w:rFonts w:ascii="宋体" w:hAnsi="宋体" w:eastAsia="宋体" w:cs="宋体"/>
                <w:spacing w:val="-7"/>
                <w:sz w:val="24"/>
                <w:szCs w:val="24"/>
              </w:rPr>
              <w:t>，产品为塑料筐等。原料为颗粒，不会对土壤和地下水</w:t>
            </w:r>
            <w:r>
              <w:rPr>
                <w:rFonts w:ascii="宋体" w:hAnsi="宋体" w:eastAsia="宋体" w:cs="宋体"/>
                <w:spacing w:val="-8"/>
                <w:sz w:val="24"/>
                <w:szCs w:val="24"/>
              </w:rPr>
              <w:t>造成污染。</w:t>
            </w:r>
            <w:r>
              <w:rPr>
                <w:rFonts w:ascii="宋体" w:hAnsi="宋体" w:eastAsia="宋体" w:cs="宋体"/>
                <w:b/>
                <w:bCs/>
                <w:spacing w:val="-1"/>
                <w:sz w:val="24"/>
                <w:szCs w:val="24"/>
              </w:rPr>
              <w:t>燃料：</w:t>
            </w:r>
            <w:r>
              <w:rPr>
                <w:rFonts w:ascii="宋体" w:hAnsi="宋体" w:eastAsia="宋体" w:cs="宋体"/>
                <w:spacing w:val="-1"/>
                <w:sz w:val="24"/>
                <w:szCs w:val="24"/>
              </w:rPr>
              <w:t>项目用电，不使用其他燃料，不会对周边地下水、土壤环境造成污染。</w:t>
            </w:r>
          </w:p>
          <w:p w14:paraId="1F7945FA">
            <w:pPr>
              <w:spacing w:line="359" w:lineRule="auto"/>
              <w:ind w:left="108" w:right="102" w:firstLine="480"/>
              <w:jc w:val="both"/>
              <w:rPr>
                <w:rFonts w:ascii="宋体" w:hAnsi="宋体" w:eastAsia="宋体" w:cs="宋体"/>
                <w:sz w:val="24"/>
                <w:szCs w:val="24"/>
              </w:rPr>
            </w:pPr>
            <w:r>
              <w:rPr>
                <w:rFonts w:ascii="宋体" w:hAnsi="宋体" w:eastAsia="宋体" w:cs="宋体"/>
                <w:b/>
                <w:bCs/>
                <w:spacing w:val="-2"/>
                <w:sz w:val="24"/>
                <w:szCs w:val="24"/>
              </w:rPr>
              <w:t>三废：</w:t>
            </w:r>
            <w:r>
              <w:rPr>
                <w:rFonts w:ascii="宋体" w:hAnsi="宋体" w:eastAsia="宋体" w:cs="宋体"/>
                <w:spacing w:val="-2"/>
                <w:sz w:val="24"/>
                <w:szCs w:val="24"/>
              </w:rPr>
              <w:t>项目废气主要为粉尘和非甲烷总烃，经处理后均可达标排放；废水主要为</w:t>
            </w:r>
            <w:r>
              <w:rPr>
                <w:rFonts w:ascii="宋体" w:hAnsi="宋体" w:eastAsia="宋体" w:cs="宋体"/>
                <w:spacing w:val="2"/>
                <w:sz w:val="24"/>
                <w:szCs w:val="24"/>
              </w:rPr>
              <w:t>生活污水，主要污染因子为</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SS</w:t>
            </w:r>
            <w:r>
              <w:rPr>
                <w:rFonts w:ascii="宋体" w:hAnsi="宋体" w:eastAsia="宋体" w:cs="宋体"/>
                <w:spacing w:val="2"/>
                <w:sz w:val="24"/>
                <w:szCs w:val="24"/>
              </w:rPr>
              <w:t>；固废主要为生活垃圾、废包装材料，可回收利用的</w:t>
            </w:r>
            <w:r>
              <w:rPr>
                <w:rFonts w:ascii="宋体" w:hAnsi="宋体" w:eastAsia="宋体" w:cs="宋体"/>
                <w:spacing w:val="-1"/>
                <w:sz w:val="24"/>
                <w:szCs w:val="24"/>
              </w:rPr>
              <w:t>外售废品回收站；不合格产品、废边角料集</w:t>
            </w:r>
            <w:r>
              <w:rPr>
                <w:rFonts w:ascii="宋体" w:hAnsi="宋体" w:eastAsia="宋体" w:cs="宋体"/>
                <w:spacing w:val="-2"/>
                <w:sz w:val="24"/>
                <w:szCs w:val="24"/>
              </w:rPr>
              <w:t>中收集后外售；危险废物废旧活性炭及废</w:t>
            </w:r>
            <w:r>
              <w:rPr>
                <w:rFonts w:ascii="宋体" w:hAnsi="宋体" w:eastAsia="宋体" w:cs="宋体"/>
                <w:spacing w:val="-1"/>
                <w:sz w:val="24"/>
                <w:szCs w:val="24"/>
              </w:rPr>
              <w:t>机油分类收集后，委托有资质单位定期处置</w:t>
            </w:r>
            <w:r>
              <w:rPr>
                <w:rFonts w:ascii="宋体" w:hAnsi="宋体" w:eastAsia="宋体" w:cs="宋体"/>
                <w:spacing w:val="-2"/>
                <w:sz w:val="24"/>
                <w:szCs w:val="24"/>
              </w:rPr>
              <w:t>。厂区不进行乱扔、乱放，及时清运后不</w:t>
            </w:r>
            <w:r>
              <w:rPr>
                <w:rFonts w:ascii="宋体" w:hAnsi="宋体" w:eastAsia="宋体" w:cs="宋体"/>
                <w:spacing w:val="-1"/>
                <w:sz w:val="24"/>
                <w:szCs w:val="24"/>
              </w:rPr>
              <w:t>会对土壤、地下水造成影响。危废暂存过程</w:t>
            </w:r>
            <w:r>
              <w:rPr>
                <w:rFonts w:ascii="宋体" w:hAnsi="宋体" w:eastAsia="宋体" w:cs="宋体"/>
                <w:spacing w:val="-2"/>
                <w:sz w:val="24"/>
                <w:szCs w:val="24"/>
              </w:rPr>
              <w:t>中废机油可能会出现泄露、渗漏等情况，</w:t>
            </w:r>
            <w:r>
              <w:rPr>
                <w:rFonts w:ascii="宋体" w:hAnsi="宋体" w:eastAsia="宋体" w:cs="宋体"/>
                <w:sz w:val="24"/>
                <w:szCs w:val="24"/>
              </w:rPr>
              <w:t>可能会对周边土壤造成污染，长时间泄露可能深入地下</w:t>
            </w:r>
            <w:r>
              <w:rPr>
                <w:rFonts w:ascii="宋体" w:hAnsi="宋体" w:eastAsia="宋体" w:cs="宋体"/>
                <w:spacing w:val="-1"/>
                <w:sz w:val="24"/>
                <w:szCs w:val="24"/>
              </w:rPr>
              <w:t>会对地下水造成污染。</w:t>
            </w:r>
          </w:p>
          <w:p w14:paraId="70B2A056">
            <w:pPr>
              <w:spacing w:before="1" w:line="218" w:lineRule="auto"/>
              <w:jc w:val="right"/>
              <w:rPr>
                <w:rFonts w:ascii="宋体" w:hAnsi="宋体" w:eastAsia="宋体" w:cs="宋体"/>
                <w:sz w:val="24"/>
                <w:szCs w:val="24"/>
              </w:rPr>
            </w:pPr>
            <w:r>
              <w:rPr>
                <w:rFonts w:ascii="宋体" w:hAnsi="宋体" w:eastAsia="宋体" w:cs="宋体"/>
                <w:spacing w:val="-6"/>
                <w:sz w:val="24"/>
                <w:szCs w:val="24"/>
              </w:rPr>
              <w:t>综上，本项目可能对地下水、土壤造成污染的主要是暂存于危废暂存间的废</w:t>
            </w:r>
            <w:r>
              <w:rPr>
                <w:rFonts w:ascii="宋体" w:hAnsi="宋体" w:eastAsia="宋体" w:cs="宋体"/>
                <w:spacing w:val="-7"/>
                <w:sz w:val="24"/>
                <w:szCs w:val="24"/>
              </w:rPr>
              <w:t>机油。</w:t>
            </w:r>
          </w:p>
          <w:p w14:paraId="3C7CD3B0">
            <w:pPr>
              <w:spacing w:before="183" w:line="359" w:lineRule="auto"/>
              <w:ind w:left="104" w:right="102" w:firstLine="488"/>
              <w:rPr>
                <w:rFonts w:ascii="宋体" w:hAnsi="宋体" w:eastAsia="宋体" w:cs="宋体"/>
                <w:sz w:val="24"/>
                <w:szCs w:val="24"/>
              </w:rPr>
            </w:pPr>
            <w:r>
              <w:rPr>
                <w:rFonts w:ascii="宋体" w:hAnsi="宋体" w:eastAsia="宋体" w:cs="宋体"/>
                <w:spacing w:val="1"/>
                <w:sz w:val="24"/>
                <w:szCs w:val="24"/>
              </w:rPr>
              <w:t>厂区进行分区防渗：①重点防渗区：危废暂存间，采用混凝土硬化</w:t>
            </w:r>
            <w:r>
              <w:rPr>
                <w:rFonts w:ascii="Times New Roman" w:hAnsi="Times New Roman" w:eastAsia="Times New Roman" w:cs="Times New Roman"/>
                <w:spacing w:val="1"/>
                <w:sz w:val="24"/>
                <w:szCs w:val="24"/>
              </w:rPr>
              <w:t>+</w:t>
            </w:r>
            <w:r>
              <w:rPr>
                <w:rFonts w:ascii="宋体" w:hAnsi="宋体" w:eastAsia="宋体" w:cs="宋体"/>
                <w:spacing w:val="1"/>
                <w:sz w:val="24"/>
                <w:szCs w:val="24"/>
              </w:rPr>
              <w:t>对墙面地面涂刷环氧树脂涂料进行防渗，防渗系数</w:t>
            </w:r>
            <w:r>
              <w:rPr>
                <w:rFonts w:ascii="Times New Roman" w:hAnsi="Times New Roman" w:eastAsia="Times New Roman" w:cs="Times New Roman"/>
                <w:spacing w:val="1"/>
                <w:sz w:val="24"/>
                <w:szCs w:val="24"/>
              </w:rPr>
              <w:t>≤1×10</w:t>
            </w:r>
            <w:r>
              <w:rPr>
                <w:rFonts w:ascii="Times New Roman" w:hAnsi="Times New Roman" w:eastAsia="Times New Roman" w:cs="Times New Roman"/>
                <w:spacing w:val="1"/>
                <w:position w:val="8"/>
                <w:sz w:val="15"/>
                <w:szCs w:val="15"/>
              </w:rPr>
              <w:t>-</w:t>
            </w:r>
            <w:r>
              <w:rPr>
                <w:rFonts w:ascii="Times New Roman" w:hAnsi="Times New Roman" w:eastAsia="Times New Roman" w:cs="Times New Roman"/>
                <w:spacing w:val="-4"/>
                <w:position w:val="8"/>
                <w:sz w:val="15"/>
                <w:szCs w:val="15"/>
              </w:rPr>
              <w:t xml:space="preserve"> </w:t>
            </w:r>
            <w:r>
              <w:rPr>
                <w:rFonts w:ascii="Times New Roman" w:hAnsi="Times New Roman" w:eastAsia="Times New Roman" w:cs="Times New Roman"/>
                <w:spacing w:val="1"/>
                <w:position w:val="8"/>
                <w:sz w:val="15"/>
                <w:szCs w:val="15"/>
              </w:rPr>
              <w:t>10</w:t>
            </w:r>
            <w:r>
              <w:rPr>
                <w:rFonts w:ascii="Times New Roman" w:hAnsi="Times New Roman" w:eastAsia="Times New Roman" w:cs="Times New Roman"/>
                <w:sz w:val="24"/>
                <w:szCs w:val="24"/>
              </w:rPr>
              <w:t>cm</w:t>
            </w:r>
            <w:r>
              <w:rPr>
                <w:rFonts w:ascii="Times New Roman" w:hAnsi="Times New Roman" w:eastAsia="Times New Roman" w:cs="Times New Roman"/>
                <w:spacing w:val="1"/>
                <w:sz w:val="24"/>
                <w:szCs w:val="24"/>
              </w:rPr>
              <w:t>/s</w:t>
            </w:r>
            <w:r>
              <w:rPr>
                <w:rFonts w:ascii="Times New Roman" w:hAnsi="Times New Roman" w:eastAsia="Times New Roman" w:cs="Times New Roman"/>
                <w:spacing w:val="-26"/>
                <w:sz w:val="24"/>
                <w:szCs w:val="24"/>
              </w:rPr>
              <w:t xml:space="preserve"> </w:t>
            </w:r>
            <w:r>
              <w:rPr>
                <w:rFonts w:ascii="宋体" w:hAnsi="宋体" w:eastAsia="宋体" w:cs="宋体"/>
                <w:spacing w:val="1"/>
                <w:sz w:val="24"/>
                <w:szCs w:val="24"/>
              </w:rPr>
              <w:t>，并设置围堰、托盘，张贴标识</w:t>
            </w:r>
            <w:r>
              <w:rPr>
                <w:rFonts w:ascii="宋体" w:hAnsi="宋体" w:eastAsia="宋体" w:cs="宋体"/>
                <w:spacing w:val="11"/>
                <w:sz w:val="24"/>
                <w:szCs w:val="24"/>
              </w:rPr>
              <w:t>标牌；</w:t>
            </w:r>
            <w:r>
              <w:rPr>
                <w:rFonts w:ascii="宋体" w:hAnsi="宋体" w:eastAsia="宋体" w:cs="宋体"/>
                <w:spacing w:val="-76"/>
                <w:sz w:val="24"/>
                <w:szCs w:val="24"/>
              </w:rPr>
              <w:t xml:space="preserve"> </w:t>
            </w:r>
            <w:r>
              <w:rPr>
                <w:rFonts w:ascii="宋体" w:hAnsi="宋体" w:eastAsia="宋体" w:cs="宋体"/>
                <w:spacing w:val="11"/>
                <w:sz w:val="24"/>
                <w:szCs w:val="24"/>
              </w:rPr>
              <w:t>②一般防渗区：化粪池、一体化污水处理设施，使用等效黏土防渗层厚度</w:t>
            </w:r>
            <w:r>
              <w:rPr>
                <w:rFonts w:ascii="Times New Roman" w:hAnsi="Times New Roman" w:eastAsia="Times New Roman" w:cs="Times New Roman"/>
                <w:spacing w:val="-2"/>
                <w:sz w:val="24"/>
                <w:szCs w:val="24"/>
              </w:rPr>
              <w:t>Mb≥1.5m</w:t>
            </w:r>
            <w:r>
              <w:rPr>
                <w:rFonts w:ascii="Times New Roman" w:hAnsi="Times New Roman" w:eastAsia="Times New Roman" w:cs="Times New Roman"/>
                <w:spacing w:val="-16"/>
                <w:sz w:val="24"/>
                <w:szCs w:val="24"/>
              </w:rPr>
              <w:t xml:space="preserve"> </w:t>
            </w:r>
            <w:r>
              <w:rPr>
                <w:rFonts w:ascii="宋体" w:hAnsi="宋体" w:eastAsia="宋体" w:cs="宋体"/>
                <w:spacing w:val="-2"/>
                <w:sz w:val="24"/>
                <w:szCs w:val="24"/>
              </w:rPr>
              <w:t>，防渗系数</w:t>
            </w:r>
            <w:r>
              <w:rPr>
                <w:rFonts w:ascii="Times New Roman" w:hAnsi="Times New Roman" w:eastAsia="Times New Roman" w:cs="Times New Roman"/>
                <w:spacing w:val="-2"/>
                <w:sz w:val="24"/>
                <w:szCs w:val="24"/>
              </w:rPr>
              <w:t>≤1×10</w:t>
            </w:r>
            <w:r>
              <w:rPr>
                <w:rFonts w:ascii="Times New Roman" w:hAnsi="Times New Roman" w:eastAsia="Times New Roman" w:cs="Times New Roman"/>
                <w:spacing w:val="-2"/>
                <w:position w:val="8"/>
                <w:sz w:val="15"/>
                <w:szCs w:val="15"/>
              </w:rPr>
              <w:t>-7</w:t>
            </w:r>
            <w:r>
              <w:rPr>
                <w:rFonts w:ascii="Times New Roman" w:hAnsi="Times New Roman" w:eastAsia="Times New Roman" w:cs="Times New Roman"/>
                <w:spacing w:val="-2"/>
                <w:sz w:val="24"/>
                <w:szCs w:val="24"/>
              </w:rPr>
              <w:t>cm/s</w:t>
            </w:r>
            <w:r>
              <w:rPr>
                <w:rFonts w:ascii="宋体" w:hAnsi="宋体" w:eastAsia="宋体" w:cs="宋体"/>
                <w:spacing w:val="-2"/>
                <w:sz w:val="24"/>
                <w:szCs w:val="24"/>
              </w:rPr>
              <w:t>；③简单防渗区：厂区地面进行混凝土硬化。厂区能</w:t>
            </w:r>
            <w:r>
              <w:rPr>
                <w:rFonts w:ascii="宋体" w:hAnsi="宋体" w:eastAsia="宋体" w:cs="宋体"/>
                <w:sz w:val="24"/>
                <w:szCs w:val="24"/>
              </w:rPr>
              <w:t>做到及时发现问题并处理，可有效防止地下水和土</w:t>
            </w:r>
            <w:r>
              <w:rPr>
                <w:rFonts w:ascii="宋体" w:hAnsi="宋体" w:eastAsia="宋体" w:cs="宋体"/>
                <w:spacing w:val="-1"/>
                <w:sz w:val="24"/>
                <w:szCs w:val="24"/>
              </w:rPr>
              <w:t>壤受到污染。</w:t>
            </w:r>
          </w:p>
          <w:p w14:paraId="61F1F143">
            <w:pPr>
              <w:spacing w:line="219" w:lineRule="auto"/>
              <w:ind w:left="585"/>
              <w:rPr>
                <w:rFonts w:ascii="宋体" w:hAnsi="宋体" w:eastAsia="宋体" w:cs="宋体"/>
                <w:sz w:val="24"/>
                <w:szCs w:val="24"/>
              </w:rPr>
            </w:pPr>
            <w:r>
              <w:rPr>
                <w:rFonts w:ascii="Times New Roman" w:hAnsi="Times New Roman" w:eastAsia="Times New Roman" w:cs="Times New Roman"/>
                <w:b/>
                <w:bCs/>
                <w:spacing w:val="-4"/>
                <w:sz w:val="24"/>
                <w:szCs w:val="24"/>
              </w:rPr>
              <w:t>2</w:t>
            </w:r>
            <w:r>
              <w:rPr>
                <w:rFonts w:ascii="Times New Roman" w:hAnsi="Times New Roman" w:eastAsia="Times New Roman" w:cs="Times New Roman"/>
                <w:b/>
                <w:bCs/>
                <w:spacing w:val="-32"/>
                <w:sz w:val="24"/>
                <w:szCs w:val="24"/>
              </w:rPr>
              <w:t xml:space="preserve"> </w:t>
            </w:r>
            <w:r>
              <w:rPr>
                <w:rFonts w:ascii="宋体" w:hAnsi="宋体" w:eastAsia="宋体" w:cs="宋体"/>
                <w:b/>
                <w:bCs/>
                <w:spacing w:val="-4"/>
                <w:sz w:val="24"/>
                <w:szCs w:val="24"/>
              </w:rPr>
              <w:t>、污染物类型和污染途径识别</w:t>
            </w:r>
          </w:p>
          <w:p w14:paraId="2291206E">
            <w:pPr>
              <w:spacing w:before="184" w:line="219" w:lineRule="auto"/>
              <w:ind w:left="600"/>
              <w:rPr>
                <w:rFonts w:ascii="宋体" w:hAnsi="宋体" w:eastAsia="宋体" w:cs="宋体"/>
                <w:sz w:val="24"/>
                <w:szCs w:val="24"/>
              </w:rPr>
            </w:pPr>
            <w:r>
              <w:rPr>
                <w:rFonts w:ascii="宋体" w:hAnsi="宋体" w:eastAsia="宋体" w:cs="宋体"/>
                <w:b/>
                <w:bCs/>
                <w:spacing w:val="-3"/>
                <w:sz w:val="24"/>
                <w:szCs w:val="24"/>
              </w:rPr>
              <w:t>（</w:t>
            </w:r>
            <w:r>
              <w:rPr>
                <w:rFonts w:ascii="Times New Roman" w:hAnsi="Times New Roman" w:eastAsia="Times New Roman" w:cs="Times New Roman"/>
                <w:b/>
                <w:bCs/>
                <w:spacing w:val="-3"/>
                <w:sz w:val="24"/>
                <w:szCs w:val="24"/>
              </w:rPr>
              <w:t>1</w:t>
            </w:r>
            <w:r>
              <w:rPr>
                <w:rFonts w:ascii="宋体" w:hAnsi="宋体" w:eastAsia="宋体" w:cs="宋体"/>
                <w:b/>
                <w:bCs/>
                <w:spacing w:val="-3"/>
                <w:sz w:val="24"/>
                <w:szCs w:val="24"/>
              </w:rPr>
              <w:t>）土壤环境影响类型与影响途径识别</w:t>
            </w:r>
          </w:p>
        </w:tc>
      </w:tr>
    </w:tbl>
    <w:p w14:paraId="3655623B">
      <w:pPr>
        <w:pStyle w:val="2"/>
      </w:pPr>
    </w:p>
    <w:p w14:paraId="5078F968">
      <w:pPr>
        <w:sectPr>
          <w:footerReference r:id="rId106" w:type="default"/>
          <w:pgSz w:w="11906" w:h="16839"/>
          <w:pgMar w:top="400" w:right="1055" w:bottom="1085" w:left="1054" w:header="0" w:footer="762" w:gutter="0"/>
          <w:cols w:space="720" w:num="1"/>
        </w:sectPr>
      </w:pPr>
    </w:p>
    <w:p w14:paraId="0781B2F7">
      <w:pPr>
        <w:spacing w:before="19"/>
      </w:pPr>
    </w:p>
    <w:p w14:paraId="5A953599">
      <w:pPr>
        <w:spacing w:before="19"/>
      </w:pPr>
    </w:p>
    <w:p w14:paraId="29E8FBFB">
      <w:pPr>
        <w:spacing w:before="19"/>
      </w:pPr>
    </w:p>
    <w:p w14:paraId="48668C5F">
      <w:pPr>
        <w:spacing w:before="18"/>
      </w:pPr>
    </w:p>
    <w:p w14:paraId="79474778">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1CA92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20" w:hRule="atLeast"/>
        </w:trPr>
        <w:tc>
          <w:tcPr>
            <w:tcW w:w="734" w:type="dxa"/>
            <w:tcBorders>
              <w:right w:val="single" w:color="000000" w:sz="2" w:space="0"/>
            </w:tcBorders>
            <w:vAlign w:val="top"/>
          </w:tcPr>
          <w:p w14:paraId="6EC5B6C6">
            <w:pPr>
              <w:rPr>
                <w:rFonts w:ascii="Arial"/>
                <w:sz w:val="21"/>
              </w:rPr>
            </w:pPr>
          </w:p>
        </w:tc>
        <w:tc>
          <w:tcPr>
            <w:tcW w:w="9047" w:type="dxa"/>
            <w:tcBorders>
              <w:left w:val="single" w:color="000000" w:sz="2" w:space="0"/>
            </w:tcBorders>
            <w:vAlign w:val="top"/>
          </w:tcPr>
          <w:p w14:paraId="2554CC72">
            <w:pPr>
              <w:spacing w:before="39" w:line="219" w:lineRule="auto"/>
              <w:ind w:left="590"/>
              <w:rPr>
                <w:rFonts w:ascii="宋体" w:hAnsi="宋体" w:eastAsia="宋体" w:cs="宋体"/>
                <w:sz w:val="24"/>
                <w:szCs w:val="24"/>
              </w:rPr>
            </w:pPr>
            <w:r>
              <w:rPr>
                <w:rFonts w:ascii="宋体" w:hAnsi="宋体" w:eastAsia="宋体" w:cs="宋体"/>
                <w:spacing w:val="-2"/>
                <w:sz w:val="24"/>
                <w:szCs w:val="24"/>
              </w:rPr>
              <w:t>本项目对周边土壤、地下水环境影响的类型与影响途径见表</w:t>
            </w:r>
            <w:r>
              <w:rPr>
                <w:rFonts w:ascii="宋体" w:hAnsi="宋体" w:eastAsia="宋体" w:cs="宋体"/>
                <w:spacing w:val="-38"/>
                <w:sz w:val="24"/>
                <w:szCs w:val="24"/>
              </w:rPr>
              <w:t xml:space="preserve"> </w:t>
            </w:r>
            <w:r>
              <w:rPr>
                <w:rFonts w:ascii="Times New Roman" w:hAnsi="Times New Roman" w:eastAsia="Times New Roman" w:cs="Times New Roman"/>
                <w:spacing w:val="-2"/>
                <w:sz w:val="24"/>
                <w:szCs w:val="24"/>
              </w:rPr>
              <w:t>4-</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14</w:t>
            </w:r>
            <w:r>
              <w:rPr>
                <w:rFonts w:ascii="宋体" w:hAnsi="宋体" w:eastAsia="宋体" w:cs="宋体"/>
                <w:spacing w:val="-2"/>
                <w:sz w:val="24"/>
                <w:szCs w:val="24"/>
              </w:rPr>
              <w:t>。</w:t>
            </w:r>
          </w:p>
          <w:p w14:paraId="16FF7619">
            <w:pPr>
              <w:spacing w:before="179" w:line="222" w:lineRule="auto"/>
              <w:ind w:left="1775"/>
              <w:rPr>
                <w:rFonts w:ascii="宋体" w:hAnsi="宋体" w:eastAsia="宋体" w:cs="宋体"/>
                <w:sz w:val="20"/>
                <w:szCs w:val="20"/>
              </w:rPr>
            </w:pPr>
            <w:r>
              <w:rPr>
                <w:rFonts w:ascii="宋体" w:hAnsi="宋体" w:eastAsia="宋体" w:cs="宋体"/>
                <w:b/>
                <w:bCs/>
                <w:spacing w:val="7"/>
                <w:sz w:val="20"/>
                <w:szCs w:val="20"/>
              </w:rPr>
              <w:t>表</w:t>
            </w:r>
            <w:r>
              <w:rPr>
                <w:rFonts w:ascii="宋体" w:hAnsi="宋体" w:eastAsia="宋体" w:cs="宋体"/>
                <w:spacing w:val="-40"/>
                <w:sz w:val="20"/>
                <w:szCs w:val="20"/>
              </w:rPr>
              <w:t xml:space="preserve"> </w:t>
            </w:r>
            <w:r>
              <w:rPr>
                <w:rFonts w:ascii="Times New Roman" w:hAnsi="Times New Roman" w:eastAsia="Times New Roman" w:cs="Times New Roman"/>
                <w:b/>
                <w:bCs/>
                <w:spacing w:val="7"/>
                <w:sz w:val="20"/>
                <w:szCs w:val="20"/>
              </w:rPr>
              <w:t xml:space="preserve">4-14    </w:t>
            </w:r>
            <w:r>
              <w:rPr>
                <w:rFonts w:ascii="宋体" w:hAnsi="宋体" w:eastAsia="宋体" w:cs="宋体"/>
                <w:b/>
                <w:bCs/>
                <w:spacing w:val="7"/>
                <w:sz w:val="20"/>
                <w:szCs w:val="20"/>
              </w:rPr>
              <w:t>项目土壤、地下水环境影响类型与影响</w:t>
            </w:r>
            <w:r>
              <w:rPr>
                <w:rFonts w:ascii="宋体" w:hAnsi="宋体" w:eastAsia="宋体" w:cs="宋体"/>
                <w:b/>
                <w:bCs/>
                <w:spacing w:val="6"/>
                <w:sz w:val="20"/>
                <w:szCs w:val="20"/>
              </w:rPr>
              <w:t>途径识别表</w:t>
            </w:r>
          </w:p>
          <w:tbl>
            <w:tblPr>
              <w:tblStyle w:val="10"/>
              <w:tblW w:w="8827"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67"/>
              <w:gridCol w:w="1762"/>
              <w:gridCol w:w="1762"/>
              <w:gridCol w:w="1762"/>
              <w:gridCol w:w="1774"/>
            </w:tblGrid>
            <w:tr w14:paraId="669C1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767" w:type="dxa"/>
                  <w:vMerge w:val="restart"/>
                  <w:tcBorders>
                    <w:bottom w:val="nil"/>
                  </w:tcBorders>
                  <w:vAlign w:val="top"/>
                </w:tcPr>
                <w:p w14:paraId="4527E80F">
                  <w:pPr>
                    <w:spacing w:before="246" w:line="229" w:lineRule="auto"/>
                    <w:ind w:left="687"/>
                    <w:rPr>
                      <w:rFonts w:ascii="宋体" w:hAnsi="宋体" w:eastAsia="宋体" w:cs="宋体"/>
                      <w:sz w:val="20"/>
                      <w:szCs w:val="20"/>
                    </w:rPr>
                  </w:pPr>
                  <w:r>
                    <w:rPr>
                      <w:rFonts w:ascii="宋体" w:hAnsi="宋体" w:eastAsia="宋体" w:cs="宋体"/>
                      <w:b/>
                      <w:bCs/>
                      <w:spacing w:val="-1"/>
                      <w:sz w:val="20"/>
                      <w:szCs w:val="20"/>
                    </w:rPr>
                    <w:t>时段</w:t>
                  </w:r>
                </w:p>
              </w:tc>
              <w:tc>
                <w:tcPr>
                  <w:tcW w:w="7060" w:type="dxa"/>
                  <w:gridSpan w:val="4"/>
                  <w:vAlign w:val="top"/>
                </w:tcPr>
                <w:p w14:paraId="4F990B0C">
                  <w:pPr>
                    <w:spacing w:before="37" w:line="228" w:lineRule="auto"/>
                    <w:ind w:left="3009"/>
                    <w:rPr>
                      <w:rFonts w:ascii="宋体" w:hAnsi="宋体" w:eastAsia="宋体" w:cs="宋体"/>
                      <w:sz w:val="20"/>
                      <w:szCs w:val="20"/>
                    </w:rPr>
                  </w:pPr>
                  <w:r>
                    <w:rPr>
                      <w:rFonts w:ascii="宋体" w:hAnsi="宋体" w:eastAsia="宋体" w:cs="宋体"/>
                      <w:b/>
                      <w:bCs/>
                      <w:spacing w:val="6"/>
                      <w:sz w:val="20"/>
                      <w:szCs w:val="20"/>
                    </w:rPr>
                    <w:t>污染影响型</w:t>
                  </w:r>
                </w:p>
              </w:tc>
            </w:tr>
            <w:tr w14:paraId="7879E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767" w:type="dxa"/>
                  <w:vMerge w:val="continue"/>
                  <w:tcBorders>
                    <w:top w:val="nil"/>
                  </w:tcBorders>
                  <w:vAlign w:val="top"/>
                </w:tcPr>
                <w:p w14:paraId="7A1D3F4C">
                  <w:pPr>
                    <w:rPr>
                      <w:rFonts w:ascii="Arial"/>
                      <w:sz w:val="21"/>
                    </w:rPr>
                  </w:pPr>
                </w:p>
              </w:tc>
              <w:tc>
                <w:tcPr>
                  <w:tcW w:w="1762" w:type="dxa"/>
                  <w:vAlign w:val="top"/>
                </w:tcPr>
                <w:p w14:paraId="37D2032C">
                  <w:pPr>
                    <w:spacing w:before="32" w:line="228" w:lineRule="auto"/>
                    <w:ind w:left="466"/>
                    <w:rPr>
                      <w:rFonts w:ascii="宋体" w:hAnsi="宋体" w:eastAsia="宋体" w:cs="宋体"/>
                      <w:sz w:val="20"/>
                      <w:szCs w:val="20"/>
                    </w:rPr>
                  </w:pPr>
                  <w:r>
                    <w:rPr>
                      <w:rFonts w:ascii="宋体" w:hAnsi="宋体" w:eastAsia="宋体" w:cs="宋体"/>
                      <w:b/>
                      <w:bCs/>
                      <w:spacing w:val="5"/>
                      <w:sz w:val="20"/>
                      <w:szCs w:val="20"/>
                    </w:rPr>
                    <w:t>大气沉降</w:t>
                  </w:r>
                </w:p>
              </w:tc>
              <w:tc>
                <w:tcPr>
                  <w:tcW w:w="1762" w:type="dxa"/>
                  <w:vAlign w:val="top"/>
                </w:tcPr>
                <w:p w14:paraId="6CCD4166">
                  <w:pPr>
                    <w:spacing w:before="32" w:line="228" w:lineRule="auto"/>
                    <w:ind w:left="465"/>
                    <w:rPr>
                      <w:rFonts w:ascii="宋体" w:hAnsi="宋体" w:eastAsia="宋体" w:cs="宋体"/>
                      <w:sz w:val="20"/>
                      <w:szCs w:val="20"/>
                    </w:rPr>
                  </w:pPr>
                  <w:r>
                    <w:rPr>
                      <w:rFonts w:ascii="宋体" w:hAnsi="宋体" w:eastAsia="宋体" w:cs="宋体"/>
                      <w:b/>
                      <w:bCs/>
                      <w:spacing w:val="6"/>
                      <w:sz w:val="20"/>
                      <w:szCs w:val="20"/>
                    </w:rPr>
                    <w:t>地面浸流</w:t>
                  </w:r>
                </w:p>
              </w:tc>
              <w:tc>
                <w:tcPr>
                  <w:tcW w:w="1762" w:type="dxa"/>
                  <w:vAlign w:val="top"/>
                </w:tcPr>
                <w:p w14:paraId="5BE1AE74">
                  <w:pPr>
                    <w:spacing w:before="33" w:line="228" w:lineRule="auto"/>
                    <w:ind w:left="465"/>
                    <w:rPr>
                      <w:rFonts w:ascii="宋体" w:hAnsi="宋体" w:eastAsia="宋体" w:cs="宋体"/>
                      <w:sz w:val="20"/>
                      <w:szCs w:val="20"/>
                    </w:rPr>
                  </w:pPr>
                  <w:r>
                    <w:rPr>
                      <w:rFonts w:ascii="宋体" w:hAnsi="宋体" w:eastAsia="宋体" w:cs="宋体"/>
                      <w:b/>
                      <w:bCs/>
                      <w:spacing w:val="6"/>
                      <w:sz w:val="20"/>
                      <w:szCs w:val="20"/>
                    </w:rPr>
                    <w:t>垂直入渗</w:t>
                  </w:r>
                </w:p>
              </w:tc>
              <w:tc>
                <w:tcPr>
                  <w:tcW w:w="1774" w:type="dxa"/>
                  <w:vAlign w:val="top"/>
                </w:tcPr>
                <w:p w14:paraId="734F41BE">
                  <w:pPr>
                    <w:spacing w:before="33" w:line="228" w:lineRule="auto"/>
                    <w:ind w:left="681"/>
                    <w:rPr>
                      <w:rFonts w:ascii="宋体" w:hAnsi="宋体" w:eastAsia="宋体" w:cs="宋体"/>
                      <w:sz w:val="20"/>
                      <w:szCs w:val="20"/>
                    </w:rPr>
                  </w:pPr>
                  <w:r>
                    <w:rPr>
                      <w:rFonts w:ascii="宋体" w:hAnsi="宋体" w:eastAsia="宋体" w:cs="宋体"/>
                      <w:b/>
                      <w:bCs/>
                      <w:spacing w:val="3"/>
                      <w:sz w:val="20"/>
                      <w:szCs w:val="20"/>
                    </w:rPr>
                    <w:t>其他</w:t>
                  </w:r>
                </w:p>
              </w:tc>
            </w:tr>
            <w:tr w14:paraId="126C9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767" w:type="dxa"/>
                  <w:vAlign w:val="top"/>
                </w:tcPr>
                <w:p w14:paraId="37D4A707">
                  <w:pPr>
                    <w:spacing w:before="34" w:line="228" w:lineRule="auto"/>
                    <w:ind w:left="572"/>
                    <w:rPr>
                      <w:rFonts w:ascii="宋体" w:hAnsi="宋体" w:eastAsia="宋体" w:cs="宋体"/>
                      <w:sz w:val="20"/>
                      <w:szCs w:val="20"/>
                    </w:rPr>
                  </w:pPr>
                  <w:r>
                    <w:rPr>
                      <w:rFonts w:ascii="宋体" w:hAnsi="宋体" w:eastAsia="宋体" w:cs="宋体"/>
                      <w:b/>
                      <w:bCs/>
                      <w:spacing w:val="5"/>
                      <w:sz w:val="20"/>
                      <w:szCs w:val="20"/>
                    </w:rPr>
                    <w:t>运营期</w:t>
                  </w:r>
                </w:p>
              </w:tc>
              <w:tc>
                <w:tcPr>
                  <w:tcW w:w="1762" w:type="dxa"/>
                  <w:vAlign w:val="top"/>
                </w:tcPr>
                <w:p w14:paraId="7BCA4E0F">
                  <w:pPr>
                    <w:spacing w:before="77" w:line="195" w:lineRule="auto"/>
                    <w:ind w:left="846"/>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w:t>
                  </w:r>
                </w:p>
              </w:tc>
              <w:tc>
                <w:tcPr>
                  <w:tcW w:w="1762" w:type="dxa"/>
                  <w:vAlign w:val="top"/>
                </w:tcPr>
                <w:p w14:paraId="72BAACFC">
                  <w:pPr>
                    <w:spacing w:before="77" w:line="195" w:lineRule="auto"/>
                    <w:ind w:left="848"/>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w:t>
                  </w:r>
                </w:p>
              </w:tc>
              <w:tc>
                <w:tcPr>
                  <w:tcW w:w="1762" w:type="dxa"/>
                  <w:vAlign w:val="top"/>
                </w:tcPr>
                <w:p w14:paraId="578D4190">
                  <w:pPr>
                    <w:spacing w:line="289" w:lineRule="exact"/>
                    <w:ind w:left="830"/>
                    <w:rPr>
                      <w:rFonts w:ascii="Times New Roman" w:hAnsi="Times New Roman" w:eastAsia="Times New Roman" w:cs="Times New Roman"/>
                      <w:sz w:val="20"/>
                      <w:szCs w:val="20"/>
                    </w:rPr>
                  </w:pPr>
                  <w:r>
                    <w:rPr>
                      <w:rFonts w:ascii="Times New Roman" w:hAnsi="Times New Roman" w:eastAsia="Times New Roman" w:cs="Times New Roman"/>
                      <w:b/>
                      <w:bCs/>
                      <w:sz w:val="20"/>
                      <w:szCs w:val="20"/>
                    </w:rPr>
                    <w:t>√</w:t>
                  </w:r>
                </w:p>
              </w:tc>
              <w:tc>
                <w:tcPr>
                  <w:tcW w:w="1774" w:type="dxa"/>
                  <w:vAlign w:val="top"/>
                </w:tcPr>
                <w:p w14:paraId="0D94919D">
                  <w:pPr>
                    <w:spacing w:before="77" w:line="195" w:lineRule="auto"/>
                    <w:ind w:left="855"/>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w:t>
                  </w:r>
                </w:p>
              </w:tc>
            </w:tr>
          </w:tbl>
          <w:p w14:paraId="729B6C92">
            <w:pPr>
              <w:spacing w:before="34" w:line="220" w:lineRule="auto"/>
              <w:ind w:left="600"/>
              <w:rPr>
                <w:rFonts w:ascii="宋体" w:hAnsi="宋体" w:eastAsia="宋体" w:cs="宋体"/>
                <w:sz w:val="24"/>
                <w:szCs w:val="24"/>
              </w:rPr>
            </w:pPr>
            <w:r>
              <w:rPr>
                <w:rFonts w:ascii="宋体" w:hAnsi="宋体" w:eastAsia="宋体" w:cs="宋体"/>
                <w:b/>
                <w:bCs/>
                <w:spacing w:val="-3"/>
                <w:sz w:val="24"/>
                <w:szCs w:val="24"/>
              </w:rPr>
              <w:t>（</w:t>
            </w:r>
            <w:r>
              <w:rPr>
                <w:rFonts w:ascii="Times New Roman" w:hAnsi="Times New Roman" w:eastAsia="Times New Roman" w:cs="Times New Roman"/>
                <w:b/>
                <w:bCs/>
                <w:spacing w:val="-3"/>
                <w:sz w:val="24"/>
                <w:szCs w:val="24"/>
              </w:rPr>
              <w:t>2</w:t>
            </w:r>
            <w:r>
              <w:rPr>
                <w:rFonts w:ascii="宋体" w:hAnsi="宋体" w:eastAsia="宋体" w:cs="宋体"/>
                <w:b/>
                <w:bCs/>
                <w:spacing w:val="-3"/>
                <w:sz w:val="24"/>
                <w:szCs w:val="24"/>
              </w:rPr>
              <w:t>）土壤环境影响源及影响因子</w:t>
            </w:r>
          </w:p>
          <w:p w14:paraId="17A86ECF">
            <w:pPr>
              <w:spacing w:before="181" w:line="219" w:lineRule="auto"/>
              <w:ind w:left="590"/>
              <w:rPr>
                <w:rFonts w:ascii="宋体" w:hAnsi="宋体" w:eastAsia="宋体" w:cs="宋体"/>
                <w:sz w:val="24"/>
                <w:szCs w:val="24"/>
              </w:rPr>
            </w:pPr>
            <w:r>
              <w:rPr>
                <w:rFonts w:ascii="宋体" w:hAnsi="宋体" w:eastAsia="宋体" w:cs="宋体"/>
                <w:spacing w:val="-2"/>
                <w:sz w:val="24"/>
                <w:szCs w:val="24"/>
              </w:rPr>
              <w:t>本项目对土壤、地下水环境的影响源及影响因子见表</w:t>
            </w:r>
            <w:r>
              <w:rPr>
                <w:rFonts w:ascii="宋体" w:hAnsi="宋体" w:eastAsia="宋体" w:cs="宋体"/>
                <w:spacing w:val="-44"/>
                <w:sz w:val="24"/>
                <w:szCs w:val="24"/>
              </w:rPr>
              <w:t xml:space="preserve"> </w:t>
            </w:r>
            <w:r>
              <w:rPr>
                <w:rFonts w:ascii="Times New Roman" w:hAnsi="Times New Roman" w:eastAsia="Times New Roman" w:cs="Times New Roman"/>
                <w:spacing w:val="-2"/>
                <w:sz w:val="24"/>
                <w:szCs w:val="24"/>
              </w:rPr>
              <w:t>4-</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15</w:t>
            </w:r>
            <w:r>
              <w:rPr>
                <w:rFonts w:ascii="宋体" w:hAnsi="宋体" w:eastAsia="宋体" w:cs="宋体"/>
                <w:spacing w:val="-2"/>
                <w:sz w:val="24"/>
                <w:szCs w:val="24"/>
              </w:rPr>
              <w:t>。</w:t>
            </w:r>
          </w:p>
          <w:p w14:paraId="392A45B4">
            <w:pPr>
              <w:spacing w:before="179" w:line="222" w:lineRule="auto"/>
              <w:ind w:left="1669"/>
              <w:rPr>
                <w:rFonts w:ascii="宋体" w:hAnsi="宋体" w:eastAsia="宋体" w:cs="宋体"/>
                <w:sz w:val="20"/>
                <w:szCs w:val="20"/>
              </w:rPr>
            </w:pPr>
            <w:r>
              <w:rPr>
                <w:rFonts w:ascii="宋体" w:hAnsi="宋体" w:eastAsia="宋体" w:cs="宋体"/>
                <w:b/>
                <w:bCs/>
                <w:spacing w:val="7"/>
                <w:sz w:val="20"/>
                <w:szCs w:val="20"/>
              </w:rPr>
              <w:t>表</w:t>
            </w:r>
            <w:r>
              <w:rPr>
                <w:rFonts w:ascii="宋体" w:hAnsi="宋体" w:eastAsia="宋体" w:cs="宋体"/>
                <w:spacing w:val="-40"/>
                <w:sz w:val="20"/>
                <w:szCs w:val="20"/>
              </w:rPr>
              <w:t xml:space="preserve"> </w:t>
            </w:r>
            <w:r>
              <w:rPr>
                <w:rFonts w:ascii="Times New Roman" w:hAnsi="Times New Roman" w:eastAsia="Times New Roman" w:cs="Times New Roman"/>
                <w:b/>
                <w:bCs/>
                <w:spacing w:val="7"/>
                <w:sz w:val="20"/>
                <w:szCs w:val="20"/>
              </w:rPr>
              <w:t xml:space="preserve">4-15    </w:t>
            </w:r>
            <w:r>
              <w:rPr>
                <w:rFonts w:ascii="宋体" w:hAnsi="宋体" w:eastAsia="宋体" w:cs="宋体"/>
                <w:b/>
                <w:bCs/>
                <w:spacing w:val="7"/>
                <w:sz w:val="20"/>
                <w:szCs w:val="20"/>
              </w:rPr>
              <w:t>建设项目土壤、地下水环境影响源及影响因子</w:t>
            </w:r>
            <w:r>
              <w:rPr>
                <w:rFonts w:ascii="宋体" w:hAnsi="宋体" w:eastAsia="宋体" w:cs="宋体"/>
                <w:b/>
                <w:bCs/>
                <w:spacing w:val="6"/>
                <w:sz w:val="20"/>
                <w:szCs w:val="20"/>
              </w:rPr>
              <w:t>识别表</w:t>
            </w:r>
          </w:p>
          <w:tbl>
            <w:tblPr>
              <w:tblStyle w:val="10"/>
              <w:tblW w:w="8825"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94"/>
              <w:gridCol w:w="1704"/>
              <w:gridCol w:w="1189"/>
              <w:gridCol w:w="1189"/>
              <w:gridCol w:w="3349"/>
            </w:tblGrid>
            <w:tr w14:paraId="28C4C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394" w:type="dxa"/>
                  <w:vAlign w:val="top"/>
                </w:tcPr>
                <w:p w14:paraId="2966754C">
                  <w:pPr>
                    <w:spacing w:before="35" w:line="228" w:lineRule="auto"/>
                    <w:ind w:left="389"/>
                    <w:rPr>
                      <w:rFonts w:ascii="宋体" w:hAnsi="宋体" w:eastAsia="宋体" w:cs="宋体"/>
                      <w:sz w:val="20"/>
                      <w:szCs w:val="20"/>
                    </w:rPr>
                  </w:pPr>
                  <w:r>
                    <w:rPr>
                      <w:rFonts w:ascii="宋体" w:hAnsi="宋体" w:eastAsia="宋体" w:cs="宋体"/>
                      <w:b/>
                      <w:bCs/>
                      <w:spacing w:val="5"/>
                      <w:sz w:val="20"/>
                      <w:szCs w:val="20"/>
                    </w:rPr>
                    <w:t>污染源</w:t>
                  </w:r>
                </w:p>
              </w:tc>
              <w:tc>
                <w:tcPr>
                  <w:tcW w:w="1704" w:type="dxa"/>
                  <w:vAlign w:val="top"/>
                </w:tcPr>
                <w:p w14:paraId="1DC65421">
                  <w:pPr>
                    <w:spacing w:before="35" w:line="228" w:lineRule="auto"/>
                    <w:ind w:left="198"/>
                    <w:rPr>
                      <w:rFonts w:ascii="宋体" w:hAnsi="宋体" w:eastAsia="宋体" w:cs="宋体"/>
                      <w:sz w:val="20"/>
                      <w:szCs w:val="20"/>
                    </w:rPr>
                  </w:pPr>
                  <w:r>
                    <w:rPr>
                      <w:rFonts w:ascii="宋体" w:hAnsi="宋体" w:eastAsia="宋体" w:cs="宋体"/>
                      <w:b/>
                      <w:bCs/>
                      <w:spacing w:val="5"/>
                      <w:sz w:val="20"/>
                      <w:szCs w:val="20"/>
                    </w:rPr>
                    <w:t>工艺流程</w:t>
                  </w:r>
                  <w:r>
                    <w:rPr>
                      <w:rFonts w:ascii="Times New Roman" w:hAnsi="Times New Roman" w:eastAsia="Times New Roman" w:cs="Times New Roman"/>
                      <w:b/>
                      <w:bCs/>
                      <w:spacing w:val="5"/>
                      <w:sz w:val="20"/>
                      <w:szCs w:val="20"/>
                    </w:rPr>
                    <w:t>/</w:t>
                  </w:r>
                  <w:r>
                    <w:rPr>
                      <w:rFonts w:ascii="宋体" w:hAnsi="宋体" w:eastAsia="宋体" w:cs="宋体"/>
                      <w:b/>
                      <w:bCs/>
                      <w:spacing w:val="5"/>
                      <w:sz w:val="20"/>
                      <w:szCs w:val="20"/>
                    </w:rPr>
                    <w:t>节点</w:t>
                  </w:r>
                </w:p>
              </w:tc>
              <w:tc>
                <w:tcPr>
                  <w:tcW w:w="1189" w:type="dxa"/>
                  <w:vAlign w:val="top"/>
                </w:tcPr>
                <w:p w14:paraId="59752EC1">
                  <w:pPr>
                    <w:spacing w:before="34" w:line="228" w:lineRule="auto"/>
                    <w:ind w:left="180"/>
                    <w:rPr>
                      <w:rFonts w:ascii="宋体" w:hAnsi="宋体" w:eastAsia="宋体" w:cs="宋体"/>
                      <w:sz w:val="20"/>
                      <w:szCs w:val="20"/>
                    </w:rPr>
                  </w:pPr>
                  <w:r>
                    <w:rPr>
                      <w:rFonts w:ascii="宋体" w:hAnsi="宋体" w:eastAsia="宋体" w:cs="宋体"/>
                      <w:b/>
                      <w:bCs/>
                      <w:spacing w:val="6"/>
                      <w:sz w:val="20"/>
                      <w:szCs w:val="20"/>
                    </w:rPr>
                    <w:t>污染途径</w:t>
                  </w:r>
                </w:p>
              </w:tc>
              <w:tc>
                <w:tcPr>
                  <w:tcW w:w="1189" w:type="dxa"/>
                  <w:vAlign w:val="top"/>
                </w:tcPr>
                <w:p w14:paraId="54530AC6">
                  <w:pPr>
                    <w:spacing w:before="35" w:line="228" w:lineRule="auto"/>
                    <w:ind w:left="287"/>
                    <w:rPr>
                      <w:rFonts w:ascii="宋体" w:hAnsi="宋体" w:eastAsia="宋体" w:cs="宋体"/>
                      <w:sz w:val="20"/>
                      <w:szCs w:val="20"/>
                    </w:rPr>
                  </w:pPr>
                  <w:r>
                    <w:rPr>
                      <w:rFonts w:ascii="宋体" w:hAnsi="宋体" w:eastAsia="宋体" w:cs="宋体"/>
                      <w:b/>
                      <w:bCs/>
                      <w:spacing w:val="5"/>
                      <w:sz w:val="20"/>
                      <w:szCs w:val="20"/>
                    </w:rPr>
                    <w:t>污染物</w:t>
                  </w:r>
                </w:p>
              </w:tc>
              <w:tc>
                <w:tcPr>
                  <w:tcW w:w="3349" w:type="dxa"/>
                  <w:vAlign w:val="top"/>
                </w:tcPr>
                <w:p w14:paraId="44E07927">
                  <w:pPr>
                    <w:spacing w:before="34" w:line="229" w:lineRule="auto"/>
                    <w:ind w:left="1470"/>
                    <w:rPr>
                      <w:rFonts w:ascii="宋体" w:hAnsi="宋体" w:eastAsia="宋体" w:cs="宋体"/>
                      <w:sz w:val="20"/>
                      <w:szCs w:val="20"/>
                    </w:rPr>
                  </w:pPr>
                  <w:r>
                    <w:rPr>
                      <w:rFonts w:ascii="宋体" w:hAnsi="宋体" w:eastAsia="宋体" w:cs="宋体"/>
                      <w:b/>
                      <w:bCs/>
                      <w:spacing w:val="2"/>
                      <w:sz w:val="20"/>
                      <w:szCs w:val="20"/>
                    </w:rPr>
                    <w:t>备注</w:t>
                  </w:r>
                </w:p>
              </w:tc>
            </w:tr>
            <w:tr w14:paraId="7E567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394" w:type="dxa"/>
                  <w:vAlign w:val="top"/>
                </w:tcPr>
                <w:p w14:paraId="71C552FD">
                  <w:pPr>
                    <w:spacing w:before="237" w:line="228" w:lineRule="auto"/>
                    <w:ind w:left="181"/>
                    <w:rPr>
                      <w:rFonts w:ascii="宋体" w:hAnsi="宋体" w:eastAsia="宋体" w:cs="宋体"/>
                      <w:sz w:val="20"/>
                      <w:szCs w:val="20"/>
                    </w:rPr>
                  </w:pPr>
                  <w:r>
                    <w:rPr>
                      <w:rFonts w:ascii="宋体" w:hAnsi="宋体" w:eastAsia="宋体" w:cs="宋体"/>
                      <w:spacing w:val="7"/>
                      <w:sz w:val="20"/>
                      <w:szCs w:val="20"/>
                    </w:rPr>
                    <w:t>危废暂存间</w:t>
                  </w:r>
                </w:p>
              </w:tc>
              <w:tc>
                <w:tcPr>
                  <w:tcW w:w="1704" w:type="dxa"/>
                  <w:vAlign w:val="top"/>
                </w:tcPr>
                <w:p w14:paraId="17B54F94">
                  <w:pPr>
                    <w:spacing w:before="237" w:line="227" w:lineRule="auto"/>
                    <w:ind w:left="329"/>
                    <w:rPr>
                      <w:rFonts w:ascii="宋体" w:hAnsi="宋体" w:eastAsia="宋体" w:cs="宋体"/>
                      <w:sz w:val="20"/>
                      <w:szCs w:val="20"/>
                    </w:rPr>
                  </w:pPr>
                  <w:r>
                    <w:rPr>
                      <w:rFonts w:ascii="宋体" w:hAnsi="宋体" w:eastAsia="宋体" w:cs="宋体"/>
                      <w:spacing w:val="8"/>
                      <w:sz w:val="20"/>
                      <w:szCs w:val="20"/>
                    </w:rPr>
                    <w:t>废机油暂存</w:t>
                  </w:r>
                </w:p>
              </w:tc>
              <w:tc>
                <w:tcPr>
                  <w:tcW w:w="1189" w:type="dxa"/>
                  <w:vAlign w:val="top"/>
                </w:tcPr>
                <w:p w14:paraId="536D6680">
                  <w:pPr>
                    <w:spacing w:before="238" w:line="228" w:lineRule="auto"/>
                    <w:ind w:left="179"/>
                    <w:rPr>
                      <w:rFonts w:ascii="宋体" w:hAnsi="宋体" w:eastAsia="宋体" w:cs="宋体"/>
                      <w:sz w:val="20"/>
                      <w:szCs w:val="20"/>
                    </w:rPr>
                  </w:pPr>
                  <w:r>
                    <w:rPr>
                      <w:rFonts w:ascii="宋体" w:hAnsi="宋体" w:eastAsia="宋体" w:cs="宋体"/>
                      <w:spacing w:val="7"/>
                      <w:sz w:val="20"/>
                      <w:szCs w:val="20"/>
                    </w:rPr>
                    <w:t>垂直入渗</w:t>
                  </w:r>
                </w:p>
              </w:tc>
              <w:tc>
                <w:tcPr>
                  <w:tcW w:w="1189" w:type="dxa"/>
                  <w:vAlign w:val="top"/>
                </w:tcPr>
                <w:p w14:paraId="35A8A27E">
                  <w:pPr>
                    <w:spacing w:before="237" w:line="227" w:lineRule="auto"/>
                    <w:ind w:left="285"/>
                    <w:rPr>
                      <w:rFonts w:ascii="宋体" w:hAnsi="宋体" w:eastAsia="宋体" w:cs="宋体"/>
                      <w:sz w:val="20"/>
                      <w:szCs w:val="20"/>
                    </w:rPr>
                  </w:pPr>
                  <w:r>
                    <w:rPr>
                      <w:rFonts w:ascii="宋体" w:hAnsi="宋体" w:eastAsia="宋体" w:cs="宋体"/>
                      <w:spacing w:val="7"/>
                      <w:sz w:val="20"/>
                      <w:szCs w:val="20"/>
                    </w:rPr>
                    <w:t>废机油</w:t>
                  </w:r>
                </w:p>
              </w:tc>
              <w:tc>
                <w:tcPr>
                  <w:tcW w:w="3349" w:type="dxa"/>
                  <w:vAlign w:val="top"/>
                </w:tcPr>
                <w:p w14:paraId="3ADE7F61">
                  <w:pPr>
                    <w:spacing w:before="33" w:line="227" w:lineRule="auto"/>
                    <w:ind w:left="117"/>
                    <w:rPr>
                      <w:rFonts w:ascii="宋体" w:hAnsi="宋体" w:eastAsia="宋体" w:cs="宋体"/>
                      <w:sz w:val="20"/>
                      <w:szCs w:val="20"/>
                    </w:rPr>
                  </w:pPr>
                  <w:r>
                    <w:rPr>
                      <w:rFonts w:ascii="宋体" w:hAnsi="宋体" w:eastAsia="宋体" w:cs="宋体"/>
                      <w:spacing w:val="7"/>
                      <w:sz w:val="20"/>
                      <w:szCs w:val="20"/>
                    </w:rPr>
                    <w:t>危废暂存容器损坏，废机油泄露深</w:t>
                  </w:r>
                </w:p>
                <w:p w14:paraId="56C823AF">
                  <w:pPr>
                    <w:spacing w:before="162" w:line="228" w:lineRule="auto"/>
                    <w:ind w:left="944"/>
                    <w:rPr>
                      <w:rFonts w:ascii="宋体" w:hAnsi="宋体" w:eastAsia="宋体" w:cs="宋体"/>
                      <w:sz w:val="20"/>
                      <w:szCs w:val="20"/>
                    </w:rPr>
                  </w:pPr>
                  <w:r>
                    <w:rPr>
                      <w:rFonts w:ascii="宋体" w:hAnsi="宋体" w:eastAsia="宋体" w:cs="宋体"/>
                      <w:spacing w:val="8"/>
                      <w:sz w:val="20"/>
                      <w:szCs w:val="20"/>
                    </w:rPr>
                    <w:t>入土壤造成污染</w:t>
                  </w:r>
                </w:p>
              </w:tc>
            </w:tr>
          </w:tbl>
          <w:p w14:paraId="6E29FA6A">
            <w:pPr>
              <w:spacing w:before="35" w:line="220" w:lineRule="auto"/>
              <w:ind w:left="583"/>
              <w:rPr>
                <w:rFonts w:ascii="宋体" w:hAnsi="宋体" w:eastAsia="宋体" w:cs="宋体"/>
                <w:sz w:val="24"/>
                <w:szCs w:val="24"/>
              </w:rPr>
            </w:pPr>
            <w:r>
              <w:rPr>
                <w:rFonts w:ascii="Times New Roman" w:hAnsi="Times New Roman" w:eastAsia="Times New Roman" w:cs="Times New Roman"/>
                <w:b/>
                <w:bCs/>
                <w:spacing w:val="-7"/>
                <w:sz w:val="24"/>
                <w:szCs w:val="24"/>
              </w:rPr>
              <w:t>3</w:t>
            </w:r>
            <w:r>
              <w:rPr>
                <w:rFonts w:ascii="Times New Roman" w:hAnsi="Times New Roman" w:eastAsia="Times New Roman" w:cs="Times New Roman"/>
                <w:b/>
                <w:bCs/>
                <w:spacing w:val="-31"/>
                <w:sz w:val="24"/>
                <w:szCs w:val="24"/>
              </w:rPr>
              <w:t xml:space="preserve"> </w:t>
            </w:r>
            <w:r>
              <w:rPr>
                <w:rFonts w:ascii="宋体" w:hAnsi="宋体" w:eastAsia="宋体" w:cs="宋体"/>
                <w:b/>
                <w:bCs/>
                <w:spacing w:val="-7"/>
                <w:sz w:val="24"/>
                <w:szCs w:val="24"/>
              </w:rPr>
              <w:t>、分区防渗</w:t>
            </w:r>
          </w:p>
          <w:p w14:paraId="41E338A4">
            <w:pPr>
              <w:spacing w:before="183" w:line="357" w:lineRule="auto"/>
              <w:ind w:left="108" w:right="115" w:firstLine="480"/>
              <w:rPr>
                <w:rFonts w:ascii="宋体" w:hAnsi="宋体" w:eastAsia="宋体" w:cs="宋体"/>
                <w:sz w:val="24"/>
                <w:szCs w:val="24"/>
              </w:rPr>
            </w:pPr>
            <w:r>
              <w:rPr>
                <w:rFonts w:ascii="宋体" w:hAnsi="宋体" w:eastAsia="宋体" w:cs="宋体"/>
                <w:spacing w:val="-2"/>
                <w:sz w:val="24"/>
                <w:szCs w:val="24"/>
              </w:rPr>
              <w:t>根据以上分析，项目存在土壤、地下水污染源的区域主要为危废暂存间，因此，</w:t>
            </w:r>
            <w:r>
              <w:rPr>
                <w:rFonts w:ascii="宋体" w:hAnsi="宋体" w:eastAsia="宋体" w:cs="宋体"/>
                <w:sz w:val="24"/>
                <w:szCs w:val="24"/>
              </w:rPr>
              <w:t>评价提出对危废暂存区做重点防渗，其余生产区进行</w:t>
            </w:r>
            <w:r>
              <w:rPr>
                <w:rFonts w:ascii="宋体" w:hAnsi="宋体" w:eastAsia="宋体" w:cs="宋体"/>
                <w:spacing w:val="-1"/>
                <w:sz w:val="24"/>
                <w:szCs w:val="24"/>
              </w:rPr>
              <w:t>一般防渗，具体如下。</w:t>
            </w:r>
          </w:p>
          <w:p w14:paraId="7A3FCFA3">
            <w:pPr>
              <w:spacing w:line="222" w:lineRule="auto"/>
              <w:ind w:left="3356"/>
              <w:rPr>
                <w:rFonts w:ascii="宋体" w:hAnsi="宋体" w:eastAsia="宋体" w:cs="宋体"/>
                <w:sz w:val="20"/>
                <w:szCs w:val="20"/>
              </w:rPr>
            </w:pPr>
            <w:r>
              <w:rPr>
                <w:rFonts w:ascii="宋体" w:hAnsi="宋体" w:eastAsia="宋体" w:cs="宋体"/>
                <w:b/>
                <w:bCs/>
                <w:spacing w:val="4"/>
                <w:sz w:val="20"/>
                <w:szCs w:val="20"/>
              </w:rPr>
              <w:t>表</w:t>
            </w:r>
            <w:r>
              <w:rPr>
                <w:rFonts w:ascii="宋体" w:hAnsi="宋体" w:eastAsia="宋体" w:cs="宋体"/>
                <w:spacing w:val="-26"/>
                <w:sz w:val="20"/>
                <w:szCs w:val="20"/>
              </w:rPr>
              <w:t xml:space="preserve"> </w:t>
            </w:r>
            <w:r>
              <w:rPr>
                <w:rFonts w:ascii="Times New Roman" w:hAnsi="Times New Roman" w:eastAsia="Times New Roman" w:cs="Times New Roman"/>
                <w:b/>
                <w:bCs/>
                <w:spacing w:val="4"/>
                <w:sz w:val="20"/>
                <w:szCs w:val="20"/>
              </w:rPr>
              <w:t xml:space="preserve">4-16    </w:t>
            </w:r>
            <w:r>
              <w:rPr>
                <w:rFonts w:ascii="宋体" w:hAnsi="宋体" w:eastAsia="宋体" w:cs="宋体"/>
                <w:b/>
                <w:bCs/>
                <w:spacing w:val="4"/>
                <w:sz w:val="20"/>
                <w:szCs w:val="20"/>
              </w:rPr>
              <w:t>项目分区防渗表</w:t>
            </w:r>
          </w:p>
          <w:tbl>
            <w:tblPr>
              <w:tblStyle w:val="10"/>
              <w:tblW w:w="8825"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72"/>
              <w:gridCol w:w="1771"/>
              <w:gridCol w:w="4982"/>
            </w:tblGrid>
            <w:tr w14:paraId="24495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2072" w:type="dxa"/>
                  <w:vAlign w:val="top"/>
                </w:tcPr>
                <w:p w14:paraId="7CD0A6E1">
                  <w:pPr>
                    <w:spacing w:before="37" w:line="228" w:lineRule="auto"/>
                    <w:ind w:left="635"/>
                    <w:rPr>
                      <w:rFonts w:ascii="宋体" w:hAnsi="宋体" w:eastAsia="宋体" w:cs="宋体"/>
                      <w:sz w:val="20"/>
                      <w:szCs w:val="20"/>
                    </w:rPr>
                  </w:pPr>
                  <w:r>
                    <w:rPr>
                      <w:rFonts w:ascii="宋体" w:hAnsi="宋体" w:eastAsia="宋体" w:cs="宋体"/>
                      <w:b/>
                      <w:bCs/>
                      <w:spacing w:val="2"/>
                      <w:sz w:val="20"/>
                      <w:szCs w:val="20"/>
                    </w:rPr>
                    <w:t>区域名称</w:t>
                  </w:r>
                </w:p>
              </w:tc>
              <w:tc>
                <w:tcPr>
                  <w:tcW w:w="1771" w:type="dxa"/>
                  <w:vAlign w:val="top"/>
                </w:tcPr>
                <w:p w14:paraId="4A46A88E">
                  <w:pPr>
                    <w:spacing w:before="36" w:line="228" w:lineRule="auto"/>
                    <w:ind w:left="470"/>
                    <w:rPr>
                      <w:rFonts w:ascii="宋体" w:hAnsi="宋体" w:eastAsia="宋体" w:cs="宋体"/>
                      <w:sz w:val="20"/>
                      <w:szCs w:val="20"/>
                    </w:rPr>
                  </w:pPr>
                  <w:r>
                    <w:rPr>
                      <w:rFonts w:ascii="宋体" w:hAnsi="宋体" w:eastAsia="宋体" w:cs="宋体"/>
                      <w:b/>
                      <w:bCs/>
                      <w:spacing w:val="5"/>
                      <w:sz w:val="20"/>
                      <w:szCs w:val="20"/>
                    </w:rPr>
                    <w:t>分区类型</w:t>
                  </w:r>
                </w:p>
              </w:tc>
              <w:tc>
                <w:tcPr>
                  <w:tcW w:w="4982" w:type="dxa"/>
                  <w:vAlign w:val="top"/>
                </w:tcPr>
                <w:p w14:paraId="65C95A94">
                  <w:pPr>
                    <w:spacing w:before="36" w:line="228" w:lineRule="auto"/>
                    <w:ind w:left="1875"/>
                    <w:rPr>
                      <w:rFonts w:ascii="宋体" w:hAnsi="宋体" w:eastAsia="宋体" w:cs="宋体"/>
                      <w:sz w:val="20"/>
                      <w:szCs w:val="20"/>
                    </w:rPr>
                  </w:pPr>
                  <w:r>
                    <w:rPr>
                      <w:rFonts w:ascii="宋体" w:hAnsi="宋体" w:eastAsia="宋体" w:cs="宋体"/>
                      <w:b/>
                      <w:bCs/>
                      <w:spacing w:val="4"/>
                      <w:sz w:val="20"/>
                      <w:szCs w:val="20"/>
                    </w:rPr>
                    <w:t>防渗技术要求</w:t>
                  </w:r>
                </w:p>
              </w:tc>
            </w:tr>
            <w:tr w14:paraId="402B4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trPr>
              <w:tc>
                <w:tcPr>
                  <w:tcW w:w="2072" w:type="dxa"/>
                  <w:vAlign w:val="top"/>
                </w:tcPr>
                <w:p w14:paraId="6AE57AB5">
                  <w:pPr>
                    <w:spacing w:line="372" w:lineRule="auto"/>
                    <w:rPr>
                      <w:rFonts w:ascii="Arial"/>
                      <w:sz w:val="21"/>
                    </w:rPr>
                  </w:pPr>
                </w:p>
                <w:p w14:paraId="7217488F">
                  <w:pPr>
                    <w:spacing w:before="65" w:line="228" w:lineRule="auto"/>
                    <w:ind w:left="519"/>
                    <w:rPr>
                      <w:rFonts w:ascii="宋体" w:hAnsi="宋体" w:eastAsia="宋体" w:cs="宋体"/>
                      <w:sz w:val="20"/>
                      <w:szCs w:val="20"/>
                    </w:rPr>
                  </w:pPr>
                  <w:r>
                    <w:rPr>
                      <w:rFonts w:ascii="宋体" w:hAnsi="宋体" w:eastAsia="宋体" w:cs="宋体"/>
                      <w:spacing w:val="7"/>
                      <w:sz w:val="20"/>
                      <w:szCs w:val="20"/>
                    </w:rPr>
                    <w:t>危废暂存间</w:t>
                  </w:r>
                </w:p>
              </w:tc>
              <w:tc>
                <w:tcPr>
                  <w:tcW w:w="1771" w:type="dxa"/>
                  <w:vAlign w:val="top"/>
                </w:tcPr>
                <w:p w14:paraId="7DACCF40">
                  <w:pPr>
                    <w:spacing w:line="372" w:lineRule="auto"/>
                    <w:rPr>
                      <w:rFonts w:ascii="Arial"/>
                      <w:sz w:val="21"/>
                    </w:rPr>
                  </w:pPr>
                </w:p>
                <w:p w14:paraId="672C2162">
                  <w:pPr>
                    <w:spacing w:before="65" w:line="228" w:lineRule="auto"/>
                    <w:ind w:left="365"/>
                    <w:rPr>
                      <w:rFonts w:ascii="宋体" w:hAnsi="宋体" w:eastAsia="宋体" w:cs="宋体"/>
                      <w:sz w:val="20"/>
                      <w:szCs w:val="20"/>
                    </w:rPr>
                  </w:pPr>
                  <w:r>
                    <w:rPr>
                      <w:rFonts w:ascii="宋体" w:hAnsi="宋体" w:eastAsia="宋体" w:cs="宋体"/>
                      <w:spacing w:val="7"/>
                      <w:sz w:val="20"/>
                      <w:szCs w:val="20"/>
                    </w:rPr>
                    <w:t>重点防渗区</w:t>
                  </w:r>
                </w:p>
              </w:tc>
              <w:tc>
                <w:tcPr>
                  <w:tcW w:w="4982" w:type="dxa"/>
                  <w:vAlign w:val="top"/>
                </w:tcPr>
                <w:p w14:paraId="19CFAE3E">
                  <w:pPr>
                    <w:spacing w:before="31" w:line="228" w:lineRule="auto"/>
                    <w:ind w:left="115"/>
                    <w:rPr>
                      <w:rFonts w:ascii="宋体" w:hAnsi="宋体" w:eastAsia="宋体" w:cs="宋体"/>
                      <w:sz w:val="20"/>
                      <w:szCs w:val="20"/>
                    </w:rPr>
                  </w:pPr>
                  <w:r>
                    <w:rPr>
                      <w:rFonts w:ascii="宋体" w:hAnsi="宋体" w:eastAsia="宋体" w:cs="宋体"/>
                      <w:spacing w:val="6"/>
                      <w:sz w:val="20"/>
                      <w:szCs w:val="20"/>
                    </w:rPr>
                    <w:t>危废暂存间已按照《危险废物贮存污染控制标准》要</w:t>
                  </w:r>
                </w:p>
                <w:p w14:paraId="5F45F956">
                  <w:pPr>
                    <w:spacing w:before="161" w:line="228" w:lineRule="auto"/>
                    <w:ind w:left="129"/>
                    <w:rPr>
                      <w:rFonts w:ascii="宋体" w:hAnsi="宋体" w:eastAsia="宋体" w:cs="宋体"/>
                      <w:sz w:val="20"/>
                      <w:szCs w:val="20"/>
                    </w:rPr>
                  </w:pPr>
                  <w:r>
                    <w:rPr>
                      <w:rFonts w:ascii="宋体" w:hAnsi="宋体" w:eastAsia="宋体" w:cs="宋体"/>
                      <w:spacing w:val="9"/>
                      <w:sz w:val="20"/>
                      <w:szCs w:val="20"/>
                    </w:rPr>
                    <w:t>求，基础必须防渗，防渗层至少为</w:t>
                  </w:r>
                  <w:r>
                    <w:rPr>
                      <w:rFonts w:ascii="宋体" w:hAnsi="宋体" w:eastAsia="宋体" w:cs="宋体"/>
                      <w:spacing w:val="-43"/>
                      <w:sz w:val="20"/>
                      <w:szCs w:val="20"/>
                    </w:rPr>
                    <w:t xml:space="preserve"> </w:t>
                  </w:r>
                  <w:r>
                    <w:rPr>
                      <w:rFonts w:ascii="Times New Roman" w:hAnsi="Times New Roman" w:eastAsia="Times New Roman" w:cs="Times New Roman"/>
                      <w:spacing w:val="9"/>
                      <w:sz w:val="20"/>
                      <w:szCs w:val="20"/>
                    </w:rPr>
                    <w:t>2</w:t>
                  </w:r>
                  <w:r>
                    <w:rPr>
                      <w:rFonts w:ascii="Times New Roman" w:hAnsi="Times New Roman" w:eastAsia="Times New Roman" w:cs="Times New Roman"/>
                      <w:sz w:val="20"/>
                      <w:szCs w:val="20"/>
                    </w:rPr>
                    <w:t>mm</w:t>
                  </w:r>
                  <w:r>
                    <w:rPr>
                      <w:rFonts w:ascii="Times New Roman" w:hAnsi="Times New Roman" w:eastAsia="Times New Roman" w:cs="Times New Roman"/>
                      <w:spacing w:val="19"/>
                      <w:sz w:val="20"/>
                      <w:szCs w:val="20"/>
                    </w:rPr>
                    <w:t xml:space="preserve"> </w:t>
                  </w:r>
                  <w:r>
                    <w:rPr>
                      <w:rFonts w:ascii="宋体" w:hAnsi="宋体" w:eastAsia="宋体" w:cs="宋体"/>
                      <w:spacing w:val="9"/>
                      <w:sz w:val="20"/>
                      <w:szCs w:val="20"/>
                    </w:rPr>
                    <w:t>厚高密</w:t>
                  </w:r>
                  <w:r>
                    <w:rPr>
                      <w:rFonts w:ascii="宋体" w:hAnsi="宋体" w:eastAsia="宋体" w:cs="宋体"/>
                      <w:spacing w:val="8"/>
                      <w:sz w:val="20"/>
                      <w:szCs w:val="20"/>
                    </w:rPr>
                    <w:t>度聚</w:t>
                  </w:r>
                </w:p>
                <w:p w14:paraId="0B7CC0C4">
                  <w:pPr>
                    <w:spacing w:before="161" w:line="227" w:lineRule="auto"/>
                    <w:ind w:left="383"/>
                    <w:rPr>
                      <w:rFonts w:ascii="宋体" w:hAnsi="宋体" w:eastAsia="宋体" w:cs="宋体"/>
                      <w:sz w:val="20"/>
                      <w:szCs w:val="20"/>
                    </w:rPr>
                  </w:pPr>
                  <w:r>
                    <w:rPr>
                      <w:rFonts w:ascii="宋体" w:hAnsi="宋体" w:eastAsia="宋体" w:cs="宋体"/>
                      <w:spacing w:val="6"/>
                      <w:sz w:val="20"/>
                      <w:szCs w:val="20"/>
                    </w:rPr>
                    <w:t>乙烯膜等人工防渗材料，渗透系数</w:t>
                  </w:r>
                  <w:r>
                    <w:rPr>
                      <w:rFonts w:ascii="Times New Roman" w:hAnsi="Times New Roman" w:eastAsia="Times New Roman" w:cs="Times New Roman"/>
                      <w:spacing w:val="6"/>
                      <w:sz w:val="20"/>
                      <w:szCs w:val="20"/>
                    </w:rPr>
                    <w:t>≤10</w:t>
                  </w:r>
                  <w:r>
                    <w:rPr>
                      <w:rFonts w:ascii="Times New Roman" w:hAnsi="Times New Roman" w:eastAsia="Times New Roman" w:cs="Times New Roman"/>
                      <w:spacing w:val="6"/>
                      <w:position w:val="6"/>
                      <w:sz w:val="13"/>
                      <w:szCs w:val="13"/>
                    </w:rPr>
                    <w:t>-10</w:t>
                  </w:r>
                  <w:r>
                    <w:rPr>
                      <w:rFonts w:ascii="Times New Roman" w:hAnsi="Times New Roman" w:eastAsia="Times New Roman" w:cs="Times New Roman"/>
                      <w:sz w:val="20"/>
                      <w:szCs w:val="20"/>
                    </w:rPr>
                    <w:t>cm</w:t>
                  </w:r>
                  <w:r>
                    <w:rPr>
                      <w:rFonts w:ascii="Times New Roman" w:hAnsi="Times New Roman" w:eastAsia="Times New Roman" w:cs="Times New Roman"/>
                      <w:spacing w:val="6"/>
                      <w:sz w:val="20"/>
                      <w:szCs w:val="20"/>
                    </w:rPr>
                    <w:t>/s</w:t>
                  </w:r>
                  <w:r>
                    <w:rPr>
                      <w:rFonts w:ascii="宋体" w:hAnsi="宋体" w:eastAsia="宋体" w:cs="宋体"/>
                      <w:spacing w:val="6"/>
                      <w:sz w:val="20"/>
                      <w:szCs w:val="20"/>
                    </w:rPr>
                    <w:t>。</w:t>
                  </w:r>
                </w:p>
              </w:tc>
            </w:tr>
            <w:tr w14:paraId="07F60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2072" w:type="dxa"/>
                  <w:vAlign w:val="top"/>
                </w:tcPr>
                <w:p w14:paraId="24B6693F">
                  <w:pPr>
                    <w:spacing w:before="35" w:line="358" w:lineRule="auto"/>
                    <w:ind w:left="625" w:right="108" w:hanging="509"/>
                    <w:rPr>
                      <w:rFonts w:ascii="宋体" w:hAnsi="宋体" w:eastAsia="宋体" w:cs="宋体"/>
                      <w:sz w:val="20"/>
                      <w:szCs w:val="20"/>
                    </w:rPr>
                  </w:pPr>
                  <w:r>
                    <w:rPr>
                      <w:rFonts w:ascii="宋体" w:hAnsi="宋体" w:eastAsia="宋体" w:cs="宋体"/>
                      <w:spacing w:val="4"/>
                      <w:sz w:val="20"/>
                      <w:szCs w:val="20"/>
                    </w:rPr>
                    <w:t>化粪池、一体化污水</w:t>
                  </w:r>
                  <w:r>
                    <w:rPr>
                      <w:rFonts w:ascii="宋体" w:hAnsi="宋体" w:eastAsia="宋体" w:cs="宋体"/>
                      <w:spacing w:val="6"/>
                      <w:sz w:val="20"/>
                      <w:szCs w:val="20"/>
                    </w:rPr>
                    <w:t>处理设备</w:t>
                  </w:r>
                </w:p>
              </w:tc>
              <w:tc>
                <w:tcPr>
                  <w:tcW w:w="1771" w:type="dxa"/>
                  <w:vAlign w:val="top"/>
                </w:tcPr>
                <w:p w14:paraId="5DEBF1F1">
                  <w:pPr>
                    <w:spacing w:before="239" w:line="228" w:lineRule="auto"/>
                    <w:ind w:left="368"/>
                    <w:rPr>
                      <w:rFonts w:ascii="宋体" w:hAnsi="宋体" w:eastAsia="宋体" w:cs="宋体"/>
                      <w:sz w:val="20"/>
                      <w:szCs w:val="20"/>
                    </w:rPr>
                  </w:pPr>
                  <w:r>
                    <w:rPr>
                      <w:rFonts w:ascii="宋体" w:hAnsi="宋体" w:eastAsia="宋体" w:cs="宋体"/>
                      <w:spacing w:val="7"/>
                      <w:sz w:val="20"/>
                      <w:szCs w:val="20"/>
                    </w:rPr>
                    <w:t>一般防渗区</w:t>
                  </w:r>
                </w:p>
              </w:tc>
              <w:tc>
                <w:tcPr>
                  <w:tcW w:w="4982" w:type="dxa"/>
                  <w:vAlign w:val="top"/>
                </w:tcPr>
                <w:p w14:paraId="302CC857">
                  <w:pPr>
                    <w:spacing w:before="34" w:line="227" w:lineRule="auto"/>
                    <w:ind w:left="126"/>
                    <w:rPr>
                      <w:rFonts w:ascii="宋体" w:hAnsi="宋体" w:eastAsia="宋体" w:cs="宋体"/>
                      <w:sz w:val="20"/>
                      <w:szCs w:val="20"/>
                    </w:rPr>
                  </w:pPr>
                  <w:r>
                    <w:rPr>
                      <w:rFonts w:ascii="宋体" w:hAnsi="宋体" w:eastAsia="宋体" w:cs="宋体"/>
                      <w:spacing w:val="6"/>
                      <w:sz w:val="20"/>
                      <w:szCs w:val="20"/>
                    </w:rPr>
                    <w:t>防渗层采用抗渗混凝土，防渗性能应相当于渗透系数</w:t>
                  </w:r>
                </w:p>
                <w:p w14:paraId="7384D2EE">
                  <w:pPr>
                    <w:spacing w:before="161" w:line="228" w:lineRule="auto"/>
                    <w:ind w:left="414"/>
                    <w:rPr>
                      <w:rFonts w:ascii="宋体" w:hAnsi="宋体" w:eastAsia="宋体" w:cs="宋体"/>
                      <w:sz w:val="20"/>
                      <w:szCs w:val="20"/>
                    </w:rPr>
                  </w:pPr>
                  <w:r>
                    <w:rPr>
                      <w:rFonts w:ascii="Times New Roman" w:hAnsi="Times New Roman" w:eastAsia="Times New Roman" w:cs="Times New Roman"/>
                      <w:spacing w:val="5"/>
                      <w:sz w:val="20"/>
                      <w:szCs w:val="20"/>
                    </w:rPr>
                    <w:t>≤10</w:t>
                  </w:r>
                  <w:r>
                    <w:rPr>
                      <w:rFonts w:ascii="Times New Roman" w:hAnsi="Times New Roman" w:eastAsia="Times New Roman" w:cs="Times New Roman"/>
                      <w:spacing w:val="5"/>
                      <w:position w:val="6"/>
                      <w:sz w:val="13"/>
                      <w:szCs w:val="13"/>
                    </w:rPr>
                    <w:t>-7</w:t>
                  </w:r>
                  <w:r>
                    <w:rPr>
                      <w:rFonts w:ascii="Times New Roman" w:hAnsi="Times New Roman" w:eastAsia="Times New Roman" w:cs="Times New Roman"/>
                      <w:sz w:val="20"/>
                      <w:szCs w:val="20"/>
                    </w:rPr>
                    <w:t>cm</w:t>
                  </w:r>
                  <w:r>
                    <w:rPr>
                      <w:rFonts w:ascii="Times New Roman" w:hAnsi="Times New Roman" w:eastAsia="Times New Roman" w:cs="Times New Roman"/>
                      <w:spacing w:val="5"/>
                      <w:sz w:val="20"/>
                      <w:szCs w:val="20"/>
                    </w:rPr>
                    <w:t xml:space="preserve">/s </w:t>
                  </w:r>
                  <w:r>
                    <w:rPr>
                      <w:rFonts w:ascii="宋体" w:hAnsi="宋体" w:eastAsia="宋体" w:cs="宋体"/>
                      <w:spacing w:val="5"/>
                      <w:sz w:val="20"/>
                      <w:szCs w:val="20"/>
                    </w:rPr>
                    <w:t>和厚度</w:t>
                  </w:r>
                  <w:r>
                    <w:rPr>
                      <w:rFonts w:ascii="宋体" w:hAnsi="宋体" w:eastAsia="宋体" w:cs="宋体"/>
                      <w:spacing w:val="-21"/>
                      <w:sz w:val="20"/>
                      <w:szCs w:val="20"/>
                    </w:rPr>
                    <w:t xml:space="preserve"> </w:t>
                  </w:r>
                  <w:r>
                    <w:rPr>
                      <w:rFonts w:ascii="Times New Roman" w:hAnsi="Times New Roman" w:eastAsia="Times New Roman" w:cs="Times New Roman"/>
                      <w:spacing w:val="5"/>
                      <w:sz w:val="20"/>
                      <w:szCs w:val="20"/>
                    </w:rPr>
                    <w:t>1.5m</w:t>
                  </w:r>
                  <w:r>
                    <w:rPr>
                      <w:rFonts w:ascii="Times New Roman" w:hAnsi="Times New Roman" w:eastAsia="Times New Roman" w:cs="Times New Roman"/>
                      <w:spacing w:val="29"/>
                      <w:w w:val="101"/>
                      <w:sz w:val="20"/>
                      <w:szCs w:val="20"/>
                    </w:rPr>
                    <w:t xml:space="preserve"> </w:t>
                  </w:r>
                  <w:r>
                    <w:rPr>
                      <w:rFonts w:ascii="宋体" w:hAnsi="宋体" w:eastAsia="宋体" w:cs="宋体"/>
                      <w:spacing w:val="5"/>
                      <w:sz w:val="20"/>
                      <w:szCs w:val="20"/>
                    </w:rPr>
                    <w:t>的粘土层的防渗性能。</w:t>
                  </w:r>
                </w:p>
              </w:tc>
            </w:tr>
            <w:tr w14:paraId="54FFA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2072" w:type="dxa"/>
                  <w:vAlign w:val="top"/>
                </w:tcPr>
                <w:p w14:paraId="65C2D1C3">
                  <w:pPr>
                    <w:spacing w:before="33" w:line="361" w:lineRule="auto"/>
                    <w:ind w:left="729" w:right="108" w:hanging="610"/>
                    <w:rPr>
                      <w:rFonts w:ascii="宋体" w:hAnsi="宋体" w:eastAsia="宋体" w:cs="宋体"/>
                      <w:sz w:val="20"/>
                      <w:szCs w:val="20"/>
                    </w:rPr>
                  </w:pPr>
                  <w:r>
                    <w:rPr>
                      <w:rFonts w:ascii="宋体" w:hAnsi="宋体" w:eastAsia="宋体" w:cs="宋体"/>
                      <w:spacing w:val="4"/>
                      <w:sz w:val="20"/>
                      <w:szCs w:val="20"/>
                    </w:rPr>
                    <w:t>设备区、仓库、生活</w:t>
                  </w:r>
                  <w:r>
                    <w:rPr>
                      <w:rFonts w:ascii="宋体" w:hAnsi="宋体" w:eastAsia="宋体" w:cs="宋体"/>
                      <w:spacing w:val="5"/>
                      <w:sz w:val="20"/>
                      <w:szCs w:val="20"/>
                    </w:rPr>
                    <w:t>办公区</w:t>
                  </w:r>
                </w:p>
              </w:tc>
              <w:tc>
                <w:tcPr>
                  <w:tcW w:w="6753" w:type="dxa"/>
                  <w:gridSpan w:val="2"/>
                  <w:vAlign w:val="top"/>
                </w:tcPr>
                <w:p w14:paraId="300A4618">
                  <w:pPr>
                    <w:spacing w:before="238" w:line="228" w:lineRule="auto"/>
                    <w:ind w:left="2753"/>
                    <w:rPr>
                      <w:rFonts w:ascii="宋体" w:hAnsi="宋体" w:eastAsia="宋体" w:cs="宋体"/>
                      <w:sz w:val="20"/>
                      <w:szCs w:val="20"/>
                    </w:rPr>
                  </w:pPr>
                  <w:r>
                    <w:rPr>
                      <w:rFonts w:ascii="宋体" w:hAnsi="宋体" w:eastAsia="宋体" w:cs="宋体"/>
                      <w:spacing w:val="7"/>
                      <w:sz w:val="20"/>
                      <w:szCs w:val="20"/>
                    </w:rPr>
                    <w:t>非污染防治区</w:t>
                  </w:r>
                </w:p>
              </w:tc>
            </w:tr>
          </w:tbl>
          <w:p w14:paraId="246E5C1E">
            <w:pPr>
              <w:spacing w:before="36" w:line="220" w:lineRule="auto"/>
              <w:ind w:left="591"/>
              <w:rPr>
                <w:rFonts w:ascii="宋体" w:hAnsi="宋体" w:eastAsia="宋体" w:cs="宋体"/>
                <w:sz w:val="24"/>
                <w:szCs w:val="24"/>
              </w:rPr>
            </w:pPr>
            <w:r>
              <w:rPr>
                <w:rFonts w:ascii="宋体" w:hAnsi="宋体" w:eastAsia="宋体" w:cs="宋体"/>
                <w:b/>
                <w:bCs/>
                <w:spacing w:val="-4"/>
                <w:sz w:val="24"/>
                <w:szCs w:val="24"/>
              </w:rPr>
              <w:t>六、环境风险分析</w:t>
            </w:r>
          </w:p>
          <w:p w14:paraId="50862E43">
            <w:pPr>
              <w:spacing w:before="181" w:line="359" w:lineRule="auto"/>
              <w:ind w:left="108" w:right="53" w:firstLine="512"/>
              <w:jc w:val="both"/>
              <w:rPr>
                <w:rFonts w:ascii="宋体" w:hAnsi="宋体" w:eastAsia="宋体" w:cs="宋体"/>
                <w:sz w:val="24"/>
                <w:szCs w:val="24"/>
              </w:rPr>
            </w:pPr>
            <w:r>
              <w:rPr>
                <w:rFonts w:ascii="宋体" w:hAnsi="宋体" w:eastAsia="宋体" w:cs="宋体"/>
                <w:spacing w:val="9"/>
                <w:sz w:val="24"/>
                <w:szCs w:val="24"/>
              </w:rPr>
              <w:t>环境风险评价是分析和预测建设项目存在的潜在危险、有害因素，建设项</w:t>
            </w:r>
            <w:r>
              <w:rPr>
                <w:rFonts w:ascii="宋体" w:hAnsi="宋体" w:eastAsia="宋体" w:cs="宋体"/>
                <w:spacing w:val="-41"/>
                <w:sz w:val="24"/>
                <w:szCs w:val="24"/>
              </w:rPr>
              <w:t xml:space="preserve"> </w:t>
            </w:r>
            <w:r>
              <w:rPr>
                <w:rFonts w:ascii="宋体" w:hAnsi="宋体" w:eastAsia="宋体" w:cs="宋体"/>
                <w:spacing w:val="9"/>
                <w:sz w:val="24"/>
                <w:szCs w:val="24"/>
              </w:rPr>
              <w:t>目</w:t>
            </w:r>
            <w:r>
              <w:rPr>
                <w:rFonts w:ascii="宋体" w:hAnsi="宋体" w:eastAsia="宋体" w:cs="宋体"/>
                <w:spacing w:val="13"/>
                <w:sz w:val="24"/>
                <w:szCs w:val="24"/>
              </w:rPr>
              <w:t>运营期间可能发生的突发性事件或事故（一般</w:t>
            </w:r>
            <w:r>
              <w:rPr>
                <w:rFonts w:ascii="宋体" w:hAnsi="宋体" w:eastAsia="宋体" w:cs="宋体"/>
                <w:spacing w:val="12"/>
                <w:sz w:val="24"/>
                <w:szCs w:val="24"/>
              </w:rPr>
              <w:t>不包括人为破坏及自然灾害</w:t>
            </w:r>
            <w:r>
              <w:rPr>
                <w:rFonts w:ascii="宋体" w:hAnsi="宋体" w:eastAsia="宋体" w:cs="宋体"/>
                <w:spacing w:val="-4"/>
                <w:sz w:val="24"/>
                <w:szCs w:val="24"/>
              </w:rPr>
              <w:t>），</w:t>
            </w:r>
            <w:r>
              <w:rPr>
                <w:rFonts w:ascii="宋体" w:hAnsi="宋体" w:eastAsia="宋体" w:cs="宋体"/>
                <w:spacing w:val="12"/>
                <w:sz w:val="24"/>
                <w:szCs w:val="24"/>
              </w:rPr>
              <w:t>引</w:t>
            </w:r>
            <w:r>
              <w:rPr>
                <w:rFonts w:ascii="宋体" w:hAnsi="宋体" w:eastAsia="宋体" w:cs="宋体"/>
                <w:spacing w:val="14"/>
                <w:sz w:val="24"/>
                <w:szCs w:val="24"/>
              </w:rPr>
              <w:t>起有毒有害和易燃易爆等物质泄漏，所造成</w:t>
            </w:r>
            <w:r>
              <w:rPr>
                <w:rFonts w:ascii="宋体" w:hAnsi="宋体" w:eastAsia="宋体" w:cs="宋体"/>
                <w:spacing w:val="13"/>
                <w:sz w:val="24"/>
                <w:szCs w:val="24"/>
              </w:rPr>
              <w:t>的人身安全与环境影响和损害程度，</w:t>
            </w:r>
            <w:r>
              <w:rPr>
                <w:rFonts w:ascii="宋体" w:hAnsi="宋体" w:eastAsia="宋体" w:cs="宋体"/>
                <w:spacing w:val="12"/>
                <w:sz w:val="24"/>
                <w:szCs w:val="24"/>
              </w:rPr>
              <w:t>提出合理可行的防范、应急与减缓措施，以使建设项</w:t>
            </w:r>
            <w:r>
              <w:rPr>
                <w:rFonts w:ascii="宋体" w:hAnsi="宋体" w:eastAsia="宋体" w:cs="宋体"/>
                <w:spacing w:val="11"/>
                <w:sz w:val="24"/>
                <w:szCs w:val="24"/>
              </w:rPr>
              <w:t>目事故率、损失和环境影响</w:t>
            </w:r>
            <w:r>
              <w:rPr>
                <w:rFonts w:ascii="宋体" w:hAnsi="宋体" w:eastAsia="宋体" w:cs="宋体"/>
                <w:spacing w:val="10"/>
                <w:sz w:val="24"/>
                <w:szCs w:val="24"/>
              </w:rPr>
              <w:t>达到可接受水平。</w:t>
            </w:r>
          </w:p>
          <w:p w14:paraId="75453043">
            <w:pPr>
              <w:spacing w:line="220" w:lineRule="auto"/>
              <w:ind w:left="595"/>
              <w:rPr>
                <w:rFonts w:ascii="宋体" w:hAnsi="宋体" w:eastAsia="宋体" w:cs="宋体"/>
                <w:sz w:val="24"/>
                <w:szCs w:val="24"/>
              </w:rPr>
            </w:pPr>
            <w:r>
              <w:rPr>
                <w:rFonts w:ascii="Times New Roman" w:hAnsi="Times New Roman" w:eastAsia="Times New Roman" w:cs="Times New Roman"/>
                <w:b/>
                <w:bCs/>
                <w:spacing w:val="-9"/>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b/>
                <w:bCs/>
                <w:spacing w:val="-9"/>
                <w:sz w:val="24"/>
                <w:szCs w:val="24"/>
              </w:rPr>
              <w:t>、风险分析</w:t>
            </w:r>
          </w:p>
          <w:p w14:paraId="332B1AA0">
            <w:pPr>
              <w:spacing w:before="182" w:line="218" w:lineRule="auto"/>
              <w:ind w:left="591"/>
              <w:rPr>
                <w:rFonts w:ascii="宋体" w:hAnsi="宋体" w:eastAsia="宋体" w:cs="宋体"/>
                <w:sz w:val="24"/>
                <w:szCs w:val="24"/>
              </w:rPr>
            </w:pPr>
            <w:r>
              <w:rPr>
                <w:rFonts w:ascii="宋体" w:hAnsi="宋体" w:eastAsia="宋体" w:cs="宋体"/>
                <w:spacing w:val="2"/>
                <w:sz w:val="24"/>
                <w:szCs w:val="24"/>
              </w:rPr>
              <w:t>参照《建设项目环境风险评价技术导则》（</w:t>
            </w:r>
            <w:r>
              <w:rPr>
                <w:rFonts w:ascii="Times New Roman" w:hAnsi="Times New Roman" w:eastAsia="Times New Roman" w:cs="Times New Roman"/>
                <w:sz w:val="24"/>
                <w:szCs w:val="24"/>
              </w:rPr>
              <w:t>HJ</w:t>
            </w:r>
            <w:r>
              <w:rPr>
                <w:rFonts w:ascii="Times New Roman" w:hAnsi="Times New Roman" w:eastAsia="Times New Roman" w:cs="Times New Roman"/>
                <w:spacing w:val="2"/>
                <w:sz w:val="24"/>
                <w:szCs w:val="24"/>
              </w:rPr>
              <w:t>169-201</w:t>
            </w:r>
            <w:r>
              <w:rPr>
                <w:rFonts w:ascii="Times New Roman" w:hAnsi="Times New Roman" w:eastAsia="Times New Roman" w:cs="Times New Roman"/>
                <w:spacing w:val="1"/>
                <w:sz w:val="24"/>
                <w:szCs w:val="24"/>
              </w:rPr>
              <w:t>8</w:t>
            </w:r>
            <w:r>
              <w:rPr>
                <w:rFonts w:ascii="宋体" w:hAnsi="宋体" w:eastAsia="宋体" w:cs="宋体"/>
                <w:spacing w:val="1"/>
                <w:sz w:val="24"/>
                <w:szCs w:val="24"/>
              </w:rPr>
              <w:t>）中的</w:t>
            </w:r>
            <w:r>
              <w:rPr>
                <w:rFonts w:ascii="Times New Roman" w:hAnsi="Times New Roman" w:eastAsia="Times New Roman" w:cs="Times New Roman"/>
                <w:spacing w:val="1"/>
                <w:sz w:val="24"/>
                <w:szCs w:val="24"/>
              </w:rPr>
              <w:t>“</w:t>
            </w:r>
            <w:r>
              <w:rPr>
                <w:rFonts w:ascii="Times New Roman" w:hAnsi="Times New Roman" w:eastAsia="Times New Roman" w:cs="Times New Roman"/>
                <w:spacing w:val="-38"/>
                <w:sz w:val="24"/>
                <w:szCs w:val="24"/>
              </w:rPr>
              <w:t xml:space="preserve"> </w:t>
            </w:r>
            <w:r>
              <w:rPr>
                <w:rFonts w:ascii="宋体" w:hAnsi="宋体" w:eastAsia="宋体" w:cs="宋体"/>
                <w:spacing w:val="1"/>
                <w:sz w:val="24"/>
                <w:szCs w:val="24"/>
              </w:rPr>
              <w:t>突发环境事件风</w:t>
            </w:r>
          </w:p>
        </w:tc>
      </w:tr>
    </w:tbl>
    <w:p w14:paraId="6E0717D7">
      <w:pPr>
        <w:pStyle w:val="2"/>
      </w:pPr>
    </w:p>
    <w:p w14:paraId="0A5E2BC9">
      <w:pPr>
        <w:sectPr>
          <w:footerReference r:id="rId107" w:type="default"/>
          <w:pgSz w:w="11906" w:h="16839"/>
          <w:pgMar w:top="400" w:right="1055" w:bottom="1085" w:left="1054" w:header="0" w:footer="762" w:gutter="0"/>
          <w:cols w:space="720" w:num="1"/>
        </w:sectPr>
      </w:pPr>
    </w:p>
    <w:p w14:paraId="2F311A69">
      <w:pPr>
        <w:spacing w:before="19"/>
      </w:pPr>
    </w:p>
    <w:p w14:paraId="3F1664C6">
      <w:pPr>
        <w:spacing w:before="19"/>
      </w:pPr>
    </w:p>
    <w:p w14:paraId="10EA9D95">
      <w:pPr>
        <w:spacing w:before="19"/>
      </w:pPr>
    </w:p>
    <w:p w14:paraId="5C5B2783">
      <w:pPr>
        <w:spacing w:before="18"/>
      </w:pPr>
    </w:p>
    <w:p w14:paraId="58AA4C5A">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23E14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99" w:hRule="atLeast"/>
        </w:trPr>
        <w:tc>
          <w:tcPr>
            <w:tcW w:w="734" w:type="dxa"/>
            <w:tcBorders>
              <w:right w:val="single" w:color="000000" w:sz="2" w:space="0"/>
            </w:tcBorders>
            <w:vAlign w:val="top"/>
          </w:tcPr>
          <w:p w14:paraId="79541011">
            <w:pPr>
              <w:rPr>
                <w:rFonts w:ascii="Arial"/>
                <w:sz w:val="21"/>
              </w:rPr>
            </w:pPr>
          </w:p>
        </w:tc>
        <w:tc>
          <w:tcPr>
            <w:tcW w:w="9047" w:type="dxa"/>
            <w:tcBorders>
              <w:left w:val="single" w:color="000000" w:sz="2" w:space="0"/>
            </w:tcBorders>
            <w:vAlign w:val="top"/>
          </w:tcPr>
          <w:p w14:paraId="04B0125C">
            <w:pPr>
              <w:spacing w:before="40" w:line="272" w:lineRule="auto"/>
              <w:ind w:left="108" w:right="102" w:firstLine="14"/>
              <w:jc w:val="both"/>
              <w:rPr>
                <w:rFonts w:ascii="宋体" w:hAnsi="宋体" w:eastAsia="宋体" w:cs="宋体"/>
                <w:sz w:val="24"/>
                <w:szCs w:val="24"/>
              </w:rPr>
            </w:pPr>
            <w:r>
              <w:rPr>
                <w:rFonts w:ascii="宋体" w:hAnsi="宋体" w:eastAsia="宋体" w:cs="宋体"/>
                <w:spacing w:val="2"/>
                <w:sz w:val="24"/>
                <w:szCs w:val="24"/>
              </w:rPr>
              <w:t>险</w:t>
            </w:r>
            <w:r>
              <w:rPr>
                <w:rFonts w:ascii="微软雅黑" w:hAnsi="微软雅黑" w:eastAsia="微软雅黑" w:cs="微软雅黑"/>
                <w:spacing w:val="2"/>
                <w:sz w:val="24"/>
                <w:szCs w:val="24"/>
              </w:rPr>
              <w:t>物</w:t>
            </w:r>
            <w:r>
              <w:rPr>
                <w:rFonts w:ascii="宋体" w:hAnsi="宋体" w:eastAsia="宋体" w:cs="宋体"/>
                <w:spacing w:val="2"/>
                <w:sz w:val="24"/>
                <w:szCs w:val="24"/>
              </w:rPr>
              <w:t>质及临界</w:t>
            </w:r>
            <w:r>
              <w:rPr>
                <w:rFonts w:ascii="微软雅黑" w:hAnsi="微软雅黑" w:eastAsia="微软雅黑" w:cs="微软雅黑"/>
                <w:spacing w:val="2"/>
                <w:sz w:val="24"/>
                <w:szCs w:val="24"/>
              </w:rPr>
              <w:t>量</w:t>
            </w:r>
            <w:r>
              <w:rPr>
                <w:rFonts w:ascii="宋体" w:hAnsi="宋体" w:eastAsia="宋体" w:cs="宋体"/>
                <w:spacing w:val="2"/>
                <w:sz w:val="24"/>
                <w:szCs w:val="24"/>
              </w:rPr>
              <w:t>表</w:t>
            </w:r>
            <w:r>
              <w:rPr>
                <w:rFonts w:ascii="Times New Roman" w:hAnsi="Times New Roman" w:eastAsia="Times New Roman" w:cs="Times New Roman"/>
                <w:spacing w:val="2"/>
                <w:sz w:val="24"/>
                <w:szCs w:val="24"/>
              </w:rPr>
              <w:t>”</w:t>
            </w:r>
            <w:r>
              <w:rPr>
                <w:rFonts w:ascii="宋体" w:hAnsi="宋体" w:eastAsia="宋体" w:cs="宋体"/>
                <w:spacing w:val="2"/>
                <w:sz w:val="24"/>
                <w:szCs w:val="24"/>
              </w:rPr>
              <w:t>对项目使用的原辅料、生产工艺、</w:t>
            </w:r>
            <w:r>
              <w:rPr>
                <w:rFonts w:ascii="宋体" w:hAnsi="宋体" w:eastAsia="宋体" w:cs="宋体"/>
                <w:spacing w:val="1"/>
                <w:sz w:val="24"/>
                <w:szCs w:val="24"/>
              </w:rPr>
              <w:t>生产排放的污染</w:t>
            </w:r>
            <w:r>
              <w:rPr>
                <w:rFonts w:ascii="微软雅黑" w:hAnsi="微软雅黑" w:eastAsia="微软雅黑" w:cs="微软雅黑"/>
                <w:spacing w:val="1"/>
                <w:sz w:val="24"/>
                <w:szCs w:val="24"/>
              </w:rPr>
              <w:t>物</w:t>
            </w:r>
            <w:r>
              <w:rPr>
                <w:rFonts w:ascii="宋体" w:hAnsi="宋体" w:eastAsia="宋体" w:cs="宋体"/>
                <w:spacing w:val="1"/>
                <w:sz w:val="24"/>
                <w:szCs w:val="24"/>
              </w:rPr>
              <w:t>等进行风险</w:t>
            </w:r>
            <w:r>
              <w:rPr>
                <w:rFonts w:ascii="微软雅黑" w:hAnsi="微软雅黑" w:eastAsia="微软雅黑" w:cs="微软雅黑"/>
                <w:spacing w:val="-2"/>
                <w:sz w:val="24"/>
                <w:szCs w:val="24"/>
              </w:rPr>
              <w:t>物</w:t>
            </w:r>
            <w:r>
              <w:rPr>
                <w:rFonts w:ascii="宋体" w:hAnsi="宋体" w:eastAsia="宋体" w:cs="宋体"/>
                <w:spacing w:val="-2"/>
                <w:sz w:val="24"/>
                <w:szCs w:val="24"/>
              </w:rPr>
              <w:t>质识别。项目生产过程产生的危险固</w:t>
            </w:r>
            <w:r>
              <w:rPr>
                <w:rFonts w:ascii="微软雅黑" w:hAnsi="微软雅黑" w:eastAsia="微软雅黑" w:cs="微软雅黑"/>
                <w:spacing w:val="-2"/>
                <w:sz w:val="24"/>
                <w:szCs w:val="24"/>
              </w:rPr>
              <w:t>废</w:t>
            </w:r>
            <w:r>
              <w:rPr>
                <w:rFonts w:ascii="宋体" w:hAnsi="宋体" w:eastAsia="宋体" w:cs="宋体"/>
                <w:spacing w:val="-2"/>
                <w:sz w:val="24"/>
                <w:szCs w:val="24"/>
              </w:rPr>
              <w:t>属于风险</w:t>
            </w:r>
            <w:r>
              <w:rPr>
                <w:rFonts w:ascii="微软雅黑" w:hAnsi="微软雅黑" w:eastAsia="微软雅黑" w:cs="微软雅黑"/>
                <w:spacing w:val="-2"/>
                <w:sz w:val="24"/>
                <w:szCs w:val="24"/>
              </w:rPr>
              <w:t>物</w:t>
            </w:r>
            <w:r>
              <w:rPr>
                <w:rFonts w:ascii="宋体" w:hAnsi="宋体" w:eastAsia="宋体" w:cs="宋体"/>
                <w:spacing w:val="-2"/>
                <w:sz w:val="24"/>
                <w:szCs w:val="24"/>
              </w:rPr>
              <w:t>质，项目使用的可发性聚</w:t>
            </w:r>
            <w:r>
              <w:rPr>
                <w:rFonts w:ascii="微软雅黑" w:hAnsi="微软雅黑" w:eastAsia="微软雅黑" w:cs="微软雅黑"/>
                <w:spacing w:val="-2"/>
                <w:sz w:val="24"/>
                <w:szCs w:val="24"/>
              </w:rPr>
              <w:t>苯</w:t>
            </w:r>
            <w:r>
              <w:rPr>
                <w:rFonts w:ascii="宋体" w:hAnsi="宋体" w:eastAsia="宋体" w:cs="宋体"/>
                <w:spacing w:val="-2"/>
                <w:sz w:val="24"/>
                <w:szCs w:val="24"/>
              </w:rPr>
              <w:t>乙烯</w:t>
            </w:r>
            <w:r>
              <w:rPr>
                <w:rFonts w:ascii="微软雅黑" w:hAnsi="微软雅黑" w:eastAsia="微软雅黑" w:cs="微软雅黑"/>
                <w:spacing w:val="-1"/>
                <w:sz w:val="24"/>
                <w:szCs w:val="24"/>
              </w:rPr>
              <w:t>颗粒</w:t>
            </w:r>
            <w:r>
              <w:rPr>
                <w:rFonts w:ascii="宋体" w:hAnsi="宋体" w:eastAsia="宋体" w:cs="宋体"/>
                <w:spacing w:val="-1"/>
                <w:sz w:val="24"/>
                <w:szCs w:val="24"/>
              </w:rPr>
              <w:t>属于易燃</w:t>
            </w:r>
            <w:r>
              <w:rPr>
                <w:rFonts w:ascii="微软雅黑" w:hAnsi="微软雅黑" w:eastAsia="微软雅黑" w:cs="微软雅黑"/>
                <w:spacing w:val="-1"/>
                <w:sz w:val="24"/>
                <w:szCs w:val="24"/>
              </w:rPr>
              <w:t>物</w:t>
            </w:r>
            <w:r>
              <w:rPr>
                <w:rFonts w:ascii="宋体" w:hAnsi="宋体" w:eastAsia="宋体" w:cs="宋体"/>
                <w:spacing w:val="-1"/>
                <w:sz w:val="24"/>
                <w:szCs w:val="24"/>
              </w:rPr>
              <w:t>质，项目使用的塑溶胶粘结</w:t>
            </w:r>
            <w:r>
              <w:rPr>
                <w:rFonts w:ascii="宋体" w:hAnsi="宋体" w:eastAsia="宋体" w:cs="宋体"/>
                <w:spacing w:val="-2"/>
                <w:sz w:val="24"/>
                <w:szCs w:val="24"/>
              </w:rPr>
              <w:t>剂属于风险</w:t>
            </w:r>
            <w:r>
              <w:rPr>
                <w:rFonts w:ascii="微软雅黑" w:hAnsi="微软雅黑" w:eastAsia="微软雅黑" w:cs="微软雅黑"/>
                <w:spacing w:val="-2"/>
                <w:sz w:val="24"/>
                <w:szCs w:val="24"/>
              </w:rPr>
              <w:t>物</w:t>
            </w:r>
            <w:r>
              <w:rPr>
                <w:rFonts w:ascii="宋体" w:hAnsi="宋体" w:eastAsia="宋体" w:cs="宋体"/>
                <w:spacing w:val="-2"/>
                <w:sz w:val="24"/>
                <w:szCs w:val="24"/>
              </w:rPr>
              <w:t>质，项目生产过程中产生的</w:t>
            </w:r>
            <w:r>
              <w:rPr>
                <w:rFonts w:ascii="微软雅黑" w:hAnsi="微软雅黑" w:eastAsia="微软雅黑" w:cs="微软雅黑"/>
                <w:spacing w:val="-1"/>
                <w:sz w:val="24"/>
                <w:szCs w:val="24"/>
              </w:rPr>
              <w:t>非甲烷总烃气</w:t>
            </w:r>
            <w:r>
              <w:rPr>
                <w:rFonts w:ascii="宋体" w:hAnsi="宋体" w:eastAsia="宋体" w:cs="宋体"/>
                <w:spacing w:val="-1"/>
                <w:sz w:val="24"/>
                <w:szCs w:val="24"/>
              </w:rPr>
              <w:t>体属于风险</w:t>
            </w:r>
            <w:r>
              <w:rPr>
                <w:rFonts w:ascii="微软雅黑" w:hAnsi="微软雅黑" w:eastAsia="微软雅黑" w:cs="微软雅黑"/>
                <w:spacing w:val="-1"/>
                <w:sz w:val="24"/>
                <w:szCs w:val="24"/>
              </w:rPr>
              <w:t>物</w:t>
            </w:r>
            <w:r>
              <w:rPr>
                <w:rFonts w:ascii="宋体" w:hAnsi="宋体" w:eastAsia="宋体" w:cs="宋体"/>
                <w:spacing w:val="-1"/>
                <w:sz w:val="24"/>
                <w:szCs w:val="24"/>
              </w:rPr>
              <w:t>质。</w:t>
            </w:r>
          </w:p>
          <w:p w14:paraId="046BA54D">
            <w:pPr>
              <w:spacing w:before="1" w:line="217" w:lineRule="auto"/>
              <w:ind w:left="585"/>
              <w:outlineLvl w:val="0"/>
              <w:rPr>
                <w:rFonts w:ascii="宋体" w:hAnsi="宋体" w:eastAsia="宋体" w:cs="宋体"/>
                <w:sz w:val="24"/>
                <w:szCs w:val="24"/>
              </w:rPr>
            </w:pPr>
            <w:r>
              <w:rPr>
                <w:rFonts w:ascii="Times New Roman" w:hAnsi="Times New Roman" w:eastAsia="Times New Roman" w:cs="Times New Roman"/>
                <w:b/>
                <w:bCs/>
                <w:spacing w:val="-8"/>
                <w:sz w:val="24"/>
                <w:szCs w:val="24"/>
              </w:rPr>
              <w:t>2</w:t>
            </w:r>
            <w:r>
              <w:rPr>
                <w:rFonts w:ascii="Times New Roman" w:hAnsi="Times New Roman" w:eastAsia="Times New Roman" w:cs="Times New Roman"/>
                <w:b/>
                <w:bCs/>
                <w:spacing w:val="-29"/>
                <w:sz w:val="24"/>
                <w:szCs w:val="24"/>
              </w:rPr>
              <w:t xml:space="preserve"> </w:t>
            </w:r>
            <w:r>
              <w:rPr>
                <w:rFonts w:ascii="宋体" w:hAnsi="宋体" w:eastAsia="宋体" w:cs="宋体"/>
                <w:b/>
                <w:bCs/>
                <w:spacing w:val="-8"/>
                <w:sz w:val="24"/>
                <w:szCs w:val="24"/>
              </w:rPr>
              <w:t>、评价等级</w:t>
            </w:r>
          </w:p>
          <w:p w14:paraId="3B408EC3">
            <w:pPr>
              <w:spacing w:before="185" w:line="354" w:lineRule="auto"/>
              <w:ind w:left="103" w:right="102" w:firstLine="485"/>
              <w:rPr>
                <w:rFonts w:ascii="宋体" w:hAnsi="宋体" w:eastAsia="宋体" w:cs="宋体"/>
                <w:sz w:val="24"/>
                <w:szCs w:val="24"/>
              </w:rPr>
            </w:pPr>
            <w:r>
              <w:rPr>
                <w:rFonts w:ascii="宋体" w:hAnsi="宋体" w:eastAsia="宋体" w:cs="宋体"/>
                <w:spacing w:val="3"/>
                <w:sz w:val="24"/>
                <w:szCs w:val="24"/>
              </w:rPr>
              <w:t>根据</w:t>
            </w:r>
            <w:r>
              <w:rPr>
                <w:rFonts w:ascii="宋体" w:hAnsi="宋体" w:eastAsia="宋体" w:cs="宋体"/>
                <w:spacing w:val="-34"/>
                <w:sz w:val="24"/>
                <w:szCs w:val="24"/>
              </w:rPr>
              <w:t xml:space="preserve"> </w:t>
            </w:r>
            <w:r>
              <w:rPr>
                <w:rFonts w:ascii="Times New Roman" w:hAnsi="Times New Roman" w:eastAsia="Times New Roman" w:cs="Times New Roman"/>
                <w:sz w:val="24"/>
                <w:szCs w:val="24"/>
              </w:rPr>
              <w:t>HJ</w:t>
            </w:r>
            <w:r>
              <w:rPr>
                <w:rFonts w:ascii="Times New Roman" w:hAnsi="Times New Roman" w:eastAsia="Times New Roman" w:cs="Times New Roman"/>
                <w:spacing w:val="3"/>
                <w:sz w:val="24"/>
                <w:szCs w:val="24"/>
              </w:rPr>
              <w:t>169-2018</w:t>
            </w:r>
            <w:r>
              <w:rPr>
                <w:rFonts w:ascii="宋体" w:hAnsi="宋体" w:eastAsia="宋体" w:cs="宋体"/>
                <w:spacing w:val="3"/>
                <w:sz w:val="24"/>
                <w:szCs w:val="24"/>
              </w:rPr>
              <w:t>《建设项目环境风险评价技术导则》，具体等级划分依据见表</w:t>
            </w:r>
            <w:r>
              <w:rPr>
                <w:rFonts w:ascii="Times New Roman" w:hAnsi="Times New Roman" w:eastAsia="Times New Roman" w:cs="Times New Roman"/>
                <w:spacing w:val="-7"/>
                <w:sz w:val="24"/>
                <w:szCs w:val="24"/>
              </w:rPr>
              <w:t>4-</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7"/>
                <w:sz w:val="24"/>
                <w:szCs w:val="24"/>
              </w:rPr>
              <w:t>17</w:t>
            </w:r>
            <w:r>
              <w:rPr>
                <w:rFonts w:ascii="宋体" w:hAnsi="宋体" w:eastAsia="宋体" w:cs="宋体"/>
                <w:spacing w:val="-7"/>
                <w:sz w:val="24"/>
                <w:szCs w:val="24"/>
              </w:rPr>
              <w:t>。</w:t>
            </w:r>
          </w:p>
          <w:p w14:paraId="7270A85F">
            <w:pPr>
              <w:spacing w:before="7" w:line="223" w:lineRule="auto"/>
              <w:ind w:left="3251"/>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29"/>
                <w:sz w:val="20"/>
                <w:szCs w:val="20"/>
              </w:rPr>
              <w:t xml:space="preserve"> </w:t>
            </w:r>
            <w:r>
              <w:rPr>
                <w:rFonts w:ascii="Times New Roman" w:hAnsi="Times New Roman" w:eastAsia="Times New Roman" w:cs="Times New Roman"/>
                <w:b/>
                <w:bCs/>
                <w:spacing w:val="5"/>
                <w:sz w:val="20"/>
                <w:szCs w:val="20"/>
              </w:rPr>
              <w:t xml:space="preserve">4-17    </w:t>
            </w:r>
            <w:r>
              <w:rPr>
                <w:rFonts w:ascii="宋体" w:hAnsi="宋体" w:eastAsia="宋体" w:cs="宋体"/>
                <w:b/>
                <w:bCs/>
                <w:spacing w:val="5"/>
                <w:sz w:val="20"/>
                <w:szCs w:val="20"/>
              </w:rPr>
              <w:t>环境风险评价工作等级</w:t>
            </w:r>
          </w:p>
          <w:tbl>
            <w:tblPr>
              <w:tblStyle w:val="10"/>
              <w:tblW w:w="8829"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9"/>
              <w:gridCol w:w="1714"/>
              <w:gridCol w:w="1715"/>
              <w:gridCol w:w="1715"/>
              <w:gridCol w:w="1966"/>
            </w:tblGrid>
            <w:tr w14:paraId="216F6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719" w:type="dxa"/>
                  <w:vAlign w:val="top"/>
                </w:tcPr>
                <w:p w14:paraId="2DDF469E">
                  <w:pPr>
                    <w:spacing w:before="36" w:line="228" w:lineRule="auto"/>
                    <w:ind w:left="233"/>
                    <w:rPr>
                      <w:rFonts w:ascii="宋体" w:hAnsi="宋体" w:eastAsia="宋体" w:cs="宋体"/>
                      <w:sz w:val="20"/>
                      <w:szCs w:val="20"/>
                    </w:rPr>
                  </w:pPr>
                  <w:r>
                    <w:rPr>
                      <w:rFonts w:ascii="宋体" w:hAnsi="宋体" w:eastAsia="宋体" w:cs="宋体"/>
                      <w:b/>
                      <w:bCs/>
                      <w:spacing w:val="6"/>
                      <w:sz w:val="20"/>
                      <w:szCs w:val="20"/>
                    </w:rPr>
                    <w:t>环境风险潜势</w:t>
                  </w:r>
                </w:p>
              </w:tc>
              <w:tc>
                <w:tcPr>
                  <w:tcW w:w="1714" w:type="dxa"/>
                  <w:vAlign w:val="top"/>
                </w:tcPr>
                <w:p w14:paraId="7A55F38C">
                  <w:pPr>
                    <w:spacing w:before="76" w:line="183" w:lineRule="auto"/>
                    <w:ind w:left="459"/>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Ⅳ</w:t>
                  </w:r>
                  <w:r>
                    <w:rPr>
                      <w:rFonts w:ascii="Times New Roman" w:hAnsi="Times New Roman" w:eastAsia="Times New Roman" w:cs="Times New Roman"/>
                      <w:b/>
                      <w:bCs/>
                      <w:spacing w:val="-25"/>
                      <w:sz w:val="20"/>
                      <w:szCs w:val="20"/>
                    </w:rPr>
                    <w:t xml:space="preserve"> </w:t>
                  </w:r>
                  <w:r>
                    <w:rPr>
                      <w:rFonts w:ascii="宋体" w:hAnsi="宋体" w:eastAsia="宋体" w:cs="宋体"/>
                      <w:b/>
                      <w:bCs/>
                      <w:spacing w:val="1"/>
                      <w:sz w:val="20"/>
                      <w:szCs w:val="20"/>
                    </w:rPr>
                    <w:t>、</w:t>
                  </w:r>
                  <w:r>
                    <w:rPr>
                      <w:rFonts w:ascii="Times New Roman" w:hAnsi="Times New Roman" w:eastAsia="Times New Roman" w:cs="Times New Roman"/>
                      <w:b/>
                      <w:bCs/>
                      <w:spacing w:val="1"/>
                      <w:sz w:val="20"/>
                      <w:szCs w:val="20"/>
                    </w:rPr>
                    <w:t>Ⅳ+</w:t>
                  </w:r>
                </w:p>
              </w:tc>
              <w:tc>
                <w:tcPr>
                  <w:tcW w:w="1715" w:type="dxa"/>
                  <w:vAlign w:val="top"/>
                </w:tcPr>
                <w:p w14:paraId="078D4E0F">
                  <w:pPr>
                    <w:spacing w:before="83" w:line="192" w:lineRule="auto"/>
                    <w:ind w:left="740"/>
                    <w:rPr>
                      <w:rFonts w:ascii="Times New Roman" w:hAnsi="Times New Roman" w:eastAsia="Times New Roman" w:cs="Times New Roman"/>
                      <w:sz w:val="20"/>
                      <w:szCs w:val="20"/>
                    </w:rPr>
                  </w:pPr>
                  <w:r>
                    <w:rPr>
                      <w:rFonts w:ascii="Times New Roman" w:hAnsi="Times New Roman" w:eastAsia="Times New Roman" w:cs="Times New Roman"/>
                      <w:b/>
                      <w:bCs/>
                      <w:spacing w:val="5"/>
                      <w:sz w:val="20"/>
                      <w:szCs w:val="20"/>
                    </w:rPr>
                    <w:t>Ⅲ</w:t>
                  </w:r>
                </w:p>
              </w:tc>
              <w:tc>
                <w:tcPr>
                  <w:tcW w:w="1715" w:type="dxa"/>
                  <w:vAlign w:val="top"/>
                </w:tcPr>
                <w:p w14:paraId="1FC2B577">
                  <w:pPr>
                    <w:spacing w:before="83" w:line="192" w:lineRule="auto"/>
                    <w:ind w:left="779"/>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Ⅱ</w:t>
                  </w:r>
                </w:p>
              </w:tc>
              <w:tc>
                <w:tcPr>
                  <w:tcW w:w="1966" w:type="dxa"/>
                  <w:vAlign w:val="top"/>
                </w:tcPr>
                <w:p w14:paraId="0C2D1516">
                  <w:pPr>
                    <w:spacing w:before="83" w:line="192" w:lineRule="auto"/>
                    <w:ind w:left="943"/>
                    <w:rPr>
                      <w:rFonts w:ascii="Times New Roman" w:hAnsi="Times New Roman" w:eastAsia="Times New Roman" w:cs="Times New Roman"/>
                      <w:sz w:val="20"/>
                      <w:szCs w:val="20"/>
                    </w:rPr>
                  </w:pPr>
                  <w:r>
                    <w:rPr>
                      <w:rFonts w:ascii="Times New Roman" w:hAnsi="Times New Roman" w:eastAsia="Times New Roman" w:cs="Times New Roman"/>
                      <w:b/>
                      <w:bCs/>
                      <w:sz w:val="20"/>
                      <w:szCs w:val="20"/>
                    </w:rPr>
                    <w:t>Ⅰ</w:t>
                  </w:r>
                </w:p>
              </w:tc>
            </w:tr>
            <w:tr w14:paraId="6F94E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719" w:type="dxa"/>
                  <w:vAlign w:val="top"/>
                </w:tcPr>
                <w:p w14:paraId="03A9E330">
                  <w:pPr>
                    <w:spacing w:before="33" w:line="226" w:lineRule="auto"/>
                    <w:ind w:left="232"/>
                    <w:rPr>
                      <w:rFonts w:ascii="宋体" w:hAnsi="宋体" w:eastAsia="宋体" w:cs="宋体"/>
                      <w:sz w:val="20"/>
                      <w:szCs w:val="20"/>
                    </w:rPr>
                  </w:pPr>
                  <w:r>
                    <w:rPr>
                      <w:rFonts w:ascii="宋体" w:hAnsi="宋体" w:eastAsia="宋体" w:cs="宋体"/>
                      <w:b/>
                      <w:bCs/>
                      <w:spacing w:val="7"/>
                      <w:sz w:val="20"/>
                      <w:szCs w:val="20"/>
                    </w:rPr>
                    <w:t>评价工作等级</w:t>
                  </w:r>
                </w:p>
              </w:tc>
              <w:tc>
                <w:tcPr>
                  <w:tcW w:w="1714" w:type="dxa"/>
                  <w:vAlign w:val="top"/>
                </w:tcPr>
                <w:p w14:paraId="60BB385C">
                  <w:pPr>
                    <w:spacing w:before="112" w:line="155" w:lineRule="exact"/>
                    <w:ind w:left="759"/>
                    <w:rPr>
                      <w:rFonts w:ascii="宋体" w:hAnsi="宋体" w:eastAsia="宋体" w:cs="宋体"/>
                      <w:sz w:val="20"/>
                      <w:szCs w:val="20"/>
                    </w:rPr>
                  </w:pPr>
                  <w:r>
                    <w:rPr>
                      <w:rFonts w:ascii="宋体" w:hAnsi="宋体" w:eastAsia="宋体" w:cs="宋体"/>
                      <w:b/>
                      <w:bCs/>
                      <w:spacing w:val="-3"/>
                      <w:position w:val="-4"/>
                      <w:sz w:val="20"/>
                      <w:szCs w:val="20"/>
                    </w:rPr>
                    <w:t>一</w:t>
                  </w:r>
                </w:p>
              </w:tc>
              <w:tc>
                <w:tcPr>
                  <w:tcW w:w="1715" w:type="dxa"/>
                  <w:vAlign w:val="top"/>
                </w:tcPr>
                <w:p w14:paraId="2F6C6A9A">
                  <w:pPr>
                    <w:spacing w:before="80" w:line="203" w:lineRule="exact"/>
                    <w:ind w:left="767"/>
                    <w:rPr>
                      <w:rFonts w:ascii="微软雅黑" w:hAnsi="微软雅黑" w:eastAsia="微软雅黑" w:cs="微软雅黑"/>
                      <w:sz w:val="20"/>
                      <w:szCs w:val="20"/>
                    </w:rPr>
                  </w:pPr>
                  <w:r>
                    <w:rPr>
                      <w:rFonts w:ascii="微软雅黑" w:hAnsi="微软雅黑" w:eastAsia="微软雅黑" w:cs="微软雅黑"/>
                      <w:b/>
                      <w:bCs/>
                      <w:position w:val="-4"/>
                      <w:sz w:val="20"/>
                      <w:szCs w:val="20"/>
                    </w:rPr>
                    <w:t>二</w:t>
                  </w:r>
                </w:p>
              </w:tc>
              <w:tc>
                <w:tcPr>
                  <w:tcW w:w="1715" w:type="dxa"/>
                  <w:vAlign w:val="top"/>
                </w:tcPr>
                <w:p w14:paraId="33FEED9D">
                  <w:pPr>
                    <w:spacing w:before="33" w:line="266" w:lineRule="exact"/>
                    <w:ind w:left="756"/>
                    <w:rPr>
                      <w:rFonts w:ascii="宋体" w:hAnsi="宋体" w:eastAsia="宋体" w:cs="宋体"/>
                      <w:sz w:val="20"/>
                      <w:szCs w:val="20"/>
                    </w:rPr>
                  </w:pPr>
                  <w:r>
                    <w:rPr>
                      <w:rFonts w:ascii="宋体" w:hAnsi="宋体" w:eastAsia="宋体" w:cs="宋体"/>
                      <w:b/>
                      <w:bCs/>
                      <w:spacing w:val="-2"/>
                      <w:position w:val="1"/>
                      <w:sz w:val="20"/>
                      <w:szCs w:val="20"/>
                    </w:rPr>
                    <w:t>三</w:t>
                  </w:r>
                </w:p>
              </w:tc>
              <w:tc>
                <w:tcPr>
                  <w:tcW w:w="1966" w:type="dxa"/>
                  <w:vAlign w:val="top"/>
                </w:tcPr>
                <w:p w14:paraId="07E25F19">
                  <w:pPr>
                    <w:spacing w:before="33" w:line="227" w:lineRule="auto"/>
                    <w:ind w:left="490"/>
                    <w:rPr>
                      <w:rFonts w:ascii="Times New Roman" w:hAnsi="Times New Roman" w:eastAsia="Times New Roman" w:cs="Times New Roman"/>
                      <w:sz w:val="20"/>
                      <w:szCs w:val="20"/>
                    </w:rPr>
                  </w:pPr>
                  <w:r>
                    <w:rPr>
                      <w:rFonts w:ascii="宋体" w:hAnsi="宋体" w:eastAsia="宋体" w:cs="宋体"/>
                      <w:b/>
                      <w:bCs/>
                      <w:spacing w:val="4"/>
                      <w:sz w:val="20"/>
                      <w:szCs w:val="20"/>
                    </w:rPr>
                    <w:t>简单分析</w:t>
                  </w:r>
                  <w:r>
                    <w:rPr>
                      <w:rFonts w:ascii="宋体" w:hAnsi="宋体" w:eastAsia="宋体" w:cs="宋体"/>
                      <w:spacing w:val="-38"/>
                      <w:sz w:val="20"/>
                      <w:szCs w:val="20"/>
                    </w:rPr>
                    <w:t xml:space="preserve"> </w:t>
                  </w:r>
                  <w:r>
                    <w:rPr>
                      <w:rFonts w:ascii="Times New Roman" w:hAnsi="Times New Roman" w:eastAsia="Times New Roman" w:cs="Times New Roman"/>
                      <w:b/>
                      <w:bCs/>
                      <w:spacing w:val="4"/>
                      <w:sz w:val="20"/>
                      <w:szCs w:val="20"/>
                    </w:rPr>
                    <w:t>a</w:t>
                  </w:r>
                </w:p>
              </w:tc>
            </w:tr>
          </w:tbl>
          <w:p w14:paraId="52F4B3D0">
            <w:pPr>
              <w:spacing w:before="34" w:line="219" w:lineRule="auto"/>
              <w:ind w:left="583"/>
              <w:rPr>
                <w:rFonts w:ascii="宋体" w:hAnsi="宋体" w:eastAsia="宋体" w:cs="宋体"/>
                <w:sz w:val="24"/>
                <w:szCs w:val="24"/>
              </w:rPr>
            </w:pPr>
            <w:r>
              <w:rPr>
                <w:rFonts w:ascii="Times New Roman" w:hAnsi="Times New Roman" w:eastAsia="Times New Roman" w:cs="Times New Roman"/>
                <w:b/>
                <w:bCs/>
                <w:spacing w:val="-6"/>
                <w:sz w:val="24"/>
                <w:szCs w:val="24"/>
              </w:rPr>
              <w:t>3</w:t>
            </w:r>
            <w:r>
              <w:rPr>
                <w:rFonts w:ascii="Times New Roman" w:hAnsi="Times New Roman" w:eastAsia="Times New Roman" w:cs="Times New Roman"/>
                <w:b/>
                <w:bCs/>
                <w:spacing w:val="-34"/>
                <w:sz w:val="24"/>
                <w:szCs w:val="24"/>
              </w:rPr>
              <w:t xml:space="preserve"> </w:t>
            </w:r>
            <w:r>
              <w:rPr>
                <w:rFonts w:ascii="宋体" w:hAnsi="宋体" w:eastAsia="宋体" w:cs="宋体"/>
                <w:b/>
                <w:bCs/>
                <w:spacing w:val="-6"/>
                <w:sz w:val="24"/>
                <w:szCs w:val="24"/>
              </w:rPr>
              <w:t>、风险源辨识</w:t>
            </w:r>
          </w:p>
          <w:p w14:paraId="451CB1E6">
            <w:pPr>
              <w:spacing w:before="184" w:line="359" w:lineRule="auto"/>
              <w:ind w:left="114" w:right="22" w:firstLine="474"/>
              <w:jc w:val="both"/>
              <w:rPr>
                <w:rFonts w:ascii="宋体" w:hAnsi="宋体" w:eastAsia="宋体" w:cs="宋体"/>
                <w:sz w:val="24"/>
                <w:szCs w:val="24"/>
              </w:rPr>
            </w:pPr>
            <w:r>
              <w:rPr>
                <w:rFonts w:ascii="宋体" w:hAnsi="宋体" w:eastAsia="宋体" w:cs="宋体"/>
                <w:spacing w:val="-1"/>
                <w:sz w:val="24"/>
                <w:szCs w:val="24"/>
              </w:rPr>
              <w:t>对照《建设项目环境风险评价技术导则》（</w:t>
            </w:r>
            <w:r>
              <w:rPr>
                <w:rFonts w:ascii="Times New Roman" w:hAnsi="Times New Roman" w:eastAsia="Times New Roman" w:cs="Times New Roman"/>
                <w:spacing w:val="-1"/>
                <w:sz w:val="24"/>
                <w:szCs w:val="24"/>
              </w:rPr>
              <w:t>HJ169-2018</w:t>
            </w:r>
            <w:r>
              <w:rPr>
                <w:rFonts w:ascii="宋体" w:hAnsi="宋体" w:eastAsia="宋体" w:cs="宋体"/>
                <w:spacing w:val="-1"/>
                <w:sz w:val="24"/>
                <w:szCs w:val="24"/>
              </w:rPr>
              <w:t>）、《危险化学品重</w:t>
            </w:r>
            <w:r>
              <w:rPr>
                <w:rFonts w:ascii="宋体" w:hAnsi="宋体" w:eastAsia="宋体" w:cs="宋体"/>
                <w:spacing w:val="-2"/>
                <w:sz w:val="24"/>
                <w:szCs w:val="24"/>
              </w:rPr>
              <w:t>大危</w:t>
            </w:r>
            <w:r>
              <w:rPr>
                <w:rFonts w:ascii="宋体" w:hAnsi="宋体" w:eastAsia="宋体" w:cs="宋体"/>
                <w:spacing w:val="-5"/>
                <w:sz w:val="24"/>
                <w:szCs w:val="24"/>
              </w:rPr>
              <w:t>险源辨识》（</w:t>
            </w:r>
            <w:r>
              <w:rPr>
                <w:rFonts w:ascii="Times New Roman" w:hAnsi="Times New Roman" w:eastAsia="Times New Roman" w:cs="Times New Roman"/>
                <w:spacing w:val="-5"/>
                <w:sz w:val="24"/>
                <w:szCs w:val="24"/>
              </w:rPr>
              <w:t>GB18218-2018</w:t>
            </w:r>
            <w:r>
              <w:rPr>
                <w:rFonts w:ascii="宋体" w:hAnsi="宋体" w:eastAsia="宋体" w:cs="宋体"/>
                <w:spacing w:val="-31"/>
                <w:sz w:val="24"/>
                <w:szCs w:val="24"/>
              </w:rPr>
              <w:t>），</w:t>
            </w:r>
            <w:r>
              <w:rPr>
                <w:rFonts w:ascii="宋体" w:hAnsi="宋体" w:eastAsia="宋体" w:cs="宋体"/>
                <w:spacing w:val="-5"/>
                <w:sz w:val="24"/>
                <w:szCs w:val="24"/>
              </w:rPr>
              <w:t>物质危险性识别包括主要原辅材料、燃料、中间产</w:t>
            </w:r>
            <w:r>
              <w:rPr>
                <w:rFonts w:ascii="宋体" w:hAnsi="宋体" w:eastAsia="宋体" w:cs="宋体"/>
                <w:spacing w:val="-6"/>
                <w:sz w:val="24"/>
                <w:szCs w:val="24"/>
              </w:rPr>
              <w:t>品、</w:t>
            </w:r>
            <w:r>
              <w:rPr>
                <w:rFonts w:ascii="宋体" w:hAnsi="宋体" w:eastAsia="宋体" w:cs="宋体"/>
                <w:spacing w:val="-1"/>
                <w:sz w:val="24"/>
                <w:szCs w:val="24"/>
              </w:rPr>
              <w:t>副产品、最终产品、污染物、火灾和爆炸伴生</w:t>
            </w:r>
            <w:r>
              <w:rPr>
                <w:rFonts w:ascii="Times New Roman" w:hAnsi="Times New Roman" w:eastAsia="Times New Roman" w:cs="Times New Roman"/>
                <w:spacing w:val="-1"/>
                <w:sz w:val="24"/>
                <w:szCs w:val="24"/>
              </w:rPr>
              <w:t>/</w:t>
            </w:r>
            <w:r>
              <w:rPr>
                <w:rFonts w:ascii="宋体" w:hAnsi="宋体" w:eastAsia="宋体" w:cs="宋体"/>
                <w:spacing w:val="-1"/>
                <w:sz w:val="24"/>
                <w:szCs w:val="24"/>
              </w:rPr>
              <w:t>次生物等。</w:t>
            </w:r>
          </w:p>
          <w:p w14:paraId="6A548508">
            <w:pPr>
              <w:spacing w:line="358" w:lineRule="auto"/>
              <w:ind w:left="109" w:right="102" w:firstLine="480"/>
              <w:rPr>
                <w:rFonts w:ascii="宋体" w:hAnsi="宋体" w:eastAsia="宋体" w:cs="宋体"/>
                <w:sz w:val="24"/>
                <w:szCs w:val="24"/>
              </w:rPr>
            </w:pPr>
            <w:r>
              <w:rPr>
                <w:rFonts w:ascii="宋体" w:hAnsi="宋体" w:eastAsia="宋体" w:cs="宋体"/>
                <w:spacing w:val="-2"/>
                <w:sz w:val="24"/>
                <w:szCs w:val="24"/>
              </w:rPr>
              <w:t>根据现有项目使用原物料，现有项目涉及的危险物质为油漆、废润滑油，本次改</w:t>
            </w:r>
            <w:r>
              <w:rPr>
                <w:rFonts w:ascii="宋体" w:hAnsi="宋体" w:eastAsia="宋体" w:cs="宋体"/>
                <w:spacing w:val="-1"/>
                <w:sz w:val="24"/>
                <w:szCs w:val="24"/>
              </w:rPr>
              <w:t>扩建项目涉及的危险物质为废润滑油。</w:t>
            </w:r>
          </w:p>
          <w:p w14:paraId="1E88D605">
            <w:pPr>
              <w:spacing w:before="1" w:line="219" w:lineRule="auto"/>
              <w:ind w:left="586"/>
              <w:rPr>
                <w:rFonts w:ascii="宋体" w:hAnsi="宋体" w:eastAsia="宋体" w:cs="宋体"/>
                <w:sz w:val="24"/>
                <w:szCs w:val="24"/>
              </w:rPr>
            </w:pPr>
            <w:r>
              <w:rPr>
                <w:rFonts w:ascii="Times New Roman" w:hAnsi="Times New Roman" w:eastAsia="Times New Roman" w:cs="Times New Roman"/>
                <w:b/>
                <w:bCs/>
                <w:spacing w:val="-4"/>
                <w:sz w:val="24"/>
                <w:szCs w:val="24"/>
              </w:rPr>
              <w:t>4</w:t>
            </w:r>
            <w:r>
              <w:rPr>
                <w:rFonts w:ascii="Times New Roman" w:hAnsi="Times New Roman" w:eastAsia="Times New Roman" w:cs="Times New Roman"/>
                <w:b/>
                <w:bCs/>
                <w:spacing w:val="-32"/>
                <w:sz w:val="24"/>
                <w:szCs w:val="24"/>
              </w:rPr>
              <w:t xml:space="preserve"> </w:t>
            </w:r>
            <w:r>
              <w:rPr>
                <w:rFonts w:ascii="宋体" w:hAnsi="宋体" w:eastAsia="宋体" w:cs="宋体"/>
                <w:b/>
                <w:bCs/>
                <w:spacing w:val="-4"/>
                <w:sz w:val="24"/>
                <w:szCs w:val="24"/>
              </w:rPr>
              <w:t>、风险物质数量与临界量比值</w:t>
            </w:r>
          </w:p>
          <w:p w14:paraId="742151F6">
            <w:pPr>
              <w:spacing w:before="182" w:line="219" w:lineRule="auto"/>
              <w:ind w:left="590"/>
              <w:rPr>
                <w:rFonts w:ascii="宋体" w:hAnsi="宋体" w:eastAsia="宋体" w:cs="宋体"/>
                <w:sz w:val="24"/>
                <w:szCs w:val="24"/>
              </w:rPr>
            </w:pPr>
            <w:r>
              <w:rPr>
                <w:rFonts w:ascii="宋体" w:hAnsi="宋体" w:eastAsia="宋体" w:cs="宋体"/>
                <w:spacing w:val="-1"/>
                <w:sz w:val="24"/>
                <w:szCs w:val="24"/>
              </w:rPr>
              <w:t>本项目涉及的危险物质临界量比值计算结果见下表：</w:t>
            </w:r>
          </w:p>
          <w:p w14:paraId="54762325">
            <w:pPr>
              <w:spacing w:before="180" w:line="222" w:lineRule="auto"/>
              <w:ind w:left="3251"/>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38"/>
                <w:sz w:val="20"/>
                <w:szCs w:val="20"/>
              </w:rPr>
              <w:t xml:space="preserve"> </w:t>
            </w:r>
            <w:r>
              <w:rPr>
                <w:rFonts w:ascii="Times New Roman" w:hAnsi="Times New Roman" w:eastAsia="Times New Roman" w:cs="Times New Roman"/>
                <w:b/>
                <w:bCs/>
                <w:spacing w:val="5"/>
                <w:sz w:val="20"/>
                <w:szCs w:val="20"/>
              </w:rPr>
              <w:t xml:space="preserve">4-18    </w:t>
            </w:r>
            <w:r>
              <w:rPr>
                <w:rFonts w:ascii="宋体" w:hAnsi="宋体" w:eastAsia="宋体" w:cs="宋体"/>
                <w:b/>
                <w:bCs/>
                <w:spacing w:val="5"/>
                <w:sz w:val="20"/>
                <w:szCs w:val="20"/>
              </w:rPr>
              <w:t>风险物质的临界量</w:t>
            </w:r>
          </w:p>
          <w:tbl>
            <w:tblPr>
              <w:tblStyle w:val="10"/>
              <w:tblW w:w="8824" w:type="dxa"/>
              <w:tblInd w:w="1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8"/>
              <w:gridCol w:w="1560"/>
              <w:gridCol w:w="1244"/>
              <w:gridCol w:w="1258"/>
              <w:gridCol w:w="982"/>
              <w:gridCol w:w="1208"/>
              <w:gridCol w:w="1724"/>
            </w:tblGrid>
            <w:tr w14:paraId="41D0CF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848" w:type="dxa"/>
                  <w:vAlign w:val="top"/>
                </w:tcPr>
                <w:p w14:paraId="1C5AC9FE">
                  <w:pPr>
                    <w:spacing w:before="234" w:line="228" w:lineRule="auto"/>
                    <w:ind w:left="217"/>
                    <w:rPr>
                      <w:rFonts w:ascii="宋体" w:hAnsi="宋体" w:eastAsia="宋体" w:cs="宋体"/>
                      <w:sz w:val="20"/>
                      <w:szCs w:val="20"/>
                    </w:rPr>
                  </w:pPr>
                  <w:r>
                    <w:rPr>
                      <w:rFonts w:ascii="宋体" w:hAnsi="宋体" w:eastAsia="宋体" w:cs="宋体"/>
                      <w:b/>
                      <w:bCs/>
                      <w:spacing w:val="2"/>
                      <w:sz w:val="20"/>
                      <w:szCs w:val="20"/>
                    </w:rPr>
                    <w:t>项目</w:t>
                  </w:r>
                </w:p>
              </w:tc>
              <w:tc>
                <w:tcPr>
                  <w:tcW w:w="1560" w:type="dxa"/>
                  <w:vAlign w:val="top"/>
                </w:tcPr>
                <w:p w14:paraId="553D459B">
                  <w:pPr>
                    <w:spacing w:before="234" w:line="228" w:lineRule="auto"/>
                    <w:ind w:left="153"/>
                    <w:rPr>
                      <w:rFonts w:ascii="宋体" w:hAnsi="宋体" w:eastAsia="宋体" w:cs="宋体"/>
                      <w:sz w:val="20"/>
                      <w:szCs w:val="20"/>
                    </w:rPr>
                  </w:pPr>
                  <w:r>
                    <w:rPr>
                      <w:rFonts w:ascii="宋体" w:hAnsi="宋体" w:eastAsia="宋体" w:cs="宋体"/>
                      <w:b/>
                      <w:bCs/>
                      <w:spacing w:val="6"/>
                      <w:sz w:val="20"/>
                      <w:szCs w:val="20"/>
                    </w:rPr>
                    <w:t>危险物质名称</w:t>
                  </w:r>
                </w:p>
              </w:tc>
              <w:tc>
                <w:tcPr>
                  <w:tcW w:w="1244" w:type="dxa"/>
                  <w:vAlign w:val="top"/>
                </w:tcPr>
                <w:p w14:paraId="28ED9753">
                  <w:pPr>
                    <w:spacing w:before="234" w:line="196" w:lineRule="auto"/>
                    <w:ind w:left="140"/>
                    <w:rPr>
                      <w:rFonts w:ascii="Times New Roman" w:hAnsi="Times New Roman" w:eastAsia="Times New Roman" w:cs="Times New Roman"/>
                      <w:sz w:val="20"/>
                      <w:szCs w:val="20"/>
                    </w:rPr>
                  </w:pPr>
                  <w:r>
                    <w:rPr>
                      <w:rFonts w:ascii="宋体" w:hAnsi="宋体" w:eastAsia="宋体" w:cs="宋体"/>
                      <w:b/>
                      <w:bCs/>
                      <w:spacing w:val="5"/>
                      <w:sz w:val="20"/>
                      <w:szCs w:val="20"/>
                    </w:rPr>
                    <w:t>年使用</w:t>
                  </w:r>
                  <w:r>
                    <w:rPr>
                      <w:rFonts w:ascii="微软雅黑" w:hAnsi="微软雅黑" w:eastAsia="微软雅黑" w:cs="微软雅黑"/>
                      <w:b/>
                      <w:bCs/>
                      <w:spacing w:val="5"/>
                      <w:sz w:val="20"/>
                      <w:szCs w:val="20"/>
                    </w:rPr>
                    <w:t>量</w:t>
                  </w:r>
                  <w:r>
                    <w:rPr>
                      <w:rFonts w:ascii="Times New Roman" w:hAnsi="Times New Roman" w:eastAsia="Times New Roman" w:cs="Times New Roman"/>
                      <w:b/>
                      <w:bCs/>
                      <w:spacing w:val="5"/>
                      <w:sz w:val="20"/>
                      <w:szCs w:val="20"/>
                    </w:rPr>
                    <w:t>/t</w:t>
                  </w:r>
                </w:p>
              </w:tc>
              <w:tc>
                <w:tcPr>
                  <w:tcW w:w="1258" w:type="dxa"/>
                  <w:vAlign w:val="top"/>
                </w:tcPr>
                <w:p w14:paraId="1C3ABC46">
                  <w:pPr>
                    <w:spacing w:before="29" w:line="228" w:lineRule="auto"/>
                    <w:ind w:left="109"/>
                    <w:rPr>
                      <w:rFonts w:ascii="宋体" w:hAnsi="宋体" w:eastAsia="宋体" w:cs="宋体"/>
                      <w:sz w:val="20"/>
                      <w:szCs w:val="20"/>
                    </w:rPr>
                  </w:pPr>
                  <w:r>
                    <w:rPr>
                      <w:rFonts w:ascii="宋体" w:hAnsi="宋体" w:eastAsia="宋体" w:cs="宋体"/>
                      <w:b/>
                      <w:bCs/>
                      <w:spacing w:val="6"/>
                      <w:sz w:val="20"/>
                      <w:szCs w:val="20"/>
                    </w:rPr>
                    <w:t>厂区最大储</w:t>
                  </w:r>
                </w:p>
                <w:p w14:paraId="231D7121">
                  <w:pPr>
                    <w:spacing w:before="161" w:line="221" w:lineRule="auto"/>
                    <w:ind w:left="317"/>
                    <w:rPr>
                      <w:rFonts w:ascii="Times New Roman" w:hAnsi="Times New Roman" w:eastAsia="Times New Roman" w:cs="Times New Roman"/>
                      <w:sz w:val="20"/>
                      <w:szCs w:val="20"/>
                    </w:rPr>
                  </w:pPr>
                  <w:r>
                    <w:rPr>
                      <w:rFonts w:ascii="宋体" w:hAnsi="宋体" w:eastAsia="宋体" w:cs="宋体"/>
                      <w:b/>
                      <w:bCs/>
                      <w:spacing w:val="3"/>
                      <w:sz w:val="20"/>
                      <w:szCs w:val="20"/>
                    </w:rPr>
                    <w:t>存量</w:t>
                  </w:r>
                  <w:r>
                    <w:rPr>
                      <w:rFonts w:ascii="Times New Roman" w:hAnsi="Times New Roman" w:eastAsia="Times New Roman" w:cs="Times New Roman"/>
                      <w:b/>
                      <w:bCs/>
                      <w:spacing w:val="3"/>
                      <w:sz w:val="20"/>
                      <w:szCs w:val="20"/>
                    </w:rPr>
                    <w:t>(t)</w:t>
                  </w:r>
                </w:p>
              </w:tc>
              <w:tc>
                <w:tcPr>
                  <w:tcW w:w="982" w:type="dxa"/>
                  <w:vAlign w:val="top"/>
                </w:tcPr>
                <w:p w14:paraId="5C6433AF">
                  <w:pPr>
                    <w:spacing w:before="29" w:line="228" w:lineRule="auto"/>
                    <w:ind w:left="74"/>
                    <w:rPr>
                      <w:rFonts w:ascii="宋体" w:hAnsi="宋体" w:eastAsia="宋体" w:cs="宋体"/>
                      <w:sz w:val="20"/>
                      <w:szCs w:val="20"/>
                    </w:rPr>
                  </w:pPr>
                  <w:r>
                    <w:rPr>
                      <w:rFonts w:ascii="宋体" w:hAnsi="宋体" w:eastAsia="宋体" w:cs="宋体"/>
                      <w:b/>
                      <w:bCs/>
                      <w:spacing w:val="6"/>
                      <w:sz w:val="20"/>
                      <w:szCs w:val="20"/>
                    </w:rPr>
                    <w:t>在线使用</w:t>
                  </w:r>
                </w:p>
                <w:p w14:paraId="386C7BE6">
                  <w:pPr>
                    <w:spacing w:before="161" w:line="221" w:lineRule="auto"/>
                    <w:ind w:left="286"/>
                    <w:rPr>
                      <w:rFonts w:ascii="Times New Roman" w:hAnsi="Times New Roman" w:eastAsia="Times New Roman" w:cs="Times New Roman"/>
                      <w:sz w:val="20"/>
                      <w:szCs w:val="20"/>
                    </w:rPr>
                  </w:pPr>
                  <w:r>
                    <w:rPr>
                      <w:rFonts w:ascii="宋体" w:hAnsi="宋体" w:eastAsia="宋体" w:cs="宋体"/>
                      <w:b/>
                      <w:bCs/>
                      <w:spacing w:val="1"/>
                      <w:sz w:val="20"/>
                      <w:szCs w:val="20"/>
                    </w:rPr>
                    <w:t>量</w:t>
                  </w:r>
                  <w:r>
                    <w:rPr>
                      <w:rFonts w:ascii="Times New Roman" w:hAnsi="Times New Roman" w:eastAsia="Times New Roman" w:cs="Times New Roman"/>
                      <w:b/>
                      <w:bCs/>
                      <w:spacing w:val="1"/>
                      <w:sz w:val="20"/>
                      <w:szCs w:val="20"/>
                    </w:rPr>
                    <w:t>(t)</w:t>
                  </w:r>
                </w:p>
              </w:tc>
              <w:tc>
                <w:tcPr>
                  <w:tcW w:w="1208" w:type="dxa"/>
                  <w:vAlign w:val="top"/>
                </w:tcPr>
                <w:p w14:paraId="491AD135">
                  <w:pPr>
                    <w:spacing w:before="233" w:line="221" w:lineRule="auto"/>
                    <w:ind w:left="202"/>
                    <w:rPr>
                      <w:rFonts w:ascii="Times New Roman" w:hAnsi="Times New Roman" w:eastAsia="Times New Roman" w:cs="Times New Roman"/>
                      <w:sz w:val="20"/>
                      <w:szCs w:val="20"/>
                    </w:rPr>
                  </w:pPr>
                  <w:r>
                    <w:rPr>
                      <w:rFonts w:ascii="宋体" w:hAnsi="宋体" w:eastAsia="宋体" w:cs="宋体"/>
                      <w:b/>
                      <w:bCs/>
                      <w:spacing w:val="2"/>
                      <w:sz w:val="20"/>
                      <w:szCs w:val="20"/>
                    </w:rPr>
                    <w:t>临界量</w:t>
                  </w:r>
                  <w:r>
                    <w:rPr>
                      <w:rFonts w:ascii="Times New Roman" w:hAnsi="Times New Roman" w:eastAsia="Times New Roman" w:cs="Times New Roman"/>
                      <w:b/>
                      <w:bCs/>
                      <w:spacing w:val="2"/>
                      <w:sz w:val="20"/>
                      <w:szCs w:val="20"/>
                    </w:rPr>
                    <w:t>(t)</w:t>
                  </w:r>
                </w:p>
              </w:tc>
              <w:tc>
                <w:tcPr>
                  <w:tcW w:w="1724" w:type="dxa"/>
                  <w:vAlign w:val="top"/>
                </w:tcPr>
                <w:p w14:paraId="156E4EA6">
                  <w:pPr>
                    <w:spacing w:before="277" w:line="197" w:lineRule="auto"/>
                    <w:ind w:left="583"/>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qn/Qn</w:t>
                  </w:r>
                </w:p>
              </w:tc>
            </w:tr>
            <w:tr w14:paraId="3BF9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48" w:type="dxa"/>
                  <w:vMerge w:val="restart"/>
                  <w:tcBorders>
                    <w:bottom w:val="nil"/>
                  </w:tcBorders>
                  <w:vAlign w:val="top"/>
                </w:tcPr>
                <w:p w14:paraId="2B5FD360">
                  <w:pPr>
                    <w:spacing w:before="35" w:line="362" w:lineRule="auto"/>
                    <w:ind w:left="362" w:right="110" w:hanging="249"/>
                    <w:rPr>
                      <w:rFonts w:ascii="宋体" w:hAnsi="宋体" w:eastAsia="宋体" w:cs="宋体"/>
                      <w:sz w:val="20"/>
                      <w:szCs w:val="20"/>
                    </w:rPr>
                  </w:pPr>
                  <w:r>
                    <w:rPr>
                      <w:rFonts w:ascii="宋体" w:hAnsi="宋体" w:eastAsia="宋体" w:cs="宋体"/>
                      <w:spacing w:val="6"/>
                      <w:sz w:val="20"/>
                      <w:szCs w:val="20"/>
                    </w:rPr>
                    <w:t>现有项</w:t>
                  </w:r>
                  <w:r>
                    <w:rPr>
                      <w:rFonts w:ascii="宋体" w:hAnsi="宋体" w:eastAsia="宋体" w:cs="宋体"/>
                      <w:sz w:val="20"/>
                      <w:szCs w:val="20"/>
                    </w:rPr>
                    <w:t>目</w:t>
                  </w:r>
                </w:p>
              </w:tc>
              <w:tc>
                <w:tcPr>
                  <w:tcW w:w="1560" w:type="dxa"/>
                  <w:vAlign w:val="top"/>
                </w:tcPr>
                <w:p w14:paraId="7C07CD39">
                  <w:pPr>
                    <w:spacing w:before="33" w:line="229" w:lineRule="auto"/>
                    <w:ind w:left="577"/>
                    <w:rPr>
                      <w:rFonts w:ascii="宋体" w:hAnsi="宋体" w:eastAsia="宋体" w:cs="宋体"/>
                      <w:sz w:val="20"/>
                      <w:szCs w:val="20"/>
                    </w:rPr>
                  </w:pPr>
                  <w:r>
                    <w:rPr>
                      <w:rFonts w:ascii="宋体" w:hAnsi="宋体" w:eastAsia="宋体" w:cs="宋体"/>
                      <w:spacing w:val="3"/>
                      <w:sz w:val="20"/>
                      <w:szCs w:val="20"/>
                    </w:rPr>
                    <w:t>油漆</w:t>
                  </w:r>
                </w:p>
              </w:tc>
              <w:tc>
                <w:tcPr>
                  <w:tcW w:w="1244" w:type="dxa"/>
                  <w:vAlign w:val="top"/>
                </w:tcPr>
                <w:p w14:paraId="15ACAA93">
                  <w:pPr>
                    <w:spacing w:before="76" w:line="195" w:lineRule="auto"/>
                    <w:ind w:left="574"/>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258" w:type="dxa"/>
                  <w:vAlign w:val="top"/>
                </w:tcPr>
                <w:p w14:paraId="18183457">
                  <w:pPr>
                    <w:spacing w:before="76" w:line="195" w:lineRule="auto"/>
                    <w:ind w:left="50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982" w:type="dxa"/>
                  <w:vAlign w:val="top"/>
                </w:tcPr>
                <w:p w14:paraId="6330095B">
                  <w:pPr>
                    <w:spacing w:before="76" w:line="195" w:lineRule="auto"/>
                    <w:ind w:left="36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1208" w:type="dxa"/>
                  <w:vAlign w:val="top"/>
                </w:tcPr>
                <w:p w14:paraId="3432E676">
                  <w:pPr>
                    <w:spacing w:before="76"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100</w:t>
                  </w:r>
                </w:p>
              </w:tc>
              <w:tc>
                <w:tcPr>
                  <w:tcW w:w="1724" w:type="dxa"/>
                  <w:vAlign w:val="top"/>
                </w:tcPr>
                <w:p w14:paraId="37E1512F">
                  <w:pPr>
                    <w:spacing w:before="76" w:line="195" w:lineRule="auto"/>
                    <w:ind w:left="63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0.006</w:t>
                  </w:r>
                </w:p>
              </w:tc>
            </w:tr>
            <w:tr w14:paraId="707E1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848" w:type="dxa"/>
                  <w:vMerge w:val="continue"/>
                  <w:tcBorders>
                    <w:top w:val="nil"/>
                  </w:tcBorders>
                  <w:vAlign w:val="top"/>
                </w:tcPr>
                <w:p w14:paraId="4A6509BC">
                  <w:pPr>
                    <w:rPr>
                      <w:rFonts w:ascii="Arial"/>
                      <w:sz w:val="21"/>
                    </w:rPr>
                  </w:pPr>
                </w:p>
              </w:tc>
              <w:tc>
                <w:tcPr>
                  <w:tcW w:w="1560" w:type="dxa"/>
                  <w:vAlign w:val="top"/>
                </w:tcPr>
                <w:p w14:paraId="585250F3">
                  <w:pPr>
                    <w:spacing w:before="34" w:line="228" w:lineRule="auto"/>
                    <w:ind w:left="361"/>
                    <w:rPr>
                      <w:rFonts w:ascii="宋体" w:hAnsi="宋体" w:eastAsia="宋体" w:cs="宋体"/>
                      <w:sz w:val="20"/>
                      <w:szCs w:val="20"/>
                    </w:rPr>
                  </w:pPr>
                  <w:r>
                    <w:rPr>
                      <w:rFonts w:ascii="宋体" w:hAnsi="宋体" w:eastAsia="宋体" w:cs="宋体"/>
                      <w:spacing w:val="7"/>
                      <w:sz w:val="20"/>
                      <w:szCs w:val="20"/>
                    </w:rPr>
                    <w:t>废润滑油</w:t>
                  </w:r>
                </w:p>
              </w:tc>
              <w:tc>
                <w:tcPr>
                  <w:tcW w:w="1244" w:type="dxa"/>
                  <w:vAlign w:val="top"/>
                </w:tcPr>
                <w:p w14:paraId="7E8091E1">
                  <w:pPr>
                    <w:spacing w:before="72" w:line="199" w:lineRule="auto"/>
                    <w:ind w:left="58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58" w:type="dxa"/>
                  <w:vAlign w:val="top"/>
                </w:tcPr>
                <w:p w14:paraId="65C36F7E">
                  <w:pPr>
                    <w:spacing w:before="76" w:line="195" w:lineRule="auto"/>
                    <w:ind w:left="50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982" w:type="dxa"/>
                  <w:vAlign w:val="top"/>
                </w:tcPr>
                <w:p w14:paraId="01FF953B">
                  <w:pPr>
                    <w:spacing w:before="72" w:line="199" w:lineRule="auto"/>
                    <w:ind w:left="46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08" w:type="dxa"/>
                  <w:vAlign w:val="top"/>
                </w:tcPr>
                <w:p w14:paraId="44B4A383">
                  <w:pPr>
                    <w:spacing w:before="76" w:line="195" w:lineRule="auto"/>
                    <w:ind w:left="39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2500</w:t>
                  </w:r>
                </w:p>
              </w:tc>
              <w:tc>
                <w:tcPr>
                  <w:tcW w:w="1724" w:type="dxa"/>
                  <w:vAlign w:val="top"/>
                </w:tcPr>
                <w:p w14:paraId="63339834">
                  <w:pPr>
                    <w:spacing w:before="76" w:line="195" w:lineRule="auto"/>
                    <w:ind w:left="5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0.00008</w:t>
                  </w:r>
                </w:p>
              </w:tc>
            </w:tr>
            <w:tr w14:paraId="1ADCC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48" w:type="dxa"/>
                  <w:vAlign w:val="top"/>
                </w:tcPr>
                <w:p w14:paraId="2A54705F">
                  <w:pPr>
                    <w:spacing w:before="33" w:line="359" w:lineRule="auto"/>
                    <w:ind w:left="216" w:right="110" w:hanging="104"/>
                    <w:rPr>
                      <w:rFonts w:ascii="宋体" w:hAnsi="宋体" w:eastAsia="宋体" w:cs="宋体"/>
                      <w:sz w:val="20"/>
                      <w:szCs w:val="20"/>
                    </w:rPr>
                  </w:pPr>
                  <w:r>
                    <w:rPr>
                      <w:rFonts w:ascii="宋体" w:hAnsi="宋体" w:eastAsia="宋体" w:cs="宋体"/>
                      <w:spacing w:val="6"/>
                      <w:sz w:val="20"/>
                      <w:szCs w:val="20"/>
                    </w:rPr>
                    <w:t>本次改</w:t>
                  </w:r>
                  <w:r>
                    <w:rPr>
                      <w:rFonts w:ascii="宋体" w:hAnsi="宋体" w:eastAsia="宋体" w:cs="宋体"/>
                      <w:spacing w:val="4"/>
                      <w:sz w:val="20"/>
                      <w:szCs w:val="20"/>
                    </w:rPr>
                    <w:t>扩建</w:t>
                  </w:r>
                </w:p>
              </w:tc>
              <w:tc>
                <w:tcPr>
                  <w:tcW w:w="1560" w:type="dxa"/>
                  <w:vAlign w:val="top"/>
                </w:tcPr>
                <w:p w14:paraId="487603DC">
                  <w:pPr>
                    <w:spacing w:before="237" w:line="228" w:lineRule="auto"/>
                    <w:ind w:left="361"/>
                    <w:rPr>
                      <w:rFonts w:ascii="宋体" w:hAnsi="宋体" w:eastAsia="宋体" w:cs="宋体"/>
                      <w:sz w:val="20"/>
                      <w:szCs w:val="20"/>
                    </w:rPr>
                  </w:pPr>
                  <w:r>
                    <w:rPr>
                      <w:rFonts w:ascii="宋体" w:hAnsi="宋体" w:eastAsia="宋体" w:cs="宋体"/>
                      <w:spacing w:val="7"/>
                      <w:sz w:val="20"/>
                      <w:szCs w:val="20"/>
                    </w:rPr>
                    <w:t>废润滑油</w:t>
                  </w:r>
                </w:p>
              </w:tc>
              <w:tc>
                <w:tcPr>
                  <w:tcW w:w="1244" w:type="dxa"/>
                  <w:vAlign w:val="top"/>
                </w:tcPr>
                <w:p w14:paraId="75610DC5">
                  <w:pPr>
                    <w:spacing w:before="278" w:line="199" w:lineRule="auto"/>
                    <w:ind w:left="58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58" w:type="dxa"/>
                  <w:vAlign w:val="top"/>
                </w:tcPr>
                <w:p w14:paraId="262D6629">
                  <w:pPr>
                    <w:spacing w:before="282" w:line="195" w:lineRule="auto"/>
                    <w:ind w:left="39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0.005</w:t>
                  </w:r>
                </w:p>
              </w:tc>
              <w:tc>
                <w:tcPr>
                  <w:tcW w:w="982" w:type="dxa"/>
                  <w:vAlign w:val="top"/>
                </w:tcPr>
                <w:p w14:paraId="26561C3D">
                  <w:pPr>
                    <w:spacing w:before="278" w:line="199" w:lineRule="auto"/>
                    <w:ind w:left="46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08" w:type="dxa"/>
                  <w:vAlign w:val="top"/>
                </w:tcPr>
                <w:p w14:paraId="3D407C3E">
                  <w:pPr>
                    <w:spacing w:before="282" w:line="195" w:lineRule="auto"/>
                    <w:ind w:left="39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2500</w:t>
                  </w:r>
                </w:p>
              </w:tc>
              <w:tc>
                <w:tcPr>
                  <w:tcW w:w="1724" w:type="dxa"/>
                  <w:vAlign w:val="top"/>
                </w:tcPr>
                <w:p w14:paraId="29E36DC2">
                  <w:pPr>
                    <w:spacing w:before="282" w:line="195" w:lineRule="auto"/>
                    <w:ind w:left="5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0.00004</w:t>
                  </w:r>
                </w:p>
              </w:tc>
            </w:tr>
            <w:tr w14:paraId="107C8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48" w:type="dxa"/>
                  <w:vAlign w:val="top"/>
                </w:tcPr>
                <w:p w14:paraId="07344F92">
                  <w:pPr>
                    <w:rPr>
                      <w:rFonts w:ascii="Arial"/>
                      <w:sz w:val="21"/>
                    </w:rPr>
                  </w:pPr>
                </w:p>
              </w:tc>
              <w:tc>
                <w:tcPr>
                  <w:tcW w:w="1560" w:type="dxa"/>
                  <w:vAlign w:val="top"/>
                </w:tcPr>
                <w:p w14:paraId="2FDEE4E7">
                  <w:pPr>
                    <w:spacing w:before="35" w:line="229" w:lineRule="auto"/>
                    <w:ind w:left="574"/>
                    <w:rPr>
                      <w:rFonts w:ascii="宋体" w:hAnsi="宋体" w:eastAsia="宋体" w:cs="宋体"/>
                      <w:sz w:val="20"/>
                      <w:szCs w:val="20"/>
                    </w:rPr>
                  </w:pPr>
                  <w:r>
                    <w:rPr>
                      <w:rFonts w:ascii="宋体" w:hAnsi="宋体" w:eastAsia="宋体" w:cs="宋体"/>
                      <w:spacing w:val="4"/>
                      <w:sz w:val="20"/>
                      <w:szCs w:val="20"/>
                    </w:rPr>
                    <w:t>合计</w:t>
                  </w:r>
                </w:p>
              </w:tc>
              <w:tc>
                <w:tcPr>
                  <w:tcW w:w="1244" w:type="dxa"/>
                  <w:vAlign w:val="top"/>
                </w:tcPr>
                <w:p w14:paraId="37999716">
                  <w:pPr>
                    <w:rPr>
                      <w:rFonts w:ascii="Arial"/>
                      <w:sz w:val="21"/>
                    </w:rPr>
                  </w:pPr>
                </w:p>
              </w:tc>
              <w:tc>
                <w:tcPr>
                  <w:tcW w:w="1258" w:type="dxa"/>
                  <w:vAlign w:val="top"/>
                </w:tcPr>
                <w:p w14:paraId="410623BA">
                  <w:pPr>
                    <w:spacing w:before="74" w:line="199" w:lineRule="auto"/>
                    <w:ind w:left="5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82" w:type="dxa"/>
                  <w:vAlign w:val="top"/>
                </w:tcPr>
                <w:p w14:paraId="34AC3A34">
                  <w:pPr>
                    <w:rPr>
                      <w:rFonts w:ascii="Arial"/>
                      <w:sz w:val="21"/>
                    </w:rPr>
                  </w:pPr>
                </w:p>
              </w:tc>
              <w:tc>
                <w:tcPr>
                  <w:tcW w:w="1208" w:type="dxa"/>
                  <w:vAlign w:val="top"/>
                </w:tcPr>
                <w:p w14:paraId="2B7018AD">
                  <w:pPr>
                    <w:spacing w:before="74" w:line="199" w:lineRule="auto"/>
                    <w:ind w:left="57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724" w:type="dxa"/>
                  <w:vAlign w:val="top"/>
                </w:tcPr>
                <w:p w14:paraId="3BC0490E">
                  <w:pPr>
                    <w:spacing w:before="78" w:line="195" w:lineRule="auto"/>
                    <w:ind w:left="4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0.000612</w:t>
                  </w:r>
                </w:p>
              </w:tc>
            </w:tr>
          </w:tbl>
          <w:p w14:paraId="5D7446DC">
            <w:pPr>
              <w:spacing w:before="34" w:line="273" w:lineRule="auto"/>
              <w:ind w:left="115" w:right="102" w:firstLine="474"/>
              <w:rPr>
                <w:rFonts w:ascii="宋体" w:hAnsi="宋体" w:eastAsia="宋体" w:cs="宋体"/>
                <w:sz w:val="24"/>
                <w:szCs w:val="24"/>
              </w:rPr>
            </w:pPr>
            <w:r>
              <w:rPr>
                <w:rFonts w:ascii="宋体" w:hAnsi="宋体" w:eastAsia="宋体" w:cs="宋体"/>
                <w:spacing w:val="-2"/>
                <w:sz w:val="24"/>
                <w:szCs w:val="24"/>
              </w:rPr>
              <w:t>根据</w:t>
            </w:r>
            <w:r>
              <w:rPr>
                <w:rFonts w:ascii="Times New Roman" w:hAnsi="Times New Roman" w:eastAsia="Times New Roman" w:cs="Times New Roman"/>
                <w:spacing w:val="-2"/>
                <w:sz w:val="24"/>
                <w:szCs w:val="24"/>
              </w:rPr>
              <w:t>HJ169-2018</w:t>
            </w:r>
            <w:r>
              <w:rPr>
                <w:rFonts w:ascii="宋体" w:hAnsi="宋体" w:eastAsia="宋体" w:cs="宋体"/>
                <w:spacing w:val="-2"/>
                <w:sz w:val="24"/>
                <w:szCs w:val="24"/>
              </w:rPr>
              <w:t>《建设项目环境风险评价 技术导则》附录</w:t>
            </w:r>
            <w:r>
              <w:rPr>
                <w:rFonts w:ascii="Times New Roman" w:hAnsi="Times New Roman" w:eastAsia="Times New Roman" w:cs="Times New Roman"/>
                <w:spacing w:val="-2"/>
                <w:sz w:val="24"/>
                <w:szCs w:val="24"/>
              </w:rPr>
              <w:t>C</w:t>
            </w:r>
            <w:r>
              <w:rPr>
                <w:rFonts w:ascii="宋体" w:hAnsi="宋体" w:eastAsia="宋体" w:cs="宋体"/>
                <w:spacing w:val="-2"/>
                <w:sz w:val="24"/>
                <w:szCs w:val="24"/>
              </w:rPr>
              <w:t>，危险</w:t>
            </w:r>
            <w:r>
              <w:rPr>
                <w:rFonts w:ascii="微软雅黑" w:hAnsi="微软雅黑" w:eastAsia="微软雅黑" w:cs="微软雅黑"/>
                <w:spacing w:val="-2"/>
                <w:sz w:val="24"/>
                <w:szCs w:val="24"/>
              </w:rPr>
              <w:t>物</w:t>
            </w:r>
            <w:r>
              <w:rPr>
                <w:rFonts w:ascii="宋体" w:hAnsi="宋体" w:eastAsia="宋体" w:cs="宋体"/>
                <w:spacing w:val="-2"/>
                <w:sz w:val="24"/>
                <w:szCs w:val="24"/>
              </w:rPr>
              <w:t>质数</w:t>
            </w:r>
            <w:r>
              <w:rPr>
                <w:rFonts w:ascii="微软雅黑" w:hAnsi="微软雅黑" w:eastAsia="微软雅黑" w:cs="微软雅黑"/>
                <w:spacing w:val="-2"/>
                <w:sz w:val="24"/>
                <w:szCs w:val="24"/>
              </w:rPr>
              <w:t>量</w:t>
            </w:r>
            <w:r>
              <w:rPr>
                <w:rFonts w:ascii="宋体" w:hAnsi="宋体" w:eastAsia="宋体" w:cs="宋体"/>
                <w:spacing w:val="-2"/>
                <w:sz w:val="24"/>
                <w:szCs w:val="24"/>
              </w:rPr>
              <w:t>与临</w:t>
            </w:r>
            <w:r>
              <w:rPr>
                <w:rFonts w:ascii="宋体" w:hAnsi="宋体" w:eastAsia="宋体" w:cs="宋体"/>
                <w:spacing w:val="-5"/>
                <w:sz w:val="24"/>
                <w:szCs w:val="24"/>
              </w:rPr>
              <w:t>界</w:t>
            </w:r>
            <w:r>
              <w:rPr>
                <w:rFonts w:ascii="微软雅黑" w:hAnsi="微软雅黑" w:eastAsia="微软雅黑" w:cs="微软雅黑"/>
                <w:spacing w:val="-5"/>
                <w:sz w:val="24"/>
                <w:szCs w:val="24"/>
              </w:rPr>
              <w:t>量</w:t>
            </w:r>
            <w:r>
              <w:rPr>
                <w:rFonts w:ascii="宋体" w:hAnsi="宋体" w:eastAsia="宋体" w:cs="宋体"/>
                <w:spacing w:val="-5"/>
                <w:sz w:val="24"/>
                <w:szCs w:val="24"/>
              </w:rPr>
              <w:t>比值</w:t>
            </w:r>
            <w:r>
              <w:rPr>
                <w:rFonts w:ascii="Times New Roman" w:hAnsi="Times New Roman" w:eastAsia="Times New Roman" w:cs="Times New Roman"/>
                <w:spacing w:val="-5"/>
                <w:sz w:val="24"/>
                <w:szCs w:val="24"/>
              </w:rPr>
              <w:t>Q</w:t>
            </w:r>
            <w:r>
              <w:rPr>
                <w:rFonts w:ascii="Times New Roman" w:hAnsi="Times New Roman" w:eastAsia="Times New Roman" w:cs="Times New Roman"/>
                <w:spacing w:val="19"/>
                <w:sz w:val="24"/>
                <w:szCs w:val="24"/>
              </w:rPr>
              <w:t xml:space="preserve">  </w:t>
            </w:r>
            <w:r>
              <w:rPr>
                <w:rFonts w:ascii="宋体" w:hAnsi="宋体" w:eastAsia="宋体" w:cs="宋体"/>
                <w:spacing w:val="-5"/>
                <w:sz w:val="24"/>
                <w:szCs w:val="24"/>
              </w:rPr>
              <w:t>的计算方法：</w:t>
            </w:r>
          </w:p>
          <w:p w14:paraId="262FBC35">
            <w:pPr>
              <w:spacing w:before="1" w:line="182" w:lineRule="auto"/>
              <w:ind w:left="581"/>
              <w:rPr>
                <w:rFonts w:ascii="宋体" w:hAnsi="宋体" w:eastAsia="宋体" w:cs="宋体"/>
                <w:sz w:val="24"/>
                <w:szCs w:val="24"/>
              </w:rPr>
            </w:pPr>
            <w:r>
              <w:rPr>
                <w:rFonts w:ascii="Times New Roman" w:hAnsi="Times New Roman" w:eastAsia="Times New Roman" w:cs="Times New Roman"/>
                <w:sz w:val="24"/>
                <w:szCs w:val="24"/>
              </w:rPr>
              <w:t>A.</w:t>
            </w:r>
            <w:r>
              <w:rPr>
                <w:rFonts w:ascii="宋体" w:hAnsi="宋体" w:eastAsia="宋体" w:cs="宋体"/>
                <w:sz w:val="24"/>
                <w:szCs w:val="24"/>
              </w:rPr>
              <w:t>只涉及一种危险</w:t>
            </w:r>
            <w:r>
              <w:rPr>
                <w:rFonts w:ascii="微软雅黑" w:hAnsi="微软雅黑" w:eastAsia="微软雅黑" w:cs="微软雅黑"/>
                <w:sz w:val="24"/>
                <w:szCs w:val="24"/>
              </w:rPr>
              <w:t>物</w:t>
            </w:r>
            <w:r>
              <w:rPr>
                <w:rFonts w:ascii="宋体" w:hAnsi="宋体" w:eastAsia="宋体" w:cs="宋体"/>
                <w:sz w:val="24"/>
                <w:szCs w:val="24"/>
              </w:rPr>
              <w:t>质时，计算该</w:t>
            </w:r>
            <w:r>
              <w:rPr>
                <w:rFonts w:ascii="微软雅黑" w:hAnsi="微软雅黑" w:eastAsia="微软雅黑" w:cs="微软雅黑"/>
                <w:sz w:val="24"/>
                <w:szCs w:val="24"/>
              </w:rPr>
              <w:t>物</w:t>
            </w:r>
            <w:r>
              <w:rPr>
                <w:rFonts w:ascii="宋体" w:hAnsi="宋体" w:eastAsia="宋体" w:cs="宋体"/>
                <w:sz w:val="24"/>
                <w:szCs w:val="24"/>
              </w:rPr>
              <w:t>质的</w:t>
            </w:r>
            <w:r>
              <w:rPr>
                <w:rFonts w:ascii="微软雅黑" w:hAnsi="微软雅黑" w:eastAsia="微软雅黑" w:cs="微软雅黑"/>
                <w:sz w:val="24"/>
                <w:szCs w:val="24"/>
              </w:rPr>
              <w:t>总量</w:t>
            </w:r>
            <w:r>
              <w:rPr>
                <w:rFonts w:ascii="宋体" w:hAnsi="宋体" w:eastAsia="宋体" w:cs="宋体"/>
                <w:spacing w:val="-1"/>
                <w:sz w:val="24"/>
                <w:szCs w:val="24"/>
              </w:rPr>
              <w:t>与其临界</w:t>
            </w:r>
            <w:r>
              <w:rPr>
                <w:rFonts w:ascii="微软雅黑" w:hAnsi="微软雅黑" w:eastAsia="微软雅黑" w:cs="微软雅黑"/>
                <w:spacing w:val="-1"/>
                <w:sz w:val="24"/>
                <w:szCs w:val="24"/>
              </w:rPr>
              <w:t>量</w:t>
            </w:r>
            <w:r>
              <w:rPr>
                <w:rFonts w:ascii="宋体" w:hAnsi="宋体" w:eastAsia="宋体" w:cs="宋体"/>
                <w:spacing w:val="-1"/>
                <w:sz w:val="24"/>
                <w:szCs w:val="24"/>
              </w:rPr>
              <w:t>比值，即为</w:t>
            </w:r>
            <w:r>
              <w:rPr>
                <w:rFonts w:ascii="宋体" w:hAnsi="宋体" w:eastAsia="宋体" w:cs="宋体"/>
                <w:spacing w:val="-52"/>
                <w:sz w:val="24"/>
                <w:szCs w:val="24"/>
              </w:rPr>
              <w:t xml:space="preserve"> </w:t>
            </w:r>
            <w:r>
              <w:rPr>
                <w:rFonts w:ascii="Times New Roman" w:hAnsi="Times New Roman" w:eastAsia="Times New Roman" w:cs="Times New Roman"/>
                <w:spacing w:val="-1"/>
                <w:sz w:val="24"/>
                <w:szCs w:val="24"/>
              </w:rPr>
              <w:t>Q</w:t>
            </w:r>
            <w:r>
              <w:rPr>
                <w:rFonts w:ascii="宋体" w:hAnsi="宋体" w:eastAsia="宋体" w:cs="宋体"/>
                <w:spacing w:val="-1"/>
                <w:sz w:val="24"/>
                <w:szCs w:val="24"/>
              </w:rPr>
              <w:t>。</w:t>
            </w:r>
          </w:p>
          <w:p w14:paraId="130A98E0">
            <w:pPr>
              <w:spacing w:before="152" w:line="184" w:lineRule="auto"/>
              <w:ind w:left="584"/>
              <w:rPr>
                <w:rFonts w:ascii="宋体" w:hAnsi="宋体" w:eastAsia="宋体" w:cs="宋体"/>
                <w:sz w:val="24"/>
                <w:szCs w:val="24"/>
              </w:rPr>
            </w:pPr>
            <w:r>
              <w:rPr>
                <w:rFonts w:ascii="Times New Roman" w:hAnsi="Times New Roman" w:eastAsia="Times New Roman" w:cs="Times New Roman"/>
                <w:sz w:val="24"/>
                <w:szCs w:val="24"/>
              </w:rPr>
              <w:t>B.</w:t>
            </w:r>
            <w:r>
              <w:rPr>
                <w:rFonts w:ascii="宋体" w:hAnsi="宋体" w:eastAsia="宋体" w:cs="宋体"/>
                <w:sz w:val="24"/>
                <w:szCs w:val="24"/>
              </w:rPr>
              <w:t>存在多种危险</w:t>
            </w:r>
            <w:r>
              <w:rPr>
                <w:rFonts w:ascii="微软雅黑" w:hAnsi="微软雅黑" w:eastAsia="微软雅黑" w:cs="微软雅黑"/>
                <w:sz w:val="24"/>
                <w:szCs w:val="24"/>
              </w:rPr>
              <w:t>物</w:t>
            </w:r>
            <w:r>
              <w:rPr>
                <w:rFonts w:ascii="宋体" w:hAnsi="宋体" w:eastAsia="宋体" w:cs="宋体"/>
                <w:sz w:val="24"/>
                <w:szCs w:val="24"/>
              </w:rPr>
              <w:t>质时，则按下式计算</w:t>
            </w:r>
            <w:r>
              <w:rPr>
                <w:rFonts w:ascii="微软雅黑" w:hAnsi="微软雅黑" w:eastAsia="微软雅黑" w:cs="微软雅黑"/>
                <w:sz w:val="24"/>
                <w:szCs w:val="24"/>
              </w:rPr>
              <w:t>物</w:t>
            </w:r>
            <w:r>
              <w:rPr>
                <w:rFonts w:ascii="宋体" w:hAnsi="宋体" w:eastAsia="宋体" w:cs="宋体"/>
                <w:sz w:val="24"/>
                <w:szCs w:val="24"/>
              </w:rPr>
              <w:t>质</w:t>
            </w:r>
            <w:r>
              <w:rPr>
                <w:rFonts w:ascii="微软雅黑" w:hAnsi="微软雅黑" w:eastAsia="微软雅黑" w:cs="微软雅黑"/>
                <w:sz w:val="24"/>
                <w:szCs w:val="24"/>
              </w:rPr>
              <w:t>总量</w:t>
            </w:r>
            <w:r>
              <w:rPr>
                <w:rFonts w:ascii="宋体" w:hAnsi="宋体" w:eastAsia="宋体" w:cs="宋体"/>
                <w:sz w:val="24"/>
                <w:szCs w:val="24"/>
              </w:rPr>
              <w:t>与其临</w:t>
            </w:r>
            <w:r>
              <w:rPr>
                <w:rFonts w:ascii="宋体" w:hAnsi="宋体" w:eastAsia="宋体" w:cs="宋体"/>
                <w:spacing w:val="-1"/>
                <w:sz w:val="24"/>
                <w:szCs w:val="24"/>
              </w:rPr>
              <w:t>界</w:t>
            </w:r>
            <w:r>
              <w:rPr>
                <w:rFonts w:ascii="微软雅黑" w:hAnsi="微软雅黑" w:eastAsia="微软雅黑" w:cs="微软雅黑"/>
                <w:spacing w:val="-1"/>
                <w:sz w:val="24"/>
                <w:szCs w:val="24"/>
              </w:rPr>
              <w:t>量</w:t>
            </w:r>
            <w:r>
              <w:rPr>
                <w:rFonts w:ascii="宋体" w:hAnsi="宋体" w:eastAsia="宋体" w:cs="宋体"/>
                <w:spacing w:val="-1"/>
                <w:sz w:val="24"/>
                <w:szCs w:val="24"/>
              </w:rPr>
              <w:t>比值（</w:t>
            </w:r>
            <w:r>
              <w:rPr>
                <w:rFonts w:ascii="Times New Roman" w:hAnsi="Times New Roman" w:eastAsia="Times New Roman" w:cs="Times New Roman"/>
                <w:spacing w:val="-1"/>
                <w:sz w:val="24"/>
                <w:szCs w:val="24"/>
              </w:rPr>
              <w:t>Q</w:t>
            </w:r>
            <w:r>
              <w:rPr>
                <w:rFonts w:ascii="宋体" w:hAnsi="宋体" w:eastAsia="宋体" w:cs="宋体"/>
                <w:spacing w:val="-1"/>
                <w:sz w:val="24"/>
                <w:szCs w:val="24"/>
              </w:rPr>
              <w:t>）</w:t>
            </w:r>
          </w:p>
        </w:tc>
      </w:tr>
    </w:tbl>
    <w:p w14:paraId="0FCB95F7">
      <w:pPr>
        <w:pStyle w:val="2"/>
      </w:pPr>
    </w:p>
    <w:p w14:paraId="4DAF8B81">
      <w:pPr>
        <w:sectPr>
          <w:footerReference r:id="rId108" w:type="default"/>
          <w:pgSz w:w="11906" w:h="16839"/>
          <w:pgMar w:top="400" w:right="1055" w:bottom="1085" w:left="1054" w:header="0" w:footer="762" w:gutter="0"/>
          <w:cols w:space="720" w:num="1"/>
        </w:sectPr>
      </w:pPr>
    </w:p>
    <w:p w14:paraId="028BE9D1">
      <w:pPr>
        <w:spacing w:before="19"/>
      </w:pPr>
    </w:p>
    <w:p w14:paraId="49393D58">
      <w:pPr>
        <w:spacing w:before="19"/>
      </w:pPr>
    </w:p>
    <w:p w14:paraId="16F2E111">
      <w:pPr>
        <w:spacing w:before="19"/>
      </w:pPr>
    </w:p>
    <w:p w14:paraId="4ED041C6">
      <w:pPr>
        <w:spacing w:before="18"/>
      </w:pPr>
    </w:p>
    <w:p w14:paraId="3C547F0E">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28280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02" w:hRule="atLeast"/>
        </w:trPr>
        <w:tc>
          <w:tcPr>
            <w:tcW w:w="734" w:type="dxa"/>
            <w:tcBorders>
              <w:right w:val="single" w:color="000000" w:sz="2" w:space="0"/>
            </w:tcBorders>
            <w:vAlign w:val="top"/>
          </w:tcPr>
          <w:p w14:paraId="26CB02F3">
            <w:pPr>
              <w:rPr>
                <w:rFonts w:ascii="Arial"/>
                <w:sz w:val="21"/>
              </w:rPr>
            </w:pPr>
          </w:p>
        </w:tc>
        <w:tc>
          <w:tcPr>
            <w:tcW w:w="9047" w:type="dxa"/>
            <w:tcBorders>
              <w:left w:val="single" w:color="000000" w:sz="2" w:space="0"/>
            </w:tcBorders>
            <w:vAlign w:val="top"/>
          </w:tcPr>
          <w:p w14:paraId="22A97DDF">
            <w:pPr>
              <w:spacing w:before="4" w:line="672" w:lineRule="exact"/>
              <w:ind w:firstLine="3421"/>
            </w:pPr>
            <w:r>
              <w:rPr>
                <w:position w:val="-13"/>
              </w:rPr>
              <w:drawing>
                <wp:inline distT="0" distB="0" distL="0" distR="0">
                  <wp:extent cx="1686560" cy="426085"/>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139"/>
                          <a:stretch>
                            <a:fillRect/>
                          </a:stretch>
                        </pic:blipFill>
                        <pic:spPr>
                          <a:xfrm>
                            <a:off x="0" y="0"/>
                            <a:ext cx="1687067" cy="426719"/>
                          </a:xfrm>
                          <a:prstGeom prst="rect">
                            <a:avLst/>
                          </a:prstGeom>
                        </pic:spPr>
                      </pic:pic>
                    </a:graphicData>
                  </a:graphic>
                </wp:inline>
              </w:drawing>
            </w:r>
          </w:p>
          <w:p w14:paraId="0042EA55">
            <w:pPr>
              <w:spacing w:before="186" w:line="191" w:lineRule="auto"/>
              <w:ind w:left="532"/>
              <w:rPr>
                <w:rFonts w:ascii="宋体" w:hAnsi="宋体" w:eastAsia="宋体" w:cs="宋体"/>
                <w:sz w:val="20"/>
                <w:szCs w:val="20"/>
              </w:rPr>
            </w:pPr>
            <w:r>
              <w:rPr>
                <w:rFonts w:ascii="宋体" w:hAnsi="宋体" w:eastAsia="宋体" w:cs="宋体"/>
                <w:spacing w:val="7"/>
                <w:sz w:val="20"/>
                <w:szCs w:val="20"/>
              </w:rPr>
              <w:t>式中：</w:t>
            </w:r>
            <w:r>
              <w:rPr>
                <w:rFonts w:ascii="Times New Roman" w:hAnsi="Times New Roman" w:eastAsia="Times New Roman" w:cs="Times New Roman"/>
                <w:spacing w:val="7"/>
                <w:sz w:val="20"/>
                <w:szCs w:val="20"/>
              </w:rPr>
              <w:t>q</w:t>
            </w:r>
            <w:r>
              <w:rPr>
                <w:rFonts w:ascii="Times New Roman" w:hAnsi="Times New Roman" w:eastAsia="Times New Roman" w:cs="Times New Roman"/>
                <w:spacing w:val="7"/>
                <w:position w:val="-1"/>
                <w:sz w:val="13"/>
                <w:szCs w:val="13"/>
              </w:rPr>
              <w:t>1</w:t>
            </w:r>
            <w:r>
              <w:rPr>
                <w:rFonts w:ascii="Times New Roman" w:hAnsi="Times New Roman" w:eastAsia="Times New Roman" w:cs="Times New Roman"/>
                <w:spacing w:val="-9"/>
                <w:position w:val="-1"/>
                <w:sz w:val="13"/>
                <w:szCs w:val="13"/>
              </w:rPr>
              <w:t xml:space="preserve"> </w:t>
            </w:r>
            <w:r>
              <w:rPr>
                <w:rFonts w:ascii="宋体" w:hAnsi="宋体" w:eastAsia="宋体" w:cs="宋体"/>
                <w:spacing w:val="7"/>
                <w:sz w:val="20"/>
                <w:szCs w:val="20"/>
              </w:rPr>
              <w:t>，</w:t>
            </w:r>
            <w:r>
              <w:rPr>
                <w:rFonts w:ascii="Times New Roman" w:hAnsi="Times New Roman" w:eastAsia="Times New Roman" w:cs="Times New Roman"/>
                <w:spacing w:val="7"/>
                <w:sz w:val="20"/>
                <w:szCs w:val="20"/>
              </w:rPr>
              <w:t>q</w:t>
            </w:r>
            <w:r>
              <w:rPr>
                <w:rFonts w:ascii="Times New Roman" w:hAnsi="Times New Roman" w:eastAsia="Times New Roman" w:cs="Times New Roman"/>
                <w:spacing w:val="7"/>
                <w:position w:val="-1"/>
                <w:sz w:val="13"/>
                <w:szCs w:val="13"/>
              </w:rPr>
              <w:t>2</w:t>
            </w:r>
            <w:r>
              <w:rPr>
                <w:rFonts w:ascii="Times New Roman" w:hAnsi="Times New Roman" w:eastAsia="Times New Roman" w:cs="Times New Roman"/>
                <w:spacing w:val="-10"/>
                <w:position w:val="-1"/>
                <w:sz w:val="13"/>
                <w:szCs w:val="13"/>
              </w:rPr>
              <w:t xml:space="preserve"> </w:t>
            </w:r>
            <w:r>
              <w:rPr>
                <w:rFonts w:ascii="Times New Roman" w:hAnsi="Times New Roman" w:eastAsia="Times New Roman" w:cs="Times New Roman"/>
                <w:spacing w:val="4"/>
                <w:position w:val="-1"/>
                <w:sz w:val="13"/>
                <w:szCs w:val="13"/>
                <w:u w:val="dotted" w:color="auto"/>
              </w:rPr>
              <w:t xml:space="preserve">     </w:t>
            </w:r>
            <w:r>
              <w:rPr>
                <w:rFonts w:ascii="Times New Roman" w:hAnsi="Times New Roman" w:eastAsia="Times New Roman" w:cs="Times New Roman"/>
                <w:spacing w:val="-5"/>
                <w:position w:val="-1"/>
                <w:sz w:val="13"/>
                <w:szCs w:val="13"/>
              </w:rPr>
              <w:t xml:space="preserve"> </w:t>
            </w:r>
            <w:r>
              <w:rPr>
                <w:rFonts w:ascii="宋体" w:hAnsi="宋体" w:eastAsia="宋体" w:cs="宋体"/>
                <w:spacing w:val="7"/>
                <w:sz w:val="20"/>
                <w:szCs w:val="20"/>
              </w:rPr>
              <w:t>，</w:t>
            </w:r>
            <w:r>
              <w:rPr>
                <w:rFonts w:ascii="Times New Roman" w:hAnsi="Times New Roman" w:eastAsia="Times New Roman" w:cs="Times New Roman"/>
                <w:sz w:val="20"/>
                <w:szCs w:val="20"/>
              </w:rPr>
              <w:t>q</w:t>
            </w:r>
            <w:r>
              <w:rPr>
                <w:rFonts w:ascii="Times New Roman" w:hAnsi="Times New Roman" w:eastAsia="Times New Roman" w:cs="Times New Roman"/>
                <w:sz w:val="13"/>
                <w:szCs w:val="13"/>
              </w:rPr>
              <w:t>n</w:t>
            </w:r>
            <w:r>
              <w:rPr>
                <w:rFonts w:ascii="Times New Roman" w:hAnsi="Times New Roman" w:eastAsia="Times New Roman" w:cs="Times New Roman"/>
                <w:spacing w:val="7"/>
                <w:sz w:val="20"/>
                <w:szCs w:val="20"/>
              </w:rPr>
              <w:t>——</w:t>
            </w:r>
            <w:r>
              <w:rPr>
                <w:rFonts w:ascii="宋体" w:hAnsi="宋体" w:eastAsia="宋体" w:cs="宋体"/>
                <w:spacing w:val="7"/>
                <w:sz w:val="20"/>
                <w:szCs w:val="20"/>
              </w:rPr>
              <w:t>每种危险</w:t>
            </w:r>
            <w:r>
              <w:rPr>
                <w:rFonts w:ascii="微软雅黑" w:hAnsi="微软雅黑" w:eastAsia="微软雅黑" w:cs="微软雅黑"/>
                <w:spacing w:val="7"/>
                <w:sz w:val="20"/>
                <w:szCs w:val="20"/>
              </w:rPr>
              <w:t>物</w:t>
            </w:r>
            <w:r>
              <w:rPr>
                <w:rFonts w:ascii="宋体" w:hAnsi="宋体" w:eastAsia="宋体" w:cs="宋体"/>
                <w:spacing w:val="7"/>
                <w:sz w:val="20"/>
                <w:szCs w:val="20"/>
              </w:rPr>
              <w:t>质的最大</w:t>
            </w:r>
            <w:r>
              <w:rPr>
                <w:rFonts w:ascii="宋体" w:hAnsi="宋体" w:eastAsia="宋体" w:cs="宋体"/>
                <w:spacing w:val="6"/>
                <w:sz w:val="20"/>
                <w:szCs w:val="20"/>
              </w:rPr>
              <w:t>存在</w:t>
            </w:r>
            <w:r>
              <w:rPr>
                <w:rFonts w:ascii="微软雅黑" w:hAnsi="微软雅黑" w:eastAsia="微软雅黑" w:cs="微软雅黑"/>
                <w:spacing w:val="6"/>
                <w:sz w:val="20"/>
                <w:szCs w:val="20"/>
              </w:rPr>
              <w:t>总量</w:t>
            </w:r>
            <w:r>
              <w:rPr>
                <w:rFonts w:ascii="微软雅黑" w:hAnsi="微软雅黑" w:eastAsia="微软雅黑" w:cs="微软雅黑"/>
                <w:spacing w:val="-31"/>
                <w:sz w:val="20"/>
                <w:szCs w:val="20"/>
              </w:rPr>
              <w:t xml:space="preserve"> </w:t>
            </w:r>
            <w:r>
              <w:rPr>
                <w:rFonts w:ascii="宋体" w:hAnsi="宋体" w:eastAsia="宋体" w:cs="宋体"/>
                <w:spacing w:val="6"/>
                <w:sz w:val="20"/>
                <w:szCs w:val="20"/>
              </w:rPr>
              <w:t>，</w:t>
            </w:r>
            <w:r>
              <w:rPr>
                <w:rFonts w:ascii="Times New Roman" w:hAnsi="Times New Roman" w:eastAsia="Times New Roman" w:cs="Times New Roman"/>
                <w:spacing w:val="6"/>
                <w:sz w:val="20"/>
                <w:szCs w:val="20"/>
              </w:rPr>
              <w:t>t</w:t>
            </w:r>
            <w:r>
              <w:rPr>
                <w:rFonts w:ascii="宋体" w:hAnsi="宋体" w:eastAsia="宋体" w:cs="宋体"/>
                <w:spacing w:val="6"/>
                <w:sz w:val="20"/>
                <w:szCs w:val="20"/>
              </w:rPr>
              <w:t>。</w:t>
            </w:r>
          </w:p>
          <w:p w14:paraId="7857A248">
            <w:pPr>
              <w:spacing w:before="139" w:line="184" w:lineRule="auto"/>
              <w:ind w:left="1308"/>
              <w:rPr>
                <w:rFonts w:ascii="宋体" w:hAnsi="宋体" w:eastAsia="宋体" w:cs="宋体"/>
                <w:sz w:val="24"/>
                <w:szCs w:val="24"/>
              </w:rPr>
            </w:pPr>
            <w:r>
              <w:rPr>
                <w:rFonts w:ascii="Times New Roman" w:hAnsi="Times New Roman" w:eastAsia="Times New Roman" w:cs="Times New Roman"/>
                <w:spacing w:val="-3"/>
                <w:sz w:val="24"/>
                <w:szCs w:val="24"/>
              </w:rPr>
              <w:t>Q</w:t>
            </w:r>
            <w:r>
              <w:rPr>
                <w:rFonts w:ascii="Times New Roman" w:hAnsi="Times New Roman" w:eastAsia="Times New Roman" w:cs="Times New Roman"/>
                <w:spacing w:val="-3"/>
                <w:position w:val="-1"/>
                <w:sz w:val="15"/>
                <w:szCs w:val="15"/>
              </w:rPr>
              <w:t>1</w:t>
            </w:r>
            <w:r>
              <w:rPr>
                <w:rFonts w:ascii="Times New Roman" w:hAnsi="Times New Roman" w:eastAsia="Times New Roman" w:cs="Times New Roman"/>
                <w:spacing w:val="-5"/>
                <w:position w:val="-1"/>
                <w:sz w:val="15"/>
                <w:szCs w:val="15"/>
              </w:rPr>
              <w:t xml:space="preserve"> </w:t>
            </w:r>
            <w:r>
              <w:rPr>
                <w:rFonts w:ascii="宋体" w:hAnsi="宋体" w:eastAsia="宋体" w:cs="宋体"/>
                <w:spacing w:val="-15"/>
                <w:sz w:val="24"/>
                <w:szCs w:val="24"/>
              </w:rPr>
              <w:t>，</w:t>
            </w:r>
            <w:r>
              <w:rPr>
                <w:rFonts w:ascii="Times New Roman" w:hAnsi="Times New Roman" w:eastAsia="Times New Roman" w:cs="Times New Roman"/>
                <w:spacing w:val="-15"/>
                <w:sz w:val="24"/>
                <w:szCs w:val="24"/>
              </w:rPr>
              <w:t>Q</w:t>
            </w:r>
            <w:r>
              <w:rPr>
                <w:rFonts w:ascii="Times New Roman" w:hAnsi="Times New Roman" w:eastAsia="Times New Roman" w:cs="Times New Roman"/>
                <w:spacing w:val="-2"/>
                <w:position w:val="-1"/>
                <w:sz w:val="15"/>
                <w:szCs w:val="15"/>
              </w:rPr>
              <w:t>2</w:t>
            </w:r>
            <w:r>
              <w:rPr>
                <w:rFonts w:ascii="Times New Roman" w:hAnsi="Times New Roman" w:eastAsia="Times New Roman" w:cs="Times New Roman"/>
                <w:spacing w:val="-9"/>
                <w:position w:val="-1"/>
                <w:sz w:val="15"/>
                <w:szCs w:val="15"/>
              </w:rPr>
              <w:t xml:space="preserve"> </w:t>
            </w:r>
            <w:r>
              <w:rPr>
                <w:rFonts w:ascii="Times New Roman" w:hAnsi="Times New Roman" w:eastAsia="Times New Roman" w:cs="Times New Roman"/>
                <w:spacing w:val="5"/>
                <w:position w:val="-1"/>
                <w:sz w:val="15"/>
                <w:szCs w:val="15"/>
                <w:u w:val="dotted" w:color="auto"/>
              </w:rPr>
              <w:t xml:space="preserve">     </w:t>
            </w:r>
            <w:r>
              <w:rPr>
                <w:rFonts w:ascii="Times New Roman" w:hAnsi="Times New Roman" w:eastAsia="Times New Roman" w:cs="Times New Roman"/>
                <w:spacing w:val="-29"/>
                <w:position w:val="-1"/>
                <w:sz w:val="15"/>
                <w:szCs w:val="15"/>
              </w:rPr>
              <w:t xml:space="preserve"> </w:t>
            </w:r>
            <w:r>
              <w:rPr>
                <w:rFonts w:ascii="Times New Roman" w:hAnsi="Times New Roman" w:eastAsia="Times New Roman" w:cs="Times New Roman"/>
                <w:spacing w:val="-2"/>
                <w:sz w:val="24"/>
                <w:szCs w:val="24"/>
              </w:rPr>
              <w:t>Q</w:t>
            </w:r>
            <w:r>
              <w:rPr>
                <w:rFonts w:ascii="Times New Roman" w:hAnsi="Times New Roman" w:eastAsia="Times New Roman" w:cs="Times New Roman"/>
                <w:spacing w:val="-2"/>
                <w:position w:val="-1"/>
                <w:sz w:val="15"/>
                <w:szCs w:val="15"/>
              </w:rPr>
              <w:t xml:space="preserve">n </w:t>
            </w:r>
            <w:r>
              <w:rPr>
                <w:rFonts w:ascii="Times New Roman" w:hAnsi="Times New Roman" w:eastAsia="Times New Roman" w:cs="Times New Roman"/>
                <w:spacing w:val="-2"/>
                <w:sz w:val="24"/>
                <w:szCs w:val="24"/>
              </w:rPr>
              <w:t>——</w:t>
            </w:r>
            <w:r>
              <w:rPr>
                <w:rFonts w:ascii="宋体" w:hAnsi="宋体" w:eastAsia="宋体" w:cs="宋体"/>
                <w:spacing w:val="-2"/>
                <w:sz w:val="24"/>
                <w:szCs w:val="24"/>
              </w:rPr>
              <w:t>每种危险</w:t>
            </w:r>
            <w:r>
              <w:rPr>
                <w:rFonts w:ascii="微软雅黑" w:hAnsi="微软雅黑" w:eastAsia="微软雅黑" w:cs="微软雅黑"/>
                <w:spacing w:val="-2"/>
                <w:sz w:val="24"/>
                <w:szCs w:val="24"/>
              </w:rPr>
              <w:t>物</w:t>
            </w:r>
            <w:r>
              <w:rPr>
                <w:rFonts w:ascii="宋体" w:hAnsi="宋体" w:eastAsia="宋体" w:cs="宋体"/>
                <w:spacing w:val="-2"/>
                <w:sz w:val="24"/>
                <w:szCs w:val="24"/>
              </w:rPr>
              <w:t>质的临界</w:t>
            </w:r>
            <w:r>
              <w:rPr>
                <w:rFonts w:ascii="微软雅黑" w:hAnsi="微软雅黑" w:eastAsia="微软雅黑" w:cs="微软雅黑"/>
                <w:spacing w:val="-2"/>
                <w:sz w:val="24"/>
                <w:szCs w:val="24"/>
              </w:rPr>
              <w:t>量</w:t>
            </w:r>
            <w:r>
              <w:rPr>
                <w:rFonts w:ascii="微软雅黑" w:hAnsi="微软雅黑" w:eastAsia="微软雅黑" w:cs="微软雅黑"/>
                <w:spacing w:val="-41"/>
                <w:sz w:val="24"/>
                <w:szCs w:val="24"/>
              </w:rPr>
              <w:t xml:space="preserve"> </w:t>
            </w:r>
            <w:r>
              <w:rPr>
                <w:rFonts w:ascii="宋体" w:hAnsi="宋体" w:eastAsia="宋体" w:cs="宋体"/>
                <w:spacing w:val="-2"/>
                <w:sz w:val="24"/>
                <w:szCs w:val="24"/>
              </w:rPr>
              <w:t>，</w:t>
            </w:r>
            <w:r>
              <w:rPr>
                <w:rFonts w:ascii="Times New Roman" w:hAnsi="Times New Roman" w:eastAsia="Times New Roman" w:cs="Times New Roman"/>
                <w:spacing w:val="-2"/>
                <w:sz w:val="24"/>
                <w:szCs w:val="24"/>
              </w:rPr>
              <w:t>t</w:t>
            </w:r>
            <w:r>
              <w:rPr>
                <w:rFonts w:ascii="宋体" w:hAnsi="宋体" w:eastAsia="宋体" w:cs="宋体"/>
                <w:spacing w:val="-2"/>
                <w:sz w:val="24"/>
                <w:szCs w:val="24"/>
              </w:rPr>
              <w:t>。</w:t>
            </w:r>
          </w:p>
          <w:p w14:paraId="6ACFA538">
            <w:pPr>
              <w:spacing w:before="151" w:line="212" w:lineRule="auto"/>
              <w:ind w:left="1324"/>
              <w:rPr>
                <w:rFonts w:ascii="宋体" w:hAnsi="宋体" w:eastAsia="宋体" w:cs="宋体"/>
                <w:sz w:val="24"/>
                <w:szCs w:val="24"/>
              </w:rPr>
            </w:pPr>
            <w:r>
              <w:rPr>
                <w:rFonts w:ascii="宋体" w:hAnsi="宋体" w:eastAsia="宋体" w:cs="宋体"/>
                <w:spacing w:val="-4"/>
                <w:sz w:val="24"/>
                <w:szCs w:val="24"/>
              </w:rPr>
              <w:t>当</w:t>
            </w:r>
            <w:r>
              <w:rPr>
                <w:rFonts w:ascii="宋体" w:hAnsi="宋体" w:eastAsia="宋体" w:cs="宋体"/>
                <w:spacing w:val="-39"/>
                <w:sz w:val="24"/>
                <w:szCs w:val="24"/>
              </w:rPr>
              <w:t xml:space="preserve"> </w:t>
            </w:r>
            <w:r>
              <w:rPr>
                <w:rFonts w:ascii="Times New Roman" w:hAnsi="Times New Roman" w:eastAsia="Times New Roman" w:cs="Times New Roman"/>
                <w:spacing w:val="-4"/>
                <w:sz w:val="24"/>
                <w:szCs w:val="24"/>
              </w:rPr>
              <w:t>Q</w:t>
            </w:r>
            <w:r>
              <w:rPr>
                <w:rFonts w:ascii="宋体" w:hAnsi="宋体" w:eastAsia="宋体" w:cs="宋体"/>
                <w:spacing w:val="-4"/>
                <w:sz w:val="24"/>
                <w:szCs w:val="24"/>
              </w:rPr>
              <w:t>＜</w:t>
            </w:r>
            <w:r>
              <w:rPr>
                <w:rFonts w:ascii="Times New Roman" w:hAnsi="Times New Roman" w:eastAsia="Times New Roman" w:cs="Times New Roman"/>
                <w:spacing w:val="-4"/>
                <w:sz w:val="24"/>
                <w:szCs w:val="24"/>
              </w:rPr>
              <w:t>1</w:t>
            </w:r>
            <w:r>
              <w:rPr>
                <w:rFonts w:ascii="Times New Roman" w:hAnsi="Times New Roman" w:eastAsia="Times New Roman" w:cs="Times New Roman"/>
                <w:spacing w:val="20"/>
                <w:w w:val="101"/>
                <w:sz w:val="24"/>
                <w:szCs w:val="24"/>
              </w:rPr>
              <w:t xml:space="preserve"> </w:t>
            </w:r>
            <w:r>
              <w:rPr>
                <w:rFonts w:ascii="宋体" w:hAnsi="宋体" w:eastAsia="宋体" w:cs="宋体"/>
                <w:spacing w:val="-4"/>
                <w:sz w:val="24"/>
                <w:szCs w:val="24"/>
              </w:rPr>
              <w:t>时，项目环境风险潜势为</w:t>
            </w:r>
            <w:r>
              <w:rPr>
                <w:rFonts w:ascii="Times New Roman" w:hAnsi="Times New Roman" w:eastAsia="Times New Roman" w:cs="Times New Roman"/>
                <w:spacing w:val="-4"/>
                <w:sz w:val="24"/>
                <w:szCs w:val="24"/>
              </w:rPr>
              <w:t>Ⅰ</w:t>
            </w:r>
            <w:r>
              <w:rPr>
                <w:rFonts w:ascii="宋体" w:hAnsi="宋体" w:eastAsia="宋体" w:cs="宋体"/>
                <w:spacing w:val="-4"/>
                <w:sz w:val="24"/>
                <w:szCs w:val="24"/>
              </w:rPr>
              <w:t>。</w:t>
            </w:r>
          </w:p>
          <w:p w14:paraId="743BB48F">
            <w:pPr>
              <w:spacing w:before="192" w:line="356" w:lineRule="auto"/>
              <w:ind w:left="120" w:right="102" w:firstLine="470"/>
              <w:jc w:val="both"/>
              <w:rPr>
                <w:rFonts w:ascii="宋体" w:hAnsi="宋体" w:eastAsia="宋体" w:cs="宋体"/>
                <w:sz w:val="24"/>
                <w:szCs w:val="24"/>
              </w:rPr>
            </w:pPr>
            <w:r>
              <w:rPr>
                <w:rFonts w:ascii="宋体" w:hAnsi="宋体" w:eastAsia="宋体" w:cs="宋体"/>
                <w:spacing w:val="8"/>
                <w:sz w:val="24"/>
                <w:szCs w:val="24"/>
              </w:rPr>
              <w:t>经计算本项</w:t>
            </w:r>
            <w:r>
              <w:rPr>
                <w:rFonts w:ascii="宋体" w:hAnsi="宋体" w:eastAsia="宋体" w:cs="宋体"/>
                <w:spacing w:val="-30"/>
                <w:sz w:val="24"/>
                <w:szCs w:val="24"/>
              </w:rPr>
              <w:t xml:space="preserve"> </w:t>
            </w:r>
            <w:r>
              <w:rPr>
                <w:rFonts w:ascii="宋体" w:hAnsi="宋体" w:eastAsia="宋体" w:cs="宋体"/>
                <w:spacing w:val="8"/>
                <w:sz w:val="24"/>
                <w:szCs w:val="24"/>
              </w:rPr>
              <w:t>目</w:t>
            </w:r>
            <w:r>
              <w:rPr>
                <w:rFonts w:ascii="宋体" w:hAnsi="宋体" w:eastAsia="宋体" w:cs="宋体"/>
                <w:spacing w:val="-30"/>
                <w:sz w:val="24"/>
                <w:szCs w:val="24"/>
              </w:rPr>
              <w:t xml:space="preserve"> </w:t>
            </w:r>
            <w:r>
              <w:rPr>
                <w:rFonts w:ascii="Times New Roman" w:hAnsi="Times New Roman" w:eastAsia="Times New Roman" w:cs="Times New Roman"/>
                <w:spacing w:val="8"/>
                <w:sz w:val="24"/>
                <w:szCs w:val="24"/>
              </w:rPr>
              <w:t>Q</w:t>
            </w:r>
            <w:r>
              <w:rPr>
                <w:rFonts w:ascii="Times New Roman" w:hAnsi="Times New Roman" w:eastAsia="Times New Roman" w:cs="Times New Roman"/>
                <w:spacing w:val="31"/>
                <w:sz w:val="24"/>
                <w:szCs w:val="24"/>
              </w:rPr>
              <w:t xml:space="preserve"> </w:t>
            </w:r>
            <w:r>
              <w:rPr>
                <w:rFonts w:ascii="宋体" w:hAnsi="宋体" w:eastAsia="宋体" w:cs="宋体"/>
                <w:spacing w:val="8"/>
                <w:sz w:val="24"/>
                <w:szCs w:val="24"/>
              </w:rPr>
              <w:t>值为</w:t>
            </w:r>
            <w:r>
              <w:rPr>
                <w:rFonts w:ascii="宋体" w:hAnsi="宋体" w:eastAsia="宋体" w:cs="宋体"/>
                <w:spacing w:val="-28"/>
                <w:sz w:val="24"/>
                <w:szCs w:val="24"/>
              </w:rPr>
              <w:t xml:space="preserve"> </w:t>
            </w:r>
            <w:r>
              <w:rPr>
                <w:rFonts w:ascii="Times New Roman" w:hAnsi="Times New Roman" w:eastAsia="Times New Roman" w:cs="Times New Roman"/>
                <w:spacing w:val="8"/>
                <w:sz w:val="24"/>
                <w:szCs w:val="24"/>
              </w:rPr>
              <w:t>0.000612</w:t>
            </w:r>
            <w:r>
              <w:rPr>
                <w:rFonts w:ascii="Times New Roman" w:hAnsi="Times New Roman" w:eastAsia="Times New Roman" w:cs="Times New Roman"/>
                <w:spacing w:val="-9"/>
                <w:sz w:val="24"/>
                <w:szCs w:val="24"/>
              </w:rPr>
              <w:t xml:space="preserve"> </w:t>
            </w:r>
            <w:r>
              <w:rPr>
                <w:rFonts w:ascii="宋体" w:hAnsi="宋体" w:eastAsia="宋体" w:cs="宋体"/>
                <w:spacing w:val="8"/>
                <w:sz w:val="24"/>
                <w:szCs w:val="24"/>
              </w:rPr>
              <w:t>，根据《建设项</w:t>
            </w:r>
            <w:r>
              <w:rPr>
                <w:rFonts w:ascii="宋体" w:hAnsi="宋体" w:eastAsia="宋体" w:cs="宋体"/>
                <w:spacing w:val="-43"/>
                <w:sz w:val="24"/>
                <w:szCs w:val="24"/>
              </w:rPr>
              <w:t xml:space="preserve"> </w:t>
            </w:r>
            <w:r>
              <w:rPr>
                <w:rFonts w:ascii="宋体" w:hAnsi="宋体" w:eastAsia="宋体" w:cs="宋体"/>
                <w:spacing w:val="8"/>
                <w:sz w:val="24"/>
                <w:szCs w:val="24"/>
              </w:rPr>
              <w:t>目环境风险评价技术导则》</w:t>
            </w:r>
            <w:r>
              <w:rPr>
                <w:rFonts w:ascii="宋体" w:hAnsi="宋体" w:eastAsia="宋体" w:cs="宋体"/>
                <w:sz w:val="24"/>
                <w:szCs w:val="24"/>
              </w:rPr>
              <w:t xml:space="preserve"> </w:t>
            </w:r>
            <w:r>
              <w:rPr>
                <w:rFonts w:ascii="宋体" w:hAnsi="宋体" w:eastAsia="宋体" w:cs="宋体"/>
                <w:spacing w:val="-1"/>
                <w:sz w:val="24"/>
                <w:szCs w:val="24"/>
              </w:rPr>
              <w:t>（</w:t>
            </w:r>
            <w:r>
              <w:rPr>
                <w:rFonts w:ascii="Times New Roman" w:hAnsi="Times New Roman" w:eastAsia="Times New Roman" w:cs="Times New Roman"/>
                <w:spacing w:val="-1"/>
                <w:sz w:val="24"/>
                <w:szCs w:val="24"/>
              </w:rPr>
              <w:t>HJ/T169-2018</w:t>
            </w:r>
            <w:r>
              <w:rPr>
                <w:rFonts w:ascii="宋体" w:hAnsi="宋体" w:eastAsia="宋体" w:cs="宋体"/>
                <w:spacing w:val="-1"/>
                <w:sz w:val="24"/>
                <w:szCs w:val="24"/>
              </w:rPr>
              <w:t>）中评价工作级别的划分原则，本项目危险物质数量与临界量比值</w:t>
            </w:r>
            <w:r>
              <w:rPr>
                <w:rFonts w:ascii="宋体" w:hAnsi="宋体" w:eastAsia="宋体" w:cs="宋体"/>
                <w:spacing w:val="-38"/>
                <w:sz w:val="24"/>
                <w:szCs w:val="24"/>
              </w:rPr>
              <w:t xml:space="preserve"> </w:t>
            </w:r>
            <w:r>
              <w:rPr>
                <w:rFonts w:ascii="Times New Roman" w:hAnsi="Times New Roman" w:eastAsia="Times New Roman" w:cs="Times New Roman"/>
                <w:spacing w:val="-1"/>
                <w:sz w:val="24"/>
                <w:szCs w:val="24"/>
              </w:rPr>
              <w:t>Q</w:t>
            </w:r>
            <w:r>
              <w:rPr>
                <w:rFonts w:ascii="Times New Roman" w:hAnsi="Times New Roman" w:eastAsia="Times New Roman" w:cs="Times New Roman"/>
                <w:sz w:val="24"/>
                <w:szCs w:val="24"/>
              </w:rPr>
              <w:t xml:space="preserve"> </w:t>
            </w:r>
            <w:r>
              <w:rPr>
                <w:rFonts w:ascii="宋体" w:hAnsi="宋体" w:eastAsia="宋体" w:cs="宋体"/>
                <w:spacing w:val="8"/>
                <w:sz w:val="24"/>
                <w:szCs w:val="24"/>
              </w:rPr>
              <w:t>&lt;</w:t>
            </w:r>
            <w:r>
              <w:rPr>
                <w:rFonts w:ascii="Times New Roman" w:hAnsi="Times New Roman" w:eastAsia="Times New Roman" w:cs="Times New Roman"/>
                <w:spacing w:val="8"/>
                <w:sz w:val="24"/>
                <w:szCs w:val="24"/>
              </w:rPr>
              <w:t>1</w:t>
            </w:r>
            <w:r>
              <w:rPr>
                <w:rFonts w:ascii="Times New Roman" w:hAnsi="Times New Roman" w:eastAsia="Times New Roman" w:cs="Times New Roman"/>
                <w:spacing w:val="-26"/>
                <w:sz w:val="24"/>
                <w:szCs w:val="24"/>
              </w:rPr>
              <w:t xml:space="preserve"> </w:t>
            </w:r>
            <w:r>
              <w:rPr>
                <w:rFonts w:ascii="宋体" w:hAnsi="宋体" w:eastAsia="宋体" w:cs="宋体"/>
                <w:spacing w:val="8"/>
                <w:sz w:val="24"/>
                <w:szCs w:val="24"/>
              </w:rPr>
              <w:t>，不设专项。</w:t>
            </w:r>
          </w:p>
          <w:p w14:paraId="5F70E2BD">
            <w:pPr>
              <w:spacing w:before="11" w:line="219" w:lineRule="auto"/>
              <w:ind w:left="588"/>
              <w:rPr>
                <w:rFonts w:ascii="宋体" w:hAnsi="宋体" w:eastAsia="宋体" w:cs="宋体"/>
                <w:sz w:val="24"/>
                <w:szCs w:val="24"/>
              </w:rPr>
            </w:pPr>
            <w:r>
              <w:rPr>
                <w:rFonts w:ascii="Times New Roman" w:hAnsi="Times New Roman" w:eastAsia="Times New Roman" w:cs="Times New Roman"/>
                <w:b/>
                <w:bCs/>
                <w:spacing w:val="-5"/>
                <w:sz w:val="24"/>
                <w:szCs w:val="24"/>
              </w:rPr>
              <w:t>5</w:t>
            </w:r>
            <w:r>
              <w:rPr>
                <w:rFonts w:ascii="Times New Roman" w:hAnsi="Times New Roman" w:eastAsia="Times New Roman" w:cs="Times New Roman"/>
                <w:b/>
                <w:bCs/>
                <w:spacing w:val="-23"/>
                <w:sz w:val="24"/>
                <w:szCs w:val="24"/>
              </w:rPr>
              <w:t xml:space="preserve"> </w:t>
            </w:r>
            <w:r>
              <w:rPr>
                <w:rFonts w:ascii="宋体" w:hAnsi="宋体" w:eastAsia="宋体" w:cs="宋体"/>
                <w:b/>
                <w:bCs/>
                <w:spacing w:val="-5"/>
                <w:sz w:val="24"/>
                <w:szCs w:val="24"/>
              </w:rPr>
              <w:t>、风险源分布情况及影响途径</w:t>
            </w:r>
          </w:p>
          <w:p w14:paraId="47C14769">
            <w:pPr>
              <w:spacing w:before="179" w:line="284" w:lineRule="auto"/>
              <w:ind w:left="108" w:right="102" w:firstLine="481"/>
              <w:jc w:val="both"/>
              <w:rPr>
                <w:rFonts w:ascii="宋体" w:hAnsi="宋体" w:eastAsia="宋体" w:cs="宋体"/>
                <w:sz w:val="24"/>
                <w:szCs w:val="24"/>
              </w:rPr>
            </w:pPr>
            <w:r>
              <w:rPr>
                <w:rFonts w:ascii="宋体" w:hAnsi="宋体" w:eastAsia="宋体" w:cs="宋体"/>
                <w:spacing w:val="-2"/>
                <w:sz w:val="24"/>
                <w:szCs w:val="24"/>
              </w:rPr>
              <w:t>本项目可能影响环境的途径主要为油漆、</w:t>
            </w:r>
            <w:r>
              <w:rPr>
                <w:rFonts w:ascii="微软雅黑" w:hAnsi="微软雅黑" w:eastAsia="微软雅黑" w:cs="微软雅黑"/>
                <w:spacing w:val="-2"/>
                <w:sz w:val="24"/>
                <w:szCs w:val="24"/>
              </w:rPr>
              <w:t>废</w:t>
            </w:r>
            <w:r>
              <w:rPr>
                <w:rFonts w:ascii="宋体" w:hAnsi="宋体" w:eastAsia="宋体" w:cs="宋体"/>
                <w:spacing w:val="-2"/>
                <w:sz w:val="24"/>
                <w:szCs w:val="24"/>
              </w:rPr>
              <w:t>润滑油泄漏遇明火发生火灾事故，火</w:t>
            </w:r>
            <w:r>
              <w:rPr>
                <w:rFonts w:ascii="宋体" w:hAnsi="宋体" w:eastAsia="宋体" w:cs="宋体"/>
                <w:spacing w:val="-1"/>
                <w:sz w:val="24"/>
                <w:szCs w:val="24"/>
              </w:rPr>
              <w:t>灾燃烧产生的</w:t>
            </w:r>
            <w:r>
              <w:rPr>
                <w:rFonts w:ascii="微软雅黑" w:hAnsi="微软雅黑" w:eastAsia="微软雅黑" w:cs="微软雅黑"/>
                <w:spacing w:val="-1"/>
                <w:sz w:val="24"/>
                <w:szCs w:val="24"/>
              </w:rPr>
              <w:t>废气</w:t>
            </w:r>
            <w:r>
              <w:rPr>
                <w:rFonts w:ascii="宋体" w:hAnsi="宋体" w:eastAsia="宋体" w:cs="宋体"/>
                <w:spacing w:val="-1"/>
                <w:sz w:val="24"/>
                <w:szCs w:val="24"/>
              </w:rPr>
              <w:t>污染大</w:t>
            </w:r>
            <w:r>
              <w:rPr>
                <w:rFonts w:ascii="微软雅黑" w:hAnsi="微软雅黑" w:eastAsia="微软雅黑" w:cs="微软雅黑"/>
                <w:spacing w:val="-1"/>
                <w:sz w:val="24"/>
                <w:szCs w:val="24"/>
              </w:rPr>
              <w:t>气</w:t>
            </w:r>
            <w:r>
              <w:rPr>
                <w:rFonts w:ascii="宋体" w:hAnsi="宋体" w:eastAsia="宋体" w:cs="宋体"/>
                <w:spacing w:val="-1"/>
                <w:sz w:val="24"/>
                <w:szCs w:val="24"/>
              </w:rPr>
              <w:t>环境；油漆、</w:t>
            </w:r>
            <w:r>
              <w:rPr>
                <w:rFonts w:ascii="微软雅黑" w:hAnsi="微软雅黑" w:eastAsia="微软雅黑" w:cs="微软雅黑"/>
                <w:spacing w:val="-1"/>
                <w:sz w:val="24"/>
                <w:szCs w:val="24"/>
              </w:rPr>
              <w:t>废</w:t>
            </w:r>
            <w:r>
              <w:rPr>
                <w:rFonts w:ascii="宋体" w:hAnsi="宋体" w:eastAsia="宋体" w:cs="宋体"/>
                <w:spacing w:val="-2"/>
                <w:sz w:val="24"/>
                <w:szCs w:val="24"/>
              </w:rPr>
              <w:t>润滑油泄漏遇明火发生火灾事故时需使用</w:t>
            </w:r>
            <w:r>
              <w:rPr>
                <w:rFonts w:ascii="宋体" w:hAnsi="宋体" w:eastAsia="宋体" w:cs="宋体"/>
                <w:spacing w:val="-1"/>
                <w:sz w:val="24"/>
                <w:szCs w:val="24"/>
              </w:rPr>
              <w:t>大</w:t>
            </w:r>
            <w:r>
              <w:rPr>
                <w:rFonts w:ascii="微软雅黑" w:hAnsi="微软雅黑" w:eastAsia="微软雅黑" w:cs="微软雅黑"/>
                <w:spacing w:val="-1"/>
                <w:sz w:val="24"/>
                <w:szCs w:val="24"/>
              </w:rPr>
              <w:t>量</w:t>
            </w:r>
            <w:r>
              <w:rPr>
                <w:rFonts w:ascii="宋体" w:hAnsi="宋体" w:eastAsia="宋体" w:cs="宋体"/>
                <w:spacing w:val="-1"/>
                <w:sz w:val="24"/>
                <w:szCs w:val="24"/>
              </w:rPr>
              <w:t>水来灭火，此过程会产生大</w:t>
            </w:r>
            <w:r>
              <w:rPr>
                <w:rFonts w:ascii="微软雅黑" w:hAnsi="微软雅黑" w:eastAsia="微软雅黑" w:cs="微软雅黑"/>
                <w:spacing w:val="-1"/>
                <w:sz w:val="24"/>
                <w:szCs w:val="24"/>
              </w:rPr>
              <w:t>量</w:t>
            </w:r>
            <w:r>
              <w:rPr>
                <w:rFonts w:ascii="宋体" w:hAnsi="宋体" w:eastAsia="宋体" w:cs="宋体"/>
                <w:spacing w:val="-1"/>
                <w:sz w:val="24"/>
                <w:szCs w:val="24"/>
              </w:rPr>
              <w:t>消防</w:t>
            </w:r>
            <w:r>
              <w:rPr>
                <w:rFonts w:ascii="微软雅黑" w:hAnsi="微软雅黑" w:eastAsia="微软雅黑" w:cs="微软雅黑"/>
                <w:spacing w:val="-1"/>
                <w:sz w:val="24"/>
                <w:szCs w:val="24"/>
              </w:rPr>
              <w:t>废</w:t>
            </w:r>
            <w:r>
              <w:rPr>
                <w:rFonts w:ascii="宋体" w:hAnsi="宋体" w:eastAsia="宋体" w:cs="宋体"/>
                <w:spacing w:val="-1"/>
                <w:sz w:val="24"/>
                <w:szCs w:val="24"/>
              </w:rPr>
              <w:t>水</w:t>
            </w:r>
            <w:r>
              <w:rPr>
                <w:rFonts w:ascii="宋体" w:hAnsi="宋体" w:eastAsia="宋体" w:cs="宋体"/>
                <w:spacing w:val="-2"/>
                <w:sz w:val="24"/>
                <w:szCs w:val="24"/>
              </w:rPr>
              <w:t>，消防</w:t>
            </w:r>
            <w:r>
              <w:rPr>
                <w:rFonts w:ascii="微软雅黑" w:hAnsi="微软雅黑" w:eastAsia="微软雅黑" w:cs="微软雅黑"/>
                <w:spacing w:val="-2"/>
                <w:sz w:val="24"/>
                <w:szCs w:val="24"/>
              </w:rPr>
              <w:t>废</w:t>
            </w:r>
            <w:r>
              <w:rPr>
                <w:rFonts w:ascii="宋体" w:hAnsi="宋体" w:eastAsia="宋体" w:cs="宋体"/>
                <w:spacing w:val="-2"/>
                <w:sz w:val="24"/>
                <w:szCs w:val="24"/>
              </w:rPr>
              <w:t>水收集不当会污染地表水和地下水环境，油漆以及</w:t>
            </w:r>
            <w:r>
              <w:rPr>
                <w:rFonts w:ascii="微软雅黑" w:hAnsi="微软雅黑" w:eastAsia="微软雅黑" w:cs="微软雅黑"/>
                <w:spacing w:val="-2"/>
                <w:sz w:val="24"/>
                <w:szCs w:val="24"/>
              </w:rPr>
              <w:t>废</w:t>
            </w:r>
            <w:r>
              <w:rPr>
                <w:rFonts w:ascii="宋体" w:hAnsi="宋体" w:eastAsia="宋体" w:cs="宋体"/>
                <w:spacing w:val="-2"/>
                <w:sz w:val="24"/>
                <w:szCs w:val="24"/>
              </w:rPr>
              <w:t>润滑油发生泄漏处理不及时也会污染地表水和地下水环境。</w:t>
            </w:r>
            <w:r>
              <w:rPr>
                <w:rFonts w:ascii="微软雅黑" w:hAnsi="微软雅黑" w:eastAsia="微软雅黑" w:cs="微软雅黑"/>
                <w:spacing w:val="-2"/>
                <w:sz w:val="24"/>
                <w:szCs w:val="24"/>
              </w:rPr>
              <w:t>非甲</w:t>
            </w:r>
            <w:r>
              <w:rPr>
                <w:rFonts w:ascii="微软雅黑" w:hAnsi="微软雅黑" w:eastAsia="微软雅黑" w:cs="微软雅黑"/>
                <w:spacing w:val="5"/>
                <w:sz w:val="24"/>
                <w:szCs w:val="24"/>
              </w:rPr>
              <w:t>烷总烃废气</w:t>
            </w:r>
            <w:r>
              <w:rPr>
                <w:rFonts w:ascii="宋体" w:hAnsi="宋体" w:eastAsia="宋体" w:cs="宋体"/>
                <w:spacing w:val="5"/>
                <w:sz w:val="24"/>
                <w:szCs w:val="24"/>
              </w:rPr>
              <w:t>发生</w:t>
            </w:r>
            <w:r>
              <w:rPr>
                <w:rFonts w:ascii="微软雅黑" w:hAnsi="微软雅黑" w:eastAsia="微软雅黑" w:cs="微软雅黑"/>
                <w:spacing w:val="5"/>
                <w:sz w:val="24"/>
                <w:szCs w:val="24"/>
              </w:rPr>
              <w:t>非</w:t>
            </w:r>
            <w:r>
              <w:rPr>
                <w:rFonts w:ascii="宋体" w:hAnsi="宋体" w:eastAsia="宋体" w:cs="宋体"/>
                <w:spacing w:val="5"/>
                <w:sz w:val="24"/>
                <w:szCs w:val="24"/>
              </w:rPr>
              <w:t>正常排放时产生的大</w:t>
            </w:r>
            <w:r>
              <w:rPr>
                <w:rFonts w:ascii="微软雅黑" w:hAnsi="微软雅黑" w:eastAsia="微软雅黑" w:cs="微软雅黑"/>
                <w:spacing w:val="5"/>
                <w:sz w:val="24"/>
                <w:szCs w:val="24"/>
              </w:rPr>
              <w:t>气</w:t>
            </w:r>
            <w:r>
              <w:rPr>
                <w:rFonts w:ascii="宋体" w:hAnsi="宋体" w:eastAsia="宋体" w:cs="宋体"/>
                <w:spacing w:val="5"/>
                <w:sz w:val="24"/>
                <w:szCs w:val="24"/>
              </w:rPr>
              <w:t>污染及危险</w:t>
            </w:r>
            <w:r>
              <w:rPr>
                <w:rFonts w:ascii="微软雅黑" w:hAnsi="微软雅黑" w:eastAsia="微软雅黑" w:cs="微软雅黑"/>
                <w:spacing w:val="5"/>
                <w:sz w:val="24"/>
                <w:szCs w:val="24"/>
              </w:rPr>
              <w:t>废物</w:t>
            </w:r>
            <w:r>
              <w:rPr>
                <w:rFonts w:ascii="宋体" w:hAnsi="宋体" w:eastAsia="宋体" w:cs="宋体"/>
                <w:spacing w:val="5"/>
                <w:sz w:val="24"/>
                <w:szCs w:val="24"/>
              </w:rPr>
              <w:t>泄漏对周边地表水和地下</w:t>
            </w:r>
            <w:r>
              <w:rPr>
                <w:rFonts w:ascii="宋体" w:hAnsi="宋体" w:eastAsia="宋体" w:cs="宋体"/>
                <w:spacing w:val="-2"/>
                <w:sz w:val="24"/>
                <w:szCs w:val="24"/>
              </w:rPr>
              <w:t>水环境的污染。</w:t>
            </w:r>
          </w:p>
          <w:p w14:paraId="64136BDF">
            <w:pPr>
              <w:spacing w:before="1" w:line="185" w:lineRule="auto"/>
              <w:ind w:left="586"/>
              <w:rPr>
                <w:rFonts w:ascii="宋体" w:hAnsi="宋体" w:eastAsia="宋体" w:cs="宋体"/>
                <w:sz w:val="24"/>
                <w:szCs w:val="24"/>
              </w:rPr>
            </w:pPr>
            <w:r>
              <w:rPr>
                <w:rFonts w:ascii="宋体" w:hAnsi="宋体" w:eastAsia="宋体" w:cs="宋体"/>
                <w:b/>
                <w:bCs/>
                <w:spacing w:val="-3"/>
                <w:sz w:val="24"/>
                <w:szCs w:val="24"/>
              </w:rPr>
              <w:t>①大</w:t>
            </w:r>
            <w:r>
              <w:rPr>
                <w:rFonts w:ascii="微软雅黑" w:hAnsi="微软雅黑" w:eastAsia="微软雅黑" w:cs="微软雅黑"/>
                <w:b/>
                <w:bCs/>
                <w:spacing w:val="-3"/>
                <w:sz w:val="24"/>
                <w:szCs w:val="24"/>
              </w:rPr>
              <w:t>气</w:t>
            </w:r>
            <w:r>
              <w:rPr>
                <w:rFonts w:ascii="宋体" w:hAnsi="宋体" w:eastAsia="宋体" w:cs="宋体"/>
                <w:b/>
                <w:bCs/>
                <w:spacing w:val="-3"/>
                <w:sz w:val="24"/>
                <w:szCs w:val="24"/>
              </w:rPr>
              <w:t>环境风险分析</w:t>
            </w:r>
          </w:p>
          <w:p w14:paraId="50047209">
            <w:pPr>
              <w:spacing w:before="149" w:line="272" w:lineRule="auto"/>
              <w:ind w:left="107" w:right="102" w:firstLine="485"/>
              <w:jc w:val="both"/>
              <w:rPr>
                <w:rFonts w:ascii="宋体" w:hAnsi="宋体" w:eastAsia="宋体" w:cs="宋体"/>
                <w:sz w:val="24"/>
                <w:szCs w:val="24"/>
              </w:rPr>
            </w:pPr>
            <w:r>
              <w:rPr>
                <w:rFonts w:ascii="宋体" w:hAnsi="宋体" w:eastAsia="宋体" w:cs="宋体"/>
                <w:spacing w:val="-2"/>
                <w:sz w:val="24"/>
                <w:szCs w:val="24"/>
              </w:rPr>
              <w:t>油漆、</w:t>
            </w:r>
            <w:r>
              <w:rPr>
                <w:rFonts w:ascii="微软雅黑" w:hAnsi="微软雅黑" w:eastAsia="微软雅黑" w:cs="微软雅黑"/>
                <w:spacing w:val="-2"/>
                <w:sz w:val="24"/>
                <w:szCs w:val="24"/>
              </w:rPr>
              <w:t>废</w:t>
            </w:r>
            <w:r>
              <w:rPr>
                <w:rFonts w:ascii="宋体" w:hAnsi="宋体" w:eastAsia="宋体" w:cs="宋体"/>
                <w:spacing w:val="-2"/>
                <w:sz w:val="24"/>
                <w:szCs w:val="24"/>
              </w:rPr>
              <w:t>润滑油泄漏遇明火发生火灾事故，产生</w:t>
            </w:r>
            <w:r>
              <w:rPr>
                <w:rFonts w:ascii="Times New Roman" w:hAnsi="Times New Roman" w:eastAsia="Times New Roman" w:cs="Times New Roman"/>
                <w:spacing w:val="-2"/>
                <w:sz w:val="24"/>
                <w:szCs w:val="24"/>
              </w:rPr>
              <w:t>CO</w:t>
            </w:r>
            <w:r>
              <w:rPr>
                <w:rFonts w:ascii="宋体" w:hAnsi="宋体" w:eastAsia="宋体" w:cs="宋体"/>
                <w:spacing w:val="-2"/>
                <w:sz w:val="24"/>
                <w:szCs w:val="24"/>
              </w:rPr>
              <w:t>和</w:t>
            </w:r>
            <w:r>
              <w:rPr>
                <w:rFonts w:ascii="Times New Roman" w:hAnsi="Times New Roman" w:eastAsia="Times New Roman" w:cs="Times New Roman"/>
                <w:spacing w:val="-2"/>
                <w:sz w:val="24"/>
                <w:szCs w:val="24"/>
              </w:rPr>
              <w:t>CO</w:t>
            </w:r>
            <w:r>
              <w:rPr>
                <w:rFonts w:ascii="Times New Roman" w:hAnsi="Times New Roman" w:eastAsia="Times New Roman" w:cs="Times New Roman"/>
                <w:spacing w:val="-2"/>
                <w:position w:val="-1"/>
                <w:sz w:val="15"/>
                <w:szCs w:val="15"/>
              </w:rPr>
              <w:t>2</w:t>
            </w:r>
            <w:r>
              <w:rPr>
                <w:rFonts w:ascii="宋体" w:hAnsi="宋体" w:eastAsia="宋体" w:cs="宋体"/>
                <w:spacing w:val="-2"/>
                <w:sz w:val="24"/>
                <w:szCs w:val="24"/>
              </w:rPr>
              <w:t>等污</w:t>
            </w:r>
            <w:r>
              <w:rPr>
                <w:rFonts w:ascii="宋体" w:hAnsi="宋体" w:eastAsia="宋体" w:cs="宋体"/>
                <w:spacing w:val="-3"/>
                <w:sz w:val="24"/>
                <w:szCs w:val="24"/>
              </w:rPr>
              <w:t>染</w:t>
            </w:r>
            <w:r>
              <w:rPr>
                <w:rFonts w:ascii="微软雅黑" w:hAnsi="微软雅黑" w:eastAsia="微软雅黑" w:cs="微软雅黑"/>
                <w:spacing w:val="-3"/>
                <w:sz w:val="24"/>
                <w:szCs w:val="24"/>
              </w:rPr>
              <w:t>物</w:t>
            </w:r>
            <w:r>
              <w:rPr>
                <w:rFonts w:ascii="宋体" w:hAnsi="宋体" w:eastAsia="宋体" w:cs="宋体"/>
                <w:spacing w:val="-3"/>
                <w:sz w:val="24"/>
                <w:szCs w:val="24"/>
              </w:rPr>
              <w:t>，排放到大</w:t>
            </w:r>
            <w:r>
              <w:rPr>
                <w:rFonts w:ascii="微软雅黑" w:hAnsi="微软雅黑" w:eastAsia="微软雅黑" w:cs="微软雅黑"/>
                <w:spacing w:val="-3"/>
                <w:sz w:val="24"/>
                <w:szCs w:val="24"/>
              </w:rPr>
              <w:t>气</w:t>
            </w:r>
            <w:r>
              <w:rPr>
                <w:rFonts w:ascii="宋体" w:hAnsi="宋体" w:eastAsia="宋体" w:cs="宋体"/>
                <w:spacing w:val="-1"/>
                <w:sz w:val="24"/>
                <w:szCs w:val="24"/>
              </w:rPr>
              <w:t>环境中会污染大</w:t>
            </w:r>
            <w:r>
              <w:rPr>
                <w:rFonts w:ascii="微软雅黑" w:hAnsi="微软雅黑" w:eastAsia="微软雅黑" w:cs="微软雅黑"/>
                <w:spacing w:val="-1"/>
                <w:sz w:val="24"/>
                <w:szCs w:val="24"/>
              </w:rPr>
              <w:t>气</w:t>
            </w:r>
            <w:r>
              <w:rPr>
                <w:rFonts w:ascii="宋体" w:hAnsi="宋体" w:eastAsia="宋体" w:cs="宋体"/>
                <w:spacing w:val="-1"/>
                <w:sz w:val="24"/>
                <w:szCs w:val="24"/>
              </w:rPr>
              <w:t>环境，油漆、</w:t>
            </w:r>
            <w:r>
              <w:rPr>
                <w:rFonts w:ascii="微软雅黑" w:hAnsi="微软雅黑" w:eastAsia="微软雅黑" w:cs="微软雅黑"/>
                <w:spacing w:val="-1"/>
                <w:sz w:val="24"/>
                <w:szCs w:val="24"/>
              </w:rPr>
              <w:t>废</w:t>
            </w:r>
            <w:r>
              <w:rPr>
                <w:rFonts w:ascii="宋体" w:hAnsi="宋体" w:eastAsia="宋体" w:cs="宋体"/>
                <w:spacing w:val="-1"/>
                <w:sz w:val="24"/>
                <w:szCs w:val="24"/>
              </w:rPr>
              <w:t>润滑油</w:t>
            </w:r>
            <w:r>
              <w:rPr>
                <w:rFonts w:ascii="微软雅黑" w:hAnsi="微软雅黑" w:eastAsia="微软雅黑" w:cs="微软雅黑"/>
                <w:spacing w:val="-1"/>
                <w:sz w:val="24"/>
                <w:szCs w:val="24"/>
              </w:rPr>
              <w:t>量</w:t>
            </w:r>
            <w:r>
              <w:rPr>
                <w:rFonts w:ascii="微软雅黑" w:hAnsi="微软雅黑" w:eastAsia="微软雅黑" w:cs="微软雅黑"/>
                <w:spacing w:val="-2"/>
                <w:sz w:val="24"/>
                <w:szCs w:val="24"/>
              </w:rPr>
              <w:t>量</w:t>
            </w:r>
            <w:r>
              <w:rPr>
                <w:rFonts w:ascii="宋体" w:hAnsi="宋体" w:eastAsia="宋体" w:cs="宋体"/>
                <w:spacing w:val="-2"/>
                <w:sz w:val="24"/>
                <w:szCs w:val="24"/>
              </w:rPr>
              <w:t>较小，发生火灾爆炸事故的概率较小，</w:t>
            </w:r>
            <w:r>
              <w:rPr>
                <w:rFonts w:ascii="宋体" w:hAnsi="宋体" w:eastAsia="宋体" w:cs="宋体"/>
                <w:spacing w:val="-1"/>
                <w:sz w:val="24"/>
                <w:szCs w:val="24"/>
              </w:rPr>
              <w:t>在发生火灾时能够及时采取措施在最短时间</w:t>
            </w:r>
            <w:r>
              <w:rPr>
                <w:rFonts w:ascii="宋体" w:hAnsi="宋体" w:eastAsia="宋体" w:cs="宋体"/>
                <w:spacing w:val="-2"/>
                <w:sz w:val="24"/>
                <w:szCs w:val="24"/>
              </w:rPr>
              <w:t>内将火扑灭，</w:t>
            </w:r>
            <w:r>
              <w:rPr>
                <w:rFonts w:ascii="微软雅黑" w:hAnsi="微软雅黑" w:eastAsia="微软雅黑" w:cs="微软雅黑"/>
                <w:spacing w:val="-2"/>
                <w:sz w:val="24"/>
                <w:szCs w:val="24"/>
              </w:rPr>
              <w:t>废气</w:t>
            </w:r>
            <w:r>
              <w:rPr>
                <w:rFonts w:ascii="宋体" w:hAnsi="宋体" w:eastAsia="宋体" w:cs="宋体"/>
                <w:spacing w:val="-2"/>
                <w:sz w:val="24"/>
                <w:szCs w:val="24"/>
              </w:rPr>
              <w:t>产生</w:t>
            </w:r>
            <w:r>
              <w:rPr>
                <w:rFonts w:ascii="微软雅黑" w:hAnsi="微软雅黑" w:eastAsia="微软雅黑" w:cs="微软雅黑"/>
                <w:spacing w:val="-2"/>
                <w:sz w:val="24"/>
                <w:szCs w:val="24"/>
              </w:rPr>
              <w:t>量</w:t>
            </w:r>
            <w:r>
              <w:rPr>
                <w:rFonts w:ascii="宋体" w:hAnsi="宋体" w:eastAsia="宋体" w:cs="宋体"/>
                <w:spacing w:val="-2"/>
                <w:sz w:val="24"/>
                <w:szCs w:val="24"/>
              </w:rPr>
              <w:t>很小，在扑灭后</w:t>
            </w:r>
            <w:r>
              <w:rPr>
                <w:rFonts w:ascii="宋体" w:hAnsi="宋体" w:eastAsia="宋体" w:cs="宋体"/>
                <w:spacing w:val="-1"/>
                <w:sz w:val="24"/>
                <w:szCs w:val="24"/>
              </w:rPr>
              <w:t>经空</w:t>
            </w:r>
            <w:r>
              <w:rPr>
                <w:rFonts w:ascii="微软雅黑" w:hAnsi="微软雅黑" w:eastAsia="微软雅黑" w:cs="微软雅黑"/>
                <w:spacing w:val="-1"/>
                <w:sz w:val="24"/>
                <w:szCs w:val="24"/>
              </w:rPr>
              <w:t>气</w:t>
            </w:r>
            <w:r>
              <w:rPr>
                <w:rFonts w:ascii="宋体" w:hAnsi="宋体" w:eastAsia="宋体" w:cs="宋体"/>
                <w:spacing w:val="-1"/>
                <w:sz w:val="24"/>
                <w:szCs w:val="24"/>
              </w:rPr>
              <w:t>扩散稀释后对大</w:t>
            </w:r>
            <w:r>
              <w:rPr>
                <w:rFonts w:ascii="微软雅黑" w:hAnsi="微软雅黑" w:eastAsia="微软雅黑" w:cs="微软雅黑"/>
                <w:spacing w:val="-1"/>
                <w:sz w:val="24"/>
                <w:szCs w:val="24"/>
              </w:rPr>
              <w:t>气</w:t>
            </w:r>
            <w:r>
              <w:rPr>
                <w:rFonts w:ascii="宋体" w:hAnsi="宋体" w:eastAsia="宋体" w:cs="宋体"/>
                <w:spacing w:val="-1"/>
                <w:sz w:val="24"/>
                <w:szCs w:val="24"/>
              </w:rPr>
              <w:t>环境影响较小。项</w:t>
            </w:r>
            <w:r>
              <w:rPr>
                <w:rFonts w:ascii="宋体" w:hAnsi="宋体" w:eastAsia="宋体" w:cs="宋体"/>
                <w:spacing w:val="-2"/>
                <w:sz w:val="24"/>
                <w:szCs w:val="24"/>
              </w:rPr>
              <w:t>目</w:t>
            </w:r>
            <w:r>
              <w:rPr>
                <w:rFonts w:ascii="微软雅黑" w:hAnsi="微软雅黑" w:eastAsia="微软雅黑" w:cs="微软雅黑"/>
                <w:spacing w:val="-2"/>
                <w:sz w:val="24"/>
                <w:szCs w:val="24"/>
              </w:rPr>
              <w:t>非甲烷总烃废气</w:t>
            </w:r>
            <w:r>
              <w:rPr>
                <w:rFonts w:ascii="宋体" w:hAnsi="宋体" w:eastAsia="宋体" w:cs="宋体"/>
                <w:spacing w:val="-2"/>
                <w:sz w:val="24"/>
                <w:szCs w:val="24"/>
              </w:rPr>
              <w:t>收集处理后达标排放，</w:t>
            </w:r>
            <w:r>
              <w:rPr>
                <w:rFonts w:ascii="宋体" w:hAnsi="宋体" w:eastAsia="宋体" w:cs="宋体"/>
                <w:spacing w:val="-1"/>
                <w:sz w:val="24"/>
                <w:szCs w:val="24"/>
              </w:rPr>
              <w:t>当发生</w:t>
            </w:r>
            <w:r>
              <w:rPr>
                <w:rFonts w:ascii="微软雅黑" w:hAnsi="微软雅黑" w:eastAsia="微软雅黑" w:cs="微软雅黑"/>
                <w:spacing w:val="-1"/>
                <w:sz w:val="24"/>
                <w:szCs w:val="24"/>
              </w:rPr>
              <w:t>非</w:t>
            </w:r>
            <w:r>
              <w:rPr>
                <w:rFonts w:ascii="宋体" w:hAnsi="宋体" w:eastAsia="宋体" w:cs="宋体"/>
                <w:spacing w:val="-1"/>
                <w:sz w:val="24"/>
                <w:szCs w:val="24"/>
              </w:rPr>
              <w:t>正常排放时，</w:t>
            </w:r>
            <w:r>
              <w:rPr>
                <w:rFonts w:ascii="微软雅黑" w:hAnsi="微软雅黑" w:eastAsia="微软雅黑" w:cs="微软雅黑"/>
                <w:spacing w:val="-1"/>
                <w:sz w:val="24"/>
                <w:szCs w:val="24"/>
              </w:rPr>
              <w:t>非甲烷总烃</w:t>
            </w:r>
            <w:r>
              <w:rPr>
                <w:rFonts w:ascii="宋体" w:hAnsi="宋体" w:eastAsia="宋体" w:cs="宋体"/>
                <w:spacing w:val="-1"/>
                <w:sz w:val="24"/>
                <w:szCs w:val="24"/>
              </w:rPr>
              <w:t>排放到大</w:t>
            </w:r>
            <w:r>
              <w:rPr>
                <w:rFonts w:ascii="微软雅黑" w:hAnsi="微软雅黑" w:eastAsia="微软雅黑" w:cs="微软雅黑"/>
                <w:spacing w:val="-2"/>
                <w:sz w:val="24"/>
                <w:szCs w:val="24"/>
              </w:rPr>
              <w:t>气</w:t>
            </w:r>
            <w:r>
              <w:rPr>
                <w:rFonts w:ascii="宋体" w:hAnsi="宋体" w:eastAsia="宋体" w:cs="宋体"/>
                <w:spacing w:val="-2"/>
                <w:sz w:val="24"/>
                <w:szCs w:val="24"/>
              </w:rPr>
              <w:t>环境中会污染大</w:t>
            </w:r>
            <w:r>
              <w:rPr>
                <w:rFonts w:ascii="微软雅黑" w:hAnsi="微软雅黑" w:eastAsia="微软雅黑" w:cs="微软雅黑"/>
                <w:spacing w:val="-2"/>
                <w:sz w:val="24"/>
                <w:szCs w:val="24"/>
              </w:rPr>
              <w:t>气</w:t>
            </w:r>
            <w:r>
              <w:rPr>
                <w:rFonts w:ascii="宋体" w:hAnsi="宋体" w:eastAsia="宋体" w:cs="宋体"/>
                <w:spacing w:val="-2"/>
                <w:sz w:val="24"/>
                <w:szCs w:val="24"/>
              </w:rPr>
              <w:t>环境，项目</w:t>
            </w:r>
            <w:r>
              <w:rPr>
                <w:rFonts w:ascii="微软雅黑" w:hAnsi="微软雅黑" w:eastAsia="微软雅黑" w:cs="微软雅黑"/>
                <w:spacing w:val="-2"/>
                <w:sz w:val="24"/>
                <w:szCs w:val="24"/>
              </w:rPr>
              <w:t>非甲烷总</w:t>
            </w:r>
            <w:r>
              <w:rPr>
                <w:rFonts w:ascii="微软雅黑" w:hAnsi="微软雅黑" w:eastAsia="微软雅黑" w:cs="微软雅黑"/>
                <w:spacing w:val="-1"/>
                <w:sz w:val="24"/>
                <w:szCs w:val="24"/>
              </w:rPr>
              <w:t>烃</w:t>
            </w:r>
            <w:r>
              <w:rPr>
                <w:rFonts w:ascii="宋体" w:hAnsi="宋体" w:eastAsia="宋体" w:cs="宋体"/>
                <w:spacing w:val="-1"/>
                <w:sz w:val="24"/>
                <w:szCs w:val="24"/>
              </w:rPr>
              <w:t>产生</w:t>
            </w:r>
            <w:r>
              <w:rPr>
                <w:rFonts w:ascii="微软雅黑" w:hAnsi="微软雅黑" w:eastAsia="微软雅黑" w:cs="微软雅黑"/>
                <w:spacing w:val="-1"/>
                <w:sz w:val="24"/>
                <w:szCs w:val="24"/>
              </w:rPr>
              <w:t>量</w:t>
            </w:r>
            <w:r>
              <w:rPr>
                <w:rFonts w:ascii="宋体" w:hAnsi="宋体" w:eastAsia="宋体" w:cs="宋体"/>
                <w:spacing w:val="-1"/>
                <w:sz w:val="24"/>
                <w:szCs w:val="24"/>
              </w:rPr>
              <w:t>较小，当发生</w:t>
            </w:r>
            <w:r>
              <w:rPr>
                <w:rFonts w:ascii="微软雅黑" w:hAnsi="微软雅黑" w:eastAsia="微软雅黑" w:cs="微软雅黑"/>
                <w:spacing w:val="-1"/>
                <w:sz w:val="24"/>
                <w:szCs w:val="24"/>
              </w:rPr>
              <w:t>非</w:t>
            </w:r>
            <w:r>
              <w:rPr>
                <w:rFonts w:ascii="宋体" w:hAnsi="宋体" w:eastAsia="宋体" w:cs="宋体"/>
                <w:spacing w:val="-1"/>
                <w:sz w:val="24"/>
                <w:szCs w:val="24"/>
              </w:rPr>
              <w:t>正常排放时及时停</w:t>
            </w:r>
            <w:r>
              <w:rPr>
                <w:rFonts w:ascii="宋体" w:hAnsi="宋体" w:eastAsia="宋体" w:cs="宋体"/>
                <w:spacing w:val="-2"/>
                <w:sz w:val="24"/>
                <w:szCs w:val="24"/>
              </w:rPr>
              <w:t>止生产，并抢修处置设施，修理完成后再</w:t>
            </w:r>
            <w:r>
              <w:rPr>
                <w:rFonts w:ascii="宋体" w:hAnsi="宋体" w:eastAsia="宋体" w:cs="宋体"/>
                <w:spacing w:val="-1"/>
                <w:sz w:val="24"/>
                <w:szCs w:val="24"/>
              </w:rPr>
              <w:t>进行生产，对周边大</w:t>
            </w:r>
            <w:r>
              <w:rPr>
                <w:rFonts w:ascii="微软雅黑" w:hAnsi="微软雅黑" w:eastAsia="微软雅黑" w:cs="微软雅黑"/>
                <w:spacing w:val="-1"/>
                <w:sz w:val="24"/>
                <w:szCs w:val="24"/>
              </w:rPr>
              <w:t>气</w:t>
            </w:r>
            <w:r>
              <w:rPr>
                <w:rFonts w:ascii="宋体" w:hAnsi="宋体" w:eastAsia="宋体" w:cs="宋体"/>
                <w:spacing w:val="-1"/>
                <w:sz w:val="24"/>
                <w:szCs w:val="24"/>
              </w:rPr>
              <w:t>环境影响较小。</w:t>
            </w:r>
          </w:p>
          <w:p w14:paraId="0BA88845">
            <w:pPr>
              <w:spacing w:line="217" w:lineRule="auto"/>
              <w:ind w:left="585"/>
              <w:rPr>
                <w:rFonts w:ascii="宋体" w:hAnsi="宋体" w:eastAsia="宋体" w:cs="宋体"/>
                <w:sz w:val="24"/>
                <w:szCs w:val="24"/>
              </w:rPr>
            </w:pPr>
            <w:r>
              <w:rPr>
                <w:rFonts w:ascii="宋体" w:hAnsi="宋体" w:eastAsia="宋体" w:cs="宋体"/>
                <w:b/>
                <w:bCs/>
                <w:spacing w:val="-3"/>
                <w:sz w:val="24"/>
                <w:szCs w:val="24"/>
              </w:rPr>
              <w:t>②地表水环境风险分析</w:t>
            </w:r>
          </w:p>
          <w:p w14:paraId="056A5767">
            <w:pPr>
              <w:spacing w:before="180" w:line="270" w:lineRule="auto"/>
              <w:ind w:left="110" w:right="22" w:firstLine="362"/>
              <w:jc w:val="both"/>
              <w:rPr>
                <w:rFonts w:ascii="宋体" w:hAnsi="宋体" w:eastAsia="宋体" w:cs="宋体"/>
                <w:sz w:val="24"/>
                <w:szCs w:val="24"/>
              </w:rPr>
            </w:pPr>
            <w:r>
              <w:rPr>
                <w:rFonts w:ascii="宋体" w:hAnsi="宋体" w:eastAsia="宋体" w:cs="宋体"/>
                <w:spacing w:val="2"/>
                <w:sz w:val="24"/>
                <w:szCs w:val="24"/>
              </w:rPr>
              <w:t>油漆、</w:t>
            </w:r>
            <w:r>
              <w:rPr>
                <w:rFonts w:ascii="微软雅黑" w:hAnsi="微软雅黑" w:eastAsia="微软雅黑" w:cs="微软雅黑"/>
                <w:spacing w:val="2"/>
                <w:sz w:val="24"/>
                <w:szCs w:val="24"/>
              </w:rPr>
              <w:t>废</w:t>
            </w:r>
            <w:r>
              <w:rPr>
                <w:rFonts w:ascii="宋体" w:hAnsi="宋体" w:eastAsia="宋体" w:cs="宋体"/>
                <w:spacing w:val="2"/>
                <w:sz w:val="24"/>
                <w:szCs w:val="24"/>
              </w:rPr>
              <w:t>润滑油泄漏遇明火灾事故时需使用大</w:t>
            </w:r>
            <w:r>
              <w:rPr>
                <w:rFonts w:ascii="微软雅黑" w:hAnsi="微软雅黑" w:eastAsia="微软雅黑" w:cs="微软雅黑"/>
                <w:spacing w:val="2"/>
                <w:sz w:val="24"/>
                <w:szCs w:val="24"/>
              </w:rPr>
              <w:t>量</w:t>
            </w:r>
            <w:r>
              <w:rPr>
                <w:rFonts w:ascii="宋体" w:hAnsi="宋体" w:eastAsia="宋体" w:cs="宋体"/>
                <w:spacing w:val="2"/>
                <w:sz w:val="24"/>
                <w:szCs w:val="24"/>
              </w:rPr>
              <w:t>水来灭火</w:t>
            </w:r>
            <w:r>
              <w:rPr>
                <w:rFonts w:ascii="宋体" w:hAnsi="宋体" w:eastAsia="宋体" w:cs="宋体"/>
                <w:spacing w:val="1"/>
                <w:sz w:val="24"/>
                <w:szCs w:val="24"/>
              </w:rPr>
              <w:t>，此过程会产生大</w:t>
            </w:r>
            <w:r>
              <w:rPr>
                <w:rFonts w:ascii="微软雅黑" w:hAnsi="微软雅黑" w:eastAsia="微软雅黑" w:cs="微软雅黑"/>
                <w:spacing w:val="1"/>
                <w:sz w:val="24"/>
                <w:szCs w:val="24"/>
              </w:rPr>
              <w:t>量</w:t>
            </w:r>
            <w:r>
              <w:rPr>
                <w:rFonts w:ascii="宋体" w:hAnsi="宋体" w:eastAsia="宋体" w:cs="宋体"/>
                <w:spacing w:val="1"/>
                <w:sz w:val="24"/>
                <w:szCs w:val="24"/>
              </w:rPr>
              <w:t>消</w:t>
            </w:r>
            <w:r>
              <w:rPr>
                <w:rFonts w:ascii="宋体" w:hAnsi="宋体" w:eastAsia="宋体" w:cs="宋体"/>
                <w:spacing w:val="-2"/>
                <w:sz w:val="24"/>
                <w:szCs w:val="24"/>
              </w:rPr>
              <w:t>防</w:t>
            </w:r>
            <w:r>
              <w:rPr>
                <w:rFonts w:ascii="微软雅黑" w:hAnsi="微软雅黑" w:eastAsia="微软雅黑" w:cs="微软雅黑"/>
                <w:spacing w:val="-2"/>
                <w:sz w:val="24"/>
                <w:szCs w:val="24"/>
              </w:rPr>
              <w:t>废</w:t>
            </w:r>
            <w:r>
              <w:rPr>
                <w:rFonts w:ascii="宋体" w:hAnsi="宋体" w:eastAsia="宋体" w:cs="宋体"/>
                <w:spacing w:val="-2"/>
                <w:sz w:val="24"/>
                <w:szCs w:val="24"/>
              </w:rPr>
              <w:t>水，消防</w:t>
            </w:r>
            <w:r>
              <w:rPr>
                <w:rFonts w:ascii="微软雅黑" w:hAnsi="微软雅黑" w:eastAsia="微软雅黑" w:cs="微软雅黑"/>
                <w:spacing w:val="-2"/>
                <w:sz w:val="24"/>
                <w:szCs w:val="24"/>
              </w:rPr>
              <w:t>废</w:t>
            </w:r>
            <w:r>
              <w:rPr>
                <w:rFonts w:ascii="宋体" w:hAnsi="宋体" w:eastAsia="宋体" w:cs="宋体"/>
                <w:spacing w:val="-2"/>
                <w:sz w:val="24"/>
                <w:szCs w:val="24"/>
              </w:rPr>
              <w:t>水收集不当会污染地表水环境，油漆以及</w:t>
            </w:r>
            <w:r>
              <w:rPr>
                <w:rFonts w:ascii="微软雅黑" w:hAnsi="微软雅黑" w:eastAsia="微软雅黑" w:cs="微软雅黑"/>
                <w:spacing w:val="-2"/>
                <w:sz w:val="24"/>
                <w:szCs w:val="24"/>
              </w:rPr>
              <w:t>废</w:t>
            </w:r>
            <w:r>
              <w:rPr>
                <w:rFonts w:ascii="宋体" w:hAnsi="宋体" w:eastAsia="宋体" w:cs="宋体"/>
                <w:spacing w:val="-2"/>
                <w:sz w:val="24"/>
                <w:szCs w:val="24"/>
              </w:rPr>
              <w:t>润滑油处理不及时也会污</w:t>
            </w:r>
            <w:r>
              <w:rPr>
                <w:rFonts w:ascii="宋体" w:hAnsi="宋体" w:eastAsia="宋体" w:cs="宋体"/>
                <w:spacing w:val="-6"/>
                <w:sz w:val="24"/>
                <w:szCs w:val="24"/>
              </w:rPr>
              <w:t>染地表水环境。由于油漆、</w:t>
            </w:r>
            <w:r>
              <w:rPr>
                <w:rFonts w:ascii="微软雅黑" w:hAnsi="微软雅黑" w:eastAsia="微软雅黑" w:cs="微软雅黑"/>
                <w:spacing w:val="-6"/>
                <w:sz w:val="24"/>
                <w:szCs w:val="24"/>
              </w:rPr>
              <w:t>废</w:t>
            </w:r>
            <w:r>
              <w:rPr>
                <w:rFonts w:ascii="宋体" w:hAnsi="宋体" w:eastAsia="宋体" w:cs="宋体"/>
                <w:spacing w:val="-6"/>
                <w:sz w:val="24"/>
                <w:szCs w:val="24"/>
              </w:rPr>
              <w:t>润滑油</w:t>
            </w:r>
            <w:r>
              <w:rPr>
                <w:rFonts w:ascii="微软雅黑" w:hAnsi="微软雅黑" w:eastAsia="微软雅黑" w:cs="微软雅黑"/>
                <w:spacing w:val="-6"/>
                <w:sz w:val="24"/>
                <w:szCs w:val="24"/>
              </w:rPr>
              <w:t>量</w:t>
            </w:r>
            <w:r>
              <w:rPr>
                <w:rFonts w:ascii="宋体" w:hAnsi="宋体" w:eastAsia="宋体" w:cs="宋体"/>
                <w:spacing w:val="-6"/>
                <w:sz w:val="24"/>
                <w:szCs w:val="24"/>
              </w:rPr>
              <w:t>较小，一旦发生泄漏能够得到及时有效的处理，</w:t>
            </w:r>
            <w:r>
              <w:rPr>
                <w:rFonts w:ascii="宋体" w:hAnsi="宋体" w:eastAsia="宋体" w:cs="宋体"/>
                <w:spacing w:val="1"/>
                <w:sz w:val="24"/>
                <w:szCs w:val="24"/>
              </w:rPr>
              <w:t>尽可能的将泄漏的油漆、</w:t>
            </w:r>
            <w:r>
              <w:rPr>
                <w:rFonts w:ascii="微软雅黑" w:hAnsi="微软雅黑" w:eastAsia="微软雅黑" w:cs="微软雅黑"/>
                <w:spacing w:val="1"/>
                <w:sz w:val="24"/>
                <w:szCs w:val="24"/>
              </w:rPr>
              <w:t>废</w:t>
            </w:r>
            <w:r>
              <w:rPr>
                <w:rFonts w:ascii="宋体" w:hAnsi="宋体" w:eastAsia="宋体" w:cs="宋体"/>
                <w:spacing w:val="1"/>
                <w:sz w:val="24"/>
                <w:szCs w:val="24"/>
              </w:rPr>
              <w:t>润滑油控制在项目区</w:t>
            </w:r>
            <w:r>
              <w:rPr>
                <w:rFonts w:ascii="宋体" w:hAnsi="宋体" w:eastAsia="宋体" w:cs="宋体"/>
                <w:sz w:val="24"/>
                <w:szCs w:val="24"/>
              </w:rPr>
              <w:t>内，一般不会直接进入地表水环境。</w:t>
            </w:r>
            <w:r>
              <w:rPr>
                <w:rFonts w:ascii="宋体" w:hAnsi="宋体" w:eastAsia="宋体" w:cs="宋体"/>
                <w:spacing w:val="-6"/>
                <w:sz w:val="24"/>
                <w:szCs w:val="24"/>
              </w:rPr>
              <w:t>油漆、</w:t>
            </w:r>
            <w:r>
              <w:rPr>
                <w:rFonts w:ascii="微软雅黑" w:hAnsi="微软雅黑" w:eastAsia="微软雅黑" w:cs="微软雅黑"/>
                <w:spacing w:val="-6"/>
                <w:sz w:val="24"/>
                <w:szCs w:val="24"/>
              </w:rPr>
              <w:t>废</w:t>
            </w:r>
            <w:r>
              <w:rPr>
                <w:rFonts w:ascii="宋体" w:hAnsi="宋体" w:eastAsia="宋体" w:cs="宋体"/>
                <w:spacing w:val="-6"/>
                <w:sz w:val="24"/>
                <w:szCs w:val="24"/>
              </w:rPr>
              <w:t>润滑油存放远离火源，发生火灾的概率较小，故项目对地表水环境影响较小。</w:t>
            </w:r>
          </w:p>
        </w:tc>
      </w:tr>
    </w:tbl>
    <w:p w14:paraId="4DD18053">
      <w:pPr>
        <w:pStyle w:val="2"/>
      </w:pPr>
    </w:p>
    <w:p w14:paraId="6C97DAD7">
      <w:pPr>
        <w:sectPr>
          <w:footerReference r:id="rId109" w:type="default"/>
          <w:pgSz w:w="11906" w:h="16839"/>
          <w:pgMar w:top="400" w:right="1055" w:bottom="1085" w:left="1054" w:header="0" w:footer="762" w:gutter="0"/>
          <w:cols w:space="720" w:num="1"/>
        </w:sectPr>
      </w:pPr>
    </w:p>
    <w:p w14:paraId="2C376B32">
      <w:pPr>
        <w:spacing w:before="19"/>
      </w:pPr>
    </w:p>
    <w:p w14:paraId="522702C6">
      <w:pPr>
        <w:spacing w:before="19"/>
      </w:pPr>
    </w:p>
    <w:p w14:paraId="5120FA47">
      <w:pPr>
        <w:spacing w:before="19"/>
      </w:pPr>
    </w:p>
    <w:p w14:paraId="35FEEEC8">
      <w:pPr>
        <w:spacing w:before="18"/>
      </w:pPr>
    </w:p>
    <w:p w14:paraId="33DA9CDD">
      <w:pPr>
        <w:spacing w:before="18"/>
      </w:pPr>
    </w:p>
    <w:tbl>
      <w:tblPr>
        <w:tblStyle w:val="10"/>
        <w:tblW w:w="97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9047"/>
      </w:tblGrid>
      <w:tr w14:paraId="796F5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00" w:hRule="atLeast"/>
        </w:trPr>
        <w:tc>
          <w:tcPr>
            <w:tcW w:w="734" w:type="dxa"/>
            <w:tcBorders>
              <w:right w:val="single" w:color="000000" w:sz="2" w:space="0"/>
            </w:tcBorders>
            <w:vAlign w:val="top"/>
          </w:tcPr>
          <w:p w14:paraId="6A471E22">
            <w:pPr>
              <w:rPr>
                <w:rFonts w:ascii="Arial"/>
                <w:sz w:val="21"/>
              </w:rPr>
            </w:pPr>
          </w:p>
        </w:tc>
        <w:tc>
          <w:tcPr>
            <w:tcW w:w="9047" w:type="dxa"/>
            <w:tcBorders>
              <w:left w:val="single" w:color="000000" w:sz="2" w:space="0"/>
            </w:tcBorders>
            <w:vAlign w:val="top"/>
          </w:tcPr>
          <w:p w14:paraId="34752A6A">
            <w:pPr>
              <w:spacing w:before="39" w:line="220" w:lineRule="auto"/>
              <w:ind w:left="588"/>
              <w:rPr>
                <w:rFonts w:ascii="宋体" w:hAnsi="宋体" w:eastAsia="宋体" w:cs="宋体"/>
                <w:sz w:val="24"/>
                <w:szCs w:val="24"/>
              </w:rPr>
            </w:pPr>
            <w:r>
              <w:rPr>
                <w:rFonts w:ascii="Times New Roman" w:hAnsi="Times New Roman" w:eastAsia="Times New Roman" w:cs="Times New Roman"/>
                <w:b/>
                <w:bCs/>
                <w:spacing w:val="-6"/>
                <w:sz w:val="24"/>
                <w:szCs w:val="24"/>
              </w:rPr>
              <w:t>6</w:t>
            </w:r>
            <w:r>
              <w:rPr>
                <w:rFonts w:ascii="Times New Roman" w:hAnsi="Times New Roman" w:eastAsia="Times New Roman" w:cs="Times New Roman"/>
                <w:b/>
                <w:bCs/>
                <w:spacing w:val="-28"/>
                <w:sz w:val="24"/>
                <w:szCs w:val="24"/>
              </w:rPr>
              <w:t xml:space="preserve"> </w:t>
            </w:r>
            <w:r>
              <w:rPr>
                <w:rFonts w:ascii="宋体" w:hAnsi="宋体" w:eastAsia="宋体" w:cs="宋体"/>
                <w:b/>
                <w:bCs/>
                <w:spacing w:val="-6"/>
                <w:sz w:val="24"/>
                <w:szCs w:val="24"/>
              </w:rPr>
              <w:t>、环境风险防控措施</w:t>
            </w:r>
          </w:p>
          <w:p w14:paraId="18381A2D">
            <w:pPr>
              <w:spacing w:before="182" w:line="359" w:lineRule="auto"/>
              <w:ind w:left="110" w:right="102" w:firstLine="478"/>
              <w:rPr>
                <w:rFonts w:ascii="宋体" w:hAnsi="宋体" w:eastAsia="宋体" w:cs="宋体"/>
                <w:sz w:val="24"/>
                <w:szCs w:val="24"/>
              </w:rPr>
            </w:pPr>
            <w:r>
              <w:rPr>
                <w:rFonts w:ascii="宋体" w:hAnsi="宋体" w:eastAsia="宋体" w:cs="宋体"/>
                <w:spacing w:val="-2"/>
                <w:sz w:val="24"/>
                <w:szCs w:val="24"/>
              </w:rPr>
              <w:t>①按照《危险废物贮存污染控制标准》要求，废机油采用专用的容器存放，收集后置于危废间相应区域内，防止风吹雨淋和日晒。危废间设立危险废物警示标志，由专人进行管理，严格落实危险固废转移台账管理，做到每一笔危险固废的去向都有台</w:t>
            </w:r>
            <w:r>
              <w:rPr>
                <w:rFonts w:ascii="宋体" w:hAnsi="宋体" w:eastAsia="宋体" w:cs="宋体"/>
                <w:spacing w:val="-1"/>
                <w:sz w:val="24"/>
                <w:szCs w:val="24"/>
              </w:rPr>
              <w:t>账记录，包括厂区内部的和行政管理部门的。</w:t>
            </w:r>
          </w:p>
          <w:p w14:paraId="51752707">
            <w:pPr>
              <w:spacing w:before="1" w:line="359" w:lineRule="auto"/>
              <w:ind w:left="108" w:right="102" w:firstLine="479"/>
              <w:rPr>
                <w:rFonts w:ascii="宋体" w:hAnsi="宋体" w:eastAsia="宋体" w:cs="宋体"/>
                <w:sz w:val="24"/>
                <w:szCs w:val="24"/>
              </w:rPr>
            </w:pPr>
            <w:r>
              <w:rPr>
                <w:rFonts w:ascii="宋体" w:hAnsi="宋体" w:eastAsia="宋体" w:cs="宋体"/>
                <w:spacing w:val="-2"/>
                <w:sz w:val="24"/>
                <w:szCs w:val="24"/>
              </w:rPr>
              <w:t>②危险废物暂存场所设置堵截泄漏的裙脚，地面进行防渗处理，危废暂存场所危</w:t>
            </w:r>
            <w:r>
              <w:rPr>
                <w:rFonts w:ascii="宋体" w:hAnsi="宋体" w:eastAsia="宋体" w:cs="宋体"/>
                <w:spacing w:val="-3"/>
                <w:sz w:val="24"/>
                <w:szCs w:val="24"/>
              </w:rPr>
              <w:t>废暂存间地面做防渗，防渗层为至少</w:t>
            </w:r>
            <w:r>
              <w:rPr>
                <w:rFonts w:ascii="宋体" w:hAnsi="宋体" w:eastAsia="宋体" w:cs="宋体"/>
                <w:spacing w:val="-46"/>
                <w:sz w:val="24"/>
                <w:szCs w:val="24"/>
              </w:rPr>
              <w:t xml:space="preserve"> </w:t>
            </w:r>
            <w:r>
              <w:rPr>
                <w:rFonts w:ascii="Times New Roman" w:hAnsi="Times New Roman" w:eastAsia="Times New Roman" w:cs="Times New Roman"/>
                <w:spacing w:val="-3"/>
                <w:sz w:val="24"/>
                <w:szCs w:val="24"/>
              </w:rPr>
              <w:t xml:space="preserve">2mm </w:t>
            </w:r>
            <w:r>
              <w:rPr>
                <w:rFonts w:ascii="宋体" w:hAnsi="宋体" w:eastAsia="宋体" w:cs="宋体"/>
                <w:spacing w:val="-3"/>
                <w:sz w:val="24"/>
                <w:szCs w:val="24"/>
              </w:rPr>
              <w:t>厚高密度聚乙烯，或至少</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2mm</w:t>
            </w:r>
            <w:r>
              <w:rPr>
                <w:rFonts w:ascii="Times New Roman" w:hAnsi="Times New Roman" w:eastAsia="Times New Roman" w:cs="Times New Roman"/>
                <w:spacing w:val="16"/>
                <w:sz w:val="24"/>
                <w:szCs w:val="24"/>
              </w:rPr>
              <w:t xml:space="preserve"> </w:t>
            </w:r>
            <w:r>
              <w:rPr>
                <w:rFonts w:ascii="宋体" w:hAnsi="宋体" w:eastAsia="宋体" w:cs="宋体"/>
                <w:spacing w:val="-3"/>
                <w:sz w:val="24"/>
                <w:szCs w:val="24"/>
              </w:rPr>
              <w:t>厚的其它人</w:t>
            </w:r>
            <w:r>
              <w:rPr>
                <w:rFonts w:ascii="宋体" w:hAnsi="宋体" w:eastAsia="宋体" w:cs="宋体"/>
                <w:spacing w:val="-1"/>
                <w:sz w:val="24"/>
                <w:szCs w:val="24"/>
              </w:rPr>
              <w:t>工材料，渗透系数</w:t>
            </w:r>
            <w:r>
              <w:rPr>
                <w:rFonts w:ascii="Times New Roman" w:hAnsi="Times New Roman" w:eastAsia="Times New Roman" w:cs="Times New Roman"/>
                <w:spacing w:val="-1"/>
                <w:sz w:val="24"/>
                <w:szCs w:val="24"/>
              </w:rPr>
              <w:t>≤10</w:t>
            </w:r>
            <w:r>
              <w:rPr>
                <w:rFonts w:ascii="Times New Roman" w:hAnsi="Times New Roman" w:eastAsia="Times New Roman" w:cs="Times New Roman"/>
                <w:spacing w:val="-1"/>
                <w:position w:val="7"/>
                <w:sz w:val="15"/>
                <w:szCs w:val="15"/>
              </w:rPr>
              <w:t>-</w:t>
            </w:r>
            <w:r>
              <w:rPr>
                <w:rFonts w:ascii="Times New Roman" w:hAnsi="Times New Roman" w:eastAsia="Times New Roman" w:cs="Times New Roman"/>
                <w:spacing w:val="-21"/>
                <w:position w:val="7"/>
                <w:sz w:val="15"/>
                <w:szCs w:val="15"/>
              </w:rPr>
              <w:t xml:space="preserve"> </w:t>
            </w:r>
            <w:r>
              <w:rPr>
                <w:rFonts w:ascii="Times New Roman" w:hAnsi="Times New Roman" w:eastAsia="Times New Roman" w:cs="Times New Roman"/>
                <w:spacing w:val="-1"/>
                <w:position w:val="7"/>
                <w:sz w:val="15"/>
                <w:szCs w:val="15"/>
              </w:rPr>
              <w:t>10</w:t>
            </w:r>
            <w:r>
              <w:rPr>
                <w:rFonts w:ascii="Times New Roman" w:hAnsi="Times New Roman" w:eastAsia="Times New Roman" w:cs="Times New Roman"/>
                <w:spacing w:val="-1"/>
                <w:sz w:val="24"/>
                <w:szCs w:val="24"/>
              </w:rPr>
              <w:t>cm/s</w:t>
            </w:r>
            <w:r>
              <w:rPr>
                <w:rFonts w:ascii="宋体" w:hAnsi="宋体" w:eastAsia="宋体" w:cs="宋体"/>
                <w:spacing w:val="-1"/>
                <w:sz w:val="24"/>
                <w:szCs w:val="24"/>
              </w:rPr>
              <w:t>。</w:t>
            </w:r>
          </w:p>
          <w:p w14:paraId="20CFF09D">
            <w:pPr>
              <w:spacing w:line="358" w:lineRule="auto"/>
              <w:ind w:left="109" w:right="102" w:firstLine="478"/>
              <w:rPr>
                <w:rFonts w:ascii="宋体" w:hAnsi="宋体" w:eastAsia="宋体" w:cs="宋体"/>
                <w:sz w:val="24"/>
                <w:szCs w:val="24"/>
              </w:rPr>
            </w:pPr>
            <w:r>
              <w:rPr>
                <w:rFonts w:ascii="宋体" w:hAnsi="宋体" w:eastAsia="宋体" w:cs="宋体"/>
                <w:spacing w:val="-2"/>
                <w:sz w:val="24"/>
                <w:szCs w:val="24"/>
              </w:rPr>
              <w:t>③对装有废机油的容器进行定期检查，容器泄漏损坏时必须立即处理，并将危废</w:t>
            </w:r>
            <w:r>
              <w:rPr>
                <w:rFonts w:ascii="宋体" w:hAnsi="宋体" w:eastAsia="宋体" w:cs="宋体"/>
                <w:spacing w:val="-1"/>
                <w:sz w:val="24"/>
                <w:szCs w:val="24"/>
              </w:rPr>
              <w:t>装入完好容器内，同时危险废物储存区设置警示标牌。</w:t>
            </w:r>
          </w:p>
          <w:p w14:paraId="3A98A46E">
            <w:pPr>
              <w:spacing w:before="2" w:line="359" w:lineRule="auto"/>
              <w:ind w:left="110" w:right="102" w:firstLine="477"/>
              <w:rPr>
                <w:rFonts w:ascii="宋体" w:hAnsi="宋体" w:eastAsia="宋体" w:cs="宋体"/>
                <w:sz w:val="24"/>
                <w:szCs w:val="24"/>
              </w:rPr>
            </w:pPr>
            <w:r>
              <w:rPr>
                <w:rFonts w:ascii="宋体" w:hAnsi="宋体" w:eastAsia="宋体" w:cs="宋体"/>
                <w:spacing w:val="-2"/>
                <w:sz w:val="24"/>
                <w:szCs w:val="24"/>
              </w:rPr>
              <w:t>④所有包装袋、桶必须贴上危险废物标签，危险废物标签上文字字体为黑体、底色为醒目的桔黄色，稳妥贴附在包装袋、桶适当位置，使其清晰易读。危险废物标签</w:t>
            </w:r>
            <w:r>
              <w:rPr>
                <w:rFonts w:ascii="宋体" w:hAnsi="宋体" w:eastAsia="宋体" w:cs="宋体"/>
                <w:spacing w:val="-1"/>
                <w:sz w:val="24"/>
                <w:szCs w:val="24"/>
              </w:rPr>
              <w:t>要提供下列说明：</w:t>
            </w:r>
            <w:r>
              <w:rPr>
                <w:rFonts w:ascii="Times New Roman" w:hAnsi="Times New Roman" w:eastAsia="Times New Roman" w:cs="Times New Roman"/>
                <w:spacing w:val="-1"/>
                <w:sz w:val="24"/>
                <w:szCs w:val="24"/>
              </w:rPr>
              <w:t>“</w:t>
            </w:r>
            <w:r>
              <w:rPr>
                <w:rFonts w:ascii="宋体" w:hAnsi="宋体" w:eastAsia="宋体" w:cs="宋体"/>
                <w:spacing w:val="-1"/>
                <w:sz w:val="24"/>
                <w:szCs w:val="24"/>
              </w:rPr>
              <w:t>危险废物</w:t>
            </w:r>
            <w:r>
              <w:rPr>
                <w:rFonts w:ascii="Times New Roman" w:hAnsi="Times New Roman" w:eastAsia="Times New Roman" w:cs="Times New Roman"/>
                <w:spacing w:val="-1"/>
                <w:sz w:val="24"/>
                <w:szCs w:val="24"/>
              </w:rPr>
              <w:t>”</w:t>
            </w:r>
            <w:r>
              <w:rPr>
                <w:rFonts w:ascii="宋体" w:hAnsi="宋体" w:eastAsia="宋体" w:cs="宋体"/>
                <w:spacing w:val="-1"/>
                <w:sz w:val="24"/>
                <w:szCs w:val="24"/>
              </w:rPr>
              <w:t>字样、危险废物产生单位名称、联系人、联系电话、主要化学成分或商品名称、危险类别、安全措施等。</w:t>
            </w:r>
          </w:p>
          <w:p w14:paraId="321B509D">
            <w:pPr>
              <w:spacing w:before="1" w:line="359" w:lineRule="auto"/>
              <w:ind w:left="110" w:right="96" w:firstLine="477"/>
              <w:rPr>
                <w:rFonts w:ascii="宋体" w:hAnsi="宋体" w:eastAsia="宋体" w:cs="宋体"/>
                <w:sz w:val="24"/>
                <w:szCs w:val="24"/>
              </w:rPr>
            </w:pPr>
            <w:r>
              <w:rPr>
                <w:rFonts w:ascii="宋体" w:hAnsi="宋体" w:eastAsia="宋体" w:cs="宋体"/>
                <w:spacing w:val="-1"/>
                <w:sz w:val="24"/>
                <w:szCs w:val="24"/>
              </w:rPr>
              <w:t>⑤存放油漆等的化学品仓库应按照《中华人</w:t>
            </w:r>
            <w:r>
              <w:rPr>
                <w:rFonts w:ascii="宋体" w:hAnsi="宋体" w:eastAsia="宋体" w:cs="宋体"/>
                <w:spacing w:val="-2"/>
                <w:sz w:val="24"/>
                <w:szCs w:val="24"/>
              </w:rPr>
              <w:t>民共和国安全生产法》（</w:t>
            </w:r>
            <w:r>
              <w:rPr>
                <w:rFonts w:ascii="Times New Roman" w:hAnsi="Times New Roman" w:eastAsia="Times New Roman" w:cs="Times New Roman"/>
                <w:spacing w:val="-2"/>
                <w:sz w:val="24"/>
                <w:szCs w:val="24"/>
              </w:rPr>
              <w:t>2021</w:t>
            </w:r>
            <w:r>
              <w:rPr>
                <w:rFonts w:ascii="宋体" w:hAnsi="宋体" w:eastAsia="宋体" w:cs="宋体"/>
                <w:spacing w:val="-2"/>
                <w:sz w:val="24"/>
                <w:szCs w:val="24"/>
              </w:rPr>
              <w:t>年修订版）和《危险化学品安全管理条例》，以及《常用危险化学品贮存通则》《腐蚀性商</w:t>
            </w:r>
            <w:r>
              <w:rPr>
                <w:rFonts w:ascii="宋体" w:hAnsi="宋体" w:eastAsia="宋体" w:cs="宋体"/>
                <w:spacing w:val="-1"/>
                <w:sz w:val="24"/>
                <w:szCs w:val="24"/>
              </w:rPr>
              <w:t>品储藏养护技术条件》等国家标准对仓储管理各要</w:t>
            </w:r>
            <w:r>
              <w:rPr>
                <w:rFonts w:ascii="宋体" w:hAnsi="宋体" w:eastAsia="宋体" w:cs="宋体"/>
                <w:spacing w:val="-2"/>
                <w:sz w:val="24"/>
                <w:szCs w:val="24"/>
              </w:rPr>
              <w:t>求进行有机整合，符合有关安全、</w:t>
            </w:r>
            <w:r>
              <w:rPr>
                <w:rFonts w:ascii="宋体" w:hAnsi="宋体" w:eastAsia="宋体" w:cs="宋体"/>
                <w:spacing w:val="-1"/>
                <w:sz w:val="24"/>
                <w:szCs w:val="24"/>
              </w:rPr>
              <w:t>防火规定，并设置相应的通风、防火、灭火等安全设施。</w:t>
            </w:r>
          </w:p>
          <w:p w14:paraId="0939B3F2">
            <w:pPr>
              <w:spacing w:line="359" w:lineRule="auto"/>
              <w:ind w:left="109" w:right="102" w:firstLine="478"/>
              <w:rPr>
                <w:rFonts w:ascii="宋体" w:hAnsi="宋体" w:eastAsia="宋体" w:cs="宋体"/>
                <w:sz w:val="24"/>
                <w:szCs w:val="24"/>
              </w:rPr>
            </w:pPr>
            <w:r>
              <w:rPr>
                <w:rFonts w:ascii="宋体" w:hAnsi="宋体" w:eastAsia="宋体" w:cs="宋体"/>
                <w:spacing w:val="-2"/>
                <w:sz w:val="24"/>
                <w:szCs w:val="24"/>
              </w:rPr>
              <w:t>⑥建设单位加强安全管理，配置相关消防器材，远离火源、热源，完善突发事件</w:t>
            </w:r>
            <w:r>
              <w:rPr>
                <w:rFonts w:ascii="宋体" w:hAnsi="宋体" w:eastAsia="宋体" w:cs="宋体"/>
                <w:sz w:val="24"/>
                <w:szCs w:val="24"/>
              </w:rPr>
              <w:t>应急管理体系，并配置专业人员巡查及时排查安</w:t>
            </w:r>
            <w:r>
              <w:rPr>
                <w:rFonts w:ascii="宋体" w:hAnsi="宋体" w:eastAsia="宋体" w:cs="宋体"/>
                <w:spacing w:val="-1"/>
                <w:sz w:val="24"/>
                <w:szCs w:val="24"/>
              </w:rPr>
              <w:t>全隐患，防止事故发生。</w:t>
            </w:r>
          </w:p>
          <w:p w14:paraId="75604956">
            <w:pPr>
              <w:spacing w:line="220" w:lineRule="auto"/>
              <w:ind w:left="588"/>
              <w:rPr>
                <w:rFonts w:ascii="宋体" w:hAnsi="宋体" w:eastAsia="宋体" w:cs="宋体"/>
                <w:sz w:val="24"/>
                <w:szCs w:val="24"/>
              </w:rPr>
            </w:pPr>
            <w:r>
              <w:rPr>
                <w:rFonts w:ascii="Times New Roman" w:hAnsi="Times New Roman" w:eastAsia="Times New Roman" w:cs="Times New Roman"/>
                <w:b/>
                <w:bCs/>
                <w:spacing w:val="-8"/>
                <w:sz w:val="24"/>
                <w:szCs w:val="24"/>
              </w:rPr>
              <w:t>7</w:t>
            </w:r>
            <w:r>
              <w:rPr>
                <w:rFonts w:ascii="Times New Roman" w:hAnsi="Times New Roman" w:eastAsia="Times New Roman" w:cs="Times New Roman"/>
                <w:b/>
                <w:bCs/>
                <w:spacing w:val="-32"/>
                <w:sz w:val="24"/>
                <w:szCs w:val="24"/>
              </w:rPr>
              <w:t xml:space="preserve"> </w:t>
            </w:r>
            <w:r>
              <w:rPr>
                <w:rFonts w:ascii="宋体" w:hAnsi="宋体" w:eastAsia="宋体" w:cs="宋体"/>
                <w:b/>
                <w:bCs/>
                <w:spacing w:val="-8"/>
                <w:sz w:val="24"/>
                <w:szCs w:val="24"/>
              </w:rPr>
              <w:t>、应急预案</w:t>
            </w:r>
          </w:p>
          <w:p w14:paraId="6648C682">
            <w:pPr>
              <w:spacing w:before="181" w:line="359" w:lineRule="auto"/>
              <w:ind w:left="113" w:right="102" w:firstLine="476"/>
              <w:jc w:val="both"/>
              <w:rPr>
                <w:rFonts w:ascii="宋体" w:hAnsi="宋体" w:eastAsia="宋体" w:cs="宋体"/>
                <w:sz w:val="24"/>
                <w:szCs w:val="24"/>
              </w:rPr>
            </w:pPr>
            <w:r>
              <w:rPr>
                <w:rFonts w:ascii="宋体" w:hAnsi="宋体" w:eastAsia="宋体" w:cs="宋体"/>
                <w:spacing w:val="-8"/>
                <w:sz w:val="24"/>
                <w:szCs w:val="24"/>
              </w:rPr>
              <w:t>根据本项目环境风险分析的结果，按照《建设项目环境风险评价</w:t>
            </w:r>
            <w:r>
              <w:rPr>
                <w:rFonts w:ascii="宋体" w:hAnsi="宋体" w:eastAsia="宋体" w:cs="宋体"/>
                <w:spacing w:val="-9"/>
                <w:sz w:val="24"/>
                <w:szCs w:val="24"/>
              </w:rPr>
              <w:t>技术导则》和《突</w:t>
            </w:r>
            <w:r>
              <w:rPr>
                <w:rFonts w:ascii="宋体" w:hAnsi="宋体" w:eastAsia="宋体" w:cs="宋体"/>
                <w:sz w:val="24"/>
                <w:szCs w:val="24"/>
              </w:rPr>
              <w:t>发环境事件应急预案编制导则（试行</w:t>
            </w:r>
            <w:r>
              <w:rPr>
                <w:rFonts w:ascii="宋体" w:hAnsi="宋体" w:eastAsia="宋体" w:cs="宋体"/>
                <w:spacing w:val="-26"/>
                <w:sz w:val="24"/>
                <w:szCs w:val="24"/>
              </w:rPr>
              <w:t>）（</w:t>
            </w:r>
            <w:r>
              <w:rPr>
                <w:rFonts w:ascii="宋体" w:hAnsi="宋体" w:eastAsia="宋体" w:cs="宋体"/>
                <w:sz w:val="24"/>
                <w:szCs w:val="24"/>
              </w:rPr>
              <w:t>企业事业单位版）》的</w:t>
            </w:r>
            <w:r>
              <w:rPr>
                <w:rFonts w:ascii="宋体" w:hAnsi="宋体" w:eastAsia="宋体" w:cs="宋体"/>
                <w:spacing w:val="-1"/>
                <w:sz w:val="24"/>
                <w:szCs w:val="24"/>
              </w:rPr>
              <w:t>要求修编建设项目突发环境事件应急预案，并及时上报昆明市生态环境局寻甸分局备案。</w:t>
            </w:r>
          </w:p>
          <w:p w14:paraId="2A13BD4C">
            <w:pPr>
              <w:spacing w:before="1" w:line="359" w:lineRule="auto"/>
              <w:ind w:left="108" w:right="102" w:firstLine="483"/>
              <w:jc w:val="both"/>
              <w:rPr>
                <w:rFonts w:ascii="宋体" w:hAnsi="宋体" w:eastAsia="宋体" w:cs="宋体"/>
                <w:sz w:val="24"/>
                <w:szCs w:val="24"/>
              </w:rPr>
            </w:pPr>
            <w:r>
              <w:rPr>
                <w:rFonts w:ascii="宋体" w:hAnsi="宋体" w:eastAsia="宋体" w:cs="宋体"/>
                <w:spacing w:val="-2"/>
                <w:sz w:val="24"/>
                <w:szCs w:val="24"/>
              </w:rPr>
              <w:t>建设项目制定风险应急预案的目的是为了在发生风险事故时，能以最快的速度发挥最大的效能，有序的实施救援，尽快控制事态的发展，降低事故造成的危害，减少</w:t>
            </w:r>
            <w:r>
              <w:rPr>
                <w:rFonts w:ascii="宋体" w:hAnsi="宋体" w:eastAsia="宋体" w:cs="宋体"/>
                <w:spacing w:val="-1"/>
                <w:sz w:val="24"/>
                <w:szCs w:val="24"/>
              </w:rPr>
              <w:t>事故造成的损失，制定应急预案原则如下：</w:t>
            </w:r>
          </w:p>
          <w:p w14:paraId="10EB4C82">
            <w:pPr>
              <w:spacing w:before="1" w:line="219" w:lineRule="auto"/>
              <w:ind w:left="6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）确定救援组织、队伍和联络方式；</w:t>
            </w:r>
          </w:p>
        </w:tc>
      </w:tr>
    </w:tbl>
    <w:p w14:paraId="084844C7">
      <w:pPr>
        <w:pStyle w:val="2"/>
      </w:pPr>
    </w:p>
    <w:p w14:paraId="181D8E26">
      <w:pPr>
        <w:sectPr>
          <w:footerReference r:id="rId110" w:type="default"/>
          <w:pgSz w:w="11906" w:h="16839"/>
          <w:pgMar w:top="400" w:right="1055" w:bottom="1085" w:left="1054" w:header="0" w:footer="762" w:gutter="0"/>
          <w:cols w:space="720" w:num="1"/>
        </w:sectPr>
      </w:pPr>
    </w:p>
    <w:p w14:paraId="3FD55E59">
      <w:pPr>
        <w:spacing w:before="19"/>
      </w:pPr>
    </w:p>
    <w:p w14:paraId="52DEDC26">
      <w:pPr>
        <w:spacing w:before="19"/>
      </w:pPr>
    </w:p>
    <w:p w14:paraId="0D005062">
      <w:pPr>
        <w:spacing w:before="19"/>
      </w:pPr>
    </w:p>
    <w:p w14:paraId="39C6A354">
      <w:pPr>
        <w:spacing w:before="18"/>
      </w:pPr>
    </w:p>
    <w:p w14:paraId="1522CD70">
      <w:pPr>
        <w:spacing w:before="18"/>
      </w:pPr>
    </w:p>
    <w:tbl>
      <w:tblPr>
        <w:tblStyle w:val="10"/>
        <w:tblW w:w="978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111"/>
        <w:gridCol w:w="1564"/>
        <w:gridCol w:w="7251"/>
        <w:gridCol w:w="121"/>
      </w:tblGrid>
      <w:tr w14:paraId="10F3A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9" w:hRule="atLeast"/>
        </w:trPr>
        <w:tc>
          <w:tcPr>
            <w:tcW w:w="734" w:type="dxa"/>
            <w:vMerge w:val="restart"/>
            <w:tcBorders>
              <w:top w:val="single" w:color="000000" w:sz="6" w:space="0"/>
              <w:left w:val="single" w:color="000000" w:sz="6" w:space="0"/>
              <w:bottom w:val="nil"/>
            </w:tcBorders>
            <w:vAlign w:val="top"/>
          </w:tcPr>
          <w:p w14:paraId="559A070E">
            <w:pPr>
              <w:rPr>
                <w:rFonts w:ascii="Arial"/>
                <w:sz w:val="21"/>
              </w:rPr>
            </w:pPr>
          </w:p>
        </w:tc>
        <w:tc>
          <w:tcPr>
            <w:tcW w:w="9047" w:type="dxa"/>
            <w:gridSpan w:val="4"/>
            <w:tcBorders>
              <w:top w:val="single" w:color="000000" w:sz="6" w:space="0"/>
              <w:right w:val="single" w:color="000000" w:sz="6" w:space="0"/>
            </w:tcBorders>
            <w:vAlign w:val="top"/>
          </w:tcPr>
          <w:p w14:paraId="2F5F0D98">
            <w:pPr>
              <w:spacing w:before="40" w:line="219" w:lineRule="auto"/>
              <w:ind w:left="6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）制定事故类型、队伍和联络方式；</w:t>
            </w:r>
          </w:p>
          <w:p w14:paraId="591B1365">
            <w:pPr>
              <w:spacing w:before="183" w:line="219" w:lineRule="auto"/>
              <w:ind w:left="6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）配备必要的救灾防毒器具及防护用品；</w:t>
            </w:r>
          </w:p>
          <w:p w14:paraId="22AB75CF">
            <w:pPr>
              <w:spacing w:before="180" w:line="218" w:lineRule="auto"/>
              <w:ind w:left="6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）岗位培训和演习，设置事故应急演习手册及报告、记录和评估；</w:t>
            </w:r>
          </w:p>
          <w:p w14:paraId="2FB986EA">
            <w:pPr>
              <w:spacing w:before="184" w:line="359" w:lineRule="auto"/>
              <w:ind w:left="114" w:right="105" w:firstLine="486"/>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）制定区域防灾救援方案，与当地政府、消防、环保和医疗救助部门加强联</w:t>
            </w:r>
            <w:r>
              <w:rPr>
                <w:rFonts w:ascii="宋体" w:hAnsi="宋体" w:eastAsia="宋体" w:cs="宋体"/>
                <w:spacing w:val="-1"/>
                <w:sz w:val="24"/>
                <w:szCs w:val="24"/>
              </w:rPr>
              <w:t>系，以便风险事故发生时及时得到救援；</w:t>
            </w:r>
          </w:p>
          <w:p w14:paraId="0D36FBA7">
            <w:pPr>
              <w:spacing w:line="359" w:lineRule="auto"/>
              <w:ind w:left="112" w:right="41" w:firstLine="488"/>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6</w:t>
            </w:r>
            <w:r>
              <w:rPr>
                <w:rFonts w:ascii="宋体" w:hAnsi="宋体" w:eastAsia="宋体" w:cs="宋体"/>
                <w:spacing w:val="-4"/>
                <w:sz w:val="24"/>
                <w:szCs w:val="24"/>
              </w:rPr>
              <w:t>）泄漏、爆炸事故多为突发性质，平时应制定抢救方案，备足抢救设备器材，</w:t>
            </w:r>
            <w:r>
              <w:rPr>
                <w:rFonts w:ascii="宋体" w:hAnsi="宋体" w:eastAsia="宋体" w:cs="宋体"/>
                <w:spacing w:val="-2"/>
                <w:sz w:val="24"/>
                <w:szCs w:val="24"/>
              </w:rPr>
              <w:t>训练人员，便于事故处理。</w:t>
            </w:r>
          </w:p>
          <w:p w14:paraId="5ABA441C">
            <w:pPr>
              <w:spacing w:line="220" w:lineRule="auto"/>
              <w:ind w:left="588"/>
              <w:rPr>
                <w:rFonts w:ascii="宋体" w:hAnsi="宋体" w:eastAsia="宋体" w:cs="宋体"/>
                <w:sz w:val="24"/>
                <w:szCs w:val="24"/>
              </w:rPr>
            </w:pPr>
            <w:r>
              <w:rPr>
                <w:rFonts w:ascii="Times New Roman" w:hAnsi="Times New Roman" w:eastAsia="Times New Roman" w:cs="Times New Roman"/>
                <w:b/>
                <w:bCs/>
                <w:spacing w:val="-6"/>
                <w:sz w:val="24"/>
                <w:szCs w:val="24"/>
              </w:rPr>
              <w:t>8</w:t>
            </w:r>
            <w:r>
              <w:rPr>
                <w:rFonts w:ascii="Times New Roman" w:hAnsi="Times New Roman" w:eastAsia="Times New Roman" w:cs="Times New Roman"/>
                <w:b/>
                <w:bCs/>
                <w:spacing w:val="-25"/>
                <w:sz w:val="24"/>
                <w:szCs w:val="24"/>
              </w:rPr>
              <w:t xml:space="preserve"> </w:t>
            </w:r>
            <w:r>
              <w:rPr>
                <w:rFonts w:ascii="宋体" w:hAnsi="宋体" w:eastAsia="宋体" w:cs="宋体"/>
                <w:b/>
                <w:bCs/>
                <w:spacing w:val="-6"/>
                <w:sz w:val="24"/>
                <w:szCs w:val="24"/>
              </w:rPr>
              <w:t>、环境风险分析结论</w:t>
            </w:r>
          </w:p>
          <w:p w14:paraId="5DB4706C">
            <w:pPr>
              <w:spacing w:before="180" w:line="358" w:lineRule="auto"/>
              <w:ind w:left="111" w:right="102" w:firstLine="481"/>
              <w:jc w:val="both"/>
              <w:rPr>
                <w:rFonts w:ascii="宋体" w:hAnsi="宋体" w:eastAsia="宋体" w:cs="宋体"/>
                <w:sz w:val="24"/>
                <w:szCs w:val="24"/>
              </w:rPr>
            </w:pPr>
            <w:r>
              <w:rPr>
                <w:rFonts w:ascii="宋体" w:hAnsi="宋体" w:eastAsia="宋体" w:cs="宋体"/>
                <w:spacing w:val="-2"/>
                <w:sz w:val="24"/>
                <w:szCs w:val="24"/>
              </w:rPr>
              <w:t>项目运营过程中清洗水箱及危废暂存间存在一定的环境风险，企业在严格按照有关标准、规范及条例的要求，认真落实环境风险防范措施的前提下，项目环境风险是</w:t>
            </w:r>
            <w:r>
              <w:rPr>
                <w:rFonts w:ascii="宋体" w:hAnsi="宋体" w:eastAsia="宋体" w:cs="宋体"/>
                <w:spacing w:val="-3"/>
                <w:sz w:val="24"/>
                <w:szCs w:val="24"/>
              </w:rPr>
              <w:t>可控的。</w:t>
            </w:r>
          </w:p>
          <w:p w14:paraId="002AC346">
            <w:pPr>
              <w:spacing w:line="210" w:lineRule="auto"/>
              <w:ind w:left="2704"/>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24"/>
                <w:sz w:val="20"/>
                <w:szCs w:val="20"/>
              </w:rPr>
              <w:t xml:space="preserve"> </w:t>
            </w:r>
            <w:r>
              <w:rPr>
                <w:rFonts w:ascii="宋体" w:hAnsi="宋体" w:eastAsia="宋体" w:cs="宋体"/>
                <w:b/>
                <w:bCs/>
                <w:spacing w:val="6"/>
                <w:sz w:val="20"/>
                <w:szCs w:val="20"/>
              </w:rPr>
              <w:t>4-19</w:t>
            </w:r>
            <w:r>
              <w:rPr>
                <w:rFonts w:ascii="宋体" w:hAnsi="宋体" w:eastAsia="宋体" w:cs="宋体"/>
                <w:spacing w:val="6"/>
                <w:sz w:val="20"/>
                <w:szCs w:val="20"/>
              </w:rPr>
              <w:t xml:space="preserve">  </w:t>
            </w:r>
            <w:r>
              <w:rPr>
                <w:rFonts w:ascii="宋体" w:hAnsi="宋体" w:eastAsia="宋体" w:cs="宋体"/>
                <w:b/>
                <w:bCs/>
                <w:spacing w:val="6"/>
                <w:sz w:val="20"/>
                <w:szCs w:val="20"/>
              </w:rPr>
              <w:t>建设项目环境风险简单分析内容表</w:t>
            </w:r>
          </w:p>
        </w:tc>
      </w:tr>
      <w:tr w14:paraId="461D6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734" w:type="dxa"/>
            <w:vMerge w:val="continue"/>
            <w:tcBorders>
              <w:top w:val="nil"/>
              <w:left w:val="single" w:color="000000" w:sz="6" w:space="0"/>
              <w:bottom w:val="nil"/>
            </w:tcBorders>
            <w:vAlign w:val="top"/>
          </w:tcPr>
          <w:p w14:paraId="77C3C522">
            <w:pPr>
              <w:rPr>
                <w:rFonts w:ascii="Arial"/>
                <w:sz w:val="21"/>
              </w:rPr>
            </w:pPr>
          </w:p>
        </w:tc>
        <w:tc>
          <w:tcPr>
            <w:tcW w:w="111" w:type="dxa"/>
            <w:tcBorders>
              <w:top w:val="nil"/>
              <w:bottom w:val="nil"/>
            </w:tcBorders>
            <w:vAlign w:val="top"/>
          </w:tcPr>
          <w:p w14:paraId="5E648D59">
            <w:pPr>
              <w:rPr>
                <w:rFonts w:ascii="Arial"/>
                <w:sz w:val="21"/>
              </w:rPr>
            </w:pPr>
          </w:p>
        </w:tc>
        <w:tc>
          <w:tcPr>
            <w:tcW w:w="1564" w:type="dxa"/>
            <w:vAlign w:val="top"/>
          </w:tcPr>
          <w:p w14:paraId="21685D33">
            <w:pPr>
              <w:spacing w:before="35" w:line="228" w:lineRule="auto"/>
              <w:ind w:left="150"/>
              <w:rPr>
                <w:rFonts w:ascii="宋体" w:hAnsi="宋体" w:eastAsia="宋体" w:cs="宋体"/>
                <w:sz w:val="20"/>
                <w:szCs w:val="20"/>
              </w:rPr>
            </w:pPr>
            <w:r>
              <w:rPr>
                <w:rFonts w:ascii="宋体" w:hAnsi="宋体" w:eastAsia="宋体" w:cs="宋体"/>
                <w:b/>
                <w:bCs/>
                <w:spacing w:val="6"/>
                <w:sz w:val="20"/>
                <w:szCs w:val="20"/>
              </w:rPr>
              <w:t>建设项目名称</w:t>
            </w:r>
          </w:p>
        </w:tc>
        <w:tc>
          <w:tcPr>
            <w:tcW w:w="7251" w:type="dxa"/>
            <w:vAlign w:val="top"/>
          </w:tcPr>
          <w:p w14:paraId="5799B9D5">
            <w:pPr>
              <w:spacing w:before="35" w:line="228" w:lineRule="auto"/>
              <w:ind w:left="1453"/>
              <w:rPr>
                <w:rFonts w:ascii="宋体" w:hAnsi="宋体" w:eastAsia="宋体" w:cs="宋体"/>
                <w:sz w:val="20"/>
                <w:szCs w:val="20"/>
              </w:rPr>
            </w:pPr>
            <w:r>
              <w:rPr>
                <w:rFonts w:ascii="宋体" w:hAnsi="宋体" w:eastAsia="宋体" w:cs="宋体"/>
                <w:spacing w:val="6"/>
                <w:sz w:val="20"/>
                <w:szCs w:val="20"/>
              </w:rPr>
              <w:t>昆明欧铂瑞木制品有限公司年产</w:t>
            </w:r>
            <w:r>
              <w:rPr>
                <w:rFonts w:ascii="宋体" w:hAnsi="宋体" w:eastAsia="宋体" w:cs="宋体"/>
                <w:spacing w:val="-6"/>
                <w:sz w:val="20"/>
                <w:szCs w:val="20"/>
              </w:rPr>
              <w:t xml:space="preserve"> </w:t>
            </w:r>
            <w:r>
              <w:rPr>
                <w:rFonts w:ascii="Times New Roman" w:hAnsi="Times New Roman" w:eastAsia="Times New Roman" w:cs="Times New Roman"/>
                <w:spacing w:val="6"/>
                <w:sz w:val="20"/>
                <w:szCs w:val="20"/>
              </w:rPr>
              <w:t xml:space="preserve">100 </w:t>
            </w:r>
            <w:r>
              <w:rPr>
                <w:rFonts w:ascii="宋体" w:hAnsi="宋体" w:eastAsia="宋体" w:cs="宋体"/>
                <w:spacing w:val="6"/>
                <w:sz w:val="20"/>
                <w:szCs w:val="20"/>
              </w:rPr>
              <w:t>万个塑料筐项目</w:t>
            </w:r>
          </w:p>
        </w:tc>
        <w:tc>
          <w:tcPr>
            <w:tcW w:w="121" w:type="dxa"/>
            <w:tcBorders>
              <w:top w:val="nil"/>
              <w:bottom w:val="nil"/>
              <w:right w:val="single" w:color="000000" w:sz="6" w:space="0"/>
            </w:tcBorders>
            <w:vAlign w:val="top"/>
          </w:tcPr>
          <w:p w14:paraId="242D14AD">
            <w:pPr>
              <w:rPr>
                <w:rFonts w:ascii="Arial"/>
                <w:sz w:val="21"/>
              </w:rPr>
            </w:pPr>
          </w:p>
        </w:tc>
      </w:tr>
      <w:tr w14:paraId="4D96B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34" w:type="dxa"/>
            <w:vMerge w:val="continue"/>
            <w:tcBorders>
              <w:top w:val="nil"/>
              <w:left w:val="single" w:color="000000" w:sz="6" w:space="0"/>
              <w:bottom w:val="nil"/>
            </w:tcBorders>
            <w:vAlign w:val="top"/>
          </w:tcPr>
          <w:p w14:paraId="3FAF9B5A">
            <w:pPr>
              <w:rPr>
                <w:rFonts w:ascii="Arial"/>
                <w:sz w:val="21"/>
              </w:rPr>
            </w:pPr>
          </w:p>
        </w:tc>
        <w:tc>
          <w:tcPr>
            <w:tcW w:w="111" w:type="dxa"/>
            <w:tcBorders>
              <w:top w:val="nil"/>
              <w:bottom w:val="nil"/>
            </w:tcBorders>
            <w:vAlign w:val="top"/>
          </w:tcPr>
          <w:p w14:paraId="12E3F6CC">
            <w:pPr>
              <w:rPr>
                <w:rFonts w:ascii="Arial"/>
                <w:sz w:val="21"/>
              </w:rPr>
            </w:pPr>
          </w:p>
        </w:tc>
        <w:tc>
          <w:tcPr>
            <w:tcW w:w="1564" w:type="dxa"/>
            <w:vAlign w:val="top"/>
          </w:tcPr>
          <w:p w14:paraId="6E1F26A3">
            <w:pPr>
              <w:spacing w:before="38" w:line="229" w:lineRule="auto"/>
              <w:ind w:left="362"/>
              <w:rPr>
                <w:rFonts w:ascii="宋体" w:hAnsi="宋体" w:eastAsia="宋体" w:cs="宋体"/>
                <w:sz w:val="20"/>
                <w:szCs w:val="20"/>
              </w:rPr>
            </w:pPr>
            <w:r>
              <w:rPr>
                <w:rFonts w:ascii="宋体" w:hAnsi="宋体" w:eastAsia="宋体" w:cs="宋体"/>
                <w:b/>
                <w:bCs/>
                <w:spacing w:val="5"/>
                <w:sz w:val="20"/>
                <w:szCs w:val="20"/>
              </w:rPr>
              <w:t>建设地点</w:t>
            </w:r>
          </w:p>
        </w:tc>
        <w:tc>
          <w:tcPr>
            <w:tcW w:w="7251" w:type="dxa"/>
            <w:vAlign w:val="top"/>
          </w:tcPr>
          <w:p w14:paraId="04DB9705">
            <w:pPr>
              <w:spacing w:before="37" w:line="228" w:lineRule="auto"/>
              <w:ind w:left="1433"/>
              <w:rPr>
                <w:rFonts w:ascii="宋体" w:hAnsi="宋体" w:eastAsia="宋体" w:cs="宋体"/>
                <w:sz w:val="20"/>
                <w:szCs w:val="20"/>
              </w:rPr>
            </w:pPr>
            <w:r>
              <w:rPr>
                <w:rFonts w:ascii="宋体" w:hAnsi="宋体" w:eastAsia="宋体" w:cs="宋体"/>
                <w:spacing w:val="9"/>
                <w:sz w:val="20"/>
                <w:szCs w:val="20"/>
              </w:rPr>
              <w:t>云南省昆明市寻甸回族彝族自治县金所工业园区</w:t>
            </w:r>
          </w:p>
        </w:tc>
        <w:tc>
          <w:tcPr>
            <w:tcW w:w="121" w:type="dxa"/>
            <w:tcBorders>
              <w:top w:val="nil"/>
              <w:bottom w:val="nil"/>
              <w:right w:val="single" w:color="000000" w:sz="6" w:space="0"/>
            </w:tcBorders>
            <w:vAlign w:val="top"/>
          </w:tcPr>
          <w:p w14:paraId="429E35F3">
            <w:pPr>
              <w:rPr>
                <w:rFonts w:ascii="Arial"/>
                <w:sz w:val="21"/>
              </w:rPr>
            </w:pPr>
          </w:p>
        </w:tc>
      </w:tr>
      <w:tr w14:paraId="72EC7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734" w:type="dxa"/>
            <w:vMerge w:val="continue"/>
            <w:tcBorders>
              <w:top w:val="nil"/>
              <w:left w:val="single" w:color="000000" w:sz="6" w:space="0"/>
              <w:bottom w:val="nil"/>
            </w:tcBorders>
            <w:vAlign w:val="top"/>
          </w:tcPr>
          <w:p w14:paraId="72062976">
            <w:pPr>
              <w:rPr>
                <w:rFonts w:ascii="Arial"/>
                <w:sz w:val="21"/>
              </w:rPr>
            </w:pPr>
          </w:p>
        </w:tc>
        <w:tc>
          <w:tcPr>
            <w:tcW w:w="111" w:type="dxa"/>
            <w:tcBorders>
              <w:top w:val="nil"/>
              <w:bottom w:val="nil"/>
            </w:tcBorders>
            <w:vAlign w:val="top"/>
          </w:tcPr>
          <w:p w14:paraId="20100F68">
            <w:pPr>
              <w:rPr>
                <w:rFonts w:ascii="Arial"/>
                <w:sz w:val="21"/>
              </w:rPr>
            </w:pPr>
          </w:p>
        </w:tc>
        <w:tc>
          <w:tcPr>
            <w:tcW w:w="1564" w:type="dxa"/>
            <w:vAlign w:val="top"/>
          </w:tcPr>
          <w:p w14:paraId="1BEEA972">
            <w:pPr>
              <w:spacing w:before="40" w:line="228" w:lineRule="auto"/>
              <w:ind w:left="359"/>
              <w:rPr>
                <w:rFonts w:ascii="宋体" w:hAnsi="宋体" w:eastAsia="宋体" w:cs="宋体"/>
                <w:sz w:val="20"/>
                <w:szCs w:val="20"/>
              </w:rPr>
            </w:pPr>
            <w:r>
              <w:rPr>
                <w:rFonts w:ascii="宋体" w:hAnsi="宋体" w:eastAsia="宋体" w:cs="宋体"/>
                <w:b/>
                <w:bCs/>
                <w:spacing w:val="6"/>
                <w:sz w:val="20"/>
                <w:szCs w:val="20"/>
              </w:rPr>
              <w:t>地理坐标</w:t>
            </w:r>
          </w:p>
        </w:tc>
        <w:tc>
          <w:tcPr>
            <w:tcW w:w="7251" w:type="dxa"/>
            <w:vAlign w:val="top"/>
          </w:tcPr>
          <w:p w14:paraId="122E7ADD">
            <w:pPr>
              <w:spacing w:before="39" w:line="228" w:lineRule="auto"/>
              <w:ind w:left="1176"/>
              <w:rPr>
                <w:rFonts w:ascii="宋体" w:hAnsi="宋体" w:eastAsia="宋体" w:cs="宋体"/>
                <w:sz w:val="20"/>
                <w:szCs w:val="20"/>
              </w:rPr>
            </w:pPr>
            <w:r>
              <w:rPr>
                <w:rFonts w:ascii="宋体" w:hAnsi="宋体" w:eastAsia="宋体" w:cs="宋体"/>
                <w:spacing w:val="4"/>
                <w:sz w:val="20"/>
                <w:szCs w:val="20"/>
              </w:rPr>
              <w:t>（东经</w:t>
            </w:r>
            <w:r>
              <w:rPr>
                <w:rFonts w:ascii="宋体" w:hAnsi="宋体" w:eastAsia="宋体" w:cs="宋体"/>
                <w:spacing w:val="-48"/>
                <w:sz w:val="20"/>
                <w:szCs w:val="20"/>
              </w:rPr>
              <w:t xml:space="preserve"> </w:t>
            </w:r>
            <w:r>
              <w:rPr>
                <w:rFonts w:ascii="Times New Roman" w:hAnsi="Times New Roman" w:eastAsia="Times New Roman" w:cs="Times New Roman"/>
                <w:spacing w:val="-24"/>
                <w:sz w:val="20"/>
                <w:szCs w:val="20"/>
                <w:u w:val="single" w:color="auto"/>
              </w:rPr>
              <w:t xml:space="preserve"> </w:t>
            </w:r>
            <w:r>
              <w:rPr>
                <w:rFonts w:ascii="Times New Roman" w:hAnsi="Times New Roman" w:eastAsia="Times New Roman" w:cs="Times New Roman"/>
                <w:spacing w:val="4"/>
                <w:sz w:val="20"/>
                <w:szCs w:val="20"/>
                <w:u w:val="single" w:color="auto"/>
              </w:rPr>
              <w:t xml:space="preserve">103 </w:t>
            </w:r>
            <w:r>
              <w:rPr>
                <w:rFonts w:ascii="宋体" w:hAnsi="宋体" w:eastAsia="宋体" w:cs="宋体"/>
                <w:spacing w:val="4"/>
                <w:sz w:val="20"/>
                <w:szCs w:val="20"/>
              </w:rPr>
              <w:t>度</w:t>
            </w:r>
            <w:r>
              <w:rPr>
                <w:rFonts w:ascii="宋体" w:hAnsi="宋体" w:eastAsia="宋体" w:cs="宋体"/>
                <w:spacing w:val="-37"/>
                <w:sz w:val="20"/>
                <w:szCs w:val="20"/>
              </w:rPr>
              <w:t xml:space="preserve"> </w:t>
            </w:r>
            <w:r>
              <w:rPr>
                <w:rFonts w:ascii="Times New Roman" w:hAnsi="Times New Roman" w:eastAsia="Times New Roman" w:cs="Times New Roman"/>
                <w:spacing w:val="4"/>
                <w:sz w:val="20"/>
                <w:szCs w:val="20"/>
                <w:u w:val="single" w:color="auto"/>
              </w:rPr>
              <w:t xml:space="preserve">9 </w:t>
            </w:r>
            <w:r>
              <w:rPr>
                <w:rFonts w:ascii="宋体" w:hAnsi="宋体" w:eastAsia="宋体" w:cs="宋体"/>
                <w:spacing w:val="4"/>
                <w:sz w:val="20"/>
                <w:szCs w:val="20"/>
              </w:rPr>
              <w:t>分</w:t>
            </w:r>
            <w:r>
              <w:rPr>
                <w:rFonts w:ascii="宋体" w:hAnsi="宋体" w:eastAsia="宋体" w:cs="宋体"/>
                <w:spacing w:val="-41"/>
                <w:sz w:val="20"/>
                <w:szCs w:val="20"/>
              </w:rPr>
              <w:t xml:space="preserve"> </w:t>
            </w:r>
            <w:r>
              <w:rPr>
                <w:rFonts w:ascii="Times New Roman" w:hAnsi="Times New Roman" w:eastAsia="Times New Roman" w:cs="Times New Roman"/>
                <w:spacing w:val="4"/>
                <w:sz w:val="20"/>
                <w:szCs w:val="20"/>
                <w:u w:val="single" w:color="auto"/>
              </w:rPr>
              <w:t xml:space="preserve">28.794 </w:t>
            </w:r>
            <w:r>
              <w:rPr>
                <w:rFonts w:ascii="宋体" w:hAnsi="宋体" w:eastAsia="宋体" w:cs="宋体"/>
                <w:spacing w:val="4"/>
                <w:sz w:val="20"/>
                <w:szCs w:val="20"/>
              </w:rPr>
              <w:t>秒，</w:t>
            </w:r>
            <w:r>
              <w:rPr>
                <w:rFonts w:ascii="宋体" w:hAnsi="宋体" w:eastAsia="宋体" w:cs="宋体"/>
                <w:spacing w:val="3"/>
                <w:sz w:val="20"/>
                <w:szCs w:val="20"/>
              </w:rPr>
              <w:t>北纬</w:t>
            </w:r>
            <w:r>
              <w:rPr>
                <w:rFonts w:ascii="宋体" w:hAnsi="宋体" w:eastAsia="宋体" w:cs="宋体"/>
                <w:spacing w:val="-40"/>
                <w:sz w:val="20"/>
                <w:szCs w:val="20"/>
              </w:rPr>
              <w:t xml:space="preserve"> </w:t>
            </w:r>
            <w:r>
              <w:rPr>
                <w:rFonts w:ascii="Times New Roman" w:hAnsi="Times New Roman" w:eastAsia="Times New Roman" w:cs="Times New Roman"/>
                <w:spacing w:val="3"/>
                <w:sz w:val="20"/>
                <w:szCs w:val="20"/>
                <w:u w:val="single" w:color="auto"/>
              </w:rPr>
              <w:t xml:space="preserve">25 </w:t>
            </w:r>
            <w:r>
              <w:rPr>
                <w:rFonts w:ascii="宋体" w:hAnsi="宋体" w:eastAsia="宋体" w:cs="宋体"/>
                <w:spacing w:val="3"/>
                <w:sz w:val="20"/>
                <w:szCs w:val="20"/>
              </w:rPr>
              <w:t>度</w:t>
            </w:r>
            <w:r>
              <w:rPr>
                <w:rFonts w:ascii="宋体" w:hAnsi="宋体" w:eastAsia="宋体" w:cs="宋体"/>
                <w:spacing w:val="-41"/>
                <w:sz w:val="20"/>
                <w:szCs w:val="20"/>
              </w:rPr>
              <w:t xml:space="preserve"> </w:t>
            </w:r>
            <w:r>
              <w:rPr>
                <w:rFonts w:ascii="Times New Roman" w:hAnsi="Times New Roman" w:eastAsia="Times New Roman" w:cs="Times New Roman"/>
                <w:spacing w:val="3"/>
                <w:sz w:val="20"/>
                <w:szCs w:val="20"/>
                <w:u w:val="single" w:color="auto"/>
              </w:rPr>
              <w:t>27</w:t>
            </w:r>
            <w:r>
              <w:rPr>
                <w:rFonts w:ascii="Times New Roman" w:hAnsi="Times New Roman" w:eastAsia="Times New Roman" w:cs="Times New Roman"/>
                <w:spacing w:val="12"/>
                <w:w w:val="101"/>
                <w:sz w:val="20"/>
                <w:szCs w:val="20"/>
                <w:u w:val="single" w:color="auto"/>
              </w:rPr>
              <w:t xml:space="preserve"> </w:t>
            </w:r>
            <w:r>
              <w:rPr>
                <w:rFonts w:ascii="宋体" w:hAnsi="宋体" w:eastAsia="宋体" w:cs="宋体"/>
                <w:spacing w:val="3"/>
                <w:sz w:val="20"/>
                <w:szCs w:val="20"/>
              </w:rPr>
              <w:t>分</w:t>
            </w:r>
            <w:r>
              <w:rPr>
                <w:rFonts w:ascii="宋体" w:hAnsi="宋体" w:eastAsia="宋体" w:cs="宋体"/>
                <w:spacing w:val="-42"/>
                <w:sz w:val="20"/>
                <w:szCs w:val="20"/>
              </w:rPr>
              <w:t xml:space="preserve"> </w:t>
            </w:r>
            <w:r>
              <w:rPr>
                <w:rFonts w:ascii="Times New Roman" w:hAnsi="Times New Roman" w:eastAsia="Times New Roman" w:cs="Times New Roman"/>
                <w:spacing w:val="3"/>
                <w:sz w:val="20"/>
                <w:szCs w:val="20"/>
                <w:u w:val="single" w:color="auto"/>
              </w:rPr>
              <w:t xml:space="preserve">49.525 </w:t>
            </w:r>
            <w:r>
              <w:rPr>
                <w:rFonts w:ascii="宋体" w:hAnsi="宋体" w:eastAsia="宋体" w:cs="宋体"/>
                <w:spacing w:val="3"/>
                <w:sz w:val="20"/>
                <w:szCs w:val="20"/>
              </w:rPr>
              <w:t>秒）</w:t>
            </w:r>
          </w:p>
        </w:tc>
        <w:tc>
          <w:tcPr>
            <w:tcW w:w="121" w:type="dxa"/>
            <w:tcBorders>
              <w:top w:val="nil"/>
              <w:bottom w:val="nil"/>
              <w:right w:val="single" w:color="000000" w:sz="6" w:space="0"/>
            </w:tcBorders>
            <w:vAlign w:val="top"/>
          </w:tcPr>
          <w:p w14:paraId="042EA698">
            <w:pPr>
              <w:rPr>
                <w:rFonts w:ascii="Arial"/>
                <w:sz w:val="21"/>
              </w:rPr>
            </w:pPr>
          </w:p>
        </w:tc>
      </w:tr>
      <w:tr w14:paraId="0E8F5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34" w:type="dxa"/>
            <w:vMerge w:val="continue"/>
            <w:tcBorders>
              <w:top w:val="nil"/>
              <w:left w:val="single" w:color="000000" w:sz="6" w:space="0"/>
              <w:bottom w:val="nil"/>
            </w:tcBorders>
            <w:vAlign w:val="top"/>
          </w:tcPr>
          <w:p w14:paraId="6489241F">
            <w:pPr>
              <w:rPr>
                <w:rFonts w:ascii="Arial"/>
                <w:sz w:val="21"/>
              </w:rPr>
            </w:pPr>
          </w:p>
        </w:tc>
        <w:tc>
          <w:tcPr>
            <w:tcW w:w="111" w:type="dxa"/>
            <w:tcBorders>
              <w:top w:val="nil"/>
              <w:bottom w:val="nil"/>
            </w:tcBorders>
            <w:vAlign w:val="top"/>
          </w:tcPr>
          <w:p w14:paraId="5831764E">
            <w:pPr>
              <w:rPr>
                <w:rFonts w:ascii="Arial"/>
                <w:sz w:val="21"/>
              </w:rPr>
            </w:pPr>
          </w:p>
        </w:tc>
        <w:tc>
          <w:tcPr>
            <w:tcW w:w="1564" w:type="dxa"/>
            <w:vAlign w:val="top"/>
          </w:tcPr>
          <w:p w14:paraId="7D2CD0CA">
            <w:pPr>
              <w:spacing w:before="39" w:line="307" w:lineRule="auto"/>
              <w:ind w:left="572" w:right="50" w:hanging="528"/>
              <w:rPr>
                <w:rFonts w:ascii="宋体" w:hAnsi="宋体" w:eastAsia="宋体" w:cs="宋体"/>
                <w:sz w:val="20"/>
                <w:szCs w:val="20"/>
              </w:rPr>
            </w:pPr>
            <w:r>
              <w:rPr>
                <w:rFonts w:ascii="宋体" w:hAnsi="宋体" w:eastAsia="宋体" w:cs="宋体"/>
                <w:b/>
                <w:bCs/>
                <w:spacing w:val="7"/>
                <w:sz w:val="20"/>
                <w:szCs w:val="20"/>
              </w:rPr>
              <w:t>主要危险</w:t>
            </w:r>
            <w:r>
              <w:rPr>
                <w:rFonts w:ascii="微软雅黑" w:hAnsi="微软雅黑" w:eastAsia="微软雅黑" w:cs="微软雅黑"/>
                <w:b/>
                <w:bCs/>
                <w:spacing w:val="7"/>
                <w:sz w:val="20"/>
                <w:szCs w:val="20"/>
              </w:rPr>
              <w:t>物</w:t>
            </w:r>
            <w:r>
              <w:rPr>
                <w:rFonts w:ascii="宋体" w:hAnsi="宋体" w:eastAsia="宋体" w:cs="宋体"/>
                <w:b/>
                <w:bCs/>
                <w:spacing w:val="7"/>
                <w:sz w:val="20"/>
                <w:szCs w:val="20"/>
              </w:rPr>
              <w:t>质及</w:t>
            </w:r>
            <w:r>
              <w:rPr>
                <w:rFonts w:ascii="宋体" w:hAnsi="宋体" w:eastAsia="宋体" w:cs="宋体"/>
                <w:b/>
                <w:bCs/>
                <w:spacing w:val="2"/>
                <w:sz w:val="20"/>
                <w:szCs w:val="20"/>
              </w:rPr>
              <w:t>分布</w:t>
            </w:r>
          </w:p>
        </w:tc>
        <w:tc>
          <w:tcPr>
            <w:tcW w:w="7251" w:type="dxa"/>
            <w:vAlign w:val="top"/>
          </w:tcPr>
          <w:p w14:paraId="6FE328AF">
            <w:pPr>
              <w:spacing w:before="242" w:line="192" w:lineRule="auto"/>
              <w:ind w:left="1956"/>
              <w:rPr>
                <w:rFonts w:ascii="宋体" w:hAnsi="宋体" w:eastAsia="宋体" w:cs="宋体"/>
                <w:sz w:val="20"/>
                <w:szCs w:val="20"/>
              </w:rPr>
            </w:pPr>
            <w:r>
              <w:rPr>
                <w:rFonts w:ascii="宋体" w:hAnsi="宋体" w:eastAsia="宋体" w:cs="宋体"/>
                <w:spacing w:val="9"/>
                <w:sz w:val="20"/>
                <w:szCs w:val="20"/>
              </w:rPr>
              <w:t>危</w:t>
            </w:r>
            <w:r>
              <w:rPr>
                <w:rFonts w:ascii="微软雅黑" w:hAnsi="微软雅黑" w:eastAsia="微软雅黑" w:cs="微软雅黑"/>
                <w:spacing w:val="9"/>
                <w:sz w:val="20"/>
                <w:szCs w:val="20"/>
              </w:rPr>
              <w:t>废</w:t>
            </w:r>
            <w:r>
              <w:rPr>
                <w:rFonts w:ascii="宋体" w:hAnsi="宋体" w:eastAsia="宋体" w:cs="宋体"/>
                <w:spacing w:val="9"/>
                <w:sz w:val="20"/>
                <w:szCs w:val="20"/>
              </w:rPr>
              <w:t>贮存库、</w:t>
            </w:r>
            <w:r>
              <w:rPr>
                <w:rFonts w:ascii="微软雅黑" w:hAnsi="微软雅黑" w:eastAsia="微软雅黑" w:cs="微软雅黑"/>
                <w:spacing w:val="9"/>
                <w:sz w:val="20"/>
                <w:szCs w:val="20"/>
              </w:rPr>
              <w:t>废气</w:t>
            </w:r>
            <w:r>
              <w:rPr>
                <w:rFonts w:ascii="宋体" w:hAnsi="宋体" w:eastAsia="宋体" w:cs="宋体"/>
                <w:spacing w:val="9"/>
                <w:sz w:val="20"/>
                <w:szCs w:val="20"/>
              </w:rPr>
              <w:t>处理设施、原料仓库等</w:t>
            </w:r>
          </w:p>
        </w:tc>
        <w:tc>
          <w:tcPr>
            <w:tcW w:w="121" w:type="dxa"/>
            <w:tcBorders>
              <w:top w:val="nil"/>
              <w:bottom w:val="nil"/>
              <w:right w:val="single" w:color="000000" w:sz="6" w:space="0"/>
            </w:tcBorders>
            <w:vAlign w:val="top"/>
          </w:tcPr>
          <w:p w14:paraId="4758EED0">
            <w:pPr>
              <w:rPr>
                <w:rFonts w:ascii="Arial"/>
                <w:sz w:val="21"/>
              </w:rPr>
            </w:pPr>
          </w:p>
        </w:tc>
      </w:tr>
      <w:tr w14:paraId="380D1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34" w:type="dxa"/>
            <w:vMerge w:val="continue"/>
            <w:tcBorders>
              <w:top w:val="nil"/>
              <w:left w:val="single" w:color="000000" w:sz="6" w:space="0"/>
              <w:bottom w:val="nil"/>
            </w:tcBorders>
            <w:vAlign w:val="top"/>
          </w:tcPr>
          <w:p w14:paraId="5F8C2BBE">
            <w:pPr>
              <w:rPr>
                <w:rFonts w:ascii="Arial"/>
                <w:sz w:val="21"/>
              </w:rPr>
            </w:pPr>
          </w:p>
        </w:tc>
        <w:tc>
          <w:tcPr>
            <w:tcW w:w="111" w:type="dxa"/>
            <w:tcBorders>
              <w:top w:val="nil"/>
              <w:bottom w:val="nil"/>
            </w:tcBorders>
            <w:vAlign w:val="top"/>
          </w:tcPr>
          <w:p w14:paraId="06D49E09">
            <w:pPr>
              <w:rPr>
                <w:rFonts w:ascii="Arial"/>
                <w:sz w:val="21"/>
              </w:rPr>
            </w:pPr>
          </w:p>
        </w:tc>
        <w:tc>
          <w:tcPr>
            <w:tcW w:w="1564" w:type="dxa"/>
            <w:vAlign w:val="top"/>
          </w:tcPr>
          <w:p w14:paraId="22EC4F6B">
            <w:pPr>
              <w:spacing w:before="37" w:line="357" w:lineRule="auto"/>
              <w:ind w:left="361" w:right="50" w:hanging="319"/>
              <w:rPr>
                <w:rFonts w:ascii="宋体" w:hAnsi="宋体" w:eastAsia="宋体" w:cs="宋体"/>
                <w:sz w:val="20"/>
                <w:szCs w:val="20"/>
              </w:rPr>
            </w:pPr>
            <w:r>
              <w:rPr>
                <w:rFonts w:ascii="宋体" w:hAnsi="宋体" w:eastAsia="宋体" w:cs="宋体"/>
                <w:b/>
                <w:bCs/>
                <w:spacing w:val="7"/>
                <w:sz w:val="20"/>
                <w:szCs w:val="20"/>
              </w:rPr>
              <w:t>环境影响途径及</w:t>
            </w:r>
            <w:r>
              <w:rPr>
                <w:rFonts w:ascii="宋体" w:hAnsi="宋体" w:eastAsia="宋体" w:cs="宋体"/>
                <w:b/>
                <w:bCs/>
                <w:spacing w:val="5"/>
                <w:sz w:val="20"/>
                <w:szCs w:val="20"/>
              </w:rPr>
              <w:t>危害后果</w:t>
            </w:r>
          </w:p>
        </w:tc>
        <w:tc>
          <w:tcPr>
            <w:tcW w:w="7251" w:type="dxa"/>
            <w:vAlign w:val="top"/>
          </w:tcPr>
          <w:p w14:paraId="462E5337">
            <w:pPr>
              <w:spacing w:before="241" w:line="228" w:lineRule="auto"/>
              <w:ind w:left="3322"/>
              <w:rPr>
                <w:rFonts w:ascii="宋体" w:hAnsi="宋体" w:eastAsia="宋体" w:cs="宋体"/>
                <w:sz w:val="20"/>
                <w:szCs w:val="20"/>
              </w:rPr>
            </w:pPr>
            <w:r>
              <w:rPr>
                <w:rFonts w:ascii="宋体" w:hAnsi="宋体" w:eastAsia="宋体" w:cs="宋体"/>
                <w:spacing w:val="7"/>
                <w:sz w:val="20"/>
                <w:szCs w:val="20"/>
              </w:rPr>
              <w:t>泄漏、火灾</w:t>
            </w:r>
          </w:p>
        </w:tc>
        <w:tc>
          <w:tcPr>
            <w:tcW w:w="121" w:type="dxa"/>
            <w:tcBorders>
              <w:top w:val="nil"/>
              <w:bottom w:val="nil"/>
              <w:right w:val="single" w:color="000000" w:sz="6" w:space="0"/>
            </w:tcBorders>
            <w:vAlign w:val="top"/>
          </w:tcPr>
          <w:p w14:paraId="009C7CA1">
            <w:pPr>
              <w:rPr>
                <w:rFonts w:ascii="Arial"/>
                <w:sz w:val="21"/>
              </w:rPr>
            </w:pPr>
          </w:p>
        </w:tc>
      </w:tr>
      <w:tr w14:paraId="286FB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9" w:hRule="atLeast"/>
        </w:trPr>
        <w:tc>
          <w:tcPr>
            <w:tcW w:w="734" w:type="dxa"/>
            <w:vMerge w:val="continue"/>
            <w:tcBorders>
              <w:top w:val="nil"/>
              <w:left w:val="single" w:color="000000" w:sz="6" w:space="0"/>
              <w:bottom w:val="single" w:color="000000" w:sz="6" w:space="0"/>
            </w:tcBorders>
            <w:vAlign w:val="top"/>
          </w:tcPr>
          <w:p w14:paraId="28D50967">
            <w:pPr>
              <w:rPr>
                <w:rFonts w:ascii="Arial"/>
                <w:sz w:val="21"/>
              </w:rPr>
            </w:pPr>
          </w:p>
        </w:tc>
        <w:tc>
          <w:tcPr>
            <w:tcW w:w="111" w:type="dxa"/>
            <w:tcBorders>
              <w:top w:val="nil"/>
              <w:bottom w:val="single" w:color="000000" w:sz="6" w:space="0"/>
            </w:tcBorders>
            <w:vAlign w:val="top"/>
          </w:tcPr>
          <w:p w14:paraId="68671C02">
            <w:pPr>
              <w:rPr>
                <w:rFonts w:ascii="Arial"/>
                <w:sz w:val="21"/>
              </w:rPr>
            </w:pPr>
          </w:p>
        </w:tc>
        <w:tc>
          <w:tcPr>
            <w:tcW w:w="1564" w:type="dxa"/>
            <w:tcBorders>
              <w:bottom w:val="single" w:color="000000" w:sz="6" w:space="0"/>
            </w:tcBorders>
            <w:vAlign w:val="top"/>
          </w:tcPr>
          <w:p w14:paraId="481141A3">
            <w:pPr>
              <w:spacing w:line="250" w:lineRule="auto"/>
              <w:rPr>
                <w:rFonts w:ascii="Arial"/>
                <w:sz w:val="21"/>
              </w:rPr>
            </w:pPr>
          </w:p>
          <w:p w14:paraId="1A949E57">
            <w:pPr>
              <w:spacing w:line="250" w:lineRule="auto"/>
              <w:rPr>
                <w:rFonts w:ascii="Arial"/>
                <w:sz w:val="21"/>
              </w:rPr>
            </w:pPr>
          </w:p>
          <w:p w14:paraId="6C953FFD">
            <w:pPr>
              <w:spacing w:line="250" w:lineRule="auto"/>
              <w:rPr>
                <w:rFonts w:ascii="Arial"/>
                <w:sz w:val="21"/>
              </w:rPr>
            </w:pPr>
          </w:p>
          <w:p w14:paraId="5D4576A6">
            <w:pPr>
              <w:spacing w:line="250" w:lineRule="auto"/>
              <w:rPr>
                <w:rFonts w:ascii="Arial"/>
                <w:sz w:val="21"/>
              </w:rPr>
            </w:pPr>
          </w:p>
          <w:p w14:paraId="0710A99A">
            <w:pPr>
              <w:spacing w:line="251" w:lineRule="auto"/>
              <w:rPr>
                <w:rFonts w:ascii="Arial"/>
                <w:sz w:val="21"/>
              </w:rPr>
            </w:pPr>
          </w:p>
          <w:p w14:paraId="065929EA">
            <w:pPr>
              <w:spacing w:line="251" w:lineRule="auto"/>
              <w:rPr>
                <w:rFonts w:ascii="Arial"/>
                <w:sz w:val="21"/>
              </w:rPr>
            </w:pPr>
          </w:p>
          <w:p w14:paraId="577198EF">
            <w:pPr>
              <w:spacing w:line="251" w:lineRule="auto"/>
              <w:rPr>
                <w:rFonts w:ascii="Arial"/>
                <w:sz w:val="21"/>
              </w:rPr>
            </w:pPr>
          </w:p>
          <w:p w14:paraId="128211BE">
            <w:pPr>
              <w:spacing w:line="251" w:lineRule="auto"/>
              <w:rPr>
                <w:rFonts w:ascii="Arial"/>
                <w:sz w:val="21"/>
              </w:rPr>
            </w:pPr>
          </w:p>
          <w:p w14:paraId="6C9D08AB">
            <w:pPr>
              <w:spacing w:before="65" w:line="379" w:lineRule="auto"/>
              <w:ind w:left="677" w:right="50" w:hanging="634"/>
              <w:rPr>
                <w:rFonts w:ascii="宋体" w:hAnsi="宋体" w:eastAsia="宋体" w:cs="宋体"/>
                <w:sz w:val="20"/>
                <w:szCs w:val="20"/>
              </w:rPr>
            </w:pPr>
            <w:r>
              <w:rPr>
                <w:rFonts w:ascii="宋体" w:hAnsi="宋体" w:eastAsia="宋体" w:cs="宋体"/>
                <w:b/>
                <w:bCs/>
                <w:spacing w:val="7"/>
                <w:sz w:val="20"/>
                <w:szCs w:val="20"/>
              </w:rPr>
              <w:t>风险防范措施要</w:t>
            </w:r>
            <w:r>
              <w:rPr>
                <w:rFonts w:ascii="宋体" w:hAnsi="宋体" w:eastAsia="宋体" w:cs="宋体"/>
                <w:b/>
                <w:bCs/>
                <w:spacing w:val="-3"/>
                <w:sz w:val="20"/>
                <w:szCs w:val="20"/>
              </w:rPr>
              <w:t>求</w:t>
            </w:r>
          </w:p>
        </w:tc>
        <w:tc>
          <w:tcPr>
            <w:tcW w:w="7251" w:type="dxa"/>
            <w:tcBorders>
              <w:bottom w:val="single" w:color="000000" w:sz="6" w:space="0"/>
            </w:tcBorders>
            <w:vAlign w:val="top"/>
          </w:tcPr>
          <w:p w14:paraId="3560DF05">
            <w:pPr>
              <w:spacing w:before="40" w:line="377" w:lineRule="auto"/>
              <w:ind w:left="8" w:hanging="2"/>
              <w:rPr>
                <w:rFonts w:ascii="宋体" w:hAnsi="宋体" w:eastAsia="宋体" w:cs="宋体"/>
                <w:sz w:val="20"/>
                <w:szCs w:val="20"/>
              </w:rPr>
            </w:pPr>
            <w:r>
              <w:rPr>
                <w:rFonts w:ascii="宋体" w:hAnsi="宋体" w:eastAsia="宋体" w:cs="宋体"/>
                <w:spacing w:val="5"/>
                <w:sz w:val="20"/>
                <w:szCs w:val="20"/>
              </w:rPr>
              <w:t>①按照《危险废物贮存污染控制标准》要求，废机油采用专用的容器存放，收集</w:t>
            </w:r>
            <w:r>
              <w:rPr>
                <w:rFonts w:ascii="宋体" w:hAnsi="宋体" w:eastAsia="宋体" w:cs="宋体"/>
                <w:spacing w:val="1"/>
                <w:sz w:val="20"/>
                <w:szCs w:val="20"/>
              </w:rPr>
              <w:t>后置于危废间相应区域内，防止风吹雨淋和日晒。危废间设立危险废物警示标志，</w:t>
            </w:r>
            <w:r>
              <w:rPr>
                <w:rFonts w:ascii="宋体" w:hAnsi="宋体" w:eastAsia="宋体" w:cs="宋体"/>
                <w:spacing w:val="5"/>
                <w:sz w:val="20"/>
                <w:szCs w:val="20"/>
              </w:rPr>
              <w:t>由专人进行管理，严格落实危险固废转移台账管理，做到每一笔危险固废的去向</w:t>
            </w:r>
            <w:r>
              <w:rPr>
                <w:rFonts w:ascii="宋体" w:hAnsi="宋体" w:eastAsia="宋体" w:cs="宋体"/>
                <w:spacing w:val="7"/>
                <w:sz w:val="20"/>
                <w:szCs w:val="20"/>
              </w:rPr>
              <w:t>都有台账记录，包括厂区内部的和行政管理部门的。</w:t>
            </w:r>
          </w:p>
          <w:p w14:paraId="30E458C7">
            <w:pPr>
              <w:spacing w:before="1" w:line="376" w:lineRule="auto"/>
              <w:ind w:left="5"/>
              <w:rPr>
                <w:rFonts w:ascii="宋体" w:hAnsi="宋体" w:eastAsia="宋体" w:cs="宋体"/>
                <w:sz w:val="20"/>
                <w:szCs w:val="20"/>
              </w:rPr>
            </w:pPr>
            <w:r>
              <w:rPr>
                <w:rFonts w:ascii="宋体" w:hAnsi="宋体" w:eastAsia="宋体" w:cs="宋体"/>
                <w:spacing w:val="7"/>
                <w:sz w:val="20"/>
                <w:szCs w:val="20"/>
              </w:rPr>
              <w:t>②危险废物暂存场所设置堵截泄漏的裙脚，地面进行防渗处理，危</w:t>
            </w:r>
            <w:r>
              <w:rPr>
                <w:rFonts w:ascii="宋体" w:hAnsi="宋体" w:eastAsia="宋体" w:cs="宋体"/>
                <w:spacing w:val="6"/>
                <w:sz w:val="20"/>
                <w:szCs w:val="20"/>
              </w:rPr>
              <w:t>废暂存场所危</w:t>
            </w:r>
            <w:r>
              <w:rPr>
                <w:rFonts w:ascii="宋体" w:hAnsi="宋体" w:eastAsia="宋体" w:cs="宋体"/>
                <w:spacing w:val="11"/>
                <w:sz w:val="20"/>
                <w:szCs w:val="20"/>
              </w:rPr>
              <w:t>废暂存间地面做防渗，防渗层为至少</w:t>
            </w:r>
            <w:r>
              <w:rPr>
                <w:rFonts w:ascii="宋体" w:hAnsi="宋体" w:eastAsia="宋体" w:cs="宋体"/>
                <w:spacing w:val="-28"/>
                <w:sz w:val="20"/>
                <w:szCs w:val="20"/>
              </w:rPr>
              <w:t xml:space="preserve"> </w:t>
            </w:r>
            <w:r>
              <w:rPr>
                <w:rFonts w:ascii="Times New Roman" w:hAnsi="Times New Roman" w:eastAsia="Times New Roman" w:cs="Times New Roman"/>
                <w:spacing w:val="11"/>
                <w:sz w:val="20"/>
                <w:szCs w:val="20"/>
              </w:rPr>
              <w:t>2</w:t>
            </w:r>
            <w:r>
              <w:rPr>
                <w:rFonts w:ascii="Times New Roman" w:hAnsi="Times New Roman" w:eastAsia="Times New Roman" w:cs="Times New Roman"/>
                <w:sz w:val="20"/>
                <w:szCs w:val="20"/>
              </w:rPr>
              <w:t>mm</w:t>
            </w:r>
            <w:r>
              <w:rPr>
                <w:rFonts w:ascii="Times New Roman" w:hAnsi="Times New Roman" w:eastAsia="Times New Roman" w:cs="Times New Roman"/>
                <w:spacing w:val="22"/>
                <w:sz w:val="20"/>
                <w:szCs w:val="20"/>
              </w:rPr>
              <w:t xml:space="preserve"> </w:t>
            </w:r>
            <w:r>
              <w:rPr>
                <w:rFonts w:ascii="宋体" w:hAnsi="宋体" w:eastAsia="宋体" w:cs="宋体"/>
                <w:spacing w:val="11"/>
                <w:sz w:val="20"/>
                <w:szCs w:val="20"/>
              </w:rPr>
              <w:t>厚高密度聚乙烯，或至少</w:t>
            </w:r>
            <w:r>
              <w:rPr>
                <w:rFonts w:ascii="宋体" w:hAnsi="宋体" w:eastAsia="宋体" w:cs="宋体"/>
                <w:spacing w:val="-41"/>
                <w:sz w:val="20"/>
                <w:szCs w:val="20"/>
              </w:rPr>
              <w:t xml:space="preserve"> </w:t>
            </w:r>
            <w:r>
              <w:rPr>
                <w:rFonts w:ascii="Times New Roman" w:hAnsi="Times New Roman" w:eastAsia="Times New Roman" w:cs="Times New Roman"/>
                <w:spacing w:val="11"/>
                <w:sz w:val="20"/>
                <w:szCs w:val="20"/>
              </w:rPr>
              <w:t>2</w:t>
            </w:r>
            <w:r>
              <w:rPr>
                <w:rFonts w:ascii="Times New Roman" w:hAnsi="Times New Roman" w:eastAsia="Times New Roman" w:cs="Times New Roman"/>
                <w:sz w:val="20"/>
                <w:szCs w:val="20"/>
              </w:rPr>
              <w:t>mm</w:t>
            </w:r>
            <w:r>
              <w:rPr>
                <w:rFonts w:ascii="Times New Roman" w:hAnsi="Times New Roman" w:eastAsia="Times New Roman" w:cs="Times New Roman"/>
                <w:spacing w:val="22"/>
                <w:sz w:val="20"/>
                <w:szCs w:val="20"/>
              </w:rPr>
              <w:t xml:space="preserve"> </w:t>
            </w:r>
            <w:r>
              <w:rPr>
                <w:rFonts w:ascii="宋体" w:hAnsi="宋体" w:eastAsia="宋体" w:cs="宋体"/>
                <w:spacing w:val="11"/>
                <w:sz w:val="20"/>
                <w:szCs w:val="20"/>
              </w:rPr>
              <w:t>厚的</w:t>
            </w:r>
            <w:r>
              <w:rPr>
                <w:rFonts w:ascii="宋体" w:hAnsi="宋体" w:eastAsia="宋体" w:cs="宋体"/>
                <w:spacing w:val="6"/>
                <w:sz w:val="20"/>
                <w:szCs w:val="20"/>
              </w:rPr>
              <w:t>其它人工材料，渗透系数</w:t>
            </w:r>
            <w:r>
              <w:rPr>
                <w:rFonts w:ascii="Times New Roman" w:hAnsi="Times New Roman" w:eastAsia="Times New Roman" w:cs="Times New Roman"/>
                <w:spacing w:val="6"/>
                <w:sz w:val="20"/>
                <w:szCs w:val="20"/>
              </w:rPr>
              <w:t>≤10</w:t>
            </w:r>
            <w:r>
              <w:rPr>
                <w:rFonts w:ascii="Times New Roman" w:hAnsi="Times New Roman" w:eastAsia="Times New Roman" w:cs="Times New Roman"/>
                <w:spacing w:val="6"/>
                <w:position w:val="6"/>
                <w:sz w:val="13"/>
                <w:szCs w:val="13"/>
              </w:rPr>
              <w:t>-10</w:t>
            </w:r>
            <w:r>
              <w:rPr>
                <w:rFonts w:ascii="Times New Roman" w:hAnsi="Times New Roman" w:eastAsia="Times New Roman" w:cs="Times New Roman"/>
                <w:sz w:val="20"/>
                <w:szCs w:val="20"/>
              </w:rPr>
              <w:t>cm</w:t>
            </w:r>
            <w:r>
              <w:rPr>
                <w:rFonts w:ascii="Times New Roman" w:hAnsi="Times New Roman" w:eastAsia="Times New Roman" w:cs="Times New Roman"/>
                <w:spacing w:val="6"/>
                <w:sz w:val="20"/>
                <w:szCs w:val="20"/>
              </w:rPr>
              <w:t>/s</w:t>
            </w:r>
            <w:r>
              <w:rPr>
                <w:rFonts w:ascii="宋体" w:hAnsi="宋体" w:eastAsia="宋体" w:cs="宋体"/>
                <w:spacing w:val="6"/>
                <w:sz w:val="20"/>
                <w:szCs w:val="20"/>
              </w:rPr>
              <w:t>。</w:t>
            </w:r>
          </w:p>
          <w:p w14:paraId="5035E8BA">
            <w:pPr>
              <w:spacing w:before="1" w:line="377" w:lineRule="auto"/>
              <w:ind w:left="6" w:hanging="1"/>
              <w:rPr>
                <w:rFonts w:ascii="宋体" w:hAnsi="宋体" w:eastAsia="宋体" w:cs="宋体"/>
                <w:sz w:val="20"/>
                <w:szCs w:val="20"/>
              </w:rPr>
            </w:pPr>
            <w:r>
              <w:rPr>
                <w:rFonts w:ascii="宋体" w:hAnsi="宋体" w:eastAsia="宋体" w:cs="宋体"/>
                <w:spacing w:val="7"/>
                <w:sz w:val="20"/>
                <w:szCs w:val="20"/>
              </w:rPr>
              <w:t>③对装有废机油的容器进行定期检查，容器泄漏损坏时必须立即处</w:t>
            </w:r>
            <w:r>
              <w:rPr>
                <w:rFonts w:ascii="宋体" w:hAnsi="宋体" w:eastAsia="宋体" w:cs="宋体"/>
                <w:spacing w:val="6"/>
                <w:sz w:val="20"/>
                <w:szCs w:val="20"/>
              </w:rPr>
              <w:t>理，并将危废</w:t>
            </w:r>
            <w:r>
              <w:rPr>
                <w:rFonts w:ascii="宋体" w:hAnsi="宋体" w:eastAsia="宋体" w:cs="宋体"/>
                <w:spacing w:val="9"/>
                <w:sz w:val="20"/>
                <w:szCs w:val="20"/>
              </w:rPr>
              <w:t>装入完好容器内，同时危险废物储存区设置警示标牌。</w:t>
            </w:r>
          </w:p>
          <w:p w14:paraId="5E79FB83">
            <w:pPr>
              <w:spacing w:before="3" w:line="372" w:lineRule="auto"/>
              <w:ind w:left="7" w:hanging="2"/>
              <w:rPr>
                <w:rFonts w:ascii="宋体" w:hAnsi="宋体" w:eastAsia="宋体" w:cs="宋体"/>
                <w:sz w:val="20"/>
                <w:szCs w:val="20"/>
              </w:rPr>
            </w:pPr>
            <w:r>
              <w:rPr>
                <w:rFonts w:ascii="宋体" w:hAnsi="宋体" w:eastAsia="宋体" w:cs="宋体"/>
                <w:spacing w:val="7"/>
                <w:sz w:val="20"/>
                <w:szCs w:val="20"/>
              </w:rPr>
              <w:t>④所有包装袋、桶必须贴上危险废物标签，危险废物标签上文字字</w:t>
            </w:r>
            <w:r>
              <w:rPr>
                <w:rFonts w:ascii="宋体" w:hAnsi="宋体" w:eastAsia="宋体" w:cs="宋体"/>
                <w:spacing w:val="6"/>
                <w:sz w:val="20"/>
                <w:szCs w:val="20"/>
              </w:rPr>
              <w:t>体为黑体、底</w:t>
            </w:r>
            <w:r>
              <w:rPr>
                <w:rFonts w:ascii="宋体" w:hAnsi="宋体" w:eastAsia="宋体" w:cs="宋体"/>
                <w:spacing w:val="7"/>
                <w:sz w:val="20"/>
                <w:szCs w:val="20"/>
              </w:rPr>
              <w:t>色为醒目的桔黄色，稳妥贴附在包装袋、桶适当位置，使其</w:t>
            </w:r>
            <w:r>
              <w:rPr>
                <w:rFonts w:ascii="宋体" w:hAnsi="宋体" w:eastAsia="宋体" w:cs="宋体"/>
                <w:spacing w:val="6"/>
                <w:sz w:val="20"/>
                <w:szCs w:val="20"/>
              </w:rPr>
              <w:t>清晰易读。危险废物</w:t>
            </w:r>
            <w:r>
              <w:rPr>
                <w:rFonts w:ascii="宋体" w:hAnsi="宋体" w:eastAsia="宋体" w:cs="宋体"/>
                <w:spacing w:val="7"/>
                <w:sz w:val="20"/>
                <w:szCs w:val="20"/>
              </w:rPr>
              <w:t>标签要提供下列说明：</w:t>
            </w:r>
            <w:r>
              <w:rPr>
                <w:rFonts w:ascii="Times New Roman" w:hAnsi="Times New Roman" w:eastAsia="Times New Roman" w:cs="Times New Roman"/>
                <w:spacing w:val="7"/>
                <w:sz w:val="20"/>
                <w:szCs w:val="20"/>
              </w:rPr>
              <w:t>“</w:t>
            </w:r>
            <w:r>
              <w:rPr>
                <w:rFonts w:ascii="宋体" w:hAnsi="宋体" w:eastAsia="宋体" w:cs="宋体"/>
                <w:spacing w:val="7"/>
                <w:sz w:val="20"/>
                <w:szCs w:val="20"/>
              </w:rPr>
              <w:t>危险废物</w:t>
            </w:r>
            <w:r>
              <w:rPr>
                <w:rFonts w:ascii="Times New Roman" w:hAnsi="Times New Roman" w:eastAsia="Times New Roman" w:cs="Times New Roman"/>
                <w:spacing w:val="7"/>
                <w:sz w:val="20"/>
                <w:szCs w:val="20"/>
              </w:rPr>
              <w:t>”</w:t>
            </w:r>
            <w:r>
              <w:rPr>
                <w:rFonts w:ascii="宋体" w:hAnsi="宋体" w:eastAsia="宋体" w:cs="宋体"/>
                <w:spacing w:val="7"/>
                <w:sz w:val="20"/>
                <w:szCs w:val="20"/>
              </w:rPr>
              <w:t>字样、危险废物产生单位名称、联系人、联系</w:t>
            </w:r>
          </w:p>
        </w:tc>
        <w:tc>
          <w:tcPr>
            <w:tcW w:w="121" w:type="dxa"/>
            <w:tcBorders>
              <w:top w:val="nil"/>
              <w:bottom w:val="single" w:color="000000" w:sz="6" w:space="0"/>
              <w:right w:val="single" w:color="000000" w:sz="6" w:space="0"/>
            </w:tcBorders>
            <w:vAlign w:val="top"/>
          </w:tcPr>
          <w:p w14:paraId="30681AB7">
            <w:pPr>
              <w:rPr>
                <w:rFonts w:ascii="Arial"/>
                <w:sz w:val="21"/>
              </w:rPr>
            </w:pPr>
          </w:p>
        </w:tc>
      </w:tr>
    </w:tbl>
    <w:p w14:paraId="5EBCF04A">
      <w:pPr>
        <w:pStyle w:val="2"/>
      </w:pPr>
    </w:p>
    <w:p w14:paraId="38A29F54">
      <w:pPr>
        <w:sectPr>
          <w:footerReference r:id="rId111" w:type="default"/>
          <w:pgSz w:w="11906" w:h="16839"/>
          <w:pgMar w:top="400" w:right="1055" w:bottom="1085" w:left="1054" w:header="0" w:footer="762" w:gutter="0"/>
          <w:cols w:space="720" w:num="1"/>
        </w:sectPr>
      </w:pPr>
    </w:p>
    <w:p w14:paraId="60D082A1">
      <w:pPr>
        <w:spacing w:before="19"/>
      </w:pPr>
    </w:p>
    <w:p w14:paraId="07DDBAAE">
      <w:pPr>
        <w:spacing w:before="19"/>
      </w:pPr>
    </w:p>
    <w:p w14:paraId="2516914F">
      <w:pPr>
        <w:spacing w:before="19"/>
      </w:pPr>
    </w:p>
    <w:p w14:paraId="25DA755A">
      <w:pPr>
        <w:spacing w:before="18"/>
      </w:pPr>
    </w:p>
    <w:p w14:paraId="2497A002">
      <w:pPr>
        <w:spacing w:before="18"/>
      </w:pPr>
    </w:p>
    <w:tbl>
      <w:tblPr>
        <w:tblStyle w:val="10"/>
        <w:tblW w:w="978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5"/>
        <w:gridCol w:w="117"/>
        <w:gridCol w:w="477"/>
        <w:gridCol w:w="1086"/>
        <w:gridCol w:w="556"/>
        <w:gridCol w:w="1248"/>
        <w:gridCol w:w="1010"/>
        <w:gridCol w:w="812"/>
        <w:gridCol w:w="1073"/>
        <w:gridCol w:w="1356"/>
        <w:gridCol w:w="1179"/>
        <w:gridCol w:w="132"/>
      </w:tblGrid>
      <w:tr w14:paraId="3A72B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8" w:hRule="atLeast"/>
        </w:trPr>
        <w:tc>
          <w:tcPr>
            <w:tcW w:w="735" w:type="dxa"/>
            <w:vMerge w:val="restart"/>
            <w:tcBorders>
              <w:top w:val="single" w:color="000000" w:sz="6" w:space="0"/>
              <w:left w:val="single" w:color="000000" w:sz="6" w:space="0"/>
              <w:bottom w:val="nil"/>
            </w:tcBorders>
            <w:vAlign w:val="top"/>
          </w:tcPr>
          <w:p w14:paraId="2FDAC13F">
            <w:pPr>
              <w:rPr>
                <w:rFonts w:ascii="Arial"/>
                <w:sz w:val="21"/>
              </w:rPr>
            </w:pPr>
          </w:p>
        </w:tc>
        <w:tc>
          <w:tcPr>
            <w:tcW w:w="117" w:type="dxa"/>
            <w:tcBorders>
              <w:top w:val="single" w:color="000000" w:sz="6" w:space="0"/>
              <w:bottom w:val="nil"/>
            </w:tcBorders>
            <w:vAlign w:val="top"/>
          </w:tcPr>
          <w:p w14:paraId="2D311788">
            <w:pPr>
              <w:rPr>
                <w:rFonts w:ascii="Arial"/>
                <w:sz w:val="21"/>
              </w:rPr>
            </w:pPr>
          </w:p>
        </w:tc>
        <w:tc>
          <w:tcPr>
            <w:tcW w:w="1563" w:type="dxa"/>
            <w:gridSpan w:val="2"/>
            <w:tcBorders>
              <w:top w:val="single" w:color="000000" w:sz="6" w:space="0"/>
            </w:tcBorders>
            <w:vAlign w:val="top"/>
          </w:tcPr>
          <w:p w14:paraId="5B0FCEF8">
            <w:pPr>
              <w:rPr>
                <w:rFonts w:ascii="Arial"/>
                <w:sz w:val="21"/>
              </w:rPr>
            </w:pPr>
          </w:p>
        </w:tc>
        <w:tc>
          <w:tcPr>
            <w:tcW w:w="7234" w:type="dxa"/>
            <w:gridSpan w:val="7"/>
            <w:tcBorders>
              <w:top w:val="single" w:color="000000" w:sz="6" w:space="0"/>
            </w:tcBorders>
            <w:vAlign w:val="top"/>
          </w:tcPr>
          <w:p w14:paraId="306BE745">
            <w:pPr>
              <w:spacing w:before="46" w:line="228" w:lineRule="auto"/>
              <w:ind w:left="26"/>
              <w:rPr>
                <w:rFonts w:ascii="宋体" w:hAnsi="宋体" w:eastAsia="宋体" w:cs="宋体"/>
                <w:sz w:val="20"/>
                <w:szCs w:val="20"/>
              </w:rPr>
            </w:pPr>
            <w:r>
              <w:rPr>
                <w:rFonts w:ascii="宋体" w:hAnsi="宋体" w:eastAsia="宋体" w:cs="宋体"/>
                <w:spacing w:val="8"/>
                <w:sz w:val="20"/>
                <w:szCs w:val="20"/>
              </w:rPr>
              <w:t>电话、主要化学成分或商品名称、危险类别、安全措施等。</w:t>
            </w:r>
          </w:p>
          <w:p w14:paraId="109CD311">
            <w:pPr>
              <w:spacing w:before="160" w:line="377" w:lineRule="auto"/>
              <w:ind w:left="1" w:hanging="1"/>
              <w:rPr>
                <w:rFonts w:ascii="宋体" w:hAnsi="宋体" w:eastAsia="宋体" w:cs="宋体"/>
                <w:sz w:val="20"/>
                <w:szCs w:val="20"/>
              </w:rPr>
            </w:pPr>
            <w:r>
              <w:rPr>
                <w:rFonts w:ascii="宋体" w:hAnsi="宋体" w:eastAsia="宋体" w:cs="宋体"/>
                <w:spacing w:val="6"/>
                <w:sz w:val="20"/>
                <w:szCs w:val="20"/>
              </w:rPr>
              <w:t>⑤建设单位加强安全管理，配置相关消防器材，远离火源、热源，完善突发事件</w:t>
            </w:r>
            <w:r>
              <w:rPr>
                <w:rFonts w:ascii="宋体" w:hAnsi="宋体" w:eastAsia="宋体" w:cs="宋体"/>
                <w:spacing w:val="9"/>
                <w:sz w:val="20"/>
                <w:szCs w:val="20"/>
              </w:rPr>
              <w:t>应急管理体系，并配置专业人员巡查及时排查安全隐患，防止</w:t>
            </w:r>
            <w:r>
              <w:rPr>
                <w:rFonts w:ascii="宋体" w:hAnsi="宋体" w:eastAsia="宋体" w:cs="宋体"/>
                <w:spacing w:val="8"/>
                <w:sz w:val="20"/>
                <w:szCs w:val="20"/>
              </w:rPr>
              <w:t>事故发生。</w:t>
            </w:r>
          </w:p>
          <w:p w14:paraId="3826821E">
            <w:pPr>
              <w:spacing w:line="377" w:lineRule="auto"/>
              <w:rPr>
                <w:rFonts w:ascii="宋体" w:hAnsi="宋体" w:eastAsia="宋体" w:cs="宋体"/>
                <w:sz w:val="20"/>
                <w:szCs w:val="20"/>
              </w:rPr>
            </w:pPr>
            <w:r>
              <w:rPr>
                <w:rFonts w:ascii="宋体" w:hAnsi="宋体" w:eastAsia="宋体" w:cs="宋体"/>
                <w:spacing w:val="12"/>
                <w:sz w:val="20"/>
                <w:szCs w:val="20"/>
              </w:rPr>
              <w:t>⑥存放油漆等的化学品仓库应按照《中华人民共和国安全生产法》</w:t>
            </w:r>
            <w:r>
              <w:rPr>
                <w:rFonts w:ascii="宋体" w:hAnsi="宋体" w:eastAsia="宋体" w:cs="宋体"/>
                <w:spacing w:val="11"/>
                <w:sz w:val="20"/>
                <w:szCs w:val="20"/>
              </w:rPr>
              <w:t>（</w:t>
            </w:r>
            <w:r>
              <w:rPr>
                <w:rFonts w:ascii="Times New Roman" w:hAnsi="Times New Roman" w:eastAsia="Times New Roman" w:cs="Times New Roman"/>
                <w:spacing w:val="11"/>
                <w:sz w:val="20"/>
                <w:szCs w:val="20"/>
              </w:rPr>
              <w:t>2021</w:t>
            </w:r>
            <w:r>
              <w:rPr>
                <w:rFonts w:ascii="宋体" w:hAnsi="宋体" w:eastAsia="宋体" w:cs="宋体"/>
                <w:spacing w:val="11"/>
                <w:sz w:val="20"/>
                <w:szCs w:val="20"/>
              </w:rPr>
              <w:t>年修</w:t>
            </w:r>
            <w:r>
              <w:rPr>
                <w:rFonts w:ascii="宋体" w:hAnsi="宋体" w:eastAsia="宋体" w:cs="宋体"/>
                <w:spacing w:val="6"/>
                <w:sz w:val="20"/>
                <w:szCs w:val="20"/>
              </w:rPr>
              <w:t>订版）和《危险化学品安全管理条例》，以及《常用危险化学品贮存通则》《腐蚀性商品储藏养护技术条件》等国家标准对仓储管理各要求进行有机整合，符合</w:t>
            </w:r>
            <w:r>
              <w:rPr>
                <w:rFonts w:ascii="宋体" w:hAnsi="宋体" w:eastAsia="宋体" w:cs="宋体"/>
                <w:spacing w:val="9"/>
                <w:sz w:val="20"/>
                <w:szCs w:val="20"/>
              </w:rPr>
              <w:t>有关安全、防火规定，并设置相应的通风、防火、灭火等</w:t>
            </w:r>
            <w:r>
              <w:rPr>
                <w:rFonts w:ascii="宋体" w:hAnsi="宋体" w:eastAsia="宋体" w:cs="宋体"/>
                <w:spacing w:val="8"/>
                <w:sz w:val="20"/>
                <w:szCs w:val="20"/>
              </w:rPr>
              <w:t>安全设施。</w:t>
            </w:r>
          </w:p>
          <w:p w14:paraId="2F7D7161">
            <w:pPr>
              <w:spacing w:before="2" w:line="363" w:lineRule="auto"/>
              <w:ind w:left="3" w:hanging="3"/>
              <w:rPr>
                <w:rFonts w:ascii="宋体" w:hAnsi="宋体" w:eastAsia="宋体" w:cs="宋体"/>
                <w:sz w:val="20"/>
                <w:szCs w:val="20"/>
              </w:rPr>
            </w:pPr>
            <w:r>
              <w:rPr>
                <w:rFonts w:ascii="宋体" w:hAnsi="宋体" w:eastAsia="宋体" w:cs="宋体"/>
                <w:spacing w:val="6"/>
                <w:sz w:val="20"/>
                <w:szCs w:val="20"/>
              </w:rPr>
              <w:t>⑦按照《突发环境事件应急预案管理暂行办法》的要求，修编突发环境事件应急预案，并报昆明市生态环境局寻甸分局备案。建立完善的应急报告制度，落实应</w:t>
            </w:r>
            <w:r>
              <w:rPr>
                <w:rFonts w:ascii="宋体" w:hAnsi="宋体" w:eastAsia="宋体" w:cs="宋体"/>
                <w:spacing w:val="5"/>
                <w:sz w:val="20"/>
                <w:szCs w:val="20"/>
              </w:rPr>
              <w:t>急物资和经费，</w:t>
            </w:r>
            <w:r>
              <w:rPr>
                <w:rFonts w:ascii="宋体" w:hAnsi="宋体" w:eastAsia="宋体" w:cs="宋体"/>
                <w:spacing w:val="-50"/>
                <w:sz w:val="20"/>
                <w:szCs w:val="20"/>
              </w:rPr>
              <w:t xml:space="preserve"> </w:t>
            </w:r>
            <w:r>
              <w:rPr>
                <w:rFonts w:ascii="宋体" w:hAnsi="宋体" w:eastAsia="宋体" w:cs="宋体"/>
                <w:spacing w:val="5"/>
                <w:sz w:val="20"/>
                <w:szCs w:val="20"/>
              </w:rPr>
              <w:t>日常加强应急演练。</w:t>
            </w:r>
          </w:p>
        </w:tc>
        <w:tc>
          <w:tcPr>
            <w:tcW w:w="132" w:type="dxa"/>
            <w:tcBorders>
              <w:top w:val="single" w:color="000000" w:sz="6" w:space="0"/>
              <w:bottom w:val="nil"/>
              <w:right w:val="single" w:color="000000" w:sz="6" w:space="0"/>
            </w:tcBorders>
            <w:vAlign w:val="top"/>
          </w:tcPr>
          <w:p w14:paraId="2B2D2E06">
            <w:pPr>
              <w:rPr>
                <w:rFonts w:ascii="Arial"/>
                <w:sz w:val="21"/>
              </w:rPr>
            </w:pPr>
          </w:p>
        </w:tc>
      </w:tr>
      <w:tr w14:paraId="42412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735" w:type="dxa"/>
            <w:vMerge w:val="continue"/>
            <w:tcBorders>
              <w:top w:val="nil"/>
              <w:left w:val="single" w:color="000000" w:sz="6" w:space="0"/>
              <w:bottom w:val="nil"/>
            </w:tcBorders>
            <w:vAlign w:val="top"/>
          </w:tcPr>
          <w:p w14:paraId="61EDA861">
            <w:pPr>
              <w:rPr>
                <w:rFonts w:ascii="Arial"/>
                <w:sz w:val="21"/>
              </w:rPr>
            </w:pPr>
          </w:p>
        </w:tc>
        <w:tc>
          <w:tcPr>
            <w:tcW w:w="9046" w:type="dxa"/>
            <w:gridSpan w:val="11"/>
            <w:tcBorders>
              <w:bottom w:val="single" w:color="000000" w:sz="6" w:space="0"/>
              <w:right w:val="single" w:color="000000" w:sz="6" w:space="0"/>
            </w:tcBorders>
            <w:vAlign w:val="top"/>
          </w:tcPr>
          <w:p w14:paraId="0675D04B">
            <w:pPr>
              <w:spacing w:before="37" w:line="219" w:lineRule="auto"/>
              <w:ind w:left="586"/>
              <w:rPr>
                <w:rFonts w:ascii="Times New Roman" w:hAnsi="Times New Roman" w:eastAsia="Times New Roman" w:cs="Times New Roman"/>
                <w:sz w:val="24"/>
                <w:szCs w:val="24"/>
              </w:rPr>
            </w:pPr>
            <w:r>
              <w:rPr>
                <w:rFonts w:ascii="Times New Roman" w:hAnsi="Times New Roman" w:eastAsia="Times New Roman" w:cs="Times New Roman"/>
                <w:b/>
                <w:bCs/>
                <w:sz w:val="24"/>
                <w:szCs w:val="24"/>
              </w:rPr>
              <w:t>9</w:t>
            </w:r>
            <w:r>
              <w:rPr>
                <w:rFonts w:ascii="Times New Roman" w:hAnsi="Times New Roman" w:eastAsia="Times New Roman" w:cs="Times New Roman"/>
                <w:b/>
                <w:bCs/>
                <w:spacing w:val="-27"/>
                <w:sz w:val="24"/>
                <w:szCs w:val="24"/>
              </w:rPr>
              <w:t xml:space="preserve"> </w:t>
            </w:r>
            <w:r>
              <w:rPr>
                <w:rFonts w:ascii="宋体" w:hAnsi="宋体" w:eastAsia="宋体" w:cs="宋体"/>
                <w:b/>
                <w:bCs/>
                <w:sz w:val="24"/>
                <w:szCs w:val="24"/>
              </w:rPr>
              <w:t>、改扩建后项目</w:t>
            </w:r>
            <w:r>
              <w:rPr>
                <w:rFonts w:ascii="Times New Roman" w:hAnsi="Times New Roman" w:eastAsia="Times New Roman" w:cs="Times New Roman"/>
                <w:b/>
                <w:bCs/>
                <w:sz w:val="24"/>
                <w:szCs w:val="24"/>
              </w:rPr>
              <w:t>“</w:t>
            </w:r>
            <w:r>
              <w:rPr>
                <w:rFonts w:ascii="宋体" w:hAnsi="宋体" w:eastAsia="宋体" w:cs="宋体"/>
                <w:b/>
                <w:bCs/>
                <w:sz w:val="24"/>
                <w:szCs w:val="24"/>
              </w:rPr>
              <w:t>三本账</w:t>
            </w:r>
            <w:r>
              <w:rPr>
                <w:rFonts w:ascii="Times New Roman" w:hAnsi="Times New Roman" w:eastAsia="Times New Roman" w:cs="Times New Roman"/>
                <w:b/>
                <w:bCs/>
                <w:sz w:val="24"/>
                <w:szCs w:val="24"/>
              </w:rPr>
              <w:t>”</w:t>
            </w:r>
          </w:p>
          <w:p w14:paraId="1D239729">
            <w:pPr>
              <w:spacing w:before="180" w:line="219" w:lineRule="auto"/>
              <w:ind w:left="596"/>
              <w:rPr>
                <w:rFonts w:ascii="宋体" w:hAnsi="宋体" w:eastAsia="宋体" w:cs="宋体"/>
                <w:sz w:val="24"/>
                <w:szCs w:val="24"/>
              </w:rPr>
            </w:pPr>
            <w:r>
              <w:rPr>
                <w:rFonts w:ascii="宋体" w:hAnsi="宋体" w:eastAsia="宋体" w:cs="宋体"/>
                <w:spacing w:val="-2"/>
                <w:sz w:val="24"/>
                <w:szCs w:val="24"/>
              </w:rPr>
              <w:t>改扩建后项目</w:t>
            </w:r>
            <w:r>
              <w:rPr>
                <w:rFonts w:ascii="Times New Roman" w:hAnsi="Times New Roman" w:eastAsia="Times New Roman" w:cs="Times New Roman"/>
                <w:spacing w:val="-2"/>
                <w:sz w:val="24"/>
                <w:szCs w:val="24"/>
              </w:rPr>
              <w:t>“</w:t>
            </w:r>
            <w:r>
              <w:rPr>
                <w:rFonts w:ascii="宋体" w:hAnsi="宋体" w:eastAsia="宋体" w:cs="宋体"/>
                <w:spacing w:val="-2"/>
                <w:sz w:val="24"/>
                <w:szCs w:val="24"/>
              </w:rPr>
              <w:t>三本账</w:t>
            </w:r>
            <w:r>
              <w:rPr>
                <w:rFonts w:ascii="Times New Roman" w:hAnsi="Times New Roman" w:eastAsia="Times New Roman" w:cs="Times New Roman"/>
                <w:spacing w:val="-2"/>
                <w:sz w:val="24"/>
                <w:szCs w:val="24"/>
              </w:rPr>
              <w:t>”</w:t>
            </w:r>
            <w:r>
              <w:rPr>
                <w:rFonts w:ascii="宋体" w:hAnsi="宋体" w:eastAsia="宋体" w:cs="宋体"/>
                <w:spacing w:val="-2"/>
                <w:sz w:val="24"/>
                <w:szCs w:val="24"/>
              </w:rPr>
              <w:t>核算见表</w:t>
            </w:r>
            <w:r>
              <w:rPr>
                <w:rFonts w:ascii="宋体" w:hAnsi="宋体" w:eastAsia="宋体" w:cs="宋体"/>
                <w:spacing w:val="-42"/>
                <w:sz w:val="24"/>
                <w:szCs w:val="24"/>
              </w:rPr>
              <w:t xml:space="preserve"> </w:t>
            </w:r>
            <w:r>
              <w:rPr>
                <w:rFonts w:ascii="Times New Roman" w:hAnsi="Times New Roman" w:eastAsia="Times New Roman" w:cs="Times New Roman"/>
                <w:spacing w:val="-2"/>
                <w:sz w:val="24"/>
                <w:szCs w:val="24"/>
              </w:rPr>
              <w:t>4-20</w:t>
            </w:r>
            <w:r>
              <w:rPr>
                <w:rFonts w:ascii="宋体" w:hAnsi="宋体" w:eastAsia="宋体" w:cs="宋体"/>
                <w:spacing w:val="-2"/>
                <w:sz w:val="24"/>
                <w:szCs w:val="24"/>
              </w:rPr>
              <w:t>。</w:t>
            </w:r>
          </w:p>
          <w:p w14:paraId="26B18F95">
            <w:pPr>
              <w:spacing w:before="178" w:line="217" w:lineRule="auto"/>
              <w:ind w:left="2722"/>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39"/>
                <w:sz w:val="20"/>
                <w:szCs w:val="20"/>
              </w:rPr>
              <w:t xml:space="preserve"> </w:t>
            </w:r>
            <w:r>
              <w:rPr>
                <w:rFonts w:ascii="Times New Roman" w:hAnsi="Times New Roman" w:eastAsia="Times New Roman" w:cs="Times New Roman"/>
                <w:b/>
                <w:bCs/>
                <w:spacing w:val="6"/>
                <w:sz w:val="20"/>
                <w:szCs w:val="20"/>
              </w:rPr>
              <w:t xml:space="preserve">4-20    </w:t>
            </w:r>
            <w:r>
              <w:rPr>
                <w:rFonts w:ascii="宋体" w:hAnsi="宋体" w:eastAsia="宋体" w:cs="宋体"/>
                <w:b/>
                <w:bCs/>
                <w:spacing w:val="6"/>
                <w:sz w:val="20"/>
                <w:szCs w:val="20"/>
              </w:rPr>
              <w:t>改扩建后项目</w:t>
            </w:r>
            <w:r>
              <w:rPr>
                <w:rFonts w:ascii="Times New Roman" w:hAnsi="Times New Roman" w:eastAsia="Times New Roman" w:cs="Times New Roman"/>
                <w:b/>
                <w:bCs/>
                <w:spacing w:val="6"/>
                <w:sz w:val="20"/>
                <w:szCs w:val="20"/>
              </w:rPr>
              <w:t>“</w:t>
            </w:r>
            <w:r>
              <w:rPr>
                <w:rFonts w:ascii="宋体" w:hAnsi="宋体" w:eastAsia="宋体" w:cs="宋体"/>
                <w:b/>
                <w:bCs/>
                <w:spacing w:val="6"/>
                <w:sz w:val="20"/>
                <w:szCs w:val="20"/>
              </w:rPr>
              <w:t>三本帐</w:t>
            </w:r>
            <w:r>
              <w:rPr>
                <w:rFonts w:ascii="Times New Roman" w:hAnsi="Times New Roman" w:eastAsia="Times New Roman" w:cs="Times New Roman"/>
                <w:b/>
                <w:bCs/>
                <w:spacing w:val="6"/>
                <w:sz w:val="20"/>
                <w:szCs w:val="20"/>
              </w:rPr>
              <w:t>”</w:t>
            </w:r>
            <w:r>
              <w:rPr>
                <w:rFonts w:ascii="宋体" w:hAnsi="宋体" w:eastAsia="宋体" w:cs="宋体"/>
                <w:b/>
                <w:bCs/>
                <w:spacing w:val="6"/>
                <w:sz w:val="20"/>
                <w:szCs w:val="20"/>
              </w:rPr>
              <w:t>核算一览表</w:t>
            </w:r>
          </w:p>
        </w:tc>
      </w:tr>
      <w:tr w14:paraId="66131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735" w:type="dxa"/>
            <w:vMerge w:val="continue"/>
            <w:tcBorders>
              <w:top w:val="nil"/>
              <w:left w:val="single" w:color="000000" w:sz="6" w:space="0"/>
              <w:bottom w:val="nil"/>
            </w:tcBorders>
            <w:vAlign w:val="top"/>
          </w:tcPr>
          <w:p w14:paraId="7D55D553">
            <w:pPr>
              <w:rPr>
                <w:rFonts w:ascii="Arial"/>
                <w:sz w:val="21"/>
              </w:rPr>
            </w:pPr>
          </w:p>
        </w:tc>
        <w:tc>
          <w:tcPr>
            <w:tcW w:w="117" w:type="dxa"/>
            <w:vMerge w:val="restart"/>
            <w:tcBorders>
              <w:top w:val="nil"/>
              <w:bottom w:val="nil"/>
              <w:right w:val="single" w:color="000000" w:sz="6" w:space="0"/>
            </w:tcBorders>
            <w:vAlign w:val="top"/>
          </w:tcPr>
          <w:p w14:paraId="2B62A631">
            <w:pPr>
              <w:rPr>
                <w:rFonts w:ascii="Arial"/>
                <w:sz w:val="21"/>
              </w:rPr>
            </w:pPr>
          </w:p>
        </w:tc>
        <w:tc>
          <w:tcPr>
            <w:tcW w:w="2119" w:type="dxa"/>
            <w:gridSpan w:val="3"/>
            <w:vMerge w:val="restart"/>
            <w:tcBorders>
              <w:top w:val="single" w:color="000000" w:sz="6" w:space="0"/>
              <w:left w:val="single" w:color="000000" w:sz="6" w:space="0"/>
              <w:bottom w:val="nil"/>
            </w:tcBorders>
            <w:vAlign w:val="top"/>
          </w:tcPr>
          <w:p w14:paraId="05997B0B">
            <w:pPr>
              <w:spacing w:line="241" w:lineRule="auto"/>
              <w:rPr>
                <w:rFonts w:ascii="Arial"/>
                <w:sz w:val="21"/>
              </w:rPr>
            </w:pPr>
          </w:p>
          <w:p w14:paraId="62DC0829">
            <w:pPr>
              <w:spacing w:line="241" w:lineRule="auto"/>
              <w:rPr>
                <w:rFonts w:ascii="Arial"/>
                <w:sz w:val="21"/>
              </w:rPr>
            </w:pPr>
          </w:p>
          <w:p w14:paraId="1E907EF2">
            <w:pPr>
              <w:spacing w:line="241" w:lineRule="auto"/>
              <w:rPr>
                <w:rFonts w:ascii="Arial"/>
                <w:sz w:val="21"/>
              </w:rPr>
            </w:pPr>
          </w:p>
          <w:p w14:paraId="364948D2">
            <w:pPr>
              <w:spacing w:line="242" w:lineRule="auto"/>
              <w:rPr>
                <w:rFonts w:ascii="Arial"/>
                <w:sz w:val="21"/>
              </w:rPr>
            </w:pPr>
          </w:p>
          <w:p w14:paraId="187572EE">
            <w:pPr>
              <w:spacing w:before="86" w:line="192" w:lineRule="auto"/>
              <w:ind w:left="740"/>
              <w:rPr>
                <w:rFonts w:ascii="微软雅黑" w:hAnsi="微软雅黑" w:eastAsia="微软雅黑" w:cs="微软雅黑"/>
                <w:sz w:val="20"/>
                <w:szCs w:val="20"/>
              </w:rPr>
            </w:pPr>
            <w:r>
              <w:rPr>
                <w:rFonts w:ascii="宋体" w:hAnsi="宋体" w:eastAsia="宋体" w:cs="宋体"/>
                <w:b/>
                <w:bCs/>
                <w:spacing w:val="5"/>
                <w:sz w:val="20"/>
                <w:szCs w:val="20"/>
              </w:rPr>
              <w:t>污染</w:t>
            </w:r>
            <w:r>
              <w:rPr>
                <w:rFonts w:ascii="微软雅黑" w:hAnsi="微软雅黑" w:eastAsia="微软雅黑" w:cs="微软雅黑"/>
                <w:b/>
                <w:bCs/>
                <w:spacing w:val="5"/>
                <w:sz w:val="20"/>
                <w:szCs w:val="20"/>
              </w:rPr>
              <w:t>物</w:t>
            </w:r>
          </w:p>
        </w:tc>
        <w:tc>
          <w:tcPr>
            <w:tcW w:w="1248" w:type="dxa"/>
            <w:tcBorders>
              <w:top w:val="single" w:color="000000" w:sz="6" w:space="0"/>
            </w:tcBorders>
            <w:vAlign w:val="top"/>
          </w:tcPr>
          <w:p w14:paraId="1294973F">
            <w:pPr>
              <w:spacing w:before="33" w:line="228" w:lineRule="auto"/>
              <w:ind w:left="232"/>
              <w:rPr>
                <w:rFonts w:ascii="宋体" w:hAnsi="宋体" w:eastAsia="宋体" w:cs="宋体"/>
                <w:sz w:val="20"/>
                <w:szCs w:val="20"/>
              </w:rPr>
            </w:pPr>
            <w:r>
              <w:rPr>
                <w:rFonts w:ascii="宋体" w:hAnsi="宋体" w:eastAsia="宋体" w:cs="宋体"/>
                <w:b/>
                <w:bCs/>
                <w:spacing w:val="-3"/>
                <w:sz w:val="20"/>
                <w:szCs w:val="20"/>
              </w:rPr>
              <w:t>现有工程</w:t>
            </w:r>
          </w:p>
        </w:tc>
        <w:tc>
          <w:tcPr>
            <w:tcW w:w="1010" w:type="dxa"/>
            <w:tcBorders>
              <w:top w:val="single" w:color="000000" w:sz="6" w:space="0"/>
            </w:tcBorders>
            <w:vAlign w:val="top"/>
          </w:tcPr>
          <w:p w14:paraId="16D89CAE">
            <w:pPr>
              <w:spacing w:before="32" w:line="227" w:lineRule="auto"/>
              <w:ind w:left="197"/>
              <w:rPr>
                <w:rFonts w:ascii="宋体" w:hAnsi="宋体" w:eastAsia="宋体" w:cs="宋体"/>
                <w:sz w:val="20"/>
                <w:szCs w:val="20"/>
              </w:rPr>
            </w:pPr>
            <w:r>
              <w:rPr>
                <w:rFonts w:ascii="宋体" w:hAnsi="宋体" w:eastAsia="宋体" w:cs="宋体"/>
                <w:b/>
                <w:bCs/>
                <w:spacing w:val="5"/>
                <w:sz w:val="20"/>
                <w:szCs w:val="20"/>
              </w:rPr>
              <w:t>本工程</w:t>
            </w:r>
          </w:p>
        </w:tc>
        <w:tc>
          <w:tcPr>
            <w:tcW w:w="4420" w:type="dxa"/>
            <w:gridSpan w:val="4"/>
            <w:tcBorders>
              <w:top w:val="single" w:color="000000" w:sz="6" w:space="0"/>
              <w:right w:val="single" w:color="000000" w:sz="6" w:space="0"/>
            </w:tcBorders>
            <w:vAlign w:val="top"/>
          </w:tcPr>
          <w:p w14:paraId="5B60DFE2">
            <w:pPr>
              <w:spacing w:before="33" w:line="194" w:lineRule="auto"/>
              <w:ind w:left="1811"/>
              <w:rPr>
                <w:rFonts w:ascii="宋体" w:hAnsi="宋体" w:eastAsia="宋体" w:cs="宋体"/>
                <w:sz w:val="20"/>
                <w:szCs w:val="20"/>
              </w:rPr>
            </w:pPr>
            <w:r>
              <w:rPr>
                <w:rFonts w:ascii="微软雅黑" w:hAnsi="微软雅黑" w:eastAsia="微软雅黑" w:cs="微软雅黑"/>
                <w:b/>
                <w:bCs/>
                <w:spacing w:val="3"/>
                <w:sz w:val="20"/>
                <w:szCs w:val="20"/>
              </w:rPr>
              <w:t>总</w:t>
            </w:r>
            <w:r>
              <w:rPr>
                <w:rFonts w:ascii="宋体" w:hAnsi="宋体" w:eastAsia="宋体" w:cs="宋体"/>
                <w:b/>
                <w:bCs/>
                <w:spacing w:val="3"/>
                <w:sz w:val="20"/>
                <w:szCs w:val="20"/>
              </w:rPr>
              <w:t>体工程</w:t>
            </w:r>
          </w:p>
        </w:tc>
        <w:tc>
          <w:tcPr>
            <w:tcW w:w="132" w:type="dxa"/>
            <w:tcBorders>
              <w:top w:val="nil"/>
              <w:left w:val="single" w:color="000000" w:sz="6" w:space="0"/>
              <w:bottom w:val="nil"/>
              <w:right w:val="single" w:color="000000" w:sz="6" w:space="0"/>
            </w:tcBorders>
            <w:vAlign w:val="top"/>
          </w:tcPr>
          <w:p w14:paraId="14BFFB75">
            <w:pPr>
              <w:rPr>
                <w:rFonts w:ascii="Arial"/>
                <w:sz w:val="21"/>
              </w:rPr>
            </w:pPr>
          </w:p>
        </w:tc>
      </w:tr>
      <w:tr w14:paraId="2A85D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5" w:hRule="atLeast"/>
        </w:trPr>
        <w:tc>
          <w:tcPr>
            <w:tcW w:w="735" w:type="dxa"/>
            <w:vMerge w:val="continue"/>
            <w:tcBorders>
              <w:top w:val="nil"/>
              <w:left w:val="single" w:color="000000" w:sz="6" w:space="0"/>
              <w:bottom w:val="nil"/>
            </w:tcBorders>
            <w:vAlign w:val="top"/>
          </w:tcPr>
          <w:p w14:paraId="394A639E">
            <w:pPr>
              <w:rPr>
                <w:rFonts w:ascii="Arial"/>
                <w:sz w:val="21"/>
              </w:rPr>
            </w:pPr>
          </w:p>
        </w:tc>
        <w:tc>
          <w:tcPr>
            <w:tcW w:w="117" w:type="dxa"/>
            <w:vMerge w:val="continue"/>
            <w:tcBorders>
              <w:top w:val="nil"/>
              <w:bottom w:val="nil"/>
              <w:right w:val="single" w:color="000000" w:sz="6" w:space="0"/>
            </w:tcBorders>
            <w:vAlign w:val="top"/>
          </w:tcPr>
          <w:p w14:paraId="3D5341FA">
            <w:pPr>
              <w:rPr>
                <w:rFonts w:ascii="Arial"/>
                <w:sz w:val="21"/>
              </w:rPr>
            </w:pPr>
          </w:p>
        </w:tc>
        <w:tc>
          <w:tcPr>
            <w:tcW w:w="2119" w:type="dxa"/>
            <w:gridSpan w:val="3"/>
            <w:vMerge w:val="continue"/>
            <w:tcBorders>
              <w:top w:val="nil"/>
              <w:left w:val="single" w:color="000000" w:sz="6" w:space="0"/>
            </w:tcBorders>
            <w:vAlign w:val="top"/>
          </w:tcPr>
          <w:p w14:paraId="388C2E1D">
            <w:pPr>
              <w:rPr>
                <w:rFonts w:ascii="Arial"/>
                <w:sz w:val="21"/>
              </w:rPr>
            </w:pPr>
          </w:p>
        </w:tc>
        <w:tc>
          <w:tcPr>
            <w:tcW w:w="1248" w:type="dxa"/>
            <w:vAlign w:val="top"/>
          </w:tcPr>
          <w:p w14:paraId="4AD3EBDC">
            <w:pPr>
              <w:spacing w:line="356" w:lineRule="auto"/>
              <w:rPr>
                <w:rFonts w:ascii="Arial"/>
                <w:sz w:val="21"/>
              </w:rPr>
            </w:pPr>
          </w:p>
          <w:p w14:paraId="0E725B45">
            <w:pPr>
              <w:spacing w:before="86" w:line="194" w:lineRule="auto"/>
              <w:ind w:left="105"/>
              <w:rPr>
                <w:rFonts w:ascii="微软雅黑" w:hAnsi="微软雅黑" w:eastAsia="微软雅黑" w:cs="微软雅黑"/>
                <w:sz w:val="20"/>
                <w:szCs w:val="20"/>
              </w:rPr>
            </w:pPr>
            <w:r>
              <w:rPr>
                <w:rFonts w:ascii="宋体" w:hAnsi="宋体" w:eastAsia="宋体" w:cs="宋体"/>
                <w:b/>
                <w:bCs/>
                <w:spacing w:val="6"/>
                <w:sz w:val="20"/>
                <w:szCs w:val="20"/>
              </w:rPr>
              <w:t>实际排放</w:t>
            </w:r>
            <w:r>
              <w:rPr>
                <w:rFonts w:ascii="微软雅黑" w:hAnsi="微软雅黑" w:eastAsia="微软雅黑" w:cs="微软雅黑"/>
                <w:b/>
                <w:bCs/>
                <w:spacing w:val="6"/>
                <w:sz w:val="20"/>
                <w:szCs w:val="20"/>
              </w:rPr>
              <w:t>总</w:t>
            </w:r>
          </w:p>
          <w:p w14:paraId="22019344">
            <w:pPr>
              <w:spacing w:before="130" w:line="196" w:lineRule="auto"/>
              <w:ind w:left="201"/>
              <w:rPr>
                <w:rFonts w:ascii="宋体" w:hAnsi="宋体" w:eastAsia="宋体" w:cs="宋体"/>
                <w:sz w:val="20"/>
                <w:szCs w:val="20"/>
              </w:rPr>
            </w:pPr>
            <w:r>
              <w:rPr>
                <w:rFonts w:ascii="微软雅黑" w:hAnsi="微软雅黑" w:eastAsia="微软雅黑" w:cs="微软雅黑"/>
                <w:b/>
                <w:bCs/>
                <w:spacing w:val="2"/>
                <w:sz w:val="20"/>
                <w:szCs w:val="20"/>
              </w:rPr>
              <w:t>量</w:t>
            </w:r>
            <w:r>
              <w:rPr>
                <w:rFonts w:ascii="宋体" w:hAnsi="宋体" w:eastAsia="宋体" w:cs="宋体"/>
                <w:b/>
                <w:bCs/>
                <w:spacing w:val="2"/>
                <w:sz w:val="20"/>
                <w:szCs w:val="20"/>
              </w:rPr>
              <w:t>（</w:t>
            </w:r>
            <w:r>
              <w:rPr>
                <w:rFonts w:ascii="Times New Roman" w:hAnsi="Times New Roman" w:eastAsia="Times New Roman" w:cs="Times New Roman"/>
                <w:b/>
                <w:bCs/>
                <w:spacing w:val="2"/>
                <w:sz w:val="20"/>
                <w:szCs w:val="20"/>
              </w:rPr>
              <w:t>t/a</w:t>
            </w:r>
            <w:r>
              <w:rPr>
                <w:rFonts w:ascii="宋体" w:hAnsi="宋体" w:eastAsia="宋体" w:cs="宋体"/>
                <w:b/>
                <w:bCs/>
                <w:spacing w:val="2"/>
                <w:sz w:val="20"/>
                <w:szCs w:val="20"/>
              </w:rPr>
              <w:t>）</w:t>
            </w:r>
          </w:p>
          <w:p w14:paraId="548CC219">
            <w:pPr>
              <w:spacing w:before="127" w:line="225" w:lineRule="auto"/>
              <w:ind w:left="522"/>
              <w:rPr>
                <w:rFonts w:ascii="宋体" w:hAnsi="宋体" w:eastAsia="宋体" w:cs="宋体"/>
                <w:sz w:val="20"/>
                <w:szCs w:val="20"/>
              </w:rPr>
            </w:pPr>
            <w:r>
              <w:rPr>
                <w:rFonts w:ascii="宋体" w:hAnsi="宋体" w:eastAsia="宋体" w:cs="宋体"/>
                <w:b/>
                <w:bCs/>
                <w:spacing w:val="-1"/>
                <w:sz w:val="20"/>
                <w:szCs w:val="20"/>
              </w:rPr>
              <w:t>①</w:t>
            </w:r>
          </w:p>
        </w:tc>
        <w:tc>
          <w:tcPr>
            <w:tcW w:w="1010" w:type="dxa"/>
            <w:vAlign w:val="top"/>
          </w:tcPr>
          <w:p w14:paraId="4BABCDC5">
            <w:pPr>
              <w:spacing w:line="377" w:lineRule="auto"/>
              <w:rPr>
                <w:rFonts w:ascii="Arial"/>
                <w:sz w:val="21"/>
              </w:rPr>
            </w:pPr>
          </w:p>
          <w:p w14:paraId="0C06C3D7">
            <w:pPr>
              <w:spacing w:before="65" w:line="228" w:lineRule="auto"/>
              <w:ind w:left="90"/>
              <w:rPr>
                <w:rFonts w:ascii="宋体" w:hAnsi="宋体" w:eastAsia="宋体" w:cs="宋体"/>
                <w:sz w:val="20"/>
                <w:szCs w:val="20"/>
              </w:rPr>
            </w:pPr>
            <w:r>
              <w:rPr>
                <w:rFonts w:ascii="宋体" w:hAnsi="宋体" w:eastAsia="宋体" w:cs="宋体"/>
                <w:b/>
                <w:bCs/>
                <w:spacing w:val="6"/>
                <w:sz w:val="20"/>
                <w:szCs w:val="20"/>
              </w:rPr>
              <w:t>预测排放</w:t>
            </w:r>
          </w:p>
          <w:p w14:paraId="61331EE1">
            <w:pPr>
              <w:spacing w:before="160" w:line="196" w:lineRule="auto"/>
              <w:ind w:left="84"/>
              <w:rPr>
                <w:rFonts w:ascii="宋体" w:hAnsi="宋体" w:eastAsia="宋体" w:cs="宋体"/>
                <w:sz w:val="20"/>
                <w:szCs w:val="20"/>
              </w:rPr>
            </w:pPr>
            <w:r>
              <w:rPr>
                <w:rFonts w:ascii="微软雅黑" w:hAnsi="微软雅黑" w:eastAsia="微软雅黑" w:cs="微软雅黑"/>
                <w:b/>
                <w:bCs/>
                <w:spacing w:val="2"/>
                <w:sz w:val="20"/>
                <w:szCs w:val="20"/>
              </w:rPr>
              <w:t>量</w:t>
            </w:r>
            <w:r>
              <w:rPr>
                <w:rFonts w:ascii="宋体" w:hAnsi="宋体" w:eastAsia="宋体" w:cs="宋体"/>
                <w:b/>
                <w:bCs/>
                <w:spacing w:val="2"/>
                <w:sz w:val="20"/>
                <w:szCs w:val="20"/>
              </w:rPr>
              <w:t>（</w:t>
            </w:r>
            <w:r>
              <w:rPr>
                <w:rFonts w:ascii="Times New Roman" w:hAnsi="Times New Roman" w:eastAsia="Times New Roman" w:cs="Times New Roman"/>
                <w:b/>
                <w:bCs/>
                <w:spacing w:val="2"/>
                <w:sz w:val="20"/>
                <w:szCs w:val="20"/>
              </w:rPr>
              <w:t>t/a</w:t>
            </w:r>
            <w:r>
              <w:rPr>
                <w:rFonts w:ascii="宋体" w:hAnsi="宋体" w:eastAsia="宋体" w:cs="宋体"/>
                <w:b/>
                <w:bCs/>
                <w:spacing w:val="2"/>
                <w:sz w:val="20"/>
                <w:szCs w:val="20"/>
              </w:rPr>
              <w:t>）</w:t>
            </w:r>
          </w:p>
          <w:p w14:paraId="658BD692">
            <w:pPr>
              <w:spacing w:before="127" w:line="225" w:lineRule="auto"/>
              <w:ind w:left="403"/>
              <w:rPr>
                <w:rFonts w:ascii="宋体" w:hAnsi="宋体" w:eastAsia="宋体" w:cs="宋体"/>
                <w:sz w:val="20"/>
                <w:szCs w:val="20"/>
              </w:rPr>
            </w:pPr>
            <w:r>
              <w:rPr>
                <w:rFonts w:ascii="宋体" w:hAnsi="宋体" w:eastAsia="宋体" w:cs="宋体"/>
                <w:b/>
                <w:bCs/>
                <w:sz w:val="20"/>
                <w:szCs w:val="20"/>
              </w:rPr>
              <w:t>③</w:t>
            </w:r>
          </w:p>
        </w:tc>
        <w:tc>
          <w:tcPr>
            <w:tcW w:w="812" w:type="dxa"/>
            <w:vAlign w:val="top"/>
          </w:tcPr>
          <w:p w14:paraId="792A105D">
            <w:pPr>
              <w:spacing w:before="237" w:line="228" w:lineRule="auto"/>
              <w:rPr>
                <w:rFonts w:ascii="宋体" w:hAnsi="宋体" w:eastAsia="宋体" w:cs="宋体"/>
                <w:sz w:val="20"/>
                <w:szCs w:val="20"/>
              </w:rPr>
            </w:pPr>
            <w:r>
              <w:rPr>
                <w:rFonts w:ascii="Times New Roman" w:hAnsi="Times New Roman" w:eastAsia="Times New Roman" w:cs="Times New Roman"/>
                <w:b/>
                <w:bCs/>
                <w:spacing w:val="8"/>
                <w:sz w:val="20"/>
                <w:szCs w:val="20"/>
              </w:rPr>
              <w:t>“</w:t>
            </w:r>
            <w:r>
              <w:rPr>
                <w:rFonts w:ascii="Times New Roman" w:hAnsi="Times New Roman" w:eastAsia="Times New Roman" w:cs="Times New Roman"/>
                <w:b/>
                <w:bCs/>
                <w:spacing w:val="-15"/>
                <w:sz w:val="20"/>
                <w:szCs w:val="20"/>
              </w:rPr>
              <w:t xml:space="preserve"> </w:t>
            </w:r>
            <w:r>
              <w:rPr>
                <w:rFonts w:ascii="宋体" w:hAnsi="宋体" w:eastAsia="宋体" w:cs="宋体"/>
                <w:b/>
                <w:bCs/>
                <w:spacing w:val="8"/>
                <w:sz w:val="20"/>
                <w:szCs w:val="20"/>
              </w:rPr>
              <w:t>以新带</w:t>
            </w:r>
          </w:p>
          <w:p w14:paraId="13D76F86">
            <w:pPr>
              <w:spacing w:before="161" w:line="229" w:lineRule="auto"/>
              <w:ind w:left="49"/>
              <w:rPr>
                <w:rFonts w:ascii="宋体" w:hAnsi="宋体" w:eastAsia="宋体" w:cs="宋体"/>
                <w:sz w:val="20"/>
                <w:szCs w:val="20"/>
              </w:rPr>
            </w:pPr>
            <w:r>
              <w:rPr>
                <w:rFonts w:ascii="宋体" w:hAnsi="宋体" w:eastAsia="宋体" w:cs="宋体"/>
                <w:b/>
                <w:bCs/>
                <w:spacing w:val="4"/>
                <w:sz w:val="20"/>
                <w:szCs w:val="20"/>
              </w:rPr>
              <w:t>老</w:t>
            </w:r>
            <w:r>
              <w:rPr>
                <w:rFonts w:ascii="Times New Roman" w:hAnsi="Times New Roman" w:eastAsia="Times New Roman" w:cs="Times New Roman"/>
                <w:b/>
                <w:bCs/>
                <w:spacing w:val="4"/>
                <w:sz w:val="20"/>
                <w:szCs w:val="20"/>
              </w:rPr>
              <w:t>”</w:t>
            </w:r>
            <w:r>
              <w:rPr>
                <w:rFonts w:ascii="宋体" w:hAnsi="宋体" w:eastAsia="宋体" w:cs="宋体"/>
                <w:b/>
                <w:bCs/>
                <w:spacing w:val="4"/>
                <w:sz w:val="20"/>
                <w:szCs w:val="20"/>
              </w:rPr>
              <w:t>消减</w:t>
            </w:r>
          </w:p>
          <w:p w14:paraId="0F7F0E09">
            <w:pPr>
              <w:spacing w:before="162" w:line="196" w:lineRule="auto"/>
              <w:jc w:val="right"/>
              <w:rPr>
                <w:rFonts w:ascii="宋体" w:hAnsi="宋体" w:eastAsia="宋体" w:cs="宋体"/>
                <w:sz w:val="20"/>
                <w:szCs w:val="20"/>
              </w:rPr>
            </w:pPr>
            <w:r>
              <w:rPr>
                <w:rFonts w:ascii="微软雅黑" w:hAnsi="微软雅黑" w:eastAsia="微软雅黑" w:cs="微软雅黑"/>
                <w:b/>
                <w:bCs/>
                <w:spacing w:val="-11"/>
                <w:sz w:val="20"/>
                <w:szCs w:val="20"/>
              </w:rPr>
              <w:t>量</w:t>
            </w:r>
            <w:r>
              <w:rPr>
                <w:rFonts w:ascii="宋体" w:hAnsi="宋体" w:eastAsia="宋体" w:cs="宋体"/>
                <w:b/>
                <w:bCs/>
                <w:spacing w:val="-11"/>
                <w:sz w:val="20"/>
                <w:szCs w:val="20"/>
              </w:rPr>
              <w:t>（</w:t>
            </w:r>
            <w:r>
              <w:rPr>
                <w:rFonts w:ascii="Times New Roman" w:hAnsi="Times New Roman" w:eastAsia="Times New Roman" w:cs="Times New Roman"/>
                <w:b/>
                <w:bCs/>
                <w:spacing w:val="-11"/>
                <w:sz w:val="20"/>
                <w:szCs w:val="20"/>
              </w:rPr>
              <w:t>t/a</w:t>
            </w:r>
            <w:r>
              <w:rPr>
                <w:rFonts w:ascii="宋体" w:hAnsi="宋体" w:eastAsia="宋体" w:cs="宋体"/>
                <w:b/>
                <w:bCs/>
                <w:spacing w:val="-11"/>
                <w:sz w:val="20"/>
                <w:szCs w:val="20"/>
              </w:rPr>
              <w:t>）</w:t>
            </w:r>
          </w:p>
          <w:p w14:paraId="605BE477">
            <w:pPr>
              <w:spacing w:before="127" w:line="225" w:lineRule="auto"/>
              <w:ind w:left="305"/>
              <w:rPr>
                <w:rFonts w:ascii="宋体" w:hAnsi="宋体" w:eastAsia="宋体" w:cs="宋体"/>
                <w:sz w:val="20"/>
                <w:szCs w:val="20"/>
              </w:rPr>
            </w:pPr>
            <w:r>
              <w:rPr>
                <w:rFonts w:ascii="宋体" w:hAnsi="宋体" w:eastAsia="宋体" w:cs="宋体"/>
                <w:b/>
                <w:bCs/>
                <w:sz w:val="20"/>
                <w:szCs w:val="20"/>
              </w:rPr>
              <w:t>④</w:t>
            </w:r>
          </w:p>
        </w:tc>
        <w:tc>
          <w:tcPr>
            <w:tcW w:w="1073" w:type="dxa"/>
            <w:vAlign w:val="top"/>
          </w:tcPr>
          <w:p w14:paraId="6AB4D3F5">
            <w:pPr>
              <w:spacing w:before="37" w:line="228" w:lineRule="auto"/>
              <w:ind w:left="139"/>
              <w:rPr>
                <w:rFonts w:ascii="宋体" w:hAnsi="宋体" w:eastAsia="宋体" w:cs="宋体"/>
                <w:sz w:val="20"/>
                <w:szCs w:val="20"/>
              </w:rPr>
            </w:pPr>
            <w:r>
              <w:rPr>
                <w:rFonts w:ascii="宋体" w:hAnsi="宋体" w:eastAsia="宋体" w:cs="宋体"/>
                <w:b/>
                <w:bCs/>
                <w:spacing w:val="2"/>
                <w:sz w:val="20"/>
                <w:szCs w:val="20"/>
              </w:rPr>
              <w:t>区域平衡</w:t>
            </w:r>
          </w:p>
          <w:p w14:paraId="616BF00B">
            <w:pPr>
              <w:spacing w:before="160" w:line="227" w:lineRule="auto"/>
              <w:ind w:left="133"/>
              <w:rPr>
                <w:rFonts w:ascii="宋体" w:hAnsi="宋体" w:eastAsia="宋体" w:cs="宋体"/>
                <w:sz w:val="20"/>
                <w:szCs w:val="20"/>
              </w:rPr>
            </w:pPr>
            <w:r>
              <w:rPr>
                <w:rFonts w:ascii="宋体" w:hAnsi="宋体" w:eastAsia="宋体" w:cs="宋体"/>
                <w:b/>
                <w:bCs/>
                <w:spacing w:val="4"/>
                <w:sz w:val="20"/>
                <w:szCs w:val="20"/>
              </w:rPr>
              <w:t>替代本工</w:t>
            </w:r>
          </w:p>
          <w:p w14:paraId="131E15D0">
            <w:pPr>
              <w:spacing w:before="161" w:line="326" w:lineRule="auto"/>
              <w:ind w:left="227" w:right="111" w:hanging="104"/>
              <w:rPr>
                <w:rFonts w:ascii="宋体" w:hAnsi="宋体" w:eastAsia="宋体" w:cs="宋体"/>
                <w:sz w:val="20"/>
                <w:szCs w:val="20"/>
              </w:rPr>
            </w:pPr>
            <w:r>
              <w:rPr>
                <w:rFonts w:ascii="宋体" w:hAnsi="宋体" w:eastAsia="宋体" w:cs="宋体"/>
                <w:b/>
                <w:bCs/>
                <w:spacing w:val="6"/>
                <w:sz w:val="20"/>
                <w:szCs w:val="20"/>
              </w:rPr>
              <w:t>程消减</w:t>
            </w:r>
            <w:r>
              <w:rPr>
                <w:rFonts w:ascii="微软雅黑" w:hAnsi="微软雅黑" w:eastAsia="微软雅黑" w:cs="微软雅黑"/>
                <w:b/>
                <w:bCs/>
                <w:spacing w:val="6"/>
                <w:sz w:val="20"/>
                <w:szCs w:val="20"/>
              </w:rPr>
              <w:t>量</w:t>
            </w:r>
            <w:r>
              <w:rPr>
                <w:rFonts w:ascii="宋体" w:hAnsi="宋体" w:eastAsia="宋体" w:cs="宋体"/>
                <w:b/>
                <w:bCs/>
                <w:spacing w:val="-1"/>
                <w:sz w:val="20"/>
                <w:szCs w:val="20"/>
              </w:rPr>
              <w:t>（</w:t>
            </w:r>
            <w:r>
              <w:rPr>
                <w:rFonts w:ascii="Times New Roman" w:hAnsi="Times New Roman" w:eastAsia="Times New Roman" w:cs="Times New Roman"/>
                <w:b/>
                <w:bCs/>
                <w:spacing w:val="-1"/>
                <w:sz w:val="20"/>
                <w:szCs w:val="20"/>
              </w:rPr>
              <w:t>t/a</w:t>
            </w:r>
            <w:r>
              <w:rPr>
                <w:rFonts w:ascii="宋体" w:hAnsi="宋体" w:eastAsia="宋体" w:cs="宋体"/>
                <w:b/>
                <w:bCs/>
                <w:spacing w:val="-1"/>
                <w:sz w:val="20"/>
                <w:szCs w:val="20"/>
              </w:rPr>
              <w:t>）</w:t>
            </w:r>
          </w:p>
          <w:p w14:paraId="6942CC92">
            <w:pPr>
              <w:spacing w:line="225" w:lineRule="auto"/>
              <w:ind w:left="439"/>
              <w:rPr>
                <w:rFonts w:ascii="宋体" w:hAnsi="宋体" w:eastAsia="宋体" w:cs="宋体"/>
                <w:sz w:val="20"/>
                <w:szCs w:val="20"/>
              </w:rPr>
            </w:pPr>
            <w:r>
              <w:rPr>
                <w:rFonts w:ascii="宋体" w:hAnsi="宋体" w:eastAsia="宋体" w:cs="宋体"/>
                <w:b/>
                <w:bCs/>
                <w:sz w:val="20"/>
                <w:szCs w:val="20"/>
              </w:rPr>
              <w:t>⑤</w:t>
            </w:r>
          </w:p>
        </w:tc>
        <w:tc>
          <w:tcPr>
            <w:tcW w:w="1356" w:type="dxa"/>
            <w:vAlign w:val="top"/>
          </w:tcPr>
          <w:p w14:paraId="255942D5">
            <w:pPr>
              <w:spacing w:line="356" w:lineRule="auto"/>
              <w:rPr>
                <w:rFonts w:ascii="Arial"/>
                <w:sz w:val="21"/>
              </w:rPr>
            </w:pPr>
          </w:p>
          <w:p w14:paraId="0B207201">
            <w:pPr>
              <w:spacing w:before="86" w:line="194" w:lineRule="auto"/>
              <w:ind w:left="164"/>
              <w:rPr>
                <w:rFonts w:ascii="微软雅黑" w:hAnsi="微软雅黑" w:eastAsia="微软雅黑" w:cs="微软雅黑"/>
                <w:sz w:val="20"/>
                <w:szCs w:val="20"/>
              </w:rPr>
            </w:pPr>
            <w:r>
              <w:rPr>
                <w:rFonts w:ascii="宋体" w:hAnsi="宋体" w:eastAsia="宋体" w:cs="宋体"/>
                <w:b/>
                <w:bCs/>
                <w:spacing w:val="6"/>
                <w:sz w:val="20"/>
                <w:szCs w:val="20"/>
              </w:rPr>
              <w:t>预测排放</w:t>
            </w:r>
            <w:r>
              <w:rPr>
                <w:rFonts w:ascii="微软雅黑" w:hAnsi="微软雅黑" w:eastAsia="微软雅黑" w:cs="微软雅黑"/>
                <w:b/>
                <w:bCs/>
                <w:spacing w:val="6"/>
                <w:sz w:val="20"/>
                <w:szCs w:val="20"/>
              </w:rPr>
              <w:t>总</w:t>
            </w:r>
          </w:p>
          <w:p w14:paraId="229268C5">
            <w:pPr>
              <w:spacing w:before="130" w:line="196" w:lineRule="auto"/>
              <w:ind w:left="261"/>
              <w:rPr>
                <w:rFonts w:ascii="宋体" w:hAnsi="宋体" w:eastAsia="宋体" w:cs="宋体"/>
                <w:sz w:val="20"/>
                <w:szCs w:val="20"/>
              </w:rPr>
            </w:pPr>
            <w:r>
              <w:rPr>
                <w:rFonts w:ascii="微软雅黑" w:hAnsi="微软雅黑" w:eastAsia="微软雅黑" w:cs="微软雅黑"/>
                <w:b/>
                <w:bCs/>
                <w:spacing w:val="2"/>
                <w:sz w:val="20"/>
                <w:szCs w:val="20"/>
              </w:rPr>
              <w:t>量</w:t>
            </w:r>
            <w:r>
              <w:rPr>
                <w:rFonts w:ascii="宋体" w:hAnsi="宋体" w:eastAsia="宋体" w:cs="宋体"/>
                <w:b/>
                <w:bCs/>
                <w:spacing w:val="2"/>
                <w:sz w:val="20"/>
                <w:szCs w:val="20"/>
              </w:rPr>
              <w:t>（</w:t>
            </w:r>
            <w:r>
              <w:rPr>
                <w:rFonts w:ascii="Times New Roman" w:hAnsi="Times New Roman" w:eastAsia="Times New Roman" w:cs="Times New Roman"/>
                <w:b/>
                <w:bCs/>
                <w:spacing w:val="2"/>
                <w:sz w:val="20"/>
                <w:szCs w:val="20"/>
              </w:rPr>
              <w:t>t/a</w:t>
            </w:r>
            <w:r>
              <w:rPr>
                <w:rFonts w:ascii="宋体" w:hAnsi="宋体" w:eastAsia="宋体" w:cs="宋体"/>
                <w:b/>
                <w:bCs/>
                <w:spacing w:val="2"/>
                <w:sz w:val="20"/>
                <w:szCs w:val="20"/>
              </w:rPr>
              <w:t>）</w:t>
            </w:r>
          </w:p>
          <w:p w14:paraId="74A384F1">
            <w:pPr>
              <w:spacing w:before="127" w:line="225" w:lineRule="auto"/>
              <w:ind w:left="580"/>
              <w:rPr>
                <w:rFonts w:ascii="宋体" w:hAnsi="宋体" w:eastAsia="宋体" w:cs="宋体"/>
                <w:sz w:val="20"/>
                <w:szCs w:val="20"/>
              </w:rPr>
            </w:pPr>
            <w:r>
              <w:rPr>
                <w:rFonts w:ascii="宋体" w:hAnsi="宋体" w:eastAsia="宋体" w:cs="宋体"/>
                <w:b/>
                <w:bCs/>
                <w:sz w:val="20"/>
                <w:szCs w:val="20"/>
              </w:rPr>
              <w:t>⑥</w:t>
            </w:r>
          </w:p>
        </w:tc>
        <w:tc>
          <w:tcPr>
            <w:tcW w:w="1179" w:type="dxa"/>
            <w:tcBorders>
              <w:right w:val="single" w:color="000000" w:sz="6" w:space="0"/>
            </w:tcBorders>
            <w:vAlign w:val="top"/>
          </w:tcPr>
          <w:p w14:paraId="2FD14C2B">
            <w:pPr>
              <w:spacing w:line="377" w:lineRule="auto"/>
              <w:rPr>
                <w:rFonts w:ascii="Arial"/>
                <w:sz w:val="21"/>
              </w:rPr>
            </w:pPr>
          </w:p>
          <w:p w14:paraId="14E84CC8">
            <w:pPr>
              <w:spacing w:before="65" w:line="229" w:lineRule="auto"/>
              <w:ind w:left="284"/>
              <w:rPr>
                <w:rFonts w:ascii="宋体" w:hAnsi="宋体" w:eastAsia="宋体" w:cs="宋体"/>
                <w:sz w:val="20"/>
                <w:szCs w:val="20"/>
              </w:rPr>
            </w:pPr>
            <w:r>
              <w:rPr>
                <w:rFonts w:ascii="宋体" w:hAnsi="宋体" w:eastAsia="宋体" w:cs="宋体"/>
                <w:b/>
                <w:bCs/>
                <w:spacing w:val="5"/>
                <w:sz w:val="20"/>
                <w:szCs w:val="20"/>
              </w:rPr>
              <w:t>排放增</w:t>
            </w:r>
          </w:p>
          <w:p w14:paraId="3A6683D0">
            <w:pPr>
              <w:spacing w:before="159" w:line="325" w:lineRule="auto"/>
              <w:ind w:left="494" w:right="58" w:hanging="430"/>
              <w:rPr>
                <w:rFonts w:ascii="宋体" w:hAnsi="宋体" w:eastAsia="宋体" w:cs="宋体"/>
                <w:sz w:val="20"/>
                <w:szCs w:val="20"/>
              </w:rPr>
            </w:pPr>
            <w:r>
              <w:rPr>
                <w:rFonts w:ascii="宋体" w:hAnsi="宋体" w:eastAsia="宋体" w:cs="宋体"/>
                <w:b/>
                <w:bCs/>
                <w:spacing w:val="2"/>
                <w:sz w:val="20"/>
                <w:szCs w:val="20"/>
              </w:rPr>
              <w:t>减</w:t>
            </w:r>
            <w:r>
              <w:rPr>
                <w:rFonts w:ascii="微软雅黑" w:hAnsi="微软雅黑" w:eastAsia="微软雅黑" w:cs="微软雅黑"/>
                <w:b/>
                <w:bCs/>
                <w:spacing w:val="2"/>
                <w:sz w:val="20"/>
                <w:szCs w:val="20"/>
              </w:rPr>
              <w:t>量</w:t>
            </w:r>
            <w:r>
              <w:rPr>
                <w:rFonts w:ascii="宋体" w:hAnsi="宋体" w:eastAsia="宋体" w:cs="宋体"/>
                <w:b/>
                <w:bCs/>
                <w:spacing w:val="2"/>
                <w:sz w:val="20"/>
                <w:szCs w:val="20"/>
              </w:rPr>
              <w:t>（</w:t>
            </w:r>
            <w:r>
              <w:rPr>
                <w:rFonts w:ascii="Times New Roman" w:hAnsi="Times New Roman" w:eastAsia="Times New Roman" w:cs="Times New Roman"/>
                <w:b/>
                <w:bCs/>
                <w:spacing w:val="2"/>
                <w:sz w:val="20"/>
                <w:szCs w:val="20"/>
              </w:rPr>
              <w:t>t/a</w:t>
            </w:r>
            <w:r>
              <w:rPr>
                <w:rFonts w:ascii="宋体" w:hAnsi="宋体" w:eastAsia="宋体" w:cs="宋体"/>
                <w:b/>
                <w:bCs/>
                <w:spacing w:val="2"/>
                <w:sz w:val="20"/>
                <w:szCs w:val="20"/>
              </w:rPr>
              <w:t>）</w:t>
            </w:r>
            <w:r>
              <w:rPr>
                <w:rFonts w:ascii="宋体" w:hAnsi="宋体" w:eastAsia="宋体" w:cs="宋体"/>
                <w:spacing w:val="3"/>
                <w:sz w:val="20"/>
                <w:szCs w:val="20"/>
              </w:rPr>
              <w:t xml:space="preserve"> </w:t>
            </w:r>
            <w:r>
              <w:rPr>
                <w:rFonts w:ascii="宋体" w:hAnsi="宋体" w:eastAsia="宋体" w:cs="宋体"/>
                <w:b/>
                <w:bCs/>
                <w:sz w:val="20"/>
                <w:szCs w:val="20"/>
              </w:rPr>
              <w:t>⑦</w:t>
            </w:r>
          </w:p>
        </w:tc>
        <w:tc>
          <w:tcPr>
            <w:tcW w:w="132" w:type="dxa"/>
            <w:tcBorders>
              <w:top w:val="nil"/>
              <w:left w:val="single" w:color="000000" w:sz="6" w:space="0"/>
              <w:bottom w:val="nil"/>
              <w:right w:val="single" w:color="000000" w:sz="6" w:space="0"/>
            </w:tcBorders>
            <w:vAlign w:val="top"/>
          </w:tcPr>
          <w:p w14:paraId="1A1E93CE">
            <w:pPr>
              <w:rPr>
                <w:rFonts w:ascii="Arial"/>
                <w:sz w:val="21"/>
              </w:rPr>
            </w:pPr>
          </w:p>
        </w:tc>
      </w:tr>
      <w:tr w14:paraId="67399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trPr>
        <w:tc>
          <w:tcPr>
            <w:tcW w:w="735" w:type="dxa"/>
            <w:vMerge w:val="continue"/>
            <w:tcBorders>
              <w:top w:val="nil"/>
              <w:left w:val="single" w:color="000000" w:sz="6" w:space="0"/>
              <w:bottom w:val="nil"/>
            </w:tcBorders>
            <w:vAlign w:val="top"/>
          </w:tcPr>
          <w:p w14:paraId="1435E025">
            <w:pPr>
              <w:rPr>
                <w:rFonts w:ascii="Arial"/>
                <w:sz w:val="21"/>
              </w:rPr>
            </w:pPr>
          </w:p>
        </w:tc>
        <w:tc>
          <w:tcPr>
            <w:tcW w:w="117" w:type="dxa"/>
            <w:vMerge w:val="continue"/>
            <w:tcBorders>
              <w:top w:val="nil"/>
              <w:bottom w:val="nil"/>
              <w:right w:val="single" w:color="000000" w:sz="6" w:space="0"/>
            </w:tcBorders>
            <w:vAlign w:val="top"/>
          </w:tcPr>
          <w:p w14:paraId="03513A50">
            <w:pPr>
              <w:rPr>
                <w:rFonts w:ascii="Arial"/>
                <w:sz w:val="21"/>
              </w:rPr>
            </w:pPr>
          </w:p>
        </w:tc>
        <w:tc>
          <w:tcPr>
            <w:tcW w:w="477" w:type="dxa"/>
            <w:vMerge w:val="restart"/>
            <w:tcBorders>
              <w:left w:val="single" w:color="000000" w:sz="6" w:space="0"/>
              <w:bottom w:val="nil"/>
            </w:tcBorders>
            <w:textDirection w:val="tbRlV"/>
            <w:vAlign w:val="top"/>
          </w:tcPr>
          <w:p w14:paraId="62D04696">
            <w:pPr>
              <w:spacing w:before="137" w:line="184" w:lineRule="auto"/>
              <w:ind w:left="2223"/>
              <w:rPr>
                <w:rFonts w:ascii="微软雅黑" w:hAnsi="微软雅黑" w:eastAsia="微软雅黑" w:cs="微软雅黑"/>
                <w:sz w:val="20"/>
                <w:szCs w:val="20"/>
              </w:rPr>
            </w:pPr>
            <w:r>
              <w:rPr>
                <w:rFonts w:ascii="微软雅黑" w:hAnsi="微软雅黑" w:eastAsia="微软雅黑" w:cs="微软雅黑"/>
                <w:spacing w:val="7"/>
                <w:sz w:val="20"/>
                <w:szCs w:val="20"/>
              </w:rPr>
              <w:t>废   气</w:t>
            </w:r>
          </w:p>
        </w:tc>
        <w:tc>
          <w:tcPr>
            <w:tcW w:w="1642" w:type="dxa"/>
            <w:gridSpan w:val="2"/>
            <w:vAlign w:val="top"/>
          </w:tcPr>
          <w:p w14:paraId="20A0C647">
            <w:pPr>
              <w:spacing w:before="39" w:line="304" w:lineRule="auto"/>
              <w:ind w:left="626" w:right="192" w:hanging="16"/>
              <w:rPr>
                <w:rFonts w:ascii="Times New Roman" w:hAnsi="Times New Roman" w:eastAsia="Times New Roman" w:cs="Times New Roman"/>
                <w:sz w:val="20"/>
                <w:szCs w:val="20"/>
              </w:rPr>
            </w:pPr>
            <w:r>
              <w:rPr>
                <w:rFonts w:ascii="微软雅黑" w:hAnsi="微软雅黑" w:eastAsia="微软雅黑" w:cs="微软雅黑"/>
                <w:spacing w:val="8"/>
                <w:sz w:val="20"/>
                <w:szCs w:val="20"/>
              </w:rPr>
              <w:t>废气量万</w:t>
            </w:r>
            <w:r>
              <w:rPr>
                <w:rFonts w:ascii="Times New Roman" w:hAnsi="Times New Roman" w:eastAsia="Times New Roman" w:cs="Times New Roman"/>
                <w:spacing w:val="3"/>
                <w:sz w:val="20"/>
                <w:szCs w:val="20"/>
              </w:rPr>
              <w:t>m³/a</w:t>
            </w:r>
          </w:p>
        </w:tc>
        <w:tc>
          <w:tcPr>
            <w:tcW w:w="1248" w:type="dxa"/>
            <w:vAlign w:val="top"/>
          </w:tcPr>
          <w:p w14:paraId="42338554">
            <w:pPr>
              <w:spacing w:before="264" w:line="195" w:lineRule="auto"/>
              <w:ind w:left="30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14461.2</w:t>
            </w:r>
          </w:p>
        </w:tc>
        <w:tc>
          <w:tcPr>
            <w:tcW w:w="1010" w:type="dxa"/>
            <w:vAlign w:val="top"/>
          </w:tcPr>
          <w:p w14:paraId="33A97604">
            <w:pPr>
              <w:spacing w:before="264" w:line="195" w:lineRule="auto"/>
              <w:ind w:left="24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27600</w:t>
            </w:r>
          </w:p>
        </w:tc>
        <w:tc>
          <w:tcPr>
            <w:tcW w:w="812" w:type="dxa"/>
            <w:vAlign w:val="top"/>
          </w:tcPr>
          <w:p w14:paraId="05359330">
            <w:pPr>
              <w:spacing w:before="264" w:line="195" w:lineRule="auto"/>
              <w:ind w:left="362"/>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7C2FFABD">
            <w:pPr>
              <w:spacing w:before="264" w:line="195" w:lineRule="auto"/>
              <w:ind w:left="49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271EAC0E">
            <w:pPr>
              <w:spacing w:before="264"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42061.2</w:t>
            </w:r>
          </w:p>
        </w:tc>
        <w:tc>
          <w:tcPr>
            <w:tcW w:w="1179" w:type="dxa"/>
            <w:tcBorders>
              <w:right w:val="single" w:color="000000" w:sz="6" w:space="0"/>
            </w:tcBorders>
            <w:vAlign w:val="top"/>
          </w:tcPr>
          <w:p w14:paraId="21EE024F">
            <w:pPr>
              <w:spacing w:before="264"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+27600</w:t>
            </w:r>
          </w:p>
        </w:tc>
        <w:tc>
          <w:tcPr>
            <w:tcW w:w="132" w:type="dxa"/>
            <w:tcBorders>
              <w:top w:val="nil"/>
              <w:left w:val="single" w:color="000000" w:sz="6" w:space="0"/>
              <w:bottom w:val="nil"/>
              <w:right w:val="single" w:color="000000" w:sz="6" w:space="0"/>
            </w:tcBorders>
            <w:vAlign w:val="top"/>
          </w:tcPr>
          <w:p w14:paraId="6DE96772">
            <w:pPr>
              <w:rPr>
                <w:rFonts w:ascii="Arial"/>
                <w:sz w:val="21"/>
              </w:rPr>
            </w:pPr>
          </w:p>
        </w:tc>
      </w:tr>
      <w:tr w14:paraId="2DF29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35" w:type="dxa"/>
            <w:vMerge w:val="continue"/>
            <w:tcBorders>
              <w:top w:val="nil"/>
              <w:left w:val="single" w:color="000000" w:sz="6" w:space="0"/>
              <w:bottom w:val="nil"/>
            </w:tcBorders>
            <w:vAlign w:val="top"/>
          </w:tcPr>
          <w:p w14:paraId="53084774">
            <w:pPr>
              <w:rPr>
                <w:rFonts w:ascii="Arial"/>
                <w:sz w:val="21"/>
              </w:rPr>
            </w:pPr>
          </w:p>
        </w:tc>
        <w:tc>
          <w:tcPr>
            <w:tcW w:w="117" w:type="dxa"/>
            <w:vMerge w:val="continue"/>
            <w:tcBorders>
              <w:top w:val="nil"/>
              <w:bottom w:val="nil"/>
              <w:right w:val="single" w:color="000000" w:sz="6" w:space="0"/>
            </w:tcBorders>
            <w:vAlign w:val="top"/>
          </w:tcPr>
          <w:p w14:paraId="2D4DD1BF">
            <w:pPr>
              <w:rPr>
                <w:rFonts w:ascii="Arial"/>
                <w:sz w:val="21"/>
              </w:rPr>
            </w:pPr>
          </w:p>
        </w:tc>
        <w:tc>
          <w:tcPr>
            <w:tcW w:w="477" w:type="dxa"/>
            <w:vMerge w:val="continue"/>
            <w:tcBorders>
              <w:top w:val="nil"/>
              <w:left w:val="single" w:color="000000" w:sz="6" w:space="0"/>
              <w:bottom w:val="nil"/>
            </w:tcBorders>
            <w:textDirection w:val="tbRlV"/>
            <w:vAlign w:val="top"/>
          </w:tcPr>
          <w:p w14:paraId="1A28A9B2">
            <w:pPr>
              <w:rPr>
                <w:rFonts w:ascii="Arial"/>
                <w:sz w:val="21"/>
              </w:rPr>
            </w:pPr>
          </w:p>
        </w:tc>
        <w:tc>
          <w:tcPr>
            <w:tcW w:w="1642" w:type="dxa"/>
            <w:gridSpan w:val="2"/>
            <w:vAlign w:val="top"/>
          </w:tcPr>
          <w:p w14:paraId="40D2AF2E">
            <w:pPr>
              <w:spacing w:before="41" w:line="191" w:lineRule="auto"/>
              <w:ind w:left="717"/>
              <w:rPr>
                <w:rFonts w:ascii="微软雅黑" w:hAnsi="微软雅黑" w:eastAsia="微软雅黑" w:cs="微软雅黑"/>
                <w:sz w:val="20"/>
                <w:szCs w:val="20"/>
              </w:rPr>
            </w:pPr>
            <w:r>
              <w:rPr>
                <w:rFonts w:ascii="微软雅黑" w:hAnsi="微软雅黑" w:eastAsia="微软雅黑" w:cs="微软雅黑"/>
                <w:spacing w:val="7"/>
                <w:sz w:val="20"/>
                <w:szCs w:val="20"/>
              </w:rPr>
              <w:t>颗粒物</w:t>
            </w:r>
          </w:p>
        </w:tc>
        <w:tc>
          <w:tcPr>
            <w:tcW w:w="1248" w:type="dxa"/>
            <w:vAlign w:val="top"/>
          </w:tcPr>
          <w:p w14:paraId="741BE1A5">
            <w:pPr>
              <w:spacing w:before="84" w:line="195" w:lineRule="auto"/>
              <w:ind w:left="34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0.8088</w:t>
            </w:r>
          </w:p>
        </w:tc>
        <w:tc>
          <w:tcPr>
            <w:tcW w:w="1010" w:type="dxa"/>
            <w:vAlign w:val="top"/>
          </w:tcPr>
          <w:p w14:paraId="61185FAE">
            <w:pPr>
              <w:spacing w:before="84" w:line="195" w:lineRule="auto"/>
              <w:ind w:left="4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vAlign w:val="top"/>
          </w:tcPr>
          <w:p w14:paraId="6067090F">
            <w:pPr>
              <w:spacing w:before="84" w:line="195" w:lineRule="auto"/>
              <w:ind w:left="362"/>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4C4EC03D">
            <w:pPr>
              <w:spacing w:before="84" w:line="195" w:lineRule="auto"/>
              <w:ind w:left="49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69E06985">
            <w:pPr>
              <w:spacing w:before="84" w:line="195" w:lineRule="auto"/>
              <w:ind w:left="3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0.8088</w:t>
            </w:r>
          </w:p>
        </w:tc>
        <w:tc>
          <w:tcPr>
            <w:tcW w:w="1179" w:type="dxa"/>
            <w:tcBorders>
              <w:right w:val="single" w:color="000000" w:sz="6" w:space="0"/>
            </w:tcBorders>
            <w:vAlign w:val="top"/>
          </w:tcPr>
          <w:p w14:paraId="2D103FA3">
            <w:pPr>
              <w:spacing w:before="84" w:line="195" w:lineRule="auto"/>
              <w:ind w:left="54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nil"/>
              <w:right w:val="single" w:color="000000" w:sz="6" w:space="0"/>
            </w:tcBorders>
            <w:vAlign w:val="top"/>
          </w:tcPr>
          <w:p w14:paraId="3DF03BD3">
            <w:pPr>
              <w:rPr>
                <w:rFonts w:ascii="Arial"/>
                <w:sz w:val="21"/>
              </w:rPr>
            </w:pPr>
          </w:p>
        </w:tc>
      </w:tr>
      <w:tr w14:paraId="77640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35" w:type="dxa"/>
            <w:vMerge w:val="continue"/>
            <w:tcBorders>
              <w:top w:val="nil"/>
              <w:left w:val="single" w:color="000000" w:sz="6" w:space="0"/>
              <w:bottom w:val="nil"/>
            </w:tcBorders>
            <w:vAlign w:val="top"/>
          </w:tcPr>
          <w:p w14:paraId="05BDB786">
            <w:pPr>
              <w:rPr>
                <w:rFonts w:ascii="Arial"/>
                <w:sz w:val="21"/>
              </w:rPr>
            </w:pPr>
          </w:p>
        </w:tc>
        <w:tc>
          <w:tcPr>
            <w:tcW w:w="117" w:type="dxa"/>
            <w:vMerge w:val="continue"/>
            <w:tcBorders>
              <w:top w:val="nil"/>
              <w:bottom w:val="nil"/>
              <w:right w:val="single" w:color="000000" w:sz="6" w:space="0"/>
            </w:tcBorders>
            <w:vAlign w:val="top"/>
          </w:tcPr>
          <w:p w14:paraId="40F84CFD">
            <w:pPr>
              <w:rPr>
                <w:rFonts w:ascii="Arial"/>
                <w:sz w:val="21"/>
              </w:rPr>
            </w:pPr>
          </w:p>
        </w:tc>
        <w:tc>
          <w:tcPr>
            <w:tcW w:w="477" w:type="dxa"/>
            <w:vMerge w:val="continue"/>
            <w:tcBorders>
              <w:top w:val="nil"/>
              <w:left w:val="single" w:color="000000" w:sz="6" w:space="0"/>
              <w:bottom w:val="nil"/>
            </w:tcBorders>
            <w:textDirection w:val="tbRlV"/>
            <w:vAlign w:val="top"/>
          </w:tcPr>
          <w:p w14:paraId="2CCEDBB2">
            <w:pPr>
              <w:rPr>
                <w:rFonts w:ascii="Arial"/>
                <w:sz w:val="21"/>
              </w:rPr>
            </w:pPr>
          </w:p>
        </w:tc>
        <w:tc>
          <w:tcPr>
            <w:tcW w:w="1642" w:type="dxa"/>
            <w:gridSpan w:val="2"/>
            <w:vAlign w:val="top"/>
          </w:tcPr>
          <w:p w14:paraId="58A200A2">
            <w:pPr>
              <w:spacing w:before="41" w:line="192" w:lineRule="auto"/>
              <w:ind w:left="925"/>
              <w:rPr>
                <w:rFonts w:ascii="微软雅黑" w:hAnsi="微软雅黑" w:eastAsia="微软雅黑" w:cs="微软雅黑"/>
                <w:sz w:val="20"/>
                <w:szCs w:val="20"/>
              </w:rPr>
            </w:pPr>
            <w:r>
              <w:rPr>
                <w:rFonts w:ascii="微软雅黑" w:hAnsi="微软雅黑" w:eastAsia="微软雅黑" w:cs="微软雅黑"/>
                <w:spacing w:val="2"/>
                <w:sz w:val="20"/>
                <w:szCs w:val="20"/>
              </w:rPr>
              <w:t>苯</w:t>
            </w:r>
          </w:p>
        </w:tc>
        <w:tc>
          <w:tcPr>
            <w:tcW w:w="1248" w:type="dxa"/>
            <w:vAlign w:val="top"/>
          </w:tcPr>
          <w:p w14:paraId="578411D9">
            <w:pPr>
              <w:spacing w:before="83"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0.00288</w:t>
            </w:r>
          </w:p>
        </w:tc>
        <w:tc>
          <w:tcPr>
            <w:tcW w:w="1010" w:type="dxa"/>
            <w:vAlign w:val="top"/>
          </w:tcPr>
          <w:p w14:paraId="364AAE3B">
            <w:pPr>
              <w:spacing w:before="83" w:line="195" w:lineRule="auto"/>
              <w:ind w:left="4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vAlign w:val="top"/>
          </w:tcPr>
          <w:p w14:paraId="6C503B71">
            <w:pPr>
              <w:spacing w:before="83" w:line="195" w:lineRule="auto"/>
              <w:ind w:left="362"/>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103F72D4">
            <w:pPr>
              <w:spacing w:before="83" w:line="195" w:lineRule="auto"/>
              <w:ind w:left="49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4C7B3A28">
            <w:pPr>
              <w:spacing w:before="83" w:line="195" w:lineRule="auto"/>
              <w:ind w:left="34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0.00288</w:t>
            </w:r>
          </w:p>
        </w:tc>
        <w:tc>
          <w:tcPr>
            <w:tcW w:w="1179" w:type="dxa"/>
            <w:tcBorders>
              <w:right w:val="single" w:color="000000" w:sz="6" w:space="0"/>
            </w:tcBorders>
            <w:vAlign w:val="top"/>
          </w:tcPr>
          <w:p w14:paraId="4CE8650C">
            <w:pPr>
              <w:spacing w:before="83" w:line="195" w:lineRule="auto"/>
              <w:ind w:left="54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nil"/>
              <w:right w:val="single" w:color="000000" w:sz="6" w:space="0"/>
            </w:tcBorders>
            <w:vAlign w:val="top"/>
          </w:tcPr>
          <w:p w14:paraId="0872EAD6">
            <w:pPr>
              <w:rPr>
                <w:rFonts w:ascii="Arial"/>
                <w:sz w:val="21"/>
              </w:rPr>
            </w:pPr>
          </w:p>
        </w:tc>
      </w:tr>
      <w:tr w14:paraId="72620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35" w:type="dxa"/>
            <w:vMerge w:val="continue"/>
            <w:tcBorders>
              <w:top w:val="nil"/>
              <w:left w:val="single" w:color="000000" w:sz="6" w:space="0"/>
              <w:bottom w:val="nil"/>
            </w:tcBorders>
            <w:vAlign w:val="top"/>
          </w:tcPr>
          <w:p w14:paraId="5F17DDA7">
            <w:pPr>
              <w:rPr>
                <w:rFonts w:ascii="Arial"/>
                <w:sz w:val="21"/>
              </w:rPr>
            </w:pPr>
          </w:p>
        </w:tc>
        <w:tc>
          <w:tcPr>
            <w:tcW w:w="117" w:type="dxa"/>
            <w:vMerge w:val="continue"/>
            <w:tcBorders>
              <w:top w:val="nil"/>
              <w:bottom w:val="nil"/>
              <w:right w:val="single" w:color="000000" w:sz="6" w:space="0"/>
            </w:tcBorders>
            <w:vAlign w:val="top"/>
          </w:tcPr>
          <w:p w14:paraId="03AFB6F6">
            <w:pPr>
              <w:rPr>
                <w:rFonts w:ascii="Arial"/>
                <w:sz w:val="21"/>
              </w:rPr>
            </w:pPr>
          </w:p>
        </w:tc>
        <w:tc>
          <w:tcPr>
            <w:tcW w:w="477" w:type="dxa"/>
            <w:vMerge w:val="continue"/>
            <w:tcBorders>
              <w:top w:val="nil"/>
              <w:left w:val="single" w:color="000000" w:sz="6" w:space="0"/>
              <w:bottom w:val="nil"/>
            </w:tcBorders>
            <w:textDirection w:val="tbRlV"/>
            <w:vAlign w:val="top"/>
          </w:tcPr>
          <w:p w14:paraId="0A499D58">
            <w:pPr>
              <w:rPr>
                <w:rFonts w:ascii="Arial"/>
                <w:sz w:val="21"/>
              </w:rPr>
            </w:pPr>
          </w:p>
        </w:tc>
        <w:tc>
          <w:tcPr>
            <w:tcW w:w="1642" w:type="dxa"/>
            <w:gridSpan w:val="2"/>
            <w:vAlign w:val="top"/>
          </w:tcPr>
          <w:p w14:paraId="6B6E3DFB">
            <w:pPr>
              <w:spacing w:before="41" w:line="192" w:lineRule="auto"/>
              <w:ind w:left="853"/>
              <w:rPr>
                <w:rFonts w:ascii="微软雅黑" w:hAnsi="微软雅黑" w:eastAsia="微软雅黑" w:cs="微软雅黑"/>
                <w:sz w:val="20"/>
                <w:szCs w:val="20"/>
              </w:rPr>
            </w:pPr>
            <w:r>
              <w:rPr>
                <w:rFonts w:ascii="微软雅黑" w:hAnsi="微软雅黑" w:eastAsia="微软雅黑" w:cs="微软雅黑"/>
                <w:spacing w:val="-11"/>
                <w:sz w:val="20"/>
                <w:szCs w:val="20"/>
              </w:rPr>
              <w:t>甲苯</w:t>
            </w:r>
          </w:p>
        </w:tc>
        <w:tc>
          <w:tcPr>
            <w:tcW w:w="1248" w:type="dxa"/>
            <w:vAlign w:val="top"/>
          </w:tcPr>
          <w:p w14:paraId="7111133E">
            <w:pPr>
              <w:spacing w:before="84"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0.00024</w:t>
            </w:r>
          </w:p>
        </w:tc>
        <w:tc>
          <w:tcPr>
            <w:tcW w:w="1010" w:type="dxa"/>
            <w:vAlign w:val="top"/>
          </w:tcPr>
          <w:p w14:paraId="5A680EB6">
            <w:pPr>
              <w:spacing w:before="84" w:line="195" w:lineRule="auto"/>
              <w:ind w:left="4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vAlign w:val="top"/>
          </w:tcPr>
          <w:p w14:paraId="3EFA3AE2">
            <w:pPr>
              <w:spacing w:before="84" w:line="195" w:lineRule="auto"/>
              <w:ind w:left="362"/>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50F76489">
            <w:pPr>
              <w:spacing w:before="84" w:line="195" w:lineRule="auto"/>
              <w:ind w:left="49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125E5D0C">
            <w:pPr>
              <w:spacing w:before="84" w:line="195" w:lineRule="auto"/>
              <w:ind w:left="34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0.00024</w:t>
            </w:r>
          </w:p>
        </w:tc>
        <w:tc>
          <w:tcPr>
            <w:tcW w:w="1179" w:type="dxa"/>
            <w:tcBorders>
              <w:right w:val="single" w:color="000000" w:sz="6" w:space="0"/>
            </w:tcBorders>
            <w:vAlign w:val="top"/>
          </w:tcPr>
          <w:p w14:paraId="1EB33D54">
            <w:pPr>
              <w:spacing w:before="84" w:line="195" w:lineRule="auto"/>
              <w:ind w:left="54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nil"/>
              <w:right w:val="single" w:color="000000" w:sz="6" w:space="0"/>
            </w:tcBorders>
            <w:vAlign w:val="top"/>
          </w:tcPr>
          <w:p w14:paraId="143BD912">
            <w:pPr>
              <w:rPr>
                <w:rFonts w:ascii="Arial"/>
                <w:sz w:val="21"/>
              </w:rPr>
            </w:pPr>
          </w:p>
        </w:tc>
      </w:tr>
      <w:tr w14:paraId="2D574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35" w:type="dxa"/>
            <w:vMerge w:val="continue"/>
            <w:tcBorders>
              <w:top w:val="nil"/>
              <w:left w:val="single" w:color="000000" w:sz="6" w:space="0"/>
              <w:bottom w:val="nil"/>
            </w:tcBorders>
            <w:vAlign w:val="top"/>
          </w:tcPr>
          <w:p w14:paraId="4F1EA258">
            <w:pPr>
              <w:rPr>
                <w:rFonts w:ascii="Arial"/>
                <w:sz w:val="21"/>
              </w:rPr>
            </w:pPr>
          </w:p>
        </w:tc>
        <w:tc>
          <w:tcPr>
            <w:tcW w:w="117" w:type="dxa"/>
            <w:vMerge w:val="continue"/>
            <w:tcBorders>
              <w:top w:val="nil"/>
              <w:bottom w:val="nil"/>
              <w:right w:val="single" w:color="000000" w:sz="6" w:space="0"/>
            </w:tcBorders>
            <w:vAlign w:val="top"/>
          </w:tcPr>
          <w:p w14:paraId="6770D705">
            <w:pPr>
              <w:rPr>
                <w:rFonts w:ascii="Arial"/>
                <w:sz w:val="21"/>
              </w:rPr>
            </w:pPr>
          </w:p>
        </w:tc>
        <w:tc>
          <w:tcPr>
            <w:tcW w:w="477" w:type="dxa"/>
            <w:vMerge w:val="continue"/>
            <w:tcBorders>
              <w:top w:val="nil"/>
              <w:left w:val="single" w:color="000000" w:sz="6" w:space="0"/>
              <w:bottom w:val="nil"/>
            </w:tcBorders>
            <w:textDirection w:val="tbRlV"/>
            <w:vAlign w:val="top"/>
          </w:tcPr>
          <w:p w14:paraId="4101734A">
            <w:pPr>
              <w:rPr>
                <w:rFonts w:ascii="Arial"/>
                <w:sz w:val="21"/>
              </w:rPr>
            </w:pPr>
          </w:p>
        </w:tc>
        <w:tc>
          <w:tcPr>
            <w:tcW w:w="1642" w:type="dxa"/>
            <w:gridSpan w:val="2"/>
            <w:vAlign w:val="top"/>
          </w:tcPr>
          <w:p w14:paraId="0A386C00">
            <w:pPr>
              <w:spacing w:before="44" w:line="268" w:lineRule="auto"/>
              <w:ind w:left="726" w:right="195" w:hanging="103"/>
              <w:rPr>
                <w:rFonts w:ascii="微软雅黑" w:hAnsi="微软雅黑" w:eastAsia="微软雅黑" w:cs="微软雅黑"/>
                <w:sz w:val="20"/>
                <w:szCs w:val="20"/>
              </w:rPr>
            </w:pPr>
            <w:r>
              <w:rPr>
                <w:rFonts w:ascii="微软雅黑" w:hAnsi="微软雅黑" w:eastAsia="微软雅黑" w:cs="微软雅黑"/>
                <w:spacing w:val="4"/>
                <w:sz w:val="20"/>
                <w:szCs w:val="20"/>
              </w:rPr>
              <w:t>非甲烷总</w:t>
            </w:r>
            <w:r>
              <w:rPr>
                <w:rFonts w:ascii="微软雅黑" w:hAnsi="微软雅黑" w:eastAsia="微软雅黑" w:cs="微软雅黑"/>
                <w:sz w:val="20"/>
                <w:szCs w:val="20"/>
              </w:rPr>
              <w:t>烃</w:t>
            </w:r>
          </w:p>
        </w:tc>
        <w:tc>
          <w:tcPr>
            <w:tcW w:w="1248" w:type="dxa"/>
            <w:vAlign w:val="top"/>
          </w:tcPr>
          <w:p w14:paraId="22EEE79C">
            <w:pPr>
              <w:spacing w:before="290" w:line="195" w:lineRule="auto"/>
              <w:ind w:left="34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0.7032</w:t>
            </w:r>
          </w:p>
        </w:tc>
        <w:tc>
          <w:tcPr>
            <w:tcW w:w="1010" w:type="dxa"/>
            <w:vAlign w:val="top"/>
          </w:tcPr>
          <w:p w14:paraId="57A37FC7">
            <w:pPr>
              <w:spacing w:before="290" w:line="195" w:lineRule="auto"/>
              <w:ind w:left="239"/>
              <w:rPr>
                <w:rFonts w:ascii="Times New Roman" w:hAnsi="Times New Roman" w:eastAsia="Times New Roman" w:cs="Times New Roman"/>
                <w:sz w:val="20"/>
                <w:szCs w:val="20"/>
              </w:rPr>
            </w:pPr>
            <w:r>
              <w:rPr>
                <w:rFonts w:ascii="Times New Roman" w:hAnsi="Times New Roman" w:eastAsia="Times New Roman" w:cs="Times New Roman"/>
                <w:sz w:val="20"/>
                <w:szCs w:val="20"/>
              </w:rPr>
              <w:t>1.7388</w:t>
            </w:r>
          </w:p>
        </w:tc>
        <w:tc>
          <w:tcPr>
            <w:tcW w:w="812" w:type="dxa"/>
            <w:vAlign w:val="top"/>
          </w:tcPr>
          <w:p w14:paraId="5B5C6787">
            <w:pPr>
              <w:spacing w:before="290" w:line="195" w:lineRule="auto"/>
              <w:ind w:left="362"/>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7308D746">
            <w:pPr>
              <w:spacing w:before="290" w:line="195" w:lineRule="auto"/>
              <w:ind w:left="49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44FCAFE4">
            <w:pPr>
              <w:spacing w:before="290" w:line="195"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2.442</w:t>
            </w:r>
          </w:p>
        </w:tc>
        <w:tc>
          <w:tcPr>
            <w:tcW w:w="1179" w:type="dxa"/>
            <w:tcBorders>
              <w:right w:val="single" w:color="000000" w:sz="6" w:space="0"/>
            </w:tcBorders>
            <w:vAlign w:val="top"/>
          </w:tcPr>
          <w:p w14:paraId="28FAD087">
            <w:pPr>
              <w:spacing w:before="290" w:line="195" w:lineRule="auto"/>
              <w:ind w:left="24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+1.7388</w:t>
            </w:r>
          </w:p>
        </w:tc>
        <w:tc>
          <w:tcPr>
            <w:tcW w:w="132" w:type="dxa"/>
            <w:tcBorders>
              <w:top w:val="nil"/>
              <w:left w:val="single" w:color="000000" w:sz="6" w:space="0"/>
              <w:bottom w:val="nil"/>
              <w:right w:val="single" w:color="000000" w:sz="6" w:space="0"/>
            </w:tcBorders>
            <w:vAlign w:val="top"/>
          </w:tcPr>
          <w:p w14:paraId="5B8EBBE5">
            <w:pPr>
              <w:rPr>
                <w:rFonts w:ascii="Arial"/>
                <w:sz w:val="21"/>
              </w:rPr>
            </w:pPr>
          </w:p>
        </w:tc>
      </w:tr>
      <w:tr w14:paraId="02A29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735" w:type="dxa"/>
            <w:vMerge w:val="continue"/>
            <w:tcBorders>
              <w:top w:val="nil"/>
              <w:left w:val="single" w:color="000000" w:sz="6" w:space="0"/>
              <w:bottom w:val="nil"/>
            </w:tcBorders>
            <w:vAlign w:val="top"/>
          </w:tcPr>
          <w:p w14:paraId="2473C62B">
            <w:pPr>
              <w:rPr>
                <w:rFonts w:ascii="Arial"/>
                <w:sz w:val="21"/>
              </w:rPr>
            </w:pPr>
          </w:p>
        </w:tc>
        <w:tc>
          <w:tcPr>
            <w:tcW w:w="117" w:type="dxa"/>
            <w:vMerge w:val="continue"/>
            <w:tcBorders>
              <w:top w:val="nil"/>
              <w:bottom w:val="nil"/>
              <w:right w:val="single" w:color="000000" w:sz="6" w:space="0"/>
            </w:tcBorders>
            <w:vAlign w:val="top"/>
          </w:tcPr>
          <w:p w14:paraId="790554C9">
            <w:pPr>
              <w:rPr>
                <w:rFonts w:ascii="Arial"/>
                <w:sz w:val="21"/>
              </w:rPr>
            </w:pPr>
          </w:p>
        </w:tc>
        <w:tc>
          <w:tcPr>
            <w:tcW w:w="477" w:type="dxa"/>
            <w:vMerge w:val="continue"/>
            <w:tcBorders>
              <w:top w:val="nil"/>
              <w:left w:val="single" w:color="000000" w:sz="6" w:space="0"/>
              <w:bottom w:val="nil"/>
            </w:tcBorders>
            <w:textDirection w:val="tbRlV"/>
            <w:vAlign w:val="top"/>
          </w:tcPr>
          <w:p w14:paraId="76397791">
            <w:pPr>
              <w:rPr>
                <w:rFonts w:ascii="Arial"/>
                <w:sz w:val="21"/>
              </w:rPr>
            </w:pPr>
          </w:p>
        </w:tc>
        <w:tc>
          <w:tcPr>
            <w:tcW w:w="1642" w:type="dxa"/>
            <w:gridSpan w:val="2"/>
            <w:vAlign w:val="top"/>
          </w:tcPr>
          <w:p w14:paraId="6084CD96">
            <w:pPr>
              <w:spacing w:before="232" w:line="192" w:lineRule="auto"/>
              <w:ind w:left="729"/>
              <w:rPr>
                <w:rFonts w:ascii="微软雅黑" w:hAnsi="微软雅黑" w:eastAsia="微软雅黑" w:cs="微软雅黑"/>
                <w:sz w:val="20"/>
                <w:szCs w:val="20"/>
              </w:rPr>
            </w:pPr>
            <w:r>
              <w:rPr>
                <w:rFonts w:ascii="微软雅黑" w:hAnsi="微软雅黑" w:eastAsia="微软雅黑" w:cs="微软雅黑"/>
                <w:spacing w:val="-10"/>
                <w:sz w:val="20"/>
                <w:szCs w:val="20"/>
              </w:rPr>
              <w:t>二</w:t>
            </w:r>
            <w:r>
              <w:rPr>
                <w:rFonts w:ascii="微软雅黑" w:hAnsi="微软雅黑" w:eastAsia="微软雅黑" w:cs="微软雅黑"/>
                <w:spacing w:val="-21"/>
                <w:sz w:val="20"/>
                <w:szCs w:val="20"/>
              </w:rPr>
              <w:t xml:space="preserve"> </w:t>
            </w:r>
            <w:r>
              <w:rPr>
                <w:rFonts w:ascii="微软雅黑" w:hAnsi="微软雅黑" w:eastAsia="微软雅黑" w:cs="微软雅黑"/>
                <w:spacing w:val="-10"/>
                <w:sz w:val="20"/>
                <w:szCs w:val="20"/>
              </w:rPr>
              <w:t>甲苯</w:t>
            </w:r>
          </w:p>
        </w:tc>
        <w:tc>
          <w:tcPr>
            <w:tcW w:w="1248" w:type="dxa"/>
            <w:vAlign w:val="top"/>
          </w:tcPr>
          <w:p w14:paraId="4F8303C2">
            <w:pPr>
              <w:spacing w:before="275"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0.00144</w:t>
            </w:r>
          </w:p>
        </w:tc>
        <w:tc>
          <w:tcPr>
            <w:tcW w:w="1010" w:type="dxa"/>
            <w:vAlign w:val="top"/>
          </w:tcPr>
          <w:p w14:paraId="4A36472C">
            <w:pPr>
              <w:spacing w:before="275" w:line="195" w:lineRule="auto"/>
              <w:ind w:left="4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vAlign w:val="top"/>
          </w:tcPr>
          <w:p w14:paraId="57F00CBD">
            <w:pPr>
              <w:spacing w:before="275" w:line="195" w:lineRule="auto"/>
              <w:ind w:left="362"/>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6A4B25F5">
            <w:pPr>
              <w:spacing w:before="275" w:line="195" w:lineRule="auto"/>
              <w:ind w:left="49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246CFAA7">
            <w:pPr>
              <w:spacing w:before="275" w:line="195" w:lineRule="auto"/>
              <w:ind w:left="34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0.00144</w:t>
            </w:r>
          </w:p>
        </w:tc>
        <w:tc>
          <w:tcPr>
            <w:tcW w:w="1179" w:type="dxa"/>
            <w:tcBorders>
              <w:right w:val="single" w:color="000000" w:sz="6" w:space="0"/>
            </w:tcBorders>
            <w:vAlign w:val="top"/>
          </w:tcPr>
          <w:p w14:paraId="40D0514C">
            <w:pPr>
              <w:spacing w:before="275" w:line="195" w:lineRule="auto"/>
              <w:ind w:left="54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nil"/>
              <w:right w:val="single" w:color="000000" w:sz="6" w:space="0"/>
            </w:tcBorders>
            <w:vAlign w:val="top"/>
          </w:tcPr>
          <w:p w14:paraId="0209A0EA">
            <w:pPr>
              <w:rPr>
                <w:rFonts w:ascii="Arial"/>
                <w:sz w:val="21"/>
              </w:rPr>
            </w:pPr>
          </w:p>
        </w:tc>
      </w:tr>
      <w:tr w14:paraId="117E5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735" w:type="dxa"/>
            <w:vMerge w:val="continue"/>
            <w:tcBorders>
              <w:top w:val="nil"/>
              <w:left w:val="single" w:color="000000" w:sz="6" w:space="0"/>
              <w:bottom w:val="nil"/>
            </w:tcBorders>
            <w:vAlign w:val="top"/>
          </w:tcPr>
          <w:p w14:paraId="7BB22AD3">
            <w:pPr>
              <w:rPr>
                <w:rFonts w:ascii="Arial"/>
                <w:sz w:val="21"/>
              </w:rPr>
            </w:pPr>
          </w:p>
        </w:tc>
        <w:tc>
          <w:tcPr>
            <w:tcW w:w="117" w:type="dxa"/>
            <w:vMerge w:val="continue"/>
            <w:tcBorders>
              <w:top w:val="nil"/>
              <w:bottom w:val="nil"/>
              <w:right w:val="single" w:color="000000" w:sz="6" w:space="0"/>
            </w:tcBorders>
            <w:vAlign w:val="top"/>
          </w:tcPr>
          <w:p w14:paraId="39D835B2">
            <w:pPr>
              <w:rPr>
                <w:rFonts w:ascii="Arial"/>
                <w:sz w:val="21"/>
              </w:rPr>
            </w:pPr>
          </w:p>
        </w:tc>
        <w:tc>
          <w:tcPr>
            <w:tcW w:w="477" w:type="dxa"/>
            <w:vMerge w:val="continue"/>
            <w:tcBorders>
              <w:top w:val="nil"/>
              <w:left w:val="single" w:color="000000" w:sz="6" w:space="0"/>
              <w:bottom w:val="nil"/>
            </w:tcBorders>
            <w:textDirection w:val="tbRlV"/>
            <w:vAlign w:val="top"/>
          </w:tcPr>
          <w:p w14:paraId="0861809E">
            <w:pPr>
              <w:rPr>
                <w:rFonts w:ascii="Arial"/>
                <w:sz w:val="21"/>
              </w:rPr>
            </w:pPr>
          </w:p>
        </w:tc>
        <w:tc>
          <w:tcPr>
            <w:tcW w:w="1642" w:type="dxa"/>
            <w:gridSpan w:val="2"/>
            <w:vAlign w:val="top"/>
          </w:tcPr>
          <w:p w14:paraId="0121EE75">
            <w:pPr>
              <w:spacing w:before="232" w:line="192" w:lineRule="auto"/>
              <w:ind w:left="721"/>
              <w:rPr>
                <w:rFonts w:ascii="Times New Roman" w:hAnsi="Times New Roman" w:eastAsia="Times New Roman" w:cs="Times New Roman"/>
                <w:sz w:val="20"/>
                <w:szCs w:val="20"/>
              </w:rPr>
            </w:pPr>
            <w:r>
              <w:rPr>
                <w:rFonts w:ascii="微软雅黑" w:hAnsi="微软雅黑" w:eastAsia="微软雅黑" w:cs="微软雅黑"/>
                <w:spacing w:val="-3"/>
                <w:sz w:val="20"/>
                <w:szCs w:val="20"/>
              </w:rPr>
              <w:t xml:space="preserve">甲醛 </w:t>
            </w:r>
            <w:r>
              <w:rPr>
                <w:rFonts w:ascii="Times New Roman" w:hAnsi="Times New Roman" w:eastAsia="Times New Roman" w:cs="Times New Roman"/>
                <w:spacing w:val="-3"/>
                <w:sz w:val="20"/>
                <w:szCs w:val="20"/>
              </w:rPr>
              <w:t>t/a</w:t>
            </w:r>
          </w:p>
        </w:tc>
        <w:tc>
          <w:tcPr>
            <w:tcW w:w="1248" w:type="dxa"/>
            <w:vAlign w:val="top"/>
          </w:tcPr>
          <w:p w14:paraId="3075FBE6">
            <w:pPr>
              <w:spacing w:before="275" w:line="195" w:lineRule="auto"/>
              <w:ind w:left="34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0.0216</w:t>
            </w:r>
          </w:p>
        </w:tc>
        <w:tc>
          <w:tcPr>
            <w:tcW w:w="1010" w:type="dxa"/>
            <w:vAlign w:val="top"/>
          </w:tcPr>
          <w:p w14:paraId="57FBE27F">
            <w:pPr>
              <w:spacing w:before="275" w:line="195" w:lineRule="auto"/>
              <w:ind w:left="4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vAlign w:val="top"/>
          </w:tcPr>
          <w:p w14:paraId="77B094D6">
            <w:pPr>
              <w:spacing w:before="275" w:line="195" w:lineRule="auto"/>
              <w:ind w:left="362"/>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1F440324">
            <w:pPr>
              <w:spacing w:before="275" w:line="195" w:lineRule="auto"/>
              <w:ind w:left="49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2937524A">
            <w:pPr>
              <w:spacing w:before="275" w:line="195" w:lineRule="auto"/>
              <w:ind w:left="3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0.0216</w:t>
            </w:r>
          </w:p>
        </w:tc>
        <w:tc>
          <w:tcPr>
            <w:tcW w:w="1179" w:type="dxa"/>
            <w:tcBorders>
              <w:right w:val="single" w:color="000000" w:sz="6" w:space="0"/>
            </w:tcBorders>
            <w:vAlign w:val="top"/>
          </w:tcPr>
          <w:p w14:paraId="430C457F">
            <w:pPr>
              <w:spacing w:before="275" w:line="195" w:lineRule="auto"/>
              <w:ind w:left="54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nil"/>
              <w:right w:val="single" w:color="000000" w:sz="6" w:space="0"/>
            </w:tcBorders>
            <w:vAlign w:val="top"/>
          </w:tcPr>
          <w:p w14:paraId="593ED6C8">
            <w:pPr>
              <w:rPr>
                <w:rFonts w:ascii="Arial"/>
                <w:sz w:val="21"/>
              </w:rPr>
            </w:pPr>
          </w:p>
        </w:tc>
      </w:tr>
      <w:tr w14:paraId="22C9E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735" w:type="dxa"/>
            <w:vMerge w:val="continue"/>
            <w:tcBorders>
              <w:top w:val="nil"/>
              <w:left w:val="single" w:color="000000" w:sz="6" w:space="0"/>
              <w:bottom w:val="nil"/>
            </w:tcBorders>
            <w:vAlign w:val="top"/>
          </w:tcPr>
          <w:p w14:paraId="482C3712">
            <w:pPr>
              <w:rPr>
                <w:rFonts w:ascii="Arial"/>
                <w:sz w:val="21"/>
              </w:rPr>
            </w:pPr>
          </w:p>
        </w:tc>
        <w:tc>
          <w:tcPr>
            <w:tcW w:w="117" w:type="dxa"/>
            <w:vMerge w:val="continue"/>
            <w:tcBorders>
              <w:top w:val="nil"/>
              <w:bottom w:val="nil"/>
              <w:right w:val="single" w:color="000000" w:sz="6" w:space="0"/>
            </w:tcBorders>
            <w:vAlign w:val="top"/>
          </w:tcPr>
          <w:p w14:paraId="22A9F163">
            <w:pPr>
              <w:rPr>
                <w:rFonts w:ascii="Arial"/>
                <w:sz w:val="21"/>
              </w:rPr>
            </w:pPr>
          </w:p>
        </w:tc>
        <w:tc>
          <w:tcPr>
            <w:tcW w:w="477" w:type="dxa"/>
            <w:vMerge w:val="continue"/>
            <w:tcBorders>
              <w:top w:val="nil"/>
              <w:left w:val="single" w:color="000000" w:sz="6" w:space="0"/>
              <w:bottom w:val="nil"/>
            </w:tcBorders>
            <w:textDirection w:val="tbRlV"/>
            <w:vAlign w:val="top"/>
          </w:tcPr>
          <w:p w14:paraId="0160A2C5">
            <w:pPr>
              <w:rPr>
                <w:rFonts w:ascii="Arial"/>
                <w:sz w:val="21"/>
              </w:rPr>
            </w:pPr>
          </w:p>
        </w:tc>
        <w:tc>
          <w:tcPr>
            <w:tcW w:w="1642" w:type="dxa"/>
            <w:gridSpan w:val="2"/>
            <w:vAlign w:val="top"/>
          </w:tcPr>
          <w:p w14:paraId="513939DA">
            <w:pPr>
              <w:spacing w:before="65" w:line="202" w:lineRule="auto"/>
              <w:ind w:left="869"/>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pacing w:val="3"/>
                <w:position w:val="-1"/>
                <w:sz w:val="13"/>
                <w:szCs w:val="13"/>
              </w:rPr>
              <w:t>2</w:t>
            </w:r>
          </w:p>
        </w:tc>
        <w:tc>
          <w:tcPr>
            <w:tcW w:w="1248" w:type="dxa"/>
            <w:vAlign w:val="top"/>
          </w:tcPr>
          <w:p w14:paraId="359895B2">
            <w:pPr>
              <w:spacing w:before="65" w:line="195" w:lineRule="auto"/>
              <w:ind w:left="34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0.1368</w:t>
            </w:r>
          </w:p>
        </w:tc>
        <w:tc>
          <w:tcPr>
            <w:tcW w:w="1010" w:type="dxa"/>
            <w:vAlign w:val="top"/>
          </w:tcPr>
          <w:p w14:paraId="2C669086">
            <w:pPr>
              <w:spacing w:before="65" w:line="195" w:lineRule="auto"/>
              <w:ind w:left="4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vAlign w:val="top"/>
          </w:tcPr>
          <w:p w14:paraId="5290E74E">
            <w:pPr>
              <w:spacing w:before="65" w:line="195" w:lineRule="auto"/>
              <w:ind w:left="362"/>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58FFB250">
            <w:pPr>
              <w:spacing w:before="65" w:line="195" w:lineRule="auto"/>
              <w:ind w:left="49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5C8F6BB7">
            <w:pPr>
              <w:spacing w:before="65" w:line="195" w:lineRule="auto"/>
              <w:ind w:left="3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0.1368</w:t>
            </w:r>
          </w:p>
        </w:tc>
        <w:tc>
          <w:tcPr>
            <w:tcW w:w="1179" w:type="dxa"/>
            <w:tcBorders>
              <w:right w:val="single" w:color="000000" w:sz="6" w:space="0"/>
            </w:tcBorders>
            <w:vAlign w:val="top"/>
          </w:tcPr>
          <w:p w14:paraId="10623356">
            <w:pPr>
              <w:spacing w:before="65" w:line="195" w:lineRule="auto"/>
              <w:ind w:left="54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nil"/>
              <w:right w:val="single" w:color="000000" w:sz="6" w:space="0"/>
            </w:tcBorders>
            <w:vAlign w:val="top"/>
          </w:tcPr>
          <w:p w14:paraId="55F7D80D">
            <w:pPr>
              <w:rPr>
                <w:rFonts w:ascii="Arial"/>
                <w:sz w:val="21"/>
              </w:rPr>
            </w:pPr>
          </w:p>
        </w:tc>
      </w:tr>
      <w:tr w14:paraId="19A41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735" w:type="dxa"/>
            <w:vMerge w:val="continue"/>
            <w:tcBorders>
              <w:top w:val="nil"/>
              <w:left w:val="single" w:color="000000" w:sz="6" w:space="0"/>
              <w:bottom w:val="single" w:color="000000" w:sz="6" w:space="0"/>
            </w:tcBorders>
            <w:vAlign w:val="top"/>
          </w:tcPr>
          <w:p w14:paraId="1D1BA976">
            <w:pPr>
              <w:rPr>
                <w:rFonts w:ascii="Arial"/>
                <w:sz w:val="21"/>
              </w:rPr>
            </w:pPr>
          </w:p>
        </w:tc>
        <w:tc>
          <w:tcPr>
            <w:tcW w:w="117" w:type="dxa"/>
            <w:vMerge w:val="continue"/>
            <w:tcBorders>
              <w:top w:val="nil"/>
              <w:bottom w:val="single" w:color="000000" w:sz="6" w:space="0"/>
              <w:right w:val="single" w:color="000000" w:sz="6" w:space="0"/>
            </w:tcBorders>
            <w:vAlign w:val="top"/>
          </w:tcPr>
          <w:p w14:paraId="39B9C755">
            <w:pPr>
              <w:rPr>
                <w:rFonts w:ascii="Arial"/>
                <w:sz w:val="21"/>
              </w:rPr>
            </w:pPr>
          </w:p>
        </w:tc>
        <w:tc>
          <w:tcPr>
            <w:tcW w:w="477" w:type="dxa"/>
            <w:vMerge w:val="continue"/>
            <w:tcBorders>
              <w:top w:val="nil"/>
              <w:left w:val="single" w:color="000000" w:sz="6" w:space="0"/>
              <w:bottom w:val="single" w:color="000000" w:sz="6" w:space="0"/>
            </w:tcBorders>
            <w:textDirection w:val="tbRlV"/>
            <w:vAlign w:val="top"/>
          </w:tcPr>
          <w:p w14:paraId="66EBC602">
            <w:pPr>
              <w:rPr>
                <w:rFonts w:ascii="Arial"/>
                <w:sz w:val="21"/>
              </w:rPr>
            </w:pPr>
          </w:p>
        </w:tc>
        <w:tc>
          <w:tcPr>
            <w:tcW w:w="1642" w:type="dxa"/>
            <w:gridSpan w:val="2"/>
            <w:tcBorders>
              <w:bottom w:val="single" w:color="000000" w:sz="6" w:space="0"/>
            </w:tcBorders>
            <w:vAlign w:val="top"/>
          </w:tcPr>
          <w:p w14:paraId="4C3A3F8A">
            <w:pPr>
              <w:spacing w:before="65" w:line="195" w:lineRule="auto"/>
              <w:ind w:left="81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NOx</w:t>
            </w:r>
          </w:p>
        </w:tc>
        <w:tc>
          <w:tcPr>
            <w:tcW w:w="1248" w:type="dxa"/>
            <w:tcBorders>
              <w:bottom w:val="single" w:color="000000" w:sz="6" w:space="0"/>
            </w:tcBorders>
            <w:vAlign w:val="top"/>
          </w:tcPr>
          <w:p w14:paraId="60AB71F6">
            <w:pPr>
              <w:spacing w:before="65" w:line="195" w:lineRule="auto"/>
              <w:ind w:left="3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0.276</w:t>
            </w:r>
          </w:p>
        </w:tc>
        <w:tc>
          <w:tcPr>
            <w:tcW w:w="1010" w:type="dxa"/>
            <w:tcBorders>
              <w:bottom w:val="single" w:color="000000" w:sz="6" w:space="0"/>
            </w:tcBorders>
            <w:vAlign w:val="top"/>
          </w:tcPr>
          <w:p w14:paraId="5A7A0A5C">
            <w:pPr>
              <w:spacing w:before="65" w:line="195" w:lineRule="auto"/>
              <w:ind w:left="457"/>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tcBorders>
              <w:bottom w:val="single" w:color="000000" w:sz="6" w:space="0"/>
            </w:tcBorders>
            <w:vAlign w:val="top"/>
          </w:tcPr>
          <w:p w14:paraId="5FF8CA5B">
            <w:pPr>
              <w:spacing w:before="65" w:line="195" w:lineRule="auto"/>
              <w:ind w:left="362"/>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tcBorders>
              <w:bottom w:val="single" w:color="000000" w:sz="6" w:space="0"/>
            </w:tcBorders>
            <w:vAlign w:val="top"/>
          </w:tcPr>
          <w:p w14:paraId="2D984724">
            <w:pPr>
              <w:spacing w:before="65" w:line="195" w:lineRule="auto"/>
              <w:ind w:left="49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tcBorders>
              <w:bottom w:val="single" w:color="000000" w:sz="6" w:space="0"/>
            </w:tcBorders>
            <w:vAlign w:val="top"/>
          </w:tcPr>
          <w:p w14:paraId="2D15FA86">
            <w:pPr>
              <w:spacing w:before="65" w:line="195" w:lineRule="auto"/>
              <w:ind w:left="4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0.276</w:t>
            </w:r>
          </w:p>
        </w:tc>
        <w:tc>
          <w:tcPr>
            <w:tcW w:w="1179" w:type="dxa"/>
            <w:tcBorders>
              <w:bottom w:val="single" w:color="000000" w:sz="6" w:space="0"/>
              <w:right w:val="single" w:color="000000" w:sz="6" w:space="0"/>
            </w:tcBorders>
            <w:vAlign w:val="top"/>
          </w:tcPr>
          <w:p w14:paraId="4785B927">
            <w:pPr>
              <w:spacing w:before="65" w:line="195" w:lineRule="auto"/>
              <w:ind w:left="54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single" w:color="000000" w:sz="6" w:space="0"/>
              <w:right w:val="single" w:color="000000" w:sz="6" w:space="0"/>
            </w:tcBorders>
            <w:vAlign w:val="top"/>
          </w:tcPr>
          <w:p w14:paraId="48862090">
            <w:pPr>
              <w:rPr>
                <w:rFonts w:ascii="Arial"/>
                <w:sz w:val="21"/>
              </w:rPr>
            </w:pPr>
          </w:p>
        </w:tc>
      </w:tr>
    </w:tbl>
    <w:p w14:paraId="001C3A22">
      <w:pPr>
        <w:pStyle w:val="2"/>
      </w:pPr>
    </w:p>
    <w:p w14:paraId="392A56F6">
      <w:pPr>
        <w:sectPr>
          <w:footerReference r:id="rId112" w:type="default"/>
          <w:pgSz w:w="11906" w:h="16839"/>
          <w:pgMar w:top="400" w:right="1055" w:bottom="1085" w:left="1054" w:header="0" w:footer="762" w:gutter="0"/>
          <w:cols w:space="720" w:num="1"/>
        </w:sectPr>
      </w:pPr>
    </w:p>
    <w:p w14:paraId="4C979923">
      <w:pPr>
        <w:spacing w:before="19"/>
      </w:pPr>
    </w:p>
    <w:p w14:paraId="2B9BF5E2">
      <w:pPr>
        <w:spacing w:before="19"/>
      </w:pPr>
    </w:p>
    <w:p w14:paraId="2265AFCA">
      <w:pPr>
        <w:spacing w:before="19"/>
      </w:pPr>
    </w:p>
    <w:p w14:paraId="030DD9EC">
      <w:pPr>
        <w:spacing w:before="18"/>
      </w:pPr>
    </w:p>
    <w:p w14:paraId="11D8BA84">
      <w:pPr>
        <w:spacing w:before="18"/>
      </w:pPr>
    </w:p>
    <w:tbl>
      <w:tblPr>
        <w:tblStyle w:val="10"/>
        <w:tblW w:w="978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5"/>
        <w:gridCol w:w="118"/>
        <w:gridCol w:w="477"/>
        <w:gridCol w:w="1643"/>
        <w:gridCol w:w="1248"/>
        <w:gridCol w:w="1010"/>
        <w:gridCol w:w="812"/>
        <w:gridCol w:w="1073"/>
        <w:gridCol w:w="1356"/>
        <w:gridCol w:w="1177"/>
        <w:gridCol w:w="132"/>
      </w:tblGrid>
      <w:tr w14:paraId="3A575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735" w:type="dxa"/>
            <w:vMerge w:val="restart"/>
            <w:tcBorders>
              <w:top w:val="single" w:color="000000" w:sz="6" w:space="0"/>
              <w:left w:val="single" w:color="000000" w:sz="6" w:space="0"/>
              <w:bottom w:val="nil"/>
            </w:tcBorders>
            <w:vAlign w:val="top"/>
          </w:tcPr>
          <w:p w14:paraId="1B2BD101">
            <w:pPr>
              <w:rPr>
                <w:rFonts w:ascii="Arial"/>
                <w:sz w:val="21"/>
              </w:rPr>
            </w:pPr>
          </w:p>
        </w:tc>
        <w:tc>
          <w:tcPr>
            <w:tcW w:w="118" w:type="dxa"/>
            <w:vMerge w:val="restart"/>
            <w:tcBorders>
              <w:top w:val="single" w:color="000000" w:sz="6" w:space="0"/>
              <w:bottom w:val="nil"/>
              <w:right w:val="single" w:color="000000" w:sz="6" w:space="0"/>
            </w:tcBorders>
            <w:vAlign w:val="top"/>
          </w:tcPr>
          <w:p w14:paraId="06B534C9">
            <w:pPr>
              <w:rPr>
                <w:rFonts w:ascii="Arial"/>
                <w:sz w:val="21"/>
              </w:rPr>
            </w:pPr>
          </w:p>
        </w:tc>
        <w:tc>
          <w:tcPr>
            <w:tcW w:w="477" w:type="dxa"/>
            <w:vMerge w:val="restart"/>
            <w:tcBorders>
              <w:top w:val="single" w:color="000000" w:sz="6" w:space="0"/>
              <w:left w:val="single" w:color="000000" w:sz="6" w:space="0"/>
              <w:bottom w:val="nil"/>
            </w:tcBorders>
            <w:textDirection w:val="tbRlV"/>
            <w:vAlign w:val="top"/>
          </w:tcPr>
          <w:p w14:paraId="13DE0F70">
            <w:pPr>
              <w:spacing w:before="138" w:line="184" w:lineRule="auto"/>
              <w:ind w:left="991"/>
              <w:rPr>
                <w:rFonts w:ascii="宋体" w:hAnsi="宋体" w:eastAsia="宋体" w:cs="宋体"/>
                <w:sz w:val="20"/>
                <w:szCs w:val="20"/>
              </w:rPr>
            </w:pPr>
            <w:r>
              <w:rPr>
                <w:rFonts w:ascii="微软雅黑" w:hAnsi="微软雅黑" w:eastAsia="微软雅黑" w:cs="微软雅黑"/>
                <w:spacing w:val="8"/>
                <w:sz w:val="20"/>
                <w:szCs w:val="20"/>
              </w:rPr>
              <w:t>废</w:t>
            </w:r>
            <w:r>
              <w:rPr>
                <w:rFonts w:ascii="微软雅黑" w:hAnsi="微软雅黑" w:eastAsia="微软雅黑" w:cs="微软雅黑"/>
                <w:spacing w:val="7"/>
                <w:sz w:val="20"/>
                <w:szCs w:val="20"/>
              </w:rPr>
              <w:t xml:space="preserve">   </w:t>
            </w:r>
            <w:r>
              <w:rPr>
                <w:rFonts w:ascii="宋体" w:hAnsi="宋体" w:eastAsia="宋体" w:cs="宋体"/>
                <w:spacing w:val="8"/>
                <w:sz w:val="20"/>
                <w:szCs w:val="20"/>
              </w:rPr>
              <w:t>水</w:t>
            </w:r>
          </w:p>
        </w:tc>
        <w:tc>
          <w:tcPr>
            <w:tcW w:w="1643" w:type="dxa"/>
            <w:tcBorders>
              <w:top w:val="single" w:color="000000" w:sz="6" w:space="0"/>
            </w:tcBorders>
            <w:vAlign w:val="top"/>
          </w:tcPr>
          <w:p w14:paraId="64F82AA7">
            <w:pPr>
              <w:spacing w:before="56" w:line="192" w:lineRule="auto"/>
              <w:ind w:left="298"/>
              <w:rPr>
                <w:rFonts w:ascii="微软雅黑" w:hAnsi="微软雅黑" w:eastAsia="微软雅黑" w:cs="微软雅黑"/>
                <w:sz w:val="20"/>
                <w:szCs w:val="20"/>
              </w:rPr>
            </w:pPr>
            <w:r>
              <w:rPr>
                <w:rFonts w:ascii="宋体" w:hAnsi="宋体" w:eastAsia="宋体" w:cs="宋体"/>
                <w:spacing w:val="7"/>
                <w:sz w:val="20"/>
                <w:szCs w:val="20"/>
              </w:rPr>
              <w:t>生活</w:t>
            </w:r>
            <w:r>
              <w:rPr>
                <w:rFonts w:ascii="微软雅黑" w:hAnsi="微软雅黑" w:eastAsia="微软雅黑" w:cs="微软雅黑"/>
                <w:spacing w:val="7"/>
                <w:sz w:val="20"/>
                <w:szCs w:val="20"/>
              </w:rPr>
              <w:t>废</w:t>
            </w:r>
            <w:r>
              <w:rPr>
                <w:rFonts w:ascii="宋体" w:hAnsi="宋体" w:eastAsia="宋体" w:cs="宋体"/>
                <w:spacing w:val="7"/>
                <w:sz w:val="20"/>
                <w:szCs w:val="20"/>
              </w:rPr>
              <w:t>水</w:t>
            </w:r>
            <w:r>
              <w:rPr>
                <w:rFonts w:ascii="微软雅黑" w:hAnsi="微软雅黑" w:eastAsia="微软雅黑" w:cs="微软雅黑"/>
                <w:spacing w:val="7"/>
                <w:sz w:val="20"/>
                <w:szCs w:val="20"/>
              </w:rPr>
              <w:t>量</w:t>
            </w:r>
          </w:p>
        </w:tc>
        <w:tc>
          <w:tcPr>
            <w:tcW w:w="1248" w:type="dxa"/>
            <w:tcBorders>
              <w:top w:val="single" w:color="000000" w:sz="6" w:space="0"/>
            </w:tcBorders>
            <w:vAlign w:val="top"/>
          </w:tcPr>
          <w:p w14:paraId="3647EBAC">
            <w:pPr>
              <w:spacing w:before="99" w:line="195" w:lineRule="auto"/>
              <w:ind w:left="57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10" w:type="dxa"/>
            <w:tcBorders>
              <w:top w:val="single" w:color="000000" w:sz="6" w:space="0"/>
            </w:tcBorders>
            <w:vAlign w:val="top"/>
          </w:tcPr>
          <w:p w14:paraId="2B81CE81">
            <w:pPr>
              <w:spacing w:before="99" w:line="195" w:lineRule="auto"/>
              <w:ind w:left="45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tcBorders>
              <w:top w:val="single" w:color="000000" w:sz="6" w:space="0"/>
            </w:tcBorders>
            <w:vAlign w:val="top"/>
          </w:tcPr>
          <w:p w14:paraId="5D2E75DF">
            <w:pPr>
              <w:spacing w:before="99" w:line="195" w:lineRule="auto"/>
              <w:ind w:left="36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tcBorders>
              <w:top w:val="single" w:color="000000" w:sz="6" w:space="0"/>
            </w:tcBorders>
            <w:vAlign w:val="top"/>
          </w:tcPr>
          <w:p w14:paraId="0A518D41">
            <w:pPr>
              <w:spacing w:before="99" w:line="195" w:lineRule="auto"/>
              <w:ind w:left="4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tcBorders>
              <w:top w:val="single" w:color="000000" w:sz="6" w:space="0"/>
            </w:tcBorders>
            <w:vAlign w:val="top"/>
          </w:tcPr>
          <w:p w14:paraId="28294167">
            <w:pPr>
              <w:spacing w:before="99" w:line="195" w:lineRule="auto"/>
              <w:ind w:left="63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177" w:type="dxa"/>
            <w:tcBorders>
              <w:top w:val="single" w:color="000000" w:sz="6" w:space="0"/>
              <w:right w:val="single" w:color="000000" w:sz="6" w:space="0"/>
            </w:tcBorders>
            <w:vAlign w:val="top"/>
          </w:tcPr>
          <w:p w14:paraId="750B2ADA">
            <w:pPr>
              <w:spacing w:before="99" w:line="195" w:lineRule="auto"/>
              <w:ind w:left="54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single" w:color="000000" w:sz="6" w:space="0"/>
              <w:left w:val="single" w:color="000000" w:sz="6" w:space="0"/>
              <w:bottom w:val="nil"/>
              <w:right w:val="single" w:color="000000" w:sz="6" w:space="0"/>
            </w:tcBorders>
            <w:vAlign w:val="top"/>
          </w:tcPr>
          <w:p w14:paraId="463FE45D">
            <w:pPr>
              <w:rPr>
                <w:rFonts w:ascii="Arial"/>
                <w:sz w:val="21"/>
              </w:rPr>
            </w:pPr>
          </w:p>
        </w:tc>
      </w:tr>
      <w:tr w14:paraId="62324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735" w:type="dxa"/>
            <w:vMerge w:val="continue"/>
            <w:tcBorders>
              <w:top w:val="nil"/>
              <w:left w:val="single" w:color="000000" w:sz="6" w:space="0"/>
              <w:bottom w:val="nil"/>
            </w:tcBorders>
            <w:vAlign w:val="top"/>
          </w:tcPr>
          <w:p w14:paraId="7A4C08F9">
            <w:pPr>
              <w:rPr>
                <w:rFonts w:ascii="Arial"/>
                <w:sz w:val="21"/>
              </w:rPr>
            </w:pPr>
          </w:p>
        </w:tc>
        <w:tc>
          <w:tcPr>
            <w:tcW w:w="118" w:type="dxa"/>
            <w:vMerge w:val="continue"/>
            <w:tcBorders>
              <w:top w:val="nil"/>
              <w:bottom w:val="nil"/>
              <w:right w:val="single" w:color="000000" w:sz="6" w:space="0"/>
            </w:tcBorders>
            <w:vAlign w:val="top"/>
          </w:tcPr>
          <w:p w14:paraId="282F33D6">
            <w:pPr>
              <w:rPr>
                <w:rFonts w:ascii="Arial"/>
                <w:sz w:val="21"/>
              </w:rPr>
            </w:pPr>
          </w:p>
        </w:tc>
        <w:tc>
          <w:tcPr>
            <w:tcW w:w="477" w:type="dxa"/>
            <w:vMerge w:val="continue"/>
            <w:tcBorders>
              <w:top w:val="nil"/>
              <w:left w:val="single" w:color="000000" w:sz="6" w:space="0"/>
              <w:bottom w:val="nil"/>
            </w:tcBorders>
            <w:textDirection w:val="tbRlV"/>
            <w:vAlign w:val="top"/>
          </w:tcPr>
          <w:p w14:paraId="0C81CCCC">
            <w:pPr>
              <w:rPr>
                <w:rFonts w:ascii="Arial"/>
                <w:sz w:val="21"/>
              </w:rPr>
            </w:pPr>
          </w:p>
        </w:tc>
        <w:tc>
          <w:tcPr>
            <w:tcW w:w="1643" w:type="dxa"/>
            <w:vAlign w:val="top"/>
          </w:tcPr>
          <w:p w14:paraId="2262BC81">
            <w:pPr>
              <w:spacing w:before="52" w:line="195" w:lineRule="auto"/>
              <w:ind w:left="6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COD</w:t>
            </w:r>
          </w:p>
        </w:tc>
        <w:tc>
          <w:tcPr>
            <w:tcW w:w="1248" w:type="dxa"/>
            <w:vAlign w:val="top"/>
          </w:tcPr>
          <w:p w14:paraId="09E9D0A3">
            <w:pPr>
              <w:spacing w:before="52" w:line="195" w:lineRule="auto"/>
              <w:ind w:left="57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10" w:type="dxa"/>
            <w:vAlign w:val="top"/>
          </w:tcPr>
          <w:p w14:paraId="5344DFAF">
            <w:pPr>
              <w:spacing w:before="52" w:line="195" w:lineRule="auto"/>
              <w:ind w:left="45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vAlign w:val="top"/>
          </w:tcPr>
          <w:p w14:paraId="1610F391">
            <w:pPr>
              <w:spacing w:before="52" w:line="195" w:lineRule="auto"/>
              <w:ind w:left="36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1F63C3AF">
            <w:pPr>
              <w:spacing w:before="52" w:line="195" w:lineRule="auto"/>
              <w:ind w:left="4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45F38F7F">
            <w:pPr>
              <w:spacing w:before="52" w:line="195" w:lineRule="auto"/>
              <w:ind w:left="63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177" w:type="dxa"/>
            <w:tcBorders>
              <w:right w:val="single" w:color="000000" w:sz="6" w:space="0"/>
            </w:tcBorders>
            <w:vAlign w:val="top"/>
          </w:tcPr>
          <w:p w14:paraId="2F7BF36C">
            <w:pPr>
              <w:spacing w:before="52" w:line="195" w:lineRule="auto"/>
              <w:ind w:left="54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nil"/>
              <w:right w:val="single" w:color="000000" w:sz="6" w:space="0"/>
            </w:tcBorders>
            <w:vAlign w:val="top"/>
          </w:tcPr>
          <w:p w14:paraId="591334B2">
            <w:pPr>
              <w:rPr>
                <w:rFonts w:ascii="Arial"/>
                <w:sz w:val="21"/>
              </w:rPr>
            </w:pPr>
          </w:p>
        </w:tc>
      </w:tr>
      <w:tr w14:paraId="3332F4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735" w:type="dxa"/>
            <w:vMerge w:val="continue"/>
            <w:tcBorders>
              <w:top w:val="nil"/>
              <w:left w:val="single" w:color="000000" w:sz="6" w:space="0"/>
              <w:bottom w:val="nil"/>
            </w:tcBorders>
            <w:vAlign w:val="top"/>
          </w:tcPr>
          <w:p w14:paraId="3B0E85DF">
            <w:pPr>
              <w:rPr>
                <w:rFonts w:ascii="Arial"/>
                <w:sz w:val="21"/>
              </w:rPr>
            </w:pPr>
          </w:p>
        </w:tc>
        <w:tc>
          <w:tcPr>
            <w:tcW w:w="118" w:type="dxa"/>
            <w:vMerge w:val="continue"/>
            <w:tcBorders>
              <w:top w:val="nil"/>
              <w:bottom w:val="nil"/>
              <w:right w:val="single" w:color="000000" w:sz="6" w:space="0"/>
            </w:tcBorders>
            <w:vAlign w:val="top"/>
          </w:tcPr>
          <w:p w14:paraId="41AE7F9E">
            <w:pPr>
              <w:rPr>
                <w:rFonts w:ascii="Arial"/>
                <w:sz w:val="21"/>
              </w:rPr>
            </w:pPr>
          </w:p>
        </w:tc>
        <w:tc>
          <w:tcPr>
            <w:tcW w:w="477" w:type="dxa"/>
            <w:vMerge w:val="continue"/>
            <w:tcBorders>
              <w:top w:val="nil"/>
              <w:left w:val="single" w:color="000000" w:sz="6" w:space="0"/>
              <w:bottom w:val="nil"/>
            </w:tcBorders>
            <w:textDirection w:val="tbRlV"/>
            <w:vAlign w:val="top"/>
          </w:tcPr>
          <w:p w14:paraId="34DDE7D6">
            <w:pPr>
              <w:rPr>
                <w:rFonts w:ascii="Arial"/>
                <w:sz w:val="21"/>
              </w:rPr>
            </w:pPr>
          </w:p>
        </w:tc>
        <w:tc>
          <w:tcPr>
            <w:tcW w:w="1643" w:type="dxa"/>
            <w:vAlign w:val="top"/>
          </w:tcPr>
          <w:p w14:paraId="2932D01E">
            <w:pPr>
              <w:spacing w:before="53" w:line="202" w:lineRule="auto"/>
              <w:ind w:left="561"/>
              <w:rPr>
                <w:rFonts w:ascii="Times New Roman" w:hAnsi="Times New Roman" w:eastAsia="Times New Roman" w:cs="Times New Roman"/>
                <w:sz w:val="13"/>
                <w:szCs w:val="13"/>
              </w:rPr>
            </w:pPr>
            <w:r>
              <w:rPr>
                <w:rFonts w:ascii="Times New Roman" w:hAnsi="Times New Roman" w:eastAsia="Times New Roman" w:cs="Times New Roman"/>
                <w:spacing w:val="5"/>
                <w:sz w:val="20"/>
                <w:szCs w:val="20"/>
              </w:rPr>
              <w:t>BOD</w:t>
            </w:r>
            <w:r>
              <w:rPr>
                <w:rFonts w:ascii="Times New Roman" w:hAnsi="Times New Roman" w:eastAsia="Times New Roman" w:cs="Times New Roman"/>
                <w:spacing w:val="5"/>
                <w:position w:val="-1"/>
                <w:sz w:val="13"/>
                <w:szCs w:val="13"/>
              </w:rPr>
              <w:t>5</w:t>
            </w:r>
          </w:p>
        </w:tc>
        <w:tc>
          <w:tcPr>
            <w:tcW w:w="1248" w:type="dxa"/>
            <w:vAlign w:val="top"/>
          </w:tcPr>
          <w:p w14:paraId="00FBB17A">
            <w:pPr>
              <w:spacing w:before="53" w:line="195" w:lineRule="auto"/>
              <w:ind w:left="57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10" w:type="dxa"/>
            <w:vAlign w:val="top"/>
          </w:tcPr>
          <w:p w14:paraId="032F5022">
            <w:pPr>
              <w:spacing w:before="53" w:line="195" w:lineRule="auto"/>
              <w:ind w:left="45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vAlign w:val="top"/>
          </w:tcPr>
          <w:p w14:paraId="04E44AF3">
            <w:pPr>
              <w:spacing w:before="53" w:line="195" w:lineRule="auto"/>
              <w:ind w:left="36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4D655A6E">
            <w:pPr>
              <w:spacing w:before="53" w:line="195" w:lineRule="auto"/>
              <w:ind w:left="4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1CF48933">
            <w:pPr>
              <w:spacing w:before="53" w:line="195" w:lineRule="auto"/>
              <w:ind w:left="63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177" w:type="dxa"/>
            <w:tcBorders>
              <w:right w:val="single" w:color="000000" w:sz="6" w:space="0"/>
            </w:tcBorders>
            <w:vAlign w:val="top"/>
          </w:tcPr>
          <w:p w14:paraId="3C498702">
            <w:pPr>
              <w:spacing w:before="53" w:line="195" w:lineRule="auto"/>
              <w:ind w:left="54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nil"/>
              <w:right w:val="single" w:color="000000" w:sz="6" w:space="0"/>
            </w:tcBorders>
            <w:vAlign w:val="top"/>
          </w:tcPr>
          <w:p w14:paraId="135E688E">
            <w:pPr>
              <w:rPr>
                <w:rFonts w:ascii="Arial"/>
                <w:sz w:val="21"/>
              </w:rPr>
            </w:pPr>
          </w:p>
        </w:tc>
      </w:tr>
      <w:tr w14:paraId="13111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735" w:type="dxa"/>
            <w:vMerge w:val="continue"/>
            <w:tcBorders>
              <w:top w:val="nil"/>
              <w:left w:val="single" w:color="000000" w:sz="6" w:space="0"/>
              <w:bottom w:val="nil"/>
            </w:tcBorders>
            <w:vAlign w:val="top"/>
          </w:tcPr>
          <w:p w14:paraId="4D6773F6">
            <w:pPr>
              <w:rPr>
                <w:rFonts w:ascii="Arial"/>
                <w:sz w:val="21"/>
              </w:rPr>
            </w:pPr>
          </w:p>
        </w:tc>
        <w:tc>
          <w:tcPr>
            <w:tcW w:w="118" w:type="dxa"/>
            <w:vMerge w:val="continue"/>
            <w:tcBorders>
              <w:top w:val="nil"/>
              <w:bottom w:val="nil"/>
              <w:right w:val="single" w:color="000000" w:sz="6" w:space="0"/>
            </w:tcBorders>
            <w:vAlign w:val="top"/>
          </w:tcPr>
          <w:p w14:paraId="4A92D1DD">
            <w:pPr>
              <w:rPr>
                <w:rFonts w:ascii="Arial"/>
                <w:sz w:val="21"/>
              </w:rPr>
            </w:pPr>
          </w:p>
        </w:tc>
        <w:tc>
          <w:tcPr>
            <w:tcW w:w="477" w:type="dxa"/>
            <w:vMerge w:val="continue"/>
            <w:tcBorders>
              <w:top w:val="nil"/>
              <w:left w:val="single" w:color="000000" w:sz="6" w:space="0"/>
              <w:bottom w:val="nil"/>
            </w:tcBorders>
            <w:textDirection w:val="tbRlV"/>
            <w:vAlign w:val="top"/>
          </w:tcPr>
          <w:p w14:paraId="678CC502">
            <w:pPr>
              <w:rPr>
                <w:rFonts w:ascii="Arial"/>
                <w:sz w:val="21"/>
              </w:rPr>
            </w:pPr>
          </w:p>
        </w:tc>
        <w:tc>
          <w:tcPr>
            <w:tcW w:w="1643" w:type="dxa"/>
            <w:vAlign w:val="top"/>
          </w:tcPr>
          <w:p w14:paraId="1CCED508">
            <w:pPr>
              <w:spacing w:before="54" w:line="195" w:lineRule="auto"/>
              <w:ind w:left="7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SS</w:t>
            </w:r>
          </w:p>
        </w:tc>
        <w:tc>
          <w:tcPr>
            <w:tcW w:w="1248" w:type="dxa"/>
            <w:vAlign w:val="top"/>
          </w:tcPr>
          <w:p w14:paraId="7991163B">
            <w:pPr>
              <w:spacing w:before="54" w:line="195" w:lineRule="auto"/>
              <w:ind w:left="57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10" w:type="dxa"/>
            <w:vAlign w:val="top"/>
          </w:tcPr>
          <w:p w14:paraId="329EEE70">
            <w:pPr>
              <w:spacing w:before="54" w:line="195" w:lineRule="auto"/>
              <w:ind w:left="45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vAlign w:val="top"/>
          </w:tcPr>
          <w:p w14:paraId="4F6D3230">
            <w:pPr>
              <w:spacing w:before="54" w:line="195" w:lineRule="auto"/>
              <w:ind w:left="36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5523DCE6">
            <w:pPr>
              <w:spacing w:before="54" w:line="195" w:lineRule="auto"/>
              <w:ind w:left="4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2D7A4A9C">
            <w:pPr>
              <w:spacing w:before="54" w:line="195" w:lineRule="auto"/>
              <w:ind w:left="63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177" w:type="dxa"/>
            <w:tcBorders>
              <w:right w:val="single" w:color="000000" w:sz="6" w:space="0"/>
            </w:tcBorders>
            <w:vAlign w:val="top"/>
          </w:tcPr>
          <w:p w14:paraId="65F895CA">
            <w:pPr>
              <w:spacing w:before="54" w:line="195" w:lineRule="auto"/>
              <w:ind w:left="54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nil"/>
              <w:right w:val="single" w:color="000000" w:sz="6" w:space="0"/>
            </w:tcBorders>
            <w:vAlign w:val="top"/>
          </w:tcPr>
          <w:p w14:paraId="5C23A9E3">
            <w:pPr>
              <w:rPr>
                <w:rFonts w:ascii="Arial"/>
                <w:sz w:val="21"/>
              </w:rPr>
            </w:pPr>
          </w:p>
        </w:tc>
      </w:tr>
      <w:tr w14:paraId="613FF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35" w:type="dxa"/>
            <w:vMerge w:val="continue"/>
            <w:tcBorders>
              <w:top w:val="nil"/>
              <w:left w:val="single" w:color="000000" w:sz="6" w:space="0"/>
              <w:bottom w:val="nil"/>
            </w:tcBorders>
            <w:vAlign w:val="top"/>
          </w:tcPr>
          <w:p w14:paraId="2AF42AEC">
            <w:pPr>
              <w:rPr>
                <w:rFonts w:ascii="Arial"/>
                <w:sz w:val="21"/>
              </w:rPr>
            </w:pPr>
          </w:p>
        </w:tc>
        <w:tc>
          <w:tcPr>
            <w:tcW w:w="118" w:type="dxa"/>
            <w:vMerge w:val="continue"/>
            <w:tcBorders>
              <w:top w:val="nil"/>
              <w:bottom w:val="nil"/>
              <w:right w:val="single" w:color="000000" w:sz="6" w:space="0"/>
            </w:tcBorders>
            <w:vAlign w:val="top"/>
          </w:tcPr>
          <w:p w14:paraId="7C47CF5D">
            <w:pPr>
              <w:rPr>
                <w:rFonts w:ascii="Arial"/>
                <w:sz w:val="21"/>
              </w:rPr>
            </w:pPr>
          </w:p>
        </w:tc>
        <w:tc>
          <w:tcPr>
            <w:tcW w:w="477" w:type="dxa"/>
            <w:vMerge w:val="continue"/>
            <w:tcBorders>
              <w:top w:val="nil"/>
              <w:left w:val="single" w:color="000000" w:sz="6" w:space="0"/>
              <w:bottom w:val="nil"/>
            </w:tcBorders>
            <w:textDirection w:val="tbRlV"/>
            <w:vAlign w:val="top"/>
          </w:tcPr>
          <w:p w14:paraId="3DCA4ED6">
            <w:pPr>
              <w:rPr>
                <w:rFonts w:ascii="Arial"/>
                <w:sz w:val="21"/>
              </w:rPr>
            </w:pPr>
          </w:p>
        </w:tc>
        <w:tc>
          <w:tcPr>
            <w:tcW w:w="1643" w:type="dxa"/>
            <w:vAlign w:val="top"/>
          </w:tcPr>
          <w:p w14:paraId="0FB87988">
            <w:pPr>
              <w:spacing w:before="33" w:line="192" w:lineRule="auto"/>
              <w:ind w:left="403"/>
              <w:rPr>
                <w:rFonts w:ascii="宋体" w:hAnsi="宋体" w:eastAsia="宋体" w:cs="宋体"/>
                <w:sz w:val="20"/>
                <w:szCs w:val="20"/>
              </w:rPr>
            </w:pPr>
            <w:r>
              <w:rPr>
                <w:rFonts w:ascii="宋体" w:hAnsi="宋体" w:eastAsia="宋体" w:cs="宋体"/>
                <w:spacing w:val="7"/>
                <w:sz w:val="20"/>
                <w:szCs w:val="20"/>
              </w:rPr>
              <w:t>动植</w:t>
            </w:r>
            <w:r>
              <w:rPr>
                <w:rFonts w:ascii="微软雅黑" w:hAnsi="微软雅黑" w:eastAsia="微软雅黑" w:cs="微软雅黑"/>
                <w:spacing w:val="7"/>
                <w:sz w:val="20"/>
                <w:szCs w:val="20"/>
              </w:rPr>
              <w:t>物</w:t>
            </w:r>
            <w:r>
              <w:rPr>
                <w:rFonts w:ascii="宋体" w:hAnsi="宋体" w:eastAsia="宋体" w:cs="宋体"/>
                <w:spacing w:val="7"/>
                <w:sz w:val="20"/>
                <w:szCs w:val="20"/>
              </w:rPr>
              <w:t>油</w:t>
            </w:r>
          </w:p>
        </w:tc>
        <w:tc>
          <w:tcPr>
            <w:tcW w:w="1248" w:type="dxa"/>
            <w:vAlign w:val="top"/>
          </w:tcPr>
          <w:p w14:paraId="2813C5DF">
            <w:pPr>
              <w:spacing w:before="76" w:line="195" w:lineRule="auto"/>
              <w:ind w:left="57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10" w:type="dxa"/>
            <w:vAlign w:val="top"/>
          </w:tcPr>
          <w:p w14:paraId="2E935066">
            <w:pPr>
              <w:spacing w:before="76" w:line="195" w:lineRule="auto"/>
              <w:ind w:left="45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vAlign w:val="top"/>
          </w:tcPr>
          <w:p w14:paraId="6CFEC479">
            <w:pPr>
              <w:spacing w:before="76" w:line="195" w:lineRule="auto"/>
              <w:ind w:left="36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170C1398">
            <w:pPr>
              <w:spacing w:before="76" w:line="195" w:lineRule="auto"/>
              <w:ind w:left="4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0EBABC69">
            <w:pPr>
              <w:spacing w:before="76" w:line="195" w:lineRule="auto"/>
              <w:ind w:left="63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177" w:type="dxa"/>
            <w:tcBorders>
              <w:right w:val="single" w:color="000000" w:sz="6" w:space="0"/>
            </w:tcBorders>
            <w:vAlign w:val="top"/>
          </w:tcPr>
          <w:p w14:paraId="53E9CABB">
            <w:pPr>
              <w:spacing w:before="76" w:line="195" w:lineRule="auto"/>
              <w:ind w:left="54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nil"/>
              <w:right w:val="single" w:color="000000" w:sz="6" w:space="0"/>
            </w:tcBorders>
            <w:vAlign w:val="top"/>
          </w:tcPr>
          <w:p w14:paraId="604D221F">
            <w:pPr>
              <w:rPr>
                <w:rFonts w:ascii="Arial"/>
                <w:sz w:val="21"/>
              </w:rPr>
            </w:pPr>
          </w:p>
        </w:tc>
      </w:tr>
      <w:tr w14:paraId="54FE9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735" w:type="dxa"/>
            <w:vMerge w:val="continue"/>
            <w:tcBorders>
              <w:top w:val="nil"/>
              <w:left w:val="single" w:color="000000" w:sz="6" w:space="0"/>
              <w:bottom w:val="nil"/>
            </w:tcBorders>
            <w:vAlign w:val="top"/>
          </w:tcPr>
          <w:p w14:paraId="2B876565">
            <w:pPr>
              <w:rPr>
                <w:rFonts w:ascii="Arial"/>
                <w:sz w:val="21"/>
              </w:rPr>
            </w:pPr>
          </w:p>
        </w:tc>
        <w:tc>
          <w:tcPr>
            <w:tcW w:w="118" w:type="dxa"/>
            <w:vMerge w:val="continue"/>
            <w:tcBorders>
              <w:top w:val="nil"/>
              <w:bottom w:val="nil"/>
              <w:right w:val="single" w:color="000000" w:sz="6" w:space="0"/>
            </w:tcBorders>
            <w:vAlign w:val="top"/>
          </w:tcPr>
          <w:p w14:paraId="4DF10A77">
            <w:pPr>
              <w:rPr>
                <w:rFonts w:ascii="Arial"/>
                <w:sz w:val="21"/>
              </w:rPr>
            </w:pPr>
          </w:p>
        </w:tc>
        <w:tc>
          <w:tcPr>
            <w:tcW w:w="477" w:type="dxa"/>
            <w:vMerge w:val="continue"/>
            <w:tcBorders>
              <w:top w:val="nil"/>
              <w:left w:val="single" w:color="000000" w:sz="6" w:space="0"/>
              <w:bottom w:val="nil"/>
            </w:tcBorders>
            <w:textDirection w:val="tbRlV"/>
            <w:vAlign w:val="top"/>
          </w:tcPr>
          <w:p w14:paraId="327E27F9">
            <w:pPr>
              <w:rPr>
                <w:rFonts w:ascii="Arial"/>
                <w:sz w:val="21"/>
              </w:rPr>
            </w:pPr>
          </w:p>
        </w:tc>
        <w:tc>
          <w:tcPr>
            <w:tcW w:w="1643" w:type="dxa"/>
            <w:vAlign w:val="top"/>
          </w:tcPr>
          <w:p w14:paraId="7A678FA4">
            <w:pPr>
              <w:spacing w:before="57" w:line="199" w:lineRule="auto"/>
              <w:ind w:left="514"/>
              <w:rPr>
                <w:rFonts w:ascii="Times New Roman" w:hAnsi="Times New Roman" w:eastAsia="Times New Roman" w:cs="Times New Roman"/>
                <w:sz w:val="20"/>
                <w:szCs w:val="20"/>
              </w:rPr>
            </w:pPr>
            <w:r>
              <w:rPr>
                <w:rFonts w:ascii="Times New Roman" w:hAnsi="Times New Roman" w:eastAsia="Times New Roman" w:cs="Times New Roman"/>
                <w:sz w:val="20"/>
                <w:szCs w:val="20"/>
              </w:rPr>
              <w:t>NH</w:t>
            </w:r>
            <w:r>
              <w:rPr>
                <w:rFonts w:ascii="Times New Roman" w:hAnsi="Times New Roman" w:eastAsia="Times New Roman" w:cs="Times New Roman"/>
                <w:spacing w:val="10"/>
                <w:position w:val="-1"/>
                <w:sz w:val="13"/>
                <w:szCs w:val="13"/>
              </w:rPr>
              <w:t>3</w:t>
            </w:r>
            <w:r>
              <w:rPr>
                <w:rFonts w:ascii="Times New Roman" w:hAnsi="Times New Roman" w:eastAsia="Times New Roman" w:cs="Times New Roman"/>
                <w:spacing w:val="10"/>
                <w:sz w:val="20"/>
                <w:szCs w:val="20"/>
              </w:rPr>
              <w:t>-N</w:t>
            </w:r>
          </w:p>
        </w:tc>
        <w:tc>
          <w:tcPr>
            <w:tcW w:w="1248" w:type="dxa"/>
            <w:vAlign w:val="top"/>
          </w:tcPr>
          <w:p w14:paraId="38BBAECA">
            <w:pPr>
              <w:spacing w:before="54" w:line="195" w:lineRule="auto"/>
              <w:ind w:left="57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10" w:type="dxa"/>
            <w:vAlign w:val="top"/>
          </w:tcPr>
          <w:p w14:paraId="63A76BDB">
            <w:pPr>
              <w:spacing w:before="54" w:line="195" w:lineRule="auto"/>
              <w:ind w:left="45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vAlign w:val="top"/>
          </w:tcPr>
          <w:p w14:paraId="5B9CA8BC">
            <w:pPr>
              <w:spacing w:before="54" w:line="195" w:lineRule="auto"/>
              <w:ind w:left="36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13A04C14">
            <w:pPr>
              <w:spacing w:before="54" w:line="195" w:lineRule="auto"/>
              <w:ind w:left="4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28B0E956">
            <w:pPr>
              <w:spacing w:before="54" w:line="195" w:lineRule="auto"/>
              <w:ind w:left="63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177" w:type="dxa"/>
            <w:tcBorders>
              <w:right w:val="single" w:color="000000" w:sz="6" w:space="0"/>
            </w:tcBorders>
            <w:vAlign w:val="top"/>
          </w:tcPr>
          <w:p w14:paraId="5F076F54">
            <w:pPr>
              <w:spacing w:before="54" w:line="195" w:lineRule="auto"/>
              <w:ind w:left="54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nil"/>
              <w:right w:val="single" w:color="000000" w:sz="6" w:space="0"/>
            </w:tcBorders>
            <w:vAlign w:val="top"/>
          </w:tcPr>
          <w:p w14:paraId="50E18D2D">
            <w:pPr>
              <w:rPr>
                <w:rFonts w:ascii="Arial"/>
                <w:sz w:val="21"/>
              </w:rPr>
            </w:pPr>
          </w:p>
        </w:tc>
      </w:tr>
      <w:tr w14:paraId="5576D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735" w:type="dxa"/>
            <w:vMerge w:val="continue"/>
            <w:tcBorders>
              <w:top w:val="nil"/>
              <w:left w:val="single" w:color="000000" w:sz="6" w:space="0"/>
              <w:bottom w:val="nil"/>
            </w:tcBorders>
            <w:vAlign w:val="top"/>
          </w:tcPr>
          <w:p w14:paraId="00536418">
            <w:pPr>
              <w:rPr>
                <w:rFonts w:ascii="Arial"/>
                <w:sz w:val="21"/>
              </w:rPr>
            </w:pPr>
          </w:p>
        </w:tc>
        <w:tc>
          <w:tcPr>
            <w:tcW w:w="118" w:type="dxa"/>
            <w:vMerge w:val="continue"/>
            <w:tcBorders>
              <w:top w:val="nil"/>
              <w:bottom w:val="nil"/>
              <w:right w:val="single" w:color="000000" w:sz="6" w:space="0"/>
            </w:tcBorders>
            <w:vAlign w:val="top"/>
          </w:tcPr>
          <w:p w14:paraId="303A0211">
            <w:pPr>
              <w:rPr>
                <w:rFonts w:ascii="Arial"/>
                <w:sz w:val="21"/>
              </w:rPr>
            </w:pPr>
          </w:p>
        </w:tc>
        <w:tc>
          <w:tcPr>
            <w:tcW w:w="477" w:type="dxa"/>
            <w:vMerge w:val="continue"/>
            <w:tcBorders>
              <w:top w:val="nil"/>
              <w:left w:val="single" w:color="000000" w:sz="6" w:space="0"/>
            </w:tcBorders>
            <w:textDirection w:val="tbRlV"/>
            <w:vAlign w:val="top"/>
          </w:tcPr>
          <w:p w14:paraId="1391290E">
            <w:pPr>
              <w:rPr>
                <w:rFonts w:ascii="Arial"/>
                <w:sz w:val="21"/>
              </w:rPr>
            </w:pPr>
          </w:p>
        </w:tc>
        <w:tc>
          <w:tcPr>
            <w:tcW w:w="1643" w:type="dxa"/>
            <w:vAlign w:val="top"/>
          </w:tcPr>
          <w:p w14:paraId="45B707D1">
            <w:pPr>
              <w:spacing w:before="57" w:line="192" w:lineRule="auto"/>
              <w:ind w:left="69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TP</w:t>
            </w:r>
          </w:p>
        </w:tc>
        <w:tc>
          <w:tcPr>
            <w:tcW w:w="1248" w:type="dxa"/>
            <w:vAlign w:val="top"/>
          </w:tcPr>
          <w:p w14:paraId="110B03B6">
            <w:pPr>
              <w:spacing w:before="54" w:line="195" w:lineRule="auto"/>
              <w:ind w:left="57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10" w:type="dxa"/>
            <w:vAlign w:val="top"/>
          </w:tcPr>
          <w:p w14:paraId="24BB9545">
            <w:pPr>
              <w:spacing w:before="54" w:line="195" w:lineRule="auto"/>
              <w:ind w:left="45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vAlign w:val="top"/>
          </w:tcPr>
          <w:p w14:paraId="3E016FC2">
            <w:pPr>
              <w:spacing w:before="54" w:line="195" w:lineRule="auto"/>
              <w:ind w:left="36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72E9C005">
            <w:pPr>
              <w:spacing w:before="54" w:line="195" w:lineRule="auto"/>
              <w:ind w:left="4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320B8A47">
            <w:pPr>
              <w:spacing w:before="54" w:line="195" w:lineRule="auto"/>
              <w:ind w:left="63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177" w:type="dxa"/>
            <w:tcBorders>
              <w:right w:val="single" w:color="000000" w:sz="6" w:space="0"/>
            </w:tcBorders>
            <w:vAlign w:val="top"/>
          </w:tcPr>
          <w:p w14:paraId="5E608164">
            <w:pPr>
              <w:spacing w:before="54" w:line="195" w:lineRule="auto"/>
              <w:ind w:left="54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nil"/>
              <w:right w:val="single" w:color="000000" w:sz="6" w:space="0"/>
            </w:tcBorders>
            <w:vAlign w:val="top"/>
          </w:tcPr>
          <w:p w14:paraId="58F5732A">
            <w:pPr>
              <w:rPr>
                <w:rFonts w:ascii="Arial"/>
                <w:sz w:val="21"/>
              </w:rPr>
            </w:pPr>
          </w:p>
        </w:tc>
      </w:tr>
      <w:tr w14:paraId="3B4BE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35" w:type="dxa"/>
            <w:vMerge w:val="continue"/>
            <w:tcBorders>
              <w:top w:val="nil"/>
              <w:left w:val="single" w:color="000000" w:sz="6" w:space="0"/>
              <w:bottom w:val="nil"/>
            </w:tcBorders>
            <w:vAlign w:val="top"/>
          </w:tcPr>
          <w:p w14:paraId="15868D02">
            <w:pPr>
              <w:rPr>
                <w:rFonts w:ascii="Arial"/>
                <w:sz w:val="21"/>
              </w:rPr>
            </w:pPr>
          </w:p>
        </w:tc>
        <w:tc>
          <w:tcPr>
            <w:tcW w:w="118" w:type="dxa"/>
            <w:vMerge w:val="continue"/>
            <w:tcBorders>
              <w:top w:val="nil"/>
              <w:bottom w:val="nil"/>
              <w:right w:val="single" w:color="000000" w:sz="6" w:space="0"/>
            </w:tcBorders>
            <w:vAlign w:val="top"/>
          </w:tcPr>
          <w:p w14:paraId="4C3BFA85">
            <w:pPr>
              <w:rPr>
                <w:rFonts w:ascii="Arial"/>
                <w:sz w:val="21"/>
              </w:rPr>
            </w:pPr>
          </w:p>
        </w:tc>
        <w:tc>
          <w:tcPr>
            <w:tcW w:w="477" w:type="dxa"/>
            <w:vMerge w:val="restart"/>
            <w:tcBorders>
              <w:left w:val="single" w:color="000000" w:sz="6" w:space="0"/>
              <w:bottom w:val="nil"/>
            </w:tcBorders>
            <w:textDirection w:val="tbRlV"/>
            <w:vAlign w:val="top"/>
          </w:tcPr>
          <w:p w14:paraId="5ED865A7">
            <w:pPr>
              <w:spacing w:before="138" w:line="184" w:lineRule="auto"/>
              <w:ind w:left="35"/>
              <w:rPr>
                <w:rFonts w:ascii="微软雅黑" w:hAnsi="微软雅黑" w:eastAsia="微软雅黑" w:cs="微软雅黑"/>
                <w:sz w:val="20"/>
                <w:szCs w:val="20"/>
              </w:rPr>
            </w:pPr>
            <w:r>
              <w:rPr>
                <w:rFonts w:ascii="宋体" w:hAnsi="宋体" w:eastAsia="宋体" w:cs="宋体"/>
                <w:spacing w:val="8"/>
                <w:sz w:val="20"/>
                <w:szCs w:val="20"/>
              </w:rPr>
              <w:t>生</w:t>
            </w:r>
            <w:r>
              <w:rPr>
                <w:rFonts w:ascii="宋体" w:hAnsi="宋体" w:eastAsia="宋体" w:cs="宋体"/>
                <w:spacing w:val="100"/>
                <w:sz w:val="20"/>
                <w:szCs w:val="20"/>
              </w:rPr>
              <w:t xml:space="preserve"> </w:t>
            </w:r>
            <w:r>
              <w:rPr>
                <w:rFonts w:ascii="宋体" w:hAnsi="宋体" w:eastAsia="宋体" w:cs="宋体"/>
                <w:spacing w:val="8"/>
                <w:sz w:val="20"/>
                <w:szCs w:val="20"/>
              </w:rPr>
              <w:t>活</w:t>
            </w:r>
            <w:r>
              <w:rPr>
                <w:rFonts w:ascii="宋体" w:hAnsi="宋体" w:eastAsia="宋体" w:cs="宋体"/>
                <w:spacing w:val="99"/>
                <w:sz w:val="20"/>
                <w:szCs w:val="20"/>
              </w:rPr>
              <w:t xml:space="preserve"> </w:t>
            </w:r>
            <w:r>
              <w:rPr>
                <w:rFonts w:ascii="宋体" w:hAnsi="宋体" w:eastAsia="宋体" w:cs="宋体"/>
                <w:spacing w:val="8"/>
                <w:sz w:val="20"/>
                <w:szCs w:val="20"/>
              </w:rPr>
              <w:t>固</w:t>
            </w:r>
            <w:r>
              <w:rPr>
                <w:rFonts w:ascii="宋体" w:hAnsi="宋体" w:eastAsia="宋体" w:cs="宋体"/>
                <w:sz w:val="20"/>
                <w:szCs w:val="20"/>
              </w:rPr>
              <w:t xml:space="preserve">  </w:t>
            </w:r>
            <w:r>
              <w:rPr>
                <w:rFonts w:ascii="微软雅黑" w:hAnsi="微软雅黑" w:eastAsia="微软雅黑" w:cs="微软雅黑"/>
                <w:spacing w:val="8"/>
                <w:sz w:val="20"/>
                <w:szCs w:val="20"/>
              </w:rPr>
              <w:t>废</w:t>
            </w:r>
          </w:p>
        </w:tc>
        <w:tc>
          <w:tcPr>
            <w:tcW w:w="1643" w:type="dxa"/>
            <w:vAlign w:val="top"/>
          </w:tcPr>
          <w:p w14:paraId="5BF139A5">
            <w:pPr>
              <w:spacing w:before="35" w:line="228" w:lineRule="auto"/>
              <w:ind w:left="404"/>
              <w:rPr>
                <w:rFonts w:ascii="宋体" w:hAnsi="宋体" w:eastAsia="宋体" w:cs="宋体"/>
                <w:sz w:val="20"/>
                <w:szCs w:val="20"/>
              </w:rPr>
            </w:pPr>
            <w:r>
              <w:rPr>
                <w:rFonts w:ascii="宋体" w:hAnsi="宋体" w:eastAsia="宋体" w:cs="宋体"/>
                <w:spacing w:val="6"/>
                <w:sz w:val="20"/>
                <w:szCs w:val="20"/>
              </w:rPr>
              <w:t>生活垃圾</w:t>
            </w:r>
          </w:p>
        </w:tc>
        <w:tc>
          <w:tcPr>
            <w:tcW w:w="1248" w:type="dxa"/>
            <w:vAlign w:val="top"/>
          </w:tcPr>
          <w:p w14:paraId="4069C398">
            <w:pPr>
              <w:spacing w:before="78" w:line="195" w:lineRule="auto"/>
              <w:ind w:left="499"/>
              <w:rPr>
                <w:rFonts w:ascii="Times New Roman" w:hAnsi="Times New Roman" w:eastAsia="Times New Roman" w:cs="Times New Roman"/>
                <w:sz w:val="20"/>
                <w:szCs w:val="20"/>
              </w:rPr>
            </w:pPr>
            <w:r>
              <w:rPr>
                <w:rFonts w:ascii="Times New Roman" w:hAnsi="Times New Roman" w:eastAsia="Times New Roman" w:cs="Times New Roman"/>
                <w:sz w:val="20"/>
                <w:szCs w:val="20"/>
              </w:rPr>
              <w:t>8.7</w:t>
            </w:r>
          </w:p>
        </w:tc>
        <w:tc>
          <w:tcPr>
            <w:tcW w:w="1010" w:type="dxa"/>
            <w:vAlign w:val="top"/>
          </w:tcPr>
          <w:p w14:paraId="38760C38">
            <w:pPr>
              <w:spacing w:before="78" w:line="195" w:lineRule="auto"/>
              <w:ind w:left="3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0.75</w:t>
            </w:r>
          </w:p>
        </w:tc>
        <w:tc>
          <w:tcPr>
            <w:tcW w:w="812" w:type="dxa"/>
            <w:vAlign w:val="top"/>
          </w:tcPr>
          <w:p w14:paraId="13D0A885">
            <w:pPr>
              <w:spacing w:before="78" w:line="195" w:lineRule="auto"/>
              <w:ind w:left="36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7D388A6C">
            <w:pPr>
              <w:spacing w:before="78" w:line="195" w:lineRule="auto"/>
              <w:ind w:left="4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57853CAF">
            <w:pPr>
              <w:spacing w:before="78" w:line="195" w:lineRule="auto"/>
              <w:ind w:left="5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9.45</w:t>
            </w:r>
          </w:p>
        </w:tc>
        <w:tc>
          <w:tcPr>
            <w:tcW w:w="1177" w:type="dxa"/>
            <w:tcBorders>
              <w:right w:val="single" w:color="000000" w:sz="6" w:space="0"/>
            </w:tcBorders>
            <w:vAlign w:val="top"/>
          </w:tcPr>
          <w:p w14:paraId="3EC6D202">
            <w:pPr>
              <w:spacing w:before="78" w:line="195"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+0.75</w:t>
            </w:r>
          </w:p>
        </w:tc>
        <w:tc>
          <w:tcPr>
            <w:tcW w:w="132" w:type="dxa"/>
            <w:tcBorders>
              <w:top w:val="nil"/>
              <w:left w:val="single" w:color="000000" w:sz="6" w:space="0"/>
              <w:bottom w:val="nil"/>
              <w:right w:val="single" w:color="000000" w:sz="6" w:space="0"/>
            </w:tcBorders>
            <w:vAlign w:val="top"/>
          </w:tcPr>
          <w:p w14:paraId="3F6E1E4D">
            <w:pPr>
              <w:rPr>
                <w:rFonts w:ascii="Arial"/>
                <w:sz w:val="21"/>
              </w:rPr>
            </w:pPr>
          </w:p>
        </w:tc>
      </w:tr>
      <w:tr w14:paraId="3034B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8" w:hRule="atLeast"/>
        </w:trPr>
        <w:tc>
          <w:tcPr>
            <w:tcW w:w="735" w:type="dxa"/>
            <w:vMerge w:val="continue"/>
            <w:tcBorders>
              <w:top w:val="nil"/>
              <w:left w:val="single" w:color="000000" w:sz="6" w:space="0"/>
              <w:bottom w:val="nil"/>
            </w:tcBorders>
            <w:vAlign w:val="top"/>
          </w:tcPr>
          <w:p w14:paraId="30F10DFF">
            <w:pPr>
              <w:rPr>
                <w:rFonts w:ascii="Arial"/>
                <w:sz w:val="21"/>
              </w:rPr>
            </w:pPr>
          </w:p>
        </w:tc>
        <w:tc>
          <w:tcPr>
            <w:tcW w:w="118" w:type="dxa"/>
            <w:vMerge w:val="continue"/>
            <w:tcBorders>
              <w:top w:val="nil"/>
              <w:bottom w:val="nil"/>
              <w:right w:val="single" w:color="000000" w:sz="6" w:space="0"/>
            </w:tcBorders>
            <w:vAlign w:val="top"/>
          </w:tcPr>
          <w:p w14:paraId="41D02265">
            <w:pPr>
              <w:rPr>
                <w:rFonts w:ascii="Arial"/>
                <w:sz w:val="21"/>
              </w:rPr>
            </w:pPr>
          </w:p>
        </w:tc>
        <w:tc>
          <w:tcPr>
            <w:tcW w:w="477" w:type="dxa"/>
            <w:vMerge w:val="continue"/>
            <w:tcBorders>
              <w:top w:val="nil"/>
              <w:left w:val="single" w:color="000000" w:sz="6" w:space="0"/>
            </w:tcBorders>
            <w:textDirection w:val="tbRlV"/>
            <w:vAlign w:val="top"/>
          </w:tcPr>
          <w:p w14:paraId="5376224F">
            <w:pPr>
              <w:rPr>
                <w:rFonts w:ascii="Arial"/>
                <w:sz w:val="21"/>
              </w:rPr>
            </w:pPr>
          </w:p>
        </w:tc>
        <w:tc>
          <w:tcPr>
            <w:tcW w:w="1643" w:type="dxa"/>
            <w:vAlign w:val="top"/>
          </w:tcPr>
          <w:p w14:paraId="400E5798">
            <w:pPr>
              <w:spacing w:before="234" w:line="379" w:lineRule="auto"/>
              <w:ind w:left="404" w:right="110" w:hanging="296"/>
              <w:rPr>
                <w:rFonts w:ascii="宋体" w:hAnsi="宋体" w:eastAsia="宋体" w:cs="宋体"/>
                <w:sz w:val="20"/>
                <w:szCs w:val="20"/>
              </w:rPr>
            </w:pPr>
            <w:r>
              <w:rPr>
                <w:rFonts w:ascii="宋体" w:hAnsi="宋体" w:eastAsia="宋体" w:cs="宋体"/>
                <w:spacing w:val="2"/>
                <w:sz w:val="20"/>
                <w:szCs w:val="20"/>
              </w:rPr>
              <w:t>化粪池、污水处</w:t>
            </w:r>
            <w:r>
              <w:rPr>
                <w:rFonts w:ascii="宋体" w:hAnsi="宋体" w:eastAsia="宋体" w:cs="宋体"/>
                <w:spacing w:val="6"/>
                <w:sz w:val="20"/>
                <w:szCs w:val="20"/>
              </w:rPr>
              <w:t>理站污泥</w:t>
            </w:r>
          </w:p>
        </w:tc>
        <w:tc>
          <w:tcPr>
            <w:tcW w:w="1248" w:type="dxa"/>
            <w:vAlign w:val="top"/>
          </w:tcPr>
          <w:p w14:paraId="73C4A6DB">
            <w:pPr>
              <w:spacing w:line="421" w:lineRule="auto"/>
              <w:rPr>
                <w:rFonts w:ascii="Arial"/>
                <w:sz w:val="21"/>
              </w:rPr>
            </w:pPr>
          </w:p>
          <w:p w14:paraId="7A5FFA91">
            <w:pPr>
              <w:spacing w:before="57"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15.45</w:t>
            </w:r>
          </w:p>
        </w:tc>
        <w:tc>
          <w:tcPr>
            <w:tcW w:w="1010" w:type="dxa"/>
            <w:vAlign w:val="top"/>
          </w:tcPr>
          <w:p w14:paraId="0AE738E9">
            <w:pPr>
              <w:spacing w:line="421" w:lineRule="auto"/>
              <w:rPr>
                <w:rFonts w:ascii="Arial"/>
                <w:sz w:val="21"/>
              </w:rPr>
            </w:pPr>
          </w:p>
          <w:p w14:paraId="2619B532">
            <w:pPr>
              <w:spacing w:before="57" w:line="195" w:lineRule="auto"/>
              <w:ind w:left="45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vAlign w:val="top"/>
          </w:tcPr>
          <w:p w14:paraId="4F36A590">
            <w:pPr>
              <w:spacing w:line="421" w:lineRule="auto"/>
              <w:rPr>
                <w:rFonts w:ascii="Arial"/>
                <w:sz w:val="21"/>
              </w:rPr>
            </w:pPr>
          </w:p>
          <w:p w14:paraId="1CD537DC">
            <w:pPr>
              <w:spacing w:before="57" w:line="195" w:lineRule="auto"/>
              <w:ind w:left="36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441474E6">
            <w:pPr>
              <w:spacing w:line="421" w:lineRule="auto"/>
              <w:rPr>
                <w:rFonts w:ascii="Arial"/>
                <w:sz w:val="21"/>
              </w:rPr>
            </w:pPr>
          </w:p>
          <w:p w14:paraId="1F0C60A2">
            <w:pPr>
              <w:spacing w:before="57" w:line="195" w:lineRule="auto"/>
              <w:ind w:left="4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18475194">
            <w:pPr>
              <w:spacing w:line="421" w:lineRule="auto"/>
              <w:rPr>
                <w:rFonts w:ascii="Arial"/>
                <w:sz w:val="21"/>
              </w:rPr>
            </w:pPr>
          </w:p>
          <w:p w14:paraId="5AE7B6BA">
            <w:pPr>
              <w:spacing w:before="57" w:line="195"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15.45</w:t>
            </w:r>
          </w:p>
        </w:tc>
        <w:tc>
          <w:tcPr>
            <w:tcW w:w="1177" w:type="dxa"/>
            <w:tcBorders>
              <w:right w:val="single" w:color="000000" w:sz="6" w:space="0"/>
            </w:tcBorders>
            <w:vAlign w:val="top"/>
          </w:tcPr>
          <w:p w14:paraId="7DAE3CA0">
            <w:pPr>
              <w:spacing w:line="421" w:lineRule="auto"/>
              <w:rPr>
                <w:rFonts w:ascii="Arial"/>
                <w:sz w:val="21"/>
              </w:rPr>
            </w:pPr>
          </w:p>
          <w:p w14:paraId="02A3C8D6">
            <w:pPr>
              <w:spacing w:before="57" w:line="195" w:lineRule="auto"/>
              <w:ind w:left="54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nil"/>
              <w:right w:val="single" w:color="000000" w:sz="6" w:space="0"/>
            </w:tcBorders>
            <w:vAlign w:val="top"/>
          </w:tcPr>
          <w:p w14:paraId="26D589AA">
            <w:pPr>
              <w:rPr>
                <w:rFonts w:ascii="Arial"/>
                <w:sz w:val="21"/>
              </w:rPr>
            </w:pPr>
          </w:p>
        </w:tc>
      </w:tr>
      <w:tr w14:paraId="35B61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35" w:type="dxa"/>
            <w:vMerge w:val="continue"/>
            <w:tcBorders>
              <w:top w:val="nil"/>
              <w:left w:val="single" w:color="000000" w:sz="6" w:space="0"/>
              <w:bottom w:val="nil"/>
            </w:tcBorders>
            <w:vAlign w:val="top"/>
          </w:tcPr>
          <w:p w14:paraId="3FB30D1B">
            <w:pPr>
              <w:rPr>
                <w:rFonts w:ascii="Arial"/>
                <w:sz w:val="21"/>
              </w:rPr>
            </w:pPr>
          </w:p>
        </w:tc>
        <w:tc>
          <w:tcPr>
            <w:tcW w:w="118" w:type="dxa"/>
            <w:vMerge w:val="continue"/>
            <w:tcBorders>
              <w:top w:val="nil"/>
              <w:bottom w:val="nil"/>
              <w:right w:val="single" w:color="000000" w:sz="6" w:space="0"/>
            </w:tcBorders>
            <w:vAlign w:val="top"/>
          </w:tcPr>
          <w:p w14:paraId="63BE7E2C">
            <w:pPr>
              <w:rPr>
                <w:rFonts w:ascii="Arial"/>
                <w:sz w:val="21"/>
              </w:rPr>
            </w:pPr>
          </w:p>
        </w:tc>
        <w:tc>
          <w:tcPr>
            <w:tcW w:w="477" w:type="dxa"/>
            <w:vMerge w:val="restart"/>
            <w:tcBorders>
              <w:left w:val="single" w:color="000000" w:sz="6" w:space="0"/>
              <w:bottom w:val="nil"/>
            </w:tcBorders>
            <w:textDirection w:val="tbRlV"/>
            <w:vAlign w:val="top"/>
          </w:tcPr>
          <w:p w14:paraId="3BB65134">
            <w:pPr>
              <w:spacing w:before="138" w:line="184" w:lineRule="auto"/>
              <w:ind w:left="116"/>
              <w:rPr>
                <w:rFonts w:ascii="微软雅黑" w:hAnsi="微软雅黑" w:eastAsia="微软雅黑" w:cs="微软雅黑"/>
                <w:sz w:val="20"/>
                <w:szCs w:val="20"/>
              </w:rPr>
            </w:pPr>
            <w:r>
              <w:rPr>
                <w:rFonts w:ascii="宋体" w:hAnsi="宋体" w:eastAsia="宋体" w:cs="宋体"/>
                <w:spacing w:val="-71"/>
                <w:w w:val="46"/>
                <w:sz w:val="20"/>
                <w:szCs w:val="20"/>
              </w:rPr>
              <w:t>一</w:t>
            </w:r>
            <w:r>
              <w:rPr>
                <w:rFonts w:ascii="宋体" w:hAnsi="宋体" w:eastAsia="宋体" w:cs="宋体"/>
                <w:spacing w:val="3"/>
                <w:sz w:val="20"/>
                <w:szCs w:val="20"/>
              </w:rPr>
              <w:t xml:space="preserve">   </w:t>
            </w:r>
            <w:r>
              <w:rPr>
                <w:rFonts w:ascii="宋体" w:hAnsi="宋体" w:eastAsia="宋体" w:cs="宋体"/>
                <w:spacing w:val="8"/>
                <w:sz w:val="20"/>
                <w:szCs w:val="20"/>
              </w:rPr>
              <w:t>般</w:t>
            </w:r>
            <w:r>
              <w:rPr>
                <w:rFonts w:ascii="宋体" w:hAnsi="宋体" w:eastAsia="宋体" w:cs="宋体"/>
                <w:spacing w:val="99"/>
                <w:sz w:val="20"/>
                <w:szCs w:val="20"/>
              </w:rPr>
              <w:t xml:space="preserve"> </w:t>
            </w:r>
            <w:r>
              <w:rPr>
                <w:rFonts w:ascii="宋体" w:hAnsi="宋体" w:eastAsia="宋体" w:cs="宋体"/>
                <w:spacing w:val="8"/>
                <w:sz w:val="20"/>
                <w:szCs w:val="20"/>
              </w:rPr>
              <w:t>固</w:t>
            </w:r>
            <w:r>
              <w:rPr>
                <w:rFonts w:ascii="宋体" w:hAnsi="宋体" w:eastAsia="宋体" w:cs="宋体"/>
                <w:sz w:val="20"/>
                <w:szCs w:val="20"/>
              </w:rPr>
              <w:t xml:space="preserve">  </w:t>
            </w:r>
            <w:r>
              <w:rPr>
                <w:rFonts w:ascii="微软雅黑" w:hAnsi="微软雅黑" w:eastAsia="微软雅黑" w:cs="微软雅黑"/>
                <w:spacing w:val="8"/>
                <w:sz w:val="20"/>
                <w:szCs w:val="20"/>
              </w:rPr>
              <w:t>废</w:t>
            </w:r>
          </w:p>
        </w:tc>
        <w:tc>
          <w:tcPr>
            <w:tcW w:w="1643" w:type="dxa"/>
            <w:vAlign w:val="top"/>
          </w:tcPr>
          <w:p w14:paraId="60E1D893">
            <w:pPr>
              <w:spacing w:before="37" w:line="357" w:lineRule="auto"/>
              <w:ind w:left="504" w:right="110" w:hanging="398"/>
              <w:rPr>
                <w:rFonts w:ascii="宋体" w:hAnsi="宋体" w:eastAsia="宋体" w:cs="宋体"/>
                <w:sz w:val="20"/>
                <w:szCs w:val="20"/>
              </w:rPr>
            </w:pPr>
            <w:r>
              <w:rPr>
                <w:rFonts w:ascii="宋体" w:hAnsi="宋体" w:eastAsia="宋体" w:cs="宋体"/>
                <w:spacing w:val="2"/>
                <w:sz w:val="20"/>
                <w:szCs w:val="20"/>
              </w:rPr>
              <w:t>废料、木屑、废</w:t>
            </w:r>
            <w:r>
              <w:rPr>
                <w:rFonts w:ascii="宋体" w:hAnsi="宋体" w:eastAsia="宋体" w:cs="宋体"/>
                <w:spacing w:val="7"/>
                <w:sz w:val="20"/>
                <w:szCs w:val="20"/>
              </w:rPr>
              <w:t>边角料</w:t>
            </w:r>
          </w:p>
        </w:tc>
        <w:tc>
          <w:tcPr>
            <w:tcW w:w="1248" w:type="dxa"/>
            <w:vAlign w:val="top"/>
          </w:tcPr>
          <w:p w14:paraId="3ED86B8F">
            <w:pPr>
              <w:spacing w:before="285" w:line="195"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20.5</w:t>
            </w:r>
          </w:p>
        </w:tc>
        <w:tc>
          <w:tcPr>
            <w:tcW w:w="1010" w:type="dxa"/>
            <w:vAlign w:val="top"/>
          </w:tcPr>
          <w:p w14:paraId="019D61BD">
            <w:pPr>
              <w:spacing w:before="285" w:line="195" w:lineRule="auto"/>
              <w:ind w:left="37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2.3</w:t>
            </w:r>
          </w:p>
        </w:tc>
        <w:tc>
          <w:tcPr>
            <w:tcW w:w="812" w:type="dxa"/>
            <w:vAlign w:val="top"/>
          </w:tcPr>
          <w:p w14:paraId="1AA582C4">
            <w:pPr>
              <w:spacing w:before="285" w:line="195" w:lineRule="auto"/>
              <w:ind w:left="36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7F06BD5A">
            <w:pPr>
              <w:spacing w:before="285" w:line="195" w:lineRule="auto"/>
              <w:ind w:left="4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1A4F9483">
            <w:pPr>
              <w:spacing w:before="285" w:line="195" w:lineRule="auto"/>
              <w:ind w:left="4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22.8</w:t>
            </w:r>
          </w:p>
        </w:tc>
        <w:tc>
          <w:tcPr>
            <w:tcW w:w="1177" w:type="dxa"/>
            <w:tcBorders>
              <w:right w:val="single" w:color="000000" w:sz="6" w:space="0"/>
            </w:tcBorders>
            <w:vAlign w:val="top"/>
          </w:tcPr>
          <w:p w14:paraId="54D38FC2">
            <w:pPr>
              <w:spacing w:before="285"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+3.3</w:t>
            </w:r>
          </w:p>
        </w:tc>
        <w:tc>
          <w:tcPr>
            <w:tcW w:w="132" w:type="dxa"/>
            <w:tcBorders>
              <w:top w:val="nil"/>
              <w:left w:val="single" w:color="000000" w:sz="6" w:space="0"/>
              <w:bottom w:val="nil"/>
              <w:right w:val="single" w:color="000000" w:sz="6" w:space="0"/>
            </w:tcBorders>
            <w:vAlign w:val="top"/>
          </w:tcPr>
          <w:p w14:paraId="634CEBB1">
            <w:pPr>
              <w:rPr>
                <w:rFonts w:ascii="Arial"/>
                <w:sz w:val="21"/>
              </w:rPr>
            </w:pPr>
          </w:p>
        </w:tc>
      </w:tr>
      <w:tr w14:paraId="346B7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735" w:type="dxa"/>
            <w:vMerge w:val="continue"/>
            <w:tcBorders>
              <w:top w:val="nil"/>
              <w:left w:val="single" w:color="000000" w:sz="6" w:space="0"/>
              <w:bottom w:val="nil"/>
            </w:tcBorders>
            <w:vAlign w:val="top"/>
          </w:tcPr>
          <w:p w14:paraId="6CB16580">
            <w:pPr>
              <w:rPr>
                <w:rFonts w:ascii="Arial"/>
                <w:sz w:val="21"/>
              </w:rPr>
            </w:pPr>
          </w:p>
        </w:tc>
        <w:tc>
          <w:tcPr>
            <w:tcW w:w="118" w:type="dxa"/>
            <w:vMerge w:val="continue"/>
            <w:tcBorders>
              <w:top w:val="nil"/>
              <w:bottom w:val="nil"/>
              <w:right w:val="single" w:color="000000" w:sz="6" w:space="0"/>
            </w:tcBorders>
            <w:vAlign w:val="top"/>
          </w:tcPr>
          <w:p w14:paraId="6BDC5400">
            <w:pPr>
              <w:rPr>
                <w:rFonts w:ascii="Arial"/>
                <w:sz w:val="21"/>
              </w:rPr>
            </w:pPr>
          </w:p>
        </w:tc>
        <w:tc>
          <w:tcPr>
            <w:tcW w:w="477" w:type="dxa"/>
            <w:vMerge w:val="continue"/>
            <w:tcBorders>
              <w:top w:val="nil"/>
              <w:left w:val="single" w:color="000000" w:sz="6" w:space="0"/>
            </w:tcBorders>
            <w:textDirection w:val="tbRlV"/>
            <w:vAlign w:val="top"/>
          </w:tcPr>
          <w:p w14:paraId="4050F4C4">
            <w:pPr>
              <w:rPr>
                <w:rFonts w:ascii="Arial"/>
                <w:sz w:val="21"/>
              </w:rPr>
            </w:pPr>
          </w:p>
        </w:tc>
        <w:tc>
          <w:tcPr>
            <w:tcW w:w="1643" w:type="dxa"/>
            <w:vAlign w:val="top"/>
          </w:tcPr>
          <w:p w14:paraId="65C1B624">
            <w:pPr>
              <w:spacing w:before="239" w:line="192" w:lineRule="auto"/>
              <w:ind w:left="295"/>
              <w:rPr>
                <w:rFonts w:ascii="宋体" w:hAnsi="宋体" w:eastAsia="宋体" w:cs="宋体"/>
                <w:sz w:val="20"/>
                <w:szCs w:val="20"/>
              </w:rPr>
            </w:pPr>
            <w:r>
              <w:rPr>
                <w:rFonts w:ascii="微软雅黑" w:hAnsi="微软雅黑" w:eastAsia="微软雅黑" w:cs="微软雅黑"/>
                <w:spacing w:val="8"/>
                <w:sz w:val="20"/>
                <w:szCs w:val="20"/>
              </w:rPr>
              <w:t>废</w:t>
            </w:r>
            <w:r>
              <w:rPr>
                <w:rFonts w:ascii="宋体" w:hAnsi="宋体" w:eastAsia="宋体" w:cs="宋体"/>
                <w:spacing w:val="8"/>
                <w:sz w:val="20"/>
                <w:szCs w:val="20"/>
              </w:rPr>
              <w:t>包装材料</w:t>
            </w:r>
          </w:p>
        </w:tc>
        <w:tc>
          <w:tcPr>
            <w:tcW w:w="1248" w:type="dxa"/>
            <w:vAlign w:val="top"/>
          </w:tcPr>
          <w:p w14:paraId="230FAAA8">
            <w:pPr>
              <w:spacing w:before="282" w:line="195" w:lineRule="auto"/>
              <w:ind w:left="496"/>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1010" w:type="dxa"/>
            <w:vAlign w:val="top"/>
          </w:tcPr>
          <w:p w14:paraId="1DC3D36D">
            <w:pPr>
              <w:spacing w:before="282" w:line="195" w:lineRule="auto"/>
              <w:ind w:left="472"/>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812" w:type="dxa"/>
            <w:vAlign w:val="top"/>
          </w:tcPr>
          <w:p w14:paraId="5BCE81BB">
            <w:pPr>
              <w:spacing w:before="282" w:line="195" w:lineRule="auto"/>
              <w:ind w:left="36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4EEC22B0">
            <w:pPr>
              <w:spacing w:before="282" w:line="195" w:lineRule="auto"/>
              <w:ind w:left="4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767A20B6">
            <w:pPr>
              <w:spacing w:before="282" w:line="195" w:lineRule="auto"/>
              <w:ind w:left="55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6.4</w:t>
            </w:r>
          </w:p>
        </w:tc>
        <w:tc>
          <w:tcPr>
            <w:tcW w:w="1177" w:type="dxa"/>
            <w:tcBorders>
              <w:right w:val="single" w:color="000000" w:sz="6" w:space="0"/>
            </w:tcBorders>
            <w:vAlign w:val="top"/>
          </w:tcPr>
          <w:p w14:paraId="064C5E45">
            <w:pPr>
              <w:spacing w:before="282"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w:t>
            </w:r>
          </w:p>
        </w:tc>
        <w:tc>
          <w:tcPr>
            <w:tcW w:w="132" w:type="dxa"/>
            <w:tcBorders>
              <w:top w:val="nil"/>
              <w:left w:val="single" w:color="000000" w:sz="6" w:space="0"/>
              <w:bottom w:val="nil"/>
              <w:right w:val="single" w:color="000000" w:sz="6" w:space="0"/>
            </w:tcBorders>
            <w:vAlign w:val="top"/>
          </w:tcPr>
          <w:p w14:paraId="2DF84A7B">
            <w:pPr>
              <w:rPr>
                <w:rFonts w:ascii="Arial"/>
                <w:sz w:val="21"/>
              </w:rPr>
            </w:pPr>
          </w:p>
        </w:tc>
      </w:tr>
      <w:tr w14:paraId="5EDD4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35" w:type="dxa"/>
            <w:vMerge w:val="continue"/>
            <w:tcBorders>
              <w:top w:val="nil"/>
              <w:left w:val="single" w:color="000000" w:sz="6" w:space="0"/>
              <w:bottom w:val="nil"/>
            </w:tcBorders>
            <w:vAlign w:val="top"/>
          </w:tcPr>
          <w:p w14:paraId="6A805941">
            <w:pPr>
              <w:rPr>
                <w:rFonts w:ascii="Arial"/>
                <w:sz w:val="21"/>
              </w:rPr>
            </w:pPr>
          </w:p>
        </w:tc>
        <w:tc>
          <w:tcPr>
            <w:tcW w:w="118" w:type="dxa"/>
            <w:vMerge w:val="continue"/>
            <w:tcBorders>
              <w:top w:val="nil"/>
              <w:bottom w:val="nil"/>
              <w:right w:val="single" w:color="000000" w:sz="6" w:space="0"/>
            </w:tcBorders>
            <w:vAlign w:val="top"/>
          </w:tcPr>
          <w:p w14:paraId="5DD7DB14">
            <w:pPr>
              <w:rPr>
                <w:rFonts w:ascii="Arial"/>
                <w:sz w:val="21"/>
              </w:rPr>
            </w:pPr>
          </w:p>
        </w:tc>
        <w:tc>
          <w:tcPr>
            <w:tcW w:w="477" w:type="dxa"/>
            <w:vMerge w:val="restart"/>
            <w:tcBorders>
              <w:left w:val="single" w:color="000000" w:sz="6" w:space="0"/>
              <w:bottom w:val="nil"/>
            </w:tcBorders>
            <w:textDirection w:val="tbRlV"/>
            <w:vAlign w:val="top"/>
          </w:tcPr>
          <w:p w14:paraId="5E2CE05D">
            <w:pPr>
              <w:spacing w:before="138" w:line="184" w:lineRule="auto"/>
              <w:ind w:left="258"/>
              <w:rPr>
                <w:rFonts w:ascii="微软雅黑" w:hAnsi="微软雅黑" w:eastAsia="微软雅黑" w:cs="微软雅黑"/>
                <w:sz w:val="20"/>
                <w:szCs w:val="20"/>
              </w:rPr>
            </w:pPr>
            <w:r>
              <w:rPr>
                <w:rFonts w:ascii="宋体" w:hAnsi="宋体" w:eastAsia="宋体" w:cs="宋体"/>
                <w:spacing w:val="8"/>
                <w:sz w:val="20"/>
                <w:szCs w:val="20"/>
              </w:rPr>
              <w:t>危</w:t>
            </w:r>
            <w:r>
              <w:rPr>
                <w:rFonts w:ascii="宋体" w:hAnsi="宋体" w:eastAsia="宋体" w:cs="宋体"/>
                <w:spacing w:val="99"/>
                <w:sz w:val="20"/>
                <w:szCs w:val="20"/>
              </w:rPr>
              <w:t xml:space="preserve"> </w:t>
            </w:r>
            <w:r>
              <w:rPr>
                <w:rFonts w:ascii="宋体" w:hAnsi="宋体" w:eastAsia="宋体" w:cs="宋体"/>
                <w:spacing w:val="8"/>
                <w:sz w:val="20"/>
                <w:szCs w:val="20"/>
              </w:rPr>
              <w:t>险</w:t>
            </w:r>
            <w:r>
              <w:rPr>
                <w:rFonts w:ascii="宋体" w:hAnsi="宋体" w:eastAsia="宋体" w:cs="宋体"/>
                <w:sz w:val="20"/>
                <w:szCs w:val="20"/>
              </w:rPr>
              <w:t xml:space="preserve">  </w:t>
            </w:r>
            <w:r>
              <w:rPr>
                <w:rFonts w:ascii="微软雅黑" w:hAnsi="微软雅黑" w:eastAsia="微软雅黑" w:cs="微软雅黑"/>
                <w:spacing w:val="8"/>
                <w:sz w:val="20"/>
                <w:szCs w:val="20"/>
              </w:rPr>
              <w:t>废</w:t>
            </w:r>
            <w:r>
              <w:rPr>
                <w:rFonts w:ascii="微软雅黑" w:hAnsi="微软雅黑" w:eastAsia="微软雅黑" w:cs="微软雅黑"/>
                <w:spacing w:val="7"/>
                <w:sz w:val="20"/>
                <w:szCs w:val="20"/>
              </w:rPr>
              <w:t xml:space="preserve">   </w:t>
            </w:r>
            <w:r>
              <w:rPr>
                <w:rFonts w:ascii="微软雅黑" w:hAnsi="微软雅黑" w:eastAsia="微软雅黑" w:cs="微软雅黑"/>
                <w:spacing w:val="8"/>
                <w:sz w:val="20"/>
                <w:szCs w:val="20"/>
              </w:rPr>
              <w:t>物</w:t>
            </w:r>
          </w:p>
        </w:tc>
        <w:tc>
          <w:tcPr>
            <w:tcW w:w="1643" w:type="dxa"/>
            <w:vAlign w:val="top"/>
          </w:tcPr>
          <w:p w14:paraId="0C30648D">
            <w:pPr>
              <w:spacing w:before="40" w:line="192" w:lineRule="auto"/>
              <w:ind w:left="400"/>
              <w:rPr>
                <w:rFonts w:ascii="宋体" w:hAnsi="宋体" w:eastAsia="宋体" w:cs="宋体"/>
                <w:sz w:val="20"/>
                <w:szCs w:val="20"/>
              </w:rPr>
            </w:pPr>
            <w:r>
              <w:rPr>
                <w:rFonts w:ascii="微软雅黑" w:hAnsi="微软雅黑" w:eastAsia="微软雅黑" w:cs="微软雅黑"/>
                <w:spacing w:val="7"/>
                <w:sz w:val="20"/>
                <w:szCs w:val="20"/>
              </w:rPr>
              <w:t>废</w:t>
            </w:r>
            <w:r>
              <w:rPr>
                <w:rFonts w:ascii="宋体" w:hAnsi="宋体" w:eastAsia="宋体" w:cs="宋体"/>
                <w:spacing w:val="7"/>
                <w:sz w:val="20"/>
                <w:szCs w:val="20"/>
              </w:rPr>
              <w:t>润滑油</w:t>
            </w:r>
          </w:p>
        </w:tc>
        <w:tc>
          <w:tcPr>
            <w:tcW w:w="1248" w:type="dxa"/>
            <w:vAlign w:val="top"/>
          </w:tcPr>
          <w:p w14:paraId="61F194E1">
            <w:pPr>
              <w:spacing w:before="83" w:line="195"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010" w:type="dxa"/>
            <w:vAlign w:val="top"/>
          </w:tcPr>
          <w:p w14:paraId="595A6B05">
            <w:pPr>
              <w:spacing w:before="83" w:line="195" w:lineRule="auto"/>
              <w:ind w:left="3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812" w:type="dxa"/>
            <w:vAlign w:val="top"/>
          </w:tcPr>
          <w:p w14:paraId="7C1D7303">
            <w:pPr>
              <w:spacing w:before="83" w:line="195" w:lineRule="auto"/>
              <w:ind w:left="36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259E320B">
            <w:pPr>
              <w:spacing w:before="83" w:line="195" w:lineRule="auto"/>
              <w:ind w:left="4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71EC6A89">
            <w:pPr>
              <w:spacing w:before="83" w:line="195" w:lineRule="auto"/>
              <w:ind w:left="5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0.21</w:t>
            </w:r>
          </w:p>
        </w:tc>
        <w:tc>
          <w:tcPr>
            <w:tcW w:w="1177" w:type="dxa"/>
            <w:tcBorders>
              <w:right w:val="single" w:color="000000" w:sz="6" w:space="0"/>
            </w:tcBorders>
            <w:vAlign w:val="top"/>
          </w:tcPr>
          <w:p w14:paraId="2A5B8F7F">
            <w:pPr>
              <w:spacing w:before="83" w:line="195"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w:t>
            </w:r>
          </w:p>
        </w:tc>
        <w:tc>
          <w:tcPr>
            <w:tcW w:w="132" w:type="dxa"/>
            <w:tcBorders>
              <w:top w:val="nil"/>
              <w:left w:val="single" w:color="000000" w:sz="6" w:space="0"/>
              <w:bottom w:val="nil"/>
              <w:right w:val="single" w:color="000000" w:sz="6" w:space="0"/>
            </w:tcBorders>
            <w:vAlign w:val="top"/>
          </w:tcPr>
          <w:p w14:paraId="2A361EC6">
            <w:pPr>
              <w:rPr>
                <w:rFonts w:ascii="Arial"/>
                <w:sz w:val="21"/>
              </w:rPr>
            </w:pPr>
          </w:p>
        </w:tc>
      </w:tr>
      <w:tr w14:paraId="44DBF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35" w:type="dxa"/>
            <w:vMerge w:val="continue"/>
            <w:tcBorders>
              <w:top w:val="nil"/>
              <w:left w:val="single" w:color="000000" w:sz="6" w:space="0"/>
              <w:bottom w:val="nil"/>
            </w:tcBorders>
            <w:vAlign w:val="top"/>
          </w:tcPr>
          <w:p w14:paraId="2C798DD9">
            <w:pPr>
              <w:rPr>
                <w:rFonts w:ascii="Arial"/>
                <w:sz w:val="21"/>
              </w:rPr>
            </w:pPr>
          </w:p>
        </w:tc>
        <w:tc>
          <w:tcPr>
            <w:tcW w:w="118" w:type="dxa"/>
            <w:vMerge w:val="continue"/>
            <w:tcBorders>
              <w:top w:val="nil"/>
              <w:bottom w:val="nil"/>
              <w:right w:val="single" w:color="000000" w:sz="6" w:space="0"/>
            </w:tcBorders>
            <w:vAlign w:val="top"/>
          </w:tcPr>
          <w:p w14:paraId="7FE31781">
            <w:pPr>
              <w:rPr>
                <w:rFonts w:ascii="Arial"/>
                <w:sz w:val="21"/>
              </w:rPr>
            </w:pPr>
          </w:p>
        </w:tc>
        <w:tc>
          <w:tcPr>
            <w:tcW w:w="477" w:type="dxa"/>
            <w:vMerge w:val="continue"/>
            <w:tcBorders>
              <w:top w:val="nil"/>
              <w:left w:val="single" w:color="000000" w:sz="6" w:space="0"/>
              <w:bottom w:val="nil"/>
            </w:tcBorders>
            <w:textDirection w:val="tbRlV"/>
            <w:vAlign w:val="top"/>
          </w:tcPr>
          <w:p w14:paraId="2AA31E0B">
            <w:pPr>
              <w:rPr>
                <w:rFonts w:ascii="Arial"/>
                <w:sz w:val="21"/>
              </w:rPr>
            </w:pPr>
          </w:p>
        </w:tc>
        <w:tc>
          <w:tcPr>
            <w:tcW w:w="1643" w:type="dxa"/>
            <w:vAlign w:val="top"/>
          </w:tcPr>
          <w:p w14:paraId="3316E2F3">
            <w:pPr>
              <w:spacing w:before="39" w:line="192" w:lineRule="auto"/>
              <w:ind w:left="400"/>
              <w:rPr>
                <w:rFonts w:ascii="宋体" w:hAnsi="宋体" w:eastAsia="宋体" w:cs="宋体"/>
                <w:sz w:val="20"/>
                <w:szCs w:val="20"/>
              </w:rPr>
            </w:pPr>
            <w:r>
              <w:rPr>
                <w:rFonts w:ascii="微软雅黑" w:hAnsi="微软雅黑" w:eastAsia="微软雅黑" w:cs="微软雅黑"/>
                <w:spacing w:val="7"/>
                <w:sz w:val="20"/>
                <w:szCs w:val="20"/>
              </w:rPr>
              <w:t>废</w:t>
            </w:r>
            <w:r>
              <w:rPr>
                <w:rFonts w:ascii="宋体" w:hAnsi="宋体" w:eastAsia="宋体" w:cs="宋体"/>
                <w:spacing w:val="7"/>
                <w:sz w:val="20"/>
                <w:szCs w:val="20"/>
              </w:rPr>
              <w:t>活性炭</w:t>
            </w:r>
          </w:p>
        </w:tc>
        <w:tc>
          <w:tcPr>
            <w:tcW w:w="1248" w:type="dxa"/>
            <w:vAlign w:val="top"/>
          </w:tcPr>
          <w:p w14:paraId="00502890">
            <w:pPr>
              <w:spacing w:before="82" w:line="195" w:lineRule="auto"/>
              <w:ind w:left="4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12.5</w:t>
            </w:r>
          </w:p>
        </w:tc>
        <w:tc>
          <w:tcPr>
            <w:tcW w:w="1010" w:type="dxa"/>
            <w:vAlign w:val="top"/>
          </w:tcPr>
          <w:p w14:paraId="38B402D7">
            <w:pPr>
              <w:spacing w:before="82" w:line="195" w:lineRule="auto"/>
              <w:ind w:left="237"/>
              <w:rPr>
                <w:rFonts w:ascii="Times New Roman" w:hAnsi="Times New Roman" w:eastAsia="Times New Roman" w:cs="Times New Roman"/>
                <w:sz w:val="20"/>
                <w:szCs w:val="20"/>
              </w:rPr>
            </w:pPr>
            <w:r>
              <w:rPr>
                <w:rFonts w:ascii="Times New Roman" w:hAnsi="Times New Roman" w:eastAsia="Times New Roman" w:cs="Times New Roman"/>
                <w:sz w:val="20"/>
                <w:szCs w:val="20"/>
              </w:rPr>
              <w:t>16.146</w:t>
            </w:r>
          </w:p>
        </w:tc>
        <w:tc>
          <w:tcPr>
            <w:tcW w:w="812" w:type="dxa"/>
            <w:vAlign w:val="top"/>
          </w:tcPr>
          <w:p w14:paraId="7894D9EC">
            <w:pPr>
              <w:spacing w:before="82" w:line="195" w:lineRule="auto"/>
              <w:ind w:left="36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27211E1F">
            <w:pPr>
              <w:spacing w:before="82" w:line="195" w:lineRule="auto"/>
              <w:ind w:left="4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42F9E129">
            <w:pPr>
              <w:spacing w:before="82" w:line="195" w:lineRule="auto"/>
              <w:ind w:left="39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28.646</w:t>
            </w:r>
          </w:p>
        </w:tc>
        <w:tc>
          <w:tcPr>
            <w:tcW w:w="1177" w:type="dxa"/>
            <w:tcBorders>
              <w:right w:val="single" w:color="000000" w:sz="6" w:space="0"/>
            </w:tcBorders>
            <w:vAlign w:val="top"/>
          </w:tcPr>
          <w:p w14:paraId="42C1F7C2">
            <w:pPr>
              <w:spacing w:before="82" w:line="195" w:lineRule="auto"/>
              <w:ind w:left="24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+16.146</w:t>
            </w:r>
          </w:p>
        </w:tc>
        <w:tc>
          <w:tcPr>
            <w:tcW w:w="132" w:type="dxa"/>
            <w:tcBorders>
              <w:top w:val="nil"/>
              <w:left w:val="single" w:color="000000" w:sz="6" w:space="0"/>
              <w:bottom w:val="nil"/>
              <w:right w:val="single" w:color="000000" w:sz="6" w:space="0"/>
            </w:tcBorders>
            <w:vAlign w:val="top"/>
          </w:tcPr>
          <w:p w14:paraId="7D7E0D43">
            <w:pPr>
              <w:rPr>
                <w:rFonts w:ascii="Arial"/>
                <w:sz w:val="21"/>
              </w:rPr>
            </w:pPr>
          </w:p>
        </w:tc>
      </w:tr>
      <w:tr w14:paraId="14725D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35" w:type="dxa"/>
            <w:vMerge w:val="continue"/>
            <w:tcBorders>
              <w:top w:val="nil"/>
              <w:left w:val="single" w:color="000000" w:sz="6" w:space="0"/>
              <w:bottom w:val="nil"/>
            </w:tcBorders>
            <w:vAlign w:val="top"/>
          </w:tcPr>
          <w:p w14:paraId="3D0A40B7">
            <w:pPr>
              <w:rPr>
                <w:rFonts w:ascii="Arial"/>
                <w:sz w:val="21"/>
              </w:rPr>
            </w:pPr>
          </w:p>
        </w:tc>
        <w:tc>
          <w:tcPr>
            <w:tcW w:w="118" w:type="dxa"/>
            <w:vMerge w:val="continue"/>
            <w:tcBorders>
              <w:top w:val="nil"/>
              <w:bottom w:val="nil"/>
              <w:right w:val="single" w:color="000000" w:sz="6" w:space="0"/>
            </w:tcBorders>
            <w:vAlign w:val="top"/>
          </w:tcPr>
          <w:p w14:paraId="613E32CF">
            <w:pPr>
              <w:rPr>
                <w:rFonts w:ascii="Arial"/>
                <w:sz w:val="21"/>
              </w:rPr>
            </w:pPr>
          </w:p>
        </w:tc>
        <w:tc>
          <w:tcPr>
            <w:tcW w:w="477" w:type="dxa"/>
            <w:vMerge w:val="continue"/>
            <w:tcBorders>
              <w:top w:val="nil"/>
              <w:left w:val="single" w:color="000000" w:sz="6" w:space="0"/>
              <w:bottom w:val="nil"/>
            </w:tcBorders>
            <w:textDirection w:val="tbRlV"/>
            <w:vAlign w:val="top"/>
          </w:tcPr>
          <w:p w14:paraId="45024B13">
            <w:pPr>
              <w:rPr>
                <w:rFonts w:ascii="Arial"/>
                <w:sz w:val="21"/>
              </w:rPr>
            </w:pPr>
          </w:p>
        </w:tc>
        <w:tc>
          <w:tcPr>
            <w:tcW w:w="1643" w:type="dxa"/>
            <w:vAlign w:val="top"/>
          </w:tcPr>
          <w:p w14:paraId="0521D382">
            <w:pPr>
              <w:spacing w:before="41" w:line="355" w:lineRule="auto"/>
              <w:ind w:left="718" w:right="110" w:hanging="612"/>
              <w:rPr>
                <w:rFonts w:ascii="宋体" w:hAnsi="宋体" w:eastAsia="宋体" w:cs="宋体"/>
                <w:sz w:val="20"/>
                <w:szCs w:val="20"/>
              </w:rPr>
            </w:pPr>
            <w:r>
              <w:rPr>
                <w:rFonts w:ascii="宋体" w:hAnsi="宋体" w:eastAsia="宋体" w:cs="宋体"/>
                <w:spacing w:val="2"/>
                <w:sz w:val="20"/>
                <w:szCs w:val="20"/>
              </w:rPr>
              <w:t>废油漆桶、废胶</w:t>
            </w:r>
            <w:r>
              <w:rPr>
                <w:rFonts w:ascii="宋体" w:hAnsi="宋体" w:eastAsia="宋体" w:cs="宋体"/>
                <w:sz w:val="20"/>
                <w:szCs w:val="20"/>
              </w:rPr>
              <w:t>桶</w:t>
            </w:r>
          </w:p>
        </w:tc>
        <w:tc>
          <w:tcPr>
            <w:tcW w:w="1248" w:type="dxa"/>
            <w:vAlign w:val="top"/>
          </w:tcPr>
          <w:p w14:paraId="1F345134">
            <w:pPr>
              <w:spacing w:before="289" w:line="195"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1010" w:type="dxa"/>
            <w:vAlign w:val="top"/>
          </w:tcPr>
          <w:p w14:paraId="4BB065E6">
            <w:pPr>
              <w:spacing w:before="289" w:line="195" w:lineRule="auto"/>
              <w:ind w:left="45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vAlign w:val="top"/>
          </w:tcPr>
          <w:p w14:paraId="1BEF46D2">
            <w:pPr>
              <w:spacing w:before="289" w:line="195" w:lineRule="auto"/>
              <w:ind w:left="36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vAlign w:val="top"/>
          </w:tcPr>
          <w:p w14:paraId="5072D34A">
            <w:pPr>
              <w:spacing w:before="289" w:line="195" w:lineRule="auto"/>
              <w:ind w:left="4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vAlign w:val="top"/>
          </w:tcPr>
          <w:p w14:paraId="741C42C9">
            <w:pPr>
              <w:spacing w:before="289" w:line="195" w:lineRule="auto"/>
              <w:ind w:left="5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1177" w:type="dxa"/>
            <w:tcBorders>
              <w:right w:val="single" w:color="000000" w:sz="6" w:space="0"/>
            </w:tcBorders>
            <w:vAlign w:val="top"/>
          </w:tcPr>
          <w:p w14:paraId="50442DAD">
            <w:pPr>
              <w:spacing w:before="289" w:line="195" w:lineRule="auto"/>
              <w:ind w:left="54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nil"/>
              <w:right w:val="single" w:color="000000" w:sz="6" w:space="0"/>
            </w:tcBorders>
            <w:vAlign w:val="top"/>
          </w:tcPr>
          <w:p w14:paraId="05D29295">
            <w:pPr>
              <w:rPr>
                <w:rFonts w:ascii="Arial"/>
                <w:sz w:val="21"/>
              </w:rPr>
            </w:pPr>
          </w:p>
        </w:tc>
      </w:tr>
      <w:tr w14:paraId="5AFEE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35" w:type="dxa"/>
            <w:vMerge w:val="continue"/>
            <w:tcBorders>
              <w:top w:val="nil"/>
              <w:left w:val="single" w:color="000000" w:sz="6" w:space="0"/>
              <w:bottom w:val="nil"/>
            </w:tcBorders>
            <w:vAlign w:val="top"/>
          </w:tcPr>
          <w:p w14:paraId="71CDC3E5">
            <w:pPr>
              <w:rPr>
                <w:rFonts w:ascii="Arial"/>
                <w:sz w:val="21"/>
              </w:rPr>
            </w:pPr>
          </w:p>
        </w:tc>
        <w:tc>
          <w:tcPr>
            <w:tcW w:w="118" w:type="dxa"/>
            <w:vMerge w:val="continue"/>
            <w:tcBorders>
              <w:top w:val="nil"/>
              <w:bottom w:val="nil"/>
              <w:right w:val="single" w:color="000000" w:sz="6" w:space="0"/>
            </w:tcBorders>
            <w:vAlign w:val="top"/>
          </w:tcPr>
          <w:p w14:paraId="50672F99">
            <w:pPr>
              <w:rPr>
                <w:rFonts w:ascii="Arial"/>
                <w:sz w:val="21"/>
              </w:rPr>
            </w:pPr>
          </w:p>
        </w:tc>
        <w:tc>
          <w:tcPr>
            <w:tcW w:w="477" w:type="dxa"/>
            <w:vMerge w:val="continue"/>
            <w:tcBorders>
              <w:top w:val="nil"/>
              <w:left w:val="single" w:color="000000" w:sz="6" w:space="0"/>
              <w:bottom w:val="single" w:color="000000" w:sz="6" w:space="0"/>
            </w:tcBorders>
            <w:textDirection w:val="tbRlV"/>
            <w:vAlign w:val="top"/>
          </w:tcPr>
          <w:p w14:paraId="47D4CF10">
            <w:pPr>
              <w:rPr>
                <w:rFonts w:ascii="Arial"/>
                <w:sz w:val="21"/>
              </w:rPr>
            </w:pPr>
          </w:p>
        </w:tc>
        <w:tc>
          <w:tcPr>
            <w:tcW w:w="1643" w:type="dxa"/>
            <w:tcBorders>
              <w:bottom w:val="single" w:color="000000" w:sz="6" w:space="0"/>
            </w:tcBorders>
            <w:vAlign w:val="top"/>
          </w:tcPr>
          <w:p w14:paraId="7168AD6A">
            <w:pPr>
              <w:spacing w:before="42" w:line="229" w:lineRule="auto"/>
              <w:ind w:left="611"/>
              <w:rPr>
                <w:rFonts w:ascii="宋体" w:hAnsi="宋体" w:eastAsia="宋体" w:cs="宋体"/>
                <w:sz w:val="20"/>
                <w:szCs w:val="20"/>
              </w:rPr>
            </w:pPr>
            <w:r>
              <w:rPr>
                <w:rFonts w:ascii="宋体" w:hAnsi="宋体" w:eastAsia="宋体" w:cs="宋体"/>
                <w:spacing w:val="4"/>
                <w:sz w:val="20"/>
                <w:szCs w:val="20"/>
              </w:rPr>
              <w:t>漆渣</w:t>
            </w:r>
          </w:p>
        </w:tc>
        <w:tc>
          <w:tcPr>
            <w:tcW w:w="1248" w:type="dxa"/>
            <w:tcBorders>
              <w:bottom w:val="single" w:color="000000" w:sz="6" w:space="0"/>
            </w:tcBorders>
            <w:vAlign w:val="top"/>
          </w:tcPr>
          <w:p w14:paraId="699D920D">
            <w:pPr>
              <w:spacing w:before="85" w:line="195"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010" w:type="dxa"/>
            <w:tcBorders>
              <w:bottom w:val="single" w:color="000000" w:sz="6" w:space="0"/>
            </w:tcBorders>
            <w:vAlign w:val="top"/>
          </w:tcPr>
          <w:p w14:paraId="670799F6">
            <w:pPr>
              <w:spacing w:before="85" w:line="195" w:lineRule="auto"/>
              <w:ind w:left="45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812" w:type="dxa"/>
            <w:tcBorders>
              <w:bottom w:val="single" w:color="000000" w:sz="6" w:space="0"/>
            </w:tcBorders>
            <w:vAlign w:val="top"/>
          </w:tcPr>
          <w:p w14:paraId="7E19E443">
            <w:pPr>
              <w:spacing w:before="85" w:line="195" w:lineRule="auto"/>
              <w:ind w:left="36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73" w:type="dxa"/>
            <w:tcBorders>
              <w:bottom w:val="single" w:color="000000" w:sz="6" w:space="0"/>
            </w:tcBorders>
            <w:vAlign w:val="top"/>
          </w:tcPr>
          <w:p w14:paraId="288C3F85">
            <w:pPr>
              <w:spacing w:before="85" w:line="195" w:lineRule="auto"/>
              <w:ind w:left="4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56" w:type="dxa"/>
            <w:tcBorders>
              <w:bottom w:val="single" w:color="000000" w:sz="6" w:space="0"/>
            </w:tcBorders>
            <w:vAlign w:val="top"/>
          </w:tcPr>
          <w:p w14:paraId="7C37375F">
            <w:pPr>
              <w:spacing w:before="85" w:line="195" w:lineRule="auto"/>
              <w:ind w:left="5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177" w:type="dxa"/>
            <w:tcBorders>
              <w:bottom w:val="single" w:color="000000" w:sz="6" w:space="0"/>
              <w:right w:val="single" w:color="000000" w:sz="6" w:space="0"/>
            </w:tcBorders>
            <w:vAlign w:val="top"/>
          </w:tcPr>
          <w:p w14:paraId="52C88BB9">
            <w:pPr>
              <w:spacing w:before="85" w:line="195" w:lineRule="auto"/>
              <w:ind w:left="54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2" w:type="dxa"/>
            <w:tcBorders>
              <w:top w:val="nil"/>
              <w:left w:val="single" w:color="000000" w:sz="6" w:space="0"/>
              <w:bottom w:val="nil"/>
              <w:right w:val="single" w:color="000000" w:sz="6" w:space="0"/>
            </w:tcBorders>
            <w:vAlign w:val="top"/>
          </w:tcPr>
          <w:p w14:paraId="6936B6FB">
            <w:pPr>
              <w:rPr>
                <w:rFonts w:ascii="Arial"/>
                <w:sz w:val="21"/>
              </w:rPr>
            </w:pPr>
          </w:p>
        </w:tc>
      </w:tr>
      <w:tr w14:paraId="780A8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1" w:hRule="atLeast"/>
        </w:trPr>
        <w:tc>
          <w:tcPr>
            <w:tcW w:w="735" w:type="dxa"/>
            <w:vMerge w:val="continue"/>
            <w:tcBorders>
              <w:top w:val="nil"/>
              <w:left w:val="single" w:color="000000" w:sz="6" w:space="0"/>
              <w:bottom w:val="single" w:color="000000" w:sz="6" w:space="0"/>
            </w:tcBorders>
            <w:vAlign w:val="top"/>
          </w:tcPr>
          <w:p w14:paraId="45E4297C">
            <w:pPr>
              <w:rPr>
                <w:rFonts w:ascii="Arial"/>
                <w:sz w:val="21"/>
              </w:rPr>
            </w:pPr>
          </w:p>
        </w:tc>
        <w:tc>
          <w:tcPr>
            <w:tcW w:w="9046" w:type="dxa"/>
            <w:gridSpan w:val="10"/>
            <w:tcBorders>
              <w:top w:val="single" w:color="000000" w:sz="6" w:space="0"/>
              <w:bottom w:val="single" w:color="000000" w:sz="6" w:space="0"/>
              <w:right w:val="single" w:color="000000" w:sz="6" w:space="0"/>
            </w:tcBorders>
            <w:vAlign w:val="top"/>
          </w:tcPr>
          <w:p w14:paraId="66587AC2">
            <w:pPr>
              <w:spacing w:line="320" w:lineRule="exact"/>
              <w:ind w:left="588"/>
              <w:rPr>
                <w:rFonts w:ascii="宋体" w:hAnsi="宋体" w:eastAsia="宋体" w:cs="宋体"/>
                <w:sz w:val="24"/>
                <w:szCs w:val="24"/>
              </w:rPr>
            </w:pPr>
            <w:r>
              <w:rPr>
                <w:rFonts w:ascii="宋体" w:hAnsi="宋体" w:eastAsia="宋体" w:cs="宋体"/>
                <w:spacing w:val="-6"/>
                <w:position w:val="1"/>
                <w:sz w:val="24"/>
                <w:szCs w:val="24"/>
              </w:rPr>
              <w:t>注：⑥</w:t>
            </w:r>
            <w:r>
              <w:rPr>
                <w:rFonts w:ascii="Times New Roman" w:hAnsi="Times New Roman" w:eastAsia="Times New Roman" w:cs="Times New Roman"/>
                <w:spacing w:val="-6"/>
                <w:position w:val="1"/>
                <w:sz w:val="24"/>
                <w:szCs w:val="24"/>
              </w:rPr>
              <w:t>=</w:t>
            </w:r>
            <w:r>
              <w:rPr>
                <w:rFonts w:ascii="宋体" w:hAnsi="宋体" w:eastAsia="宋体" w:cs="宋体"/>
                <w:spacing w:val="-6"/>
                <w:position w:val="1"/>
                <w:sz w:val="24"/>
                <w:szCs w:val="24"/>
              </w:rPr>
              <w:t>①</w:t>
            </w:r>
            <w:r>
              <w:rPr>
                <w:rFonts w:ascii="Times New Roman" w:hAnsi="Times New Roman" w:eastAsia="Times New Roman" w:cs="Times New Roman"/>
                <w:spacing w:val="-6"/>
                <w:position w:val="1"/>
                <w:sz w:val="24"/>
                <w:szCs w:val="24"/>
              </w:rPr>
              <w:t>+</w:t>
            </w:r>
            <w:r>
              <w:rPr>
                <w:rFonts w:ascii="宋体" w:hAnsi="宋体" w:eastAsia="宋体" w:cs="宋体"/>
                <w:spacing w:val="-6"/>
                <w:position w:val="1"/>
                <w:sz w:val="24"/>
                <w:szCs w:val="24"/>
              </w:rPr>
              <w:t>②</w:t>
            </w:r>
            <w:r>
              <w:rPr>
                <w:rFonts w:ascii="Times New Roman" w:hAnsi="Times New Roman" w:eastAsia="Times New Roman" w:cs="Times New Roman"/>
                <w:spacing w:val="-6"/>
                <w:position w:val="1"/>
                <w:sz w:val="24"/>
                <w:szCs w:val="24"/>
              </w:rPr>
              <w:t>+</w:t>
            </w:r>
            <w:r>
              <w:rPr>
                <w:rFonts w:ascii="宋体" w:hAnsi="宋体" w:eastAsia="宋体" w:cs="宋体"/>
                <w:spacing w:val="-6"/>
                <w:position w:val="1"/>
                <w:sz w:val="24"/>
                <w:szCs w:val="24"/>
              </w:rPr>
              <w:t>③</w:t>
            </w:r>
            <w:r>
              <w:rPr>
                <w:rFonts w:ascii="Times New Roman" w:hAnsi="Times New Roman" w:eastAsia="Times New Roman" w:cs="Times New Roman"/>
                <w:spacing w:val="-6"/>
                <w:position w:val="1"/>
                <w:sz w:val="24"/>
                <w:szCs w:val="24"/>
              </w:rPr>
              <w:t>-</w:t>
            </w:r>
            <w:r>
              <w:rPr>
                <w:rFonts w:ascii="宋体" w:hAnsi="宋体" w:eastAsia="宋体" w:cs="宋体"/>
                <w:spacing w:val="-6"/>
                <w:position w:val="1"/>
                <w:sz w:val="24"/>
                <w:szCs w:val="24"/>
              </w:rPr>
              <w:t>④</w:t>
            </w:r>
            <w:r>
              <w:rPr>
                <w:rFonts w:ascii="Times New Roman" w:hAnsi="Times New Roman" w:eastAsia="Times New Roman" w:cs="Times New Roman"/>
                <w:spacing w:val="-6"/>
                <w:position w:val="1"/>
                <w:sz w:val="24"/>
                <w:szCs w:val="24"/>
              </w:rPr>
              <w:t>-</w:t>
            </w:r>
            <w:r>
              <w:rPr>
                <w:rFonts w:ascii="宋体" w:hAnsi="宋体" w:eastAsia="宋体" w:cs="宋体"/>
                <w:spacing w:val="-6"/>
                <w:position w:val="1"/>
                <w:sz w:val="24"/>
                <w:szCs w:val="24"/>
              </w:rPr>
              <w:t>⑤</w:t>
            </w:r>
            <w:r>
              <w:rPr>
                <w:rFonts w:ascii="宋体" w:hAnsi="宋体" w:eastAsia="宋体" w:cs="宋体"/>
                <w:spacing w:val="-78"/>
                <w:position w:val="1"/>
                <w:sz w:val="24"/>
                <w:szCs w:val="24"/>
              </w:rPr>
              <w:t xml:space="preserve"> </w:t>
            </w:r>
            <w:r>
              <w:rPr>
                <w:rFonts w:ascii="宋体" w:hAnsi="宋体" w:eastAsia="宋体" w:cs="宋体"/>
                <w:spacing w:val="-6"/>
                <w:position w:val="1"/>
                <w:sz w:val="24"/>
                <w:szCs w:val="24"/>
              </w:rPr>
              <w:t>,</w:t>
            </w:r>
            <w:r>
              <w:rPr>
                <w:rFonts w:ascii="宋体" w:hAnsi="宋体" w:eastAsia="宋体" w:cs="宋体"/>
                <w:spacing w:val="61"/>
                <w:position w:val="1"/>
                <w:sz w:val="24"/>
                <w:szCs w:val="24"/>
              </w:rPr>
              <w:t xml:space="preserve"> </w:t>
            </w:r>
            <w:r>
              <w:rPr>
                <w:rFonts w:ascii="宋体" w:hAnsi="宋体" w:eastAsia="宋体" w:cs="宋体"/>
                <w:spacing w:val="-6"/>
                <w:position w:val="1"/>
                <w:sz w:val="24"/>
                <w:szCs w:val="24"/>
              </w:rPr>
              <w:t>⑦</w:t>
            </w:r>
            <w:r>
              <w:rPr>
                <w:rFonts w:ascii="Times New Roman" w:hAnsi="Times New Roman" w:eastAsia="Times New Roman" w:cs="Times New Roman"/>
                <w:spacing w:val="-6"/>
                <w:position w:val="1"/>
                <w:sz w:val="24"/>
                <w:szCs w:val="24"/>
              </w:rPr>
              <w:t>=</w:t>
            </w:r>
            <w:r>
              <w:rPr>
                <w:rFonts w:ascii="宋体" w:hAnsi="宋体" w:eastAsia="宋体" w:cs="宋体"/>
                <w:spacing w:val="-6"/>
                <w:position w:val="1"/>
                <w:sz w:val="24"/>
                <w:szCs w:val="24"/>
              </w:rPr>
              <w:t>⑥</w:t>
            </w:r>
            <w:r>
              <w:rPr>
                <w:rFonts w:ascii="Times New Roman" w:hAnsi="Times New Roman" w:eastAsia="Times New Roman" w:cs="Times New Roman"/>
                <w:spacing w:val="-6"/>
                <w:position w:val="1"/>
                <w:sz w:val="24"/>
                <w:szCs w:val="24"/>
              </w:rPr>
              <w:t>-</w:t>
            </w:r>
            <w:r>
              <w:rPr>
                <w:rFonts w:ascii="宋体" w:hAnsi="宋体" w:eastAsia="宋体" w:cs="宋体"/>
                <w:spacing w:val="-6"/>
                <w:position w:val="1"/>
                <w:sz w:val="24"/>
                <w:szCs w:val="24"/>
              </w:rPr>
              <w:t>①</w:t>
            </w:r>
          </w:p>
        </w:tc>
      </w:tr>
    </w:tbl>
    <w:p w14:paraId="6E826C99">
      <w:pPr>
        <w:pStyle w:val="2"/>
      </w:pPr>
    </w:p>
    <w:p w14:paraId="2DAE36D6">
      <w:pPr>
        <w:sectPr>
          <w:footerReference r:id="rId113" w:type="default"/>
          <w:pgSz w:w="11906" w:h="16839"/>
          <w:pgMar w:top="400" w:right="1055" w:bottom="1085" w:left="1054" w:header="0" w:footer="762" w:gutter="0"/>
          <w:cols w:space="720" w:num="1"/>
        </w:sectPr>
      </w:pPr>
    </w:p>
    <w:p w14:paraId="3CC77401">
      <w:pPr>
        <w:pStyle w:val="2"/>
        <w:spacing w:line="267" w:lineRule="auto"/>
      </w:pPr>
    </w:p>
    <w:p w14:paraId="2147A0AD">
      <w:pPr>
        <w:pStyle w:val="2"/>
        <w:spacing w:line="268" w:lineRule="auto"/>
      </w:pPr>
    </w:p>
    <w:p w14:paraId="36278130">
      <w:pPr>
        <w:pStyle w:val="2"/>
        <w:spacing w:line="268" w:lineRule="auto"/>
      </w:pPr>
    </w:p>
    <w:p w14:paraId="14B26054">
      <w:pPr>
        <w:pStyle w:val="2"/>
        <w:spacing w:line="268" w:lineRule="auto"/>
      </w:pPr>
    </w:p>
    <w:p w14:paraId="51DE0BB8">
      <w:pPr>
        <w:spacing w:before="101" w:line="225" w:lineRule="auto"/>
        <w:ind w:left="522"/>
        <w:outlineLvl w:val="0"/>
        <w:rPr>
          <w:rFonts w:ascii="宋体" w:hAnsi="宋体" w:eastAsia="宋体" w:cs="宋体"/>
          <w:sz w:val="31"/>
          <w:szCs w:val="31"/>
        </w:rPr>
      </w:pPr>
      <w:bookmarkStart w:id="8" w:name="bookmark5"/>
      <w:bookmarkEnd w:id="8"/>
      <w:r>
        <w:rPr>
          <w:rFonts w:ascii="宋体" w:hAnsi="宋体" w:eastAsia="宋体" w:cs="宋体"/>
          <w:b/>
          <w:bCs/>
          <w:spacing w:val="6"/>
          <w:sz w:val="31"/>
          <w:szCs w:val="31"/>
        </w:rPr>
        <w:t>五、环境保护措施监督检查清单</w:t>
      </w:r>
    </w:p>
    <w:p w14:paraId="313E30CA">
      <w:pPr>
        <w:spacing w:before="161"/>
      </w:pPr>
    </w:p>
    <w:tbl>
      <w:tblPr>
        <w:tblStyle w:val="10"/>
        <w:tblW w:w="962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8"/>
        <w:gridCol w:w="2157"/>
        <w:gridCol w:w="1583"/>
        <w:gridCol w:w="2366"/>
        <w:gridCol w:w="2370"/>
      </w:tblGrid>
      <w:tr w14:paraId="72F35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1148" w:type="dxa"/>
            <w:tcBorders>
              <w:top w:val="single" w:color="000000" w:sz="6" w:space="0"/>
              <w:left w:val="single" w:color="000000" w:sz="6" w:space="0"/>
              <w:tl2br w:val="single" w:color="000000" w:sz="4" w:space="0"/>
            </w:tcBorders>
            <w:vAlign w:val="top"/>
          </w:tcPr>
          <w:p w14:paraId="4145E124">
            <w:pPr>
              <w:spacing w:before="54" w:line="228" w:lineRule="auto"/>
              <w:ind w:left="134"/>
              <w:rPr>
                <w:rFonts w:ascii="宋体" w:hAnsi="宋体" w:eastAsia="宋体" w:cs="宋体"/>
                <w:sz w:val="20"/>
                <w:szCs w:val="20"/>
              </w:rPr>
            </w:pPr>
            <w:r>
              <w:rPr>
                <w:rFonts w:ascii="宋体" w:hAnsi="宋体" w:eastAsia="宋体" w:cs="宋体"/>
                <w:b/>
                <w:bCs/>
                <w:spacing w:val="-9"/>
                <w:sz w:val="20"/>
                <w:szCs w:val="20"/>
              </w:rPr>
              <w:t>内容</w:t>
            </w:r>
          </w:p>
          <w:p w14:paraId="143BFBAE">
            <w:pPr>
              <w:spacing w:before="201" w:line="218" w:lineRule="auto"/>
              <w:ind w:left="110"/>
              <w:rPr>
                <w:rFonts w:ascii="宋体" w:hAnsi="宋体" w:eastAsia="宋体" w:cs="宋体"/>
                <w:sz w:val="20"/>
                <w:szCs w:val="20"/>
              </w:rPr>
            </w:pPr>
            <w:r>
              <w:rPr>
                <w:rFonts w:ascii="宋体" w:hAnsi="宋体" w:eastAsia="宋体" w:cs="宋体"/>
                <w:b/>
                <w:bCs/>
                <w:spacing w:val="3"/>
                <w:sz w:val="20"/>
                <w:szCs w:val="20"/>
              </w:rPr>
              <w:t>要素</w:t>
            </w:r>
          </w:p>
        </w:tc>
        <w:tc>
          <w:tcPr>
            <w:tcW w:w="2157" w:type="dxa"/>
            <w:tcBorders>
              <w:top w:val="single" w:color="000000" w:sz="6" w:space="0"/>
            </w:tcBorders>
            <w:vAlign w:val="top"/>
          </w:tcPr>
          <w:p w14:paraId="56C40DDE">
            <w:pPr>
              <w:spacing w:before="134" w:line="247" w:lineRule="auto"/>
              <w:ind w:left="765" w:right="139" w:hanging="628"/>
              <w:rPr>
                <w:rFonts w:ascii="宋体" w:hAnsi="宋体" w:eastAsia="宋体" w:cs="宋体"/>
                <w:sz w:val="20"/>
                <w:szCs w:val="20"/>
              </w:rPr>
            </w:pPr>
            <w:r>
              <w:rPr>
                <w:rFonts w:ascii="宋体" w:hAnsi="宋体" w:eastAsia="宋体" w:cs="宋体"/>
                <w:b/>
                <w:bCs/>
                <w:spacing w:val="6"/>
                <w:sz w:val="20"/>
                <w:szCs w:val="20"/>
              </w:rPr>
              <w:t>排放口</w:t>
            </w:r>
            <w:r>
              <w:rPr>
                <w:rFonts w:ascii="Times New Roman" w:hAnsi="Times New Roman" w:eastAsia="Times New Roman" w:cs="Times New Roman"/>
                <w:b/>
                <w:bCs/>
                <w:spacing w:val="6"/>
                <w:sz w:val="20"/>
                <w:szCs w:val="20"/>
              </w:rPr>
              <w:t>(</w:t>
            </w:r>
            <w:r>
              <w:rPr>
                <w:rFonts w:ascii="宋体" w:hAnsi="宋体" w:eastAsia="宋体" w:cs="宋体"/>
                <w:b/>
                <w:bCs/>
                <w:spacing w:val="6"/>
                <w:sz w:val="20"/>
                <w:szCs w:val="20"/>
              </w:rPr>
              <w:t>编号、名称</w:t>
            </w:r>
            <w:r>
              <w:rPr>
                <w:rFonts w:ascii="Times New Roman" w:hAnsi="Times New Roman" w:eastAsia="Times New Roman" w:cs="Times New Roman"/>
                <w:b/>
                <w:bCs/>
                <w:spacing w:val="6"/>
                <w:sz w:val="20"/>
                <w:szCs w:val="20"/>
              </w:rPr>
              <w:t>)/</w:t>
            </w:r>
            <w:r>
              <w:rPr>
                <w:rFonts w:ascii="宋体" w:hAnsi="宋体" w:eastAsia="宋体" w:cs="宋体"/>
                <w:b/>
                <w:bCs/>
                <w:spacing w:val="5"/>
                <w:sz w:val="20"/>
                <w:szCs w:val="20"/>
              </w:rPr>
              <w:t>污染源</w:t>
            </w:r>
          </w:p>
        </w:tc>
        <w:tc>
          <w:tcPr>
            <w:tcW w:w="1583" w:type="dxa"/>
            <w:tcBorders>
              <w:top w:val="single" w:color="000000" w:sz="6" w:space="0"/>
            </w:tcBorders>
            <w:vAlign w:val="top"/>
          </w:tcPr>
          <w:p w14:paraId="47B97168">
            <w:pPr>
              <w:spacing w:before="269" w:line="228" w:lineRule="auto"/>
              <w:ind w:left="269"/>
              <w:rPr>
                <w:rFonts w:ascii="宋体" w:hAnsi="宋体" w:eastAsia="宋体" w:cs="宋体"/>
                <w:sz w:val="20"/>
                <w:szCs w:val="20"/>
              </w:rPr>
            </w:pPr>
            <w:r>
              <w:rPr>
                <w:rFonts w:ascii="宋体" w:hAnsi="宋体" w:eastAsia="宋体" w:cs="宋体"/>
                <w:b/>
                <w:bCs/>
                <w:spacing w:val="6"/>
                <w:sz w:val="20"/>
                <w:szCs w:val="20"/>
              </w:rPr>
              <w:t>污染物项目</w:t>
            </w:r>
          </w:p>
        </w:tc>
        <w:tc>
          <w:tcPr>
            <w:tcW w:w="2366" w:type="dxa"/>
            <w:tcBorders>
              <w:top w:val="single" w:color="000000" w:sz="6" w:space="0"/>
            </w:tcBorders>
            <w:vAlign w:val="top"/>
          </w:tcPr>
          <w:p w14:paraId="47FB9344">
            <w:pPr>
              <w:spacing w:before="269" w:line="228" w:lineRule="auto"/>
              <w:ind w:left="556"/>
              <w:rPr>
                <w:rFonts w:ascii="宋体" w:hAnsi="宋体" w:eastAsia="宋体" w:cs="宋体"/>
                <w:sz w:val="20"/>
                <w:szCs w:val="20"/>
              </w:rPr>
            </w:pPr>
            <w:r>
              <w:rPr>
                <w:rFonts w:ascii="宋体" w:hAnsi="宋体" w:eastAsia="宋体" w:cs="宋体"/>
                <w:b/>
                <w:bCs/>
                <w:spacing w:val="6"/>
                <w:sz w:val="20"/>
                <w:szCs w:val="20"/>
              </w:rPr>
              <w:t>环境保护措施</w:t>
            </w:r>
          </w:p>
        </w:tc>
        <w:tc>
          <w:tcPr>
            <w:tcW w:w="2370" w:type="dxa"/>
            <w:tcBorders>
              <w:top w:val="single" w:color="000000" w:sz="6" w:space="0"/>
              <w:right w:val="single" w:color="000000" w:sz="6" w:space="0"/>
            </w:tcBorders>
            <w:vAlign w:val="top"/>
          </w:tcPr>
          <w:p w14:paraId="34A128C7">
            <w:pPr>
              <w:spacing w:before="268" w:line="228" w:lineRule="auto"/>
              <w:ind w:left="768"/>
              <w:rPr>
                <w:rFonts w:ascii="宋体" w:hAnsi="宋体" w:eastAsia="宋体" w:cs="宋体"/>
                <w:sz w:val="20"/>
                <w:szCs w:val="20"/>
              </w:rPr>
            </w:pPr>
            <w:r>
              <w:rPr>
                <w:rFonts w:ascii="宋体" w:hAnsi="宋体" w:eastAsia="宋体" w:cs="宋体"/>
                <w:b/>
                <w:bCs/>
                <w:spacing w:val="6"/>
                <w:sz w:val="20"/>
                <w:szCs w:val="20"/>
              </w:rPr>
              <w:t>执行标准</w:t>
            </w:r>
          </w:p>
        </w:tc>
      </w:tr>
      <w:tr w14:paraId="48543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9" w:hRule="atLeast"/>
        </w:trPr>
        <w:tc>
          <w:tcPr>
            <w:tcW w:w="1148" w:type="dxa"/>
            <w:vMerge w:val="restart"/>
            <w:tcBorders>
              <w:left w:val="single" w:color="000000" w:sz="6" w:space="0"/>
              <w:bottom w:val="nil"/>
            </w:tcBorders>
            <w:vAlign w:val="top"/>
          </w:tcPr>
          <w:p w14:paraId="48BCEBFF">
            <w:pPr>
              <w:spacing w:line="243" w:lineRule="auto"/>
              <w:rPr>
                <w:rFonts w:ascii="Arial"/>
                <w:sz w:val="21"/>
              </w:rPr>
            </w:pPr>
          </w:p>
          <w:p w14:paraId="2095617E">
            <w:pPr>
              <w:spacing w:line="243" w:lineRule="auto"/>
              <w:rPr>
                <w:rFonts w:ascii="Arial"/>
                <w:sz w:val="21"/>
              </w:rPr>
            </w:pPr>
          </w:p>
          <w:p w14:paraId="4EC18A54">
            <w:pPr>
              <w:spacing w:line="243" w:lineRule="auto"/>
              <w:rPr>
                <w:rFonts w:ascii="Arial"/>
                <w:sz w:val="21"/>
              </w:rPr>
            </w:pPr>
          </w:p>
          <w:p w14:paraId="2DD7CD0A">
            <w:pPr>
              <w:spacing w:line="243" w:lineRule="auto"/>
              <w:rPr>
                <w:rFonts w:ascii="Arial"/>
                <w:sz w:val="21"/>
              </w:rPr>
            </w:pPr>
          </w:p>
          <w:p w14:paraId="5B1B72AF">
            <w:pPr>
              <w:spacing w:line="243" w:lineRule="auto"/>
              <w:rPr>
                <w:rFonts w:ascii="Arial"/>
                <w:sz w:val="21"/>
              </w:rPr>
            </w:pPr>
          </w:p>
          <w:p w14:paraId="020F752E">
            <w:pPr>
              <w:spacing w:line="243" w:lineRule="auto"/>
              <w:rPr>
                <w:rFonts w:ascii="Arial"/>
                <w:sz w:val="21"/>
              </w:rPr>
            </w:pPr>
          </w:p>
          <w:p w14:paraId="7F9AC0F2">
            <w:pPr>
              <w:spacing w:before="65" w:line="228" w:lineRule="auto"/>
              <w:ind w:left="155"/>
              <w:rPr>
                <w:rFonts w:ascii="宋体" w:hAnsi="宋体" w:eastAsia="宋体" w:cs="宋体"/>
                <w:sz w:val="20"/>
                <w:szCs w:val="20"/>
              </w:rPr>
            </w:pPr>
            <w:r>
              <w:rPr>
                <w:rFonts w:ascii="宋体" w:hAnsi="宋体" w:eastAsia="宋体" w:cs="宋体"/>
                <w:spacing w:val="6"/>
                <w:sz w:val="20"/>
                <w:szCs w:val="20"/>
              </w:rPr>
              <w:t>大气环境</w:t>
            </w:r>
          </w:p>
        </w:tc>
        <w:tc>
          <w:tcPr>
            <w:tcW w:w="2157" w:type="dxa"/>
            <w:vAlign w:val="top"/>
          </w:tcPr>
          <w:p w14:paraId="4485BDF0">
            <w:pPr>
              <w:spacing w:line="273" w:lineRule="auto"/>
              <w:rPr>
                <w:rFonts w:ascii="Arial"/>
                <w:sz w:val="21"/>
              </w:rPr>
            </w:pPr>
          </w:p>
          <w:p w14:paraId="60E6846F">
            <w:pPr>
              <w:spacing w:line="274" w:lineRule="auto"/>
              <w:rPr>
                <w:rFonts w:ascii="Arial"/>
                <w:sz w:val="21"/>
              </w:rPr>
            </w:pPr>
          </w:p>
          <w:p w14:paraId="3571D427">
            <w:pPr>
              <w:spacing w:line="274" w:lineRule="auto"/>
              <w:rPr>
                <w:rFonts w:ascii="Arial"/>
                <w:sz w:val="21"/>
              </w:rPr>
            </w:pPr>
          </w:p>
          <w:p w14:paraId="4B5445F7">
            <w:pPr>
              <w:spacing w:before="58" w:line="195" w:lineRule="auto"/>
              <w:ind w:left="766"/>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005</w:t>
            </w:r>
          </w:p>
        </w:tc>
        <w:tc>
          <w:tcPr>
            <w:tcW w:w="1583" w:type="dxa"/>
            <w:vAlign w:val="top"/>
          </w:tcPr>
          <w:p w14:paraId="2021829E">
            <w:pPr>
              <w:spacing w:line="259" w:lineRule="auto"/>
              <w:rPr>
                <w:rFonts w:ascii="Arial"/>
                <w:sz w:val="21"/>
              </w:rPr>
            </w:pPr>
          </w:p>
          <w:p w14:paraId="5684F4B4">
            <w:pPr>
              <w:spacing w:line="259" w:lineRule="auto"/>
              <w:rPr>
                <w:rFonts w:ascii="Arial"/>
                <w:sz w:val="21"/>
              </w:rPr>
            </w:pPr>
          </w:p>
          <w:p w14:paraId="73770A8B">
            <w:pPr>
              <w:spacing w:line="260" w:lineRule="auto"/>
              <w:rPr>
                <w:rFonts w:ascii="Arial"/>
                <w:sz w:val="21"/>
              </w:rPr>
            </w:pPr>
          </w:p>
          <w:p w14:paraId="3289771C">
            <w:pPr>
              <w:spacing w:before="65" w:line="228" w:lineRule="auto"/>
              <w:ind w:left="273"/>
              <w:rPr>
                <w:rFonts w:ascii="宋体" w:hAnsi="宋体" w:eastAsia="宋体" w:cs="宋体"/>
                <w:sz w:val="20"/>
                <w:szCs w:val="20"/>
              </w:rPr>
            </w:pPr>
            <w:r>
              <w:rPr>
                <w:rFonts w:ascii="宋体" w:hAnsi="宋体" w:eastAsia="宋体" w:cs="宋体"/>
                <w:spacing w:val="7"/>
                <w:sz w:val="20"/>
                <w:szCs w:val="20"/>
              </w:rPr>
              <w:t>非甲烷总烃</w:t>
            </w:r>
          </w:p>
        </w:tc>
        <w:tc>
          <w:tcPr>
            <w:tcW w:w="2366" w:type="dxa"/>
            <w:vAlign w:val="top"/>
          </w:tcPr>
          <w:p w14:paraId="31BCC8E5">
            <w:pPr>
              <w:spacing w:before="32" w:line="227" w:lineRule="auto"/>
              <w:ind w:left="140"/>
              <w:rPr>
                <w:rFonts w:ascii="宋体" w:hAnsi="宋体" w:eastAsia="宋体" w:cs="宋体"/>
                <w:sz w:val="20"/>
                <w:szCs w:val="20"/>
              </w:rPr>
            </w:pPr>
            <w:r>
              <w:rPr>
                <w:rFonts w:ascii="宋体" w:hAnsi="宋体" w:eastAsia="宋体" w:cs="宋体"/>
                <w:spacing w:val="9"/>
                <w:sz w:val="20"/>
                <w:szCs w:val="20"/>
              </w:rPr>
              <w:t>在每台注塑机上方设置</w:t>
            </w:r>
          </w:p>
          <w:p w14:paraId="01675894">
            <w:pPr>
              <w:spacing w:before="24" w:line="228" w:lineRule="auto"/>
              <w:ind w:left="141"/>
              <w:rPr>
                <w:rFonts w:ascii="宋体" w:hAnsi="宋体" w:eastAsia="宋体" w:cs="宋体"/>
                <w:sz w:val="20"/>
                <w:szCs w:val="20"/>
              </w:rPr>
            </w:pPr>
            <w:r>
              <w:rPr>
                <w:rFonts w:ascii="宋体" w:hAnsi="宋体" w:eastAsia="宋体" w:cs="宋体"/>
                <w:spacing w:val="7"/>
                <w:sz w:val="20"/>
                <w:szCs w:val="20"/>
              </w:rPr>
              <w:t>集气罩，共设置</w:t>
            </w:r>
            <w:r>
              <w:rPr>
                <w:rFonts w:ascii="宋体" w:hAnsi="宋体" w:eastAsia="宋体" w:cs="宋体"/>
                <w:spacing w:val="-39"/>
                <w:sz w:val="20"/>
                <w:szCs w:val="20"/>
              </w:rPr>
              <w:t xml:space="preserve"> </w:t>
            </w:r>
            <w:r>
              <w:rPr>
                <w:rFonts w:ascii="Times New Roman" w:hAnsi="Times New Roman" w:eastAsia="Times New Roman" w:cs="Times New Roman"/>
                <w:spacing w:val="7"/>
                <w:sz w:val="20"/>
                <w:szCs w:val="20"/>
              </w:rPr>
              <w:t xml:space="preserve">4 </w:t>
            </w:r>
            <w:r>
              <w:rPr>
                <w:rFonts w:ascii="宋体" w:hAnsi="宋体" w:eastAsia="宋体" w:cs="宋体"/>
                <w:spacing w:val="7"/>
                <w:sz w:val="20"/>
                <w:szCs w:val="20"/>
              </w:rPr>
              <w:t>个集</w:t>
            </w:r>
          </w:p>
          <w:p w14:paraId="6BDB9146">
            <w:pPr>
              <w:spacing w:before="24" w:line="228" w:lineRule="auto"/>
              <w:ind w:left="351"/>
              <w:rPr>
                <w:rFonts w:ascii="宋体" w:hAnsi="宋体" w:eastAsia="宋体" w:cs="宋体"/>
                <w:sz w:val="20"/>
                <w:szCs w:val="20"/>
              </w:rPr>
            </w:pPr>
            <w:r>
              <w:rPr>
                <w:rFonts w:ascii="宋体" w:hAnsi="宋体" w:eastAsia="宋体" w:cs="宋体"/>
                <w:spacing w:val="8"/>
                <w:sz w:val="20"/>
                <w:szCs w:val="20"/>
              </w:rPr>
              <w:t>气罩（单个规格为</w:t>
            </w:r>
          </w:p>
          <w:p w14:paraId="69F38F05">
            <w:pPr>
              <w:spacing w:before="26" w:line="228" w:lineRule="auto"/>
              <w:ind w:left="170"/>
              <w:rPr>
                <w:rFonts w:ascii="宋体" w:hAnsi="宋体" w:eastAsia="宋体" w:cs="宋体"/>
                <w:sz w:val="20"/>
                <w:szCs w:val="20"/>
              </w:rPr>
            </w:pPr>
            <w:r>
              <w:rPr>
                <w:rFonts w:ascii="Times New Roman" w:hAnsi="Times New Roman" w:eastAsia="Times New Roman" w:cs="Times New Roman"/>
                <w:spacing w:val="4"/>
                <w:sz w:val="20"/>
                <w:szCs w:val="20"/>
              </w:rPr>
              <w:t>1.8m×1m</w:t>
            </w:r>
            <w:r>
              <w:rPr>
                <w:rFonts w:ascii="宋体" w:hAnsi="宋体" w:eastAsia="宋体" w:cs="宋体"/>
                <w:spacing w:val="12"/>
                <w:sz w:val="20"/>
                <w:szCs w:val="20"/>
              </w:rPr>
              <w:t>），</w:t>
            </w:r>
            <w:r>
              <w:rPr>
                <w:rFonts w:ascii="宋体" w:hAnsi="宋体" w:eastAsia="宋体" w:cs="宋体"/>
                <w:spacing w:val="4"/>
                <w:sz w:val="20"/>
                <w:szCs w:val="20"/>
              </w:rPr>
              <w:t>废气经集</w:t>
            </w:r>
          </w:p>
          <w:p w14:paraId="5B67F7D6">
            <w:pPr>
              <w:spacing w:before="24" w:line="228" w:lineRule="auto"/>
              <w:ind w:left="142"/>
              <w:rPr>
                <w:rFonts w:ascii="宋体" w:hAnsi="宋体" w:eastAsia="宋体" w:cs="宋体"/>
                <w:sz w:val="20"/>
                <w:szCs w:val="20"/>
              </w:rPr>
            </w:pPr>
            <w:r>
              <w:rPr>
                <w:rFonts w:ascii="宋体" w:hAnsi="宋体" w:eastAsia="宋体" w:cs="宋体"/>
                <w:spacing w:val="8"/>
                <w:sz w:val="20"/>
                <w:szCs w:val="20"/>
              </w:rPr>
              <w:t>气罩收集后通过三级活</w:t>
            </w:r>
          </w:p>
          <w:p w14:paraId="2806CCFB">
            <w:pPr>
              <w:spacing w:before="27" w:line="227" w:lineRule="auto"/>
              <w:ind w:left="185"/>
              <w:rPr>
                <w:rFonts w:ascii="宋体" w:hAnsi="宋体" w:eastAsia="宋体" w:cs="宋体"/>
                <w:sz w:val="20"/>
                <w:szCs w:val="20"/>
              </w:rPr>
            </w:pPr>
            <w:r>
              <w:rPr>
                <w:rFonts w:ascii="宋体" w:hAnsi="宋体" w:eastAsia="宋体" w:cs="宋体"/>
                <w:spacing w:val="7"/>
                <w:sz w:val="20"/>
                <w:szCs w:val="20"/>
              </w:rPr>
              <w:t>性炭吸附</w:t>
            </w:r>
            <w:r>
              <w:rPr>
                <w:rFonts w:ascii="Times New Roman" w:hAnsi="Times New Roman" w:eastAsia="Times New Roman" w:cs="Times New Roman"/>
                <w:spacing w:val="7"/>
                <w:sz w:val="20"/>
                <w:szCs w:val="20"/>
              </w:rPr>
              <w:t xml:space="preserve">+15m </w:t>
            </w:r>
            <w:r>
              <w:rPr>
                <w:rFonts w:ascii="宋体" w:hAnsi="宋体" w:eastAsia="宋体" w:cs="宋体"/>
                <w:spacing w:val="7"/>
                <w:sz w:val="20"/>
                <w:szCs w:val="20"/>
              </w:rPr>
              <w:t>排气筒</w:t>
            </w:r>
          </w:p>
          <w:p w14:paraId="09E0D90A">
            <w:pPr>
              <w:spacing w:before="25" w:line="217" w:lineRule="auto"/>
              <w:ind w:left="156"/>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z w:val="20"/>
                <w:szCs w:val="20"/>
              </w:rPr>
              <w:t>DA</w:t>
            </w:r>
            <w:r>
              <w:rPr>
                <w:rFonts w:ascii="Times New Roman" w:hAnsi="Times New Roman" w:eastAsia="Times New Roman" w:cs="Times New Roman"/>
                <w:spacing w:val="7"/>
                <w:sz w:val="20"/>
                <w:szCs w:val="20"/>
              </w:rPr>
              <w:t>005</w:t>
            </w:r>
            <w:r>
              <w:rPr>
                <w:rFonts w:ascii="宋体" w:hAnsi="宋体" w:eastAsia="宋体" w:cs="宋体"/>
                <w:spacing w:val="7"/>
                <w:sz w:val="20"/>
                <w:szCs w:val="20"/>
              </w:rPr>
              <w:t>）处理后排放</w:t>
            </w:r>
          </w:p>
        </w:tc>
        <w:tc>
          <w:tcPr>
            <w:tcW w:w="2370" w:type="dxa"/>
            <w:tcBorders>
              <w:right w:val="single" w:color="000000" w:sz="6" w:space="0"/>
            </w:tcBorders>
            <w:vAlign w:val="top"/>
          </w:tcPr>
          <w:p w14:paraId="5584E3AF">
            <w:pPr>
              <w:spacing w:before="302" w:line="190" w:lineRule="auto"/>
              <w:ind w:left="147"/>
              <w:rPr>
                <w:rFonts w:ascii="微软雅黑" w:hAnsi="微软雅黑" w:eastAsia="微软雅黑" w:cs="微软雅黑"/>
                <w:sz w:val="20"/>
                <w:szCs w:val="20"/>
              </w:rPr>
            </w:pPr>
            <w:r>
              <w:rPr>
                <w:rFonts w:ascii="宋体" w:hAnsi="宋体" w:eastAsia="宋体" w:cs="宋体"/>
                <w:spacing w:val="8"/>
                <w:sz w:val="20"/>
                <w:szCs w:val="20"/>
              </w:rPr>
              <w:t>《合成树脂工业污染</w:t>
            </w:r>
            <w:r>
              <w:rPr>
                <w:rFonts w:ascii="微软雅黑" w:hAnsi="微软雅黑" w:eastAsia="微软雅黑" w:cs="微软雅黑"/>
                <w:spacing w:val="8"/>
                <w:sz w:val="20"/>
                <w:szCs w:val="20"/>
              </w:rPr>
              <w:t>物</w:t>
            </w:r>
          </w:p>
          <w:p w14:paraId="32700ACD">
            <w:pPr>
              <w:spacing w:line="228" w:lineRule="auto"/>
              <w:ind w:left="667"/>
              <w:rPr>
                <w:rFonts w:ascii="宋体" w:hAnsi="宋体" w:eastAsia="宋体" w:cs="宋体"/>
                <w:sz w:val="20"/>
                <w:szCs w:val="20"/>
              </w:rPr>
            </w:pPr>
            <w:r>
              <w:rPr>
                <w:rFonts w:ascii="宋体" w:hAnsi="宋体" w:eastAsia="宋体" w:cs="宋体"/>
                <w:spacing w:val="5"/>
                <w:sz w:val="20"/>
                <w:szCs w:val="20"/>
              </w:rPr>
              <w:t>排放标准》</w:t>
            </w:r>
          </w:p>
          <w:p w14:paraId="21BD0647">
            <w:pPr>
              <w:spacing w:before="25" w:line="228" w:lineRule="auto"/>
              <w:ind w:left="202"/>
              <w:rPr>
                <w:rFonts w:ascii="宋体" w:hAnsi="宋体" w:eastAsia="宋体" w:cs="宋体"/>
                <w:sz w:val="20"/>
                <w:szCs w:val="20"/>
              </w:rPr>
            </w:pPr>
            <w:r>
              <w:rPr>
                <w:rFonts w:ascii="宋体" w:hAnsi="宋体" w:eastAsia="宋体" w:cs="宋体"/>
                <w:spacing w:val="5"/>
                <w:sz w:val="20"/>
                <w:szCs w:val="20"/>
              </w:rPr>
              <w:t>（</w:t>
            </w:r>
            <w:r>
              <w:rPr>
                <w:rFonts w:ascii="宋体" w:hAnsi="宋体" w:eastAsia="宋体" w:cs="宋体"/>
                <w:sz w:val="20"/>
                <w:szCs w:val="20"/>
              </w:rPr>
              <w:t>GB</w:t>
            </w:r>
            <w:r>
              <w:rPr>
                <w:rFonts w:ascii="宋体" w:hAnsi="宋体" w:eastAsia="宋体" w:cs="宋体"/>
                <w:spacing w:val="5"/>
                <w:sz w:val="20"/>
                <w:szCs w:val="20"/>
              </w:rPr>
              <w:t>31572—2015，含</w:t>
            </w:r>
          </w:p>
          <w:p w14:paraId="11EC6A09">
            <w:pPr>
              <w:spacing w:before="24" w:line="228" w:lineRule="auto"/>
              <w:ind w:left="120"/>
              <w:rPr>
                <w:rFonts w:ascii="宋体" w:hAnsi="宋体" w:eastAsia="宋体" w:cs="宋体"/>
                <w:sz w:val="20"/>
                <w:szCs w:val="20"/>
              </w:rPr>
            </w:pPr>
            <w:r>
              <w:rPr>
                <w:rFonts w:ascii="宋体" w:hAnsi="宋体" w:eastAsia="宋体" w:cs="宋体"/>
                <w:spacing w:val="5"/>
                <w:sz w:val="20"/>
                <w:szCs w:val="20"/>
              </w:rPr>
              <w:t>2024</w:t>
            </w:r>
            <w:r>
              <w:rPr>
                <w:rFonts w:ascii="宋体" w:hAnsi="宋体" w:eastAsia="宋体" w:cs="宋体"/>
                <w:spacing w:val="-37"/>
                <w:sz w:val="20"/>
                <w:szCs w:val="20"/>
              </w:rPr>
              <w:t xml:space="preserve"> </w:t>
            </w:r>
            <w:r>
              <w:rPr>
                <w:rFonts w:ascii="宋体" w:hAnsi="宋体" w:eastAsia="宋体" w:cs="宋体"/>
                <w:spacing w:val="5"/>
                <w:sz w:val="20"/>
                <w:szCs w:val="20"/>
              </w:rPr>
              <w:t>年修改单）表</w:t>
            </w:r>
            <w:r>
              <w:rPr>
                <w:rFonts w:ascii="宋体" w:hAnsi="宋体" w:eastAsia="宋体" w:cs="宋体"/>
                <w:spacing w:val="-44"/>
                <w:sz w:val="20"/>
                <w:szCs w:val="20"/>
              </w:rPr>
              <w:t xml:space="preserve"> </w:t>
            </w:r>
            <w:r>
              <w:rPr>
                <w:rFonts w:ascii="Times New Roman" w:hAnsi="Times New Roman" w:eastAsia="Times New Roman" w:cs="Times New Roman"/>
                <w:spacing w:val="5"/>
                <w:sz w:val="20"/>
                <w:szCs w:val="20"/>
              </w:rPr>
              <w:t xml:space="preserve">4 </w:t>
            </w:r>
            <w:r>
              <w:rPr>
                <w:rFonts w:ascii="宋体" w:hAnsi="宋体" w:eastAsia="宋体" w:cs="宋体"/>
                <w:spacing w:val="5"/>
                <w:sz w:val="20"/>
                <w:szCs w:val="20"/>
              </w:rPr>
              <w:t>标</w:t>
            </w:r>
          </w:p>
          <w:p w14:paraId="2F4D02FB">
            <w:pPr>
              <w:spacing w:before="27" w:line="228" w:lineRule="auto"/>
              <w:ind w:left="772"/>
              <w:rPr>
                <w:rFonts w:ascii="宋体" w:hAnsi="宋体" w:eastAsia="宋体" w:cs="宋体"/>
                <w:sz w:val="20"/>
                <w:szCs w:val="20"/>
              </w:rPr>
            </w:pPr>
            <w:r>
              <w:rPr>
                <w:rFonts w:ascii="宋体" w:hAnsi="宋体" w:eastAsia="宋体" w:cs="宋体"/>
                <w:spacing w:val="4"/>
                <w:sz w:val="20"/>
                <w:szCs w:val="20"/>
              </w:rPr>
              <w:t>准限值。</w:t>
            </w:r>
          </w:p>
        </w:tc>
      </w:tr>
      <w:tr w14:paraId="51EE1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1148" w:type="dxa"/>
            <w:vMerge w:val="continue"/>
            <w:tcBorders>
              <w:top w:val="nil"/>
              <w:left w:val="single" w:color="000000" w:sz="6" w:space="0"/>
            </w:tcBorders>
            <w:vAlign w:val="top"/>
          </w:tcPr>
          <w:p w14:paraId="6ACD9836">
            <w:pPr>
              <w:rPr>
                <w:rFonts w:ascii="Arial"/>
                <w:sz w:val="21"/>
              </w:rPr>
            </w:pPr>
          </w:p>
        </w:tc>
        <w:tc>
          <w:tcPr>
            <w:tcW w:w="2157" w:type="dxa"/>
            <w:vAlign w:val="top"/>
          </w:tcPr>
          <w:p w14:paraId="10AD4F69">
            <w:pPr>
              <w:spacing w:line="255" w:lineRule="auto"/>
              <w:rPr>
                <w:rFonts w:ascii="Arial"/>
                <w:sz w:val="21"/>
              </w:rPr>
            </w:pPr>
          </w:p>
          <w:p w14:paraId="112F4427">
            <w:pPr>
              <w:spacing w:line="255" w:lineRule="auto"/>
              <w:rPr>
                <w:rFonts w:ascii="Arial"/>
                <w:sz w:val="21"/>
              </w:rPr>
            </w:pPr>
          </w:p>
          <w:p w14:paraId="1E03B0FC">
            <w:pPr>
              <w:spacing w:before="65" w:line="228" w:lineRule="auto"/>
              <w:ind w:left="765"/>
              <w:rPr>
                <w:rFonts w:ascii="宋体" w:hAnsi="宋体" w:eastAsia="宋体" w:cs="宋体"/>
                <w:sz w:val="20"/>
                <w:szCs w:val="20"/>
              </w:rPr>
            </w:pPr>
            <w:r>
              <w:rPr>
                <w:rFonts w:ascii="宋体" w:hAnsi="宋体" w:eastAsia="宋体" w:cs="宋体"/>
                <w:spacing w:val="6"/>
                <w:sz w:val="20"/>
                <w:szCs w:val="20"/>
              </w:rPr>
              <w:t>无组织</w:t>
            </w:r>
          </w:p>
        </w:tc>
        <w:tc>
          <w:tcPr>
            <w:tcW w:w="1583" w:type="dxa"/>
            <w:vAlign w:val="top"/>
          </w:tcPr>
          <w:p w14:paraId="561EC005">
            <w:pPr>
              <w:spacing w:line="374" w:lineRule="auto"/>
              <w:rPr>
                <w:rFonts w:ascii="Arial"/>
                <w:sz w:val="21"/>
              </w:rPr>
            </w:pPr>
          </w:p>
          <w:p w14:paraId="10E606DA">
            <w:pPr>
              <w:spacing w:before="65" w:line="254" w:lineRule="auto"/>
              <w:ind w:left="589" w:right="106" w:hanging="481"/>
              <w:rPr>
                <w:rFonts w:ascii="宋体" w:hAnsi="宋体" w:eastAsia="宋体" w:cs="宋体"/>
                <w:sz w:val="20"/>
                <w:szCs w:val="20"/>
              </w:rPr>
            </w:pPr>
            <w:r>
              <w:rPr>
                <w:rFonts w:ascii="宋体" w:hAnsi="宋体" w:eastAsia="宋体" w:cs="宋体"/>
                <w:spacing w:val="-6"/>
                <w:sz w:val="20"/>
                <w:szCs w:val="20"/>
              </w:rPr>
              <w:t>颗粒物、非甲烷</w:t>
            </w:r>
            <w:r>
              <w:rPr>
                <w:rFonts w:ascii="宋体" w:hAnsi="宋体" w:eastAsia="宋体" w:cs="宋体"/>
                <w:spacing w:val="2"/>
                <w:sz w:val="20"/>
                <w:szCs w:val="20"/>
              </w:rPr>
              <w:t>总烃</w:t>
            </w:r>
          </w:p>
        </w:tc>
        <w:tc>
          <w:tcPr>
            <w:tcW w:w="2366" w:type="dxa"/>
            <w:vAlign w:val="top"/>
          </w:tcPr>
          <w:p w14:paraId="72A71143">
            <w:pPr>
              <w:spacing w:line="255" w:lineRule="auto"/>
              <w:rPr>
                <w:rFonts w:ascii="Arial"/>
                <w:sz w:val="21"/>
              </w:rPr>
            </w:pPr>
          </w:p>
          <w:p w14:paraId="1E456A3C">
            <w:pPr>
              <w:spacing w:line="255" w:lineRule="auto"/>
              <w:rPr>
                <w:rFonts w:ascii="Arial"/>
                <w:sz w:val="21"/>
              </w:rPr>
            </w:pPr>
          </w:p>
          <w:p w14:paraId="2D50938C">
            <w:pPr>
              <w:spacing w:before="65" w:line="228" w:lineRule="auto"/>
              <w:ind w:left="773"/>
              <w:rPr>
                <w:rFonts w:ascii="宋体" w:hAnsi="宋体" w:eastAsia="宋体" w:cs="宋体"/>
                <w:sz w:val="20"/>
                <w:szCs w:val="20"/>
              </w:rPr>
            </w:pPr>
            <w:r>
              <w:rPr>
                <w:rFonts w:ascii="宋体" w:hAnsi="宋体" w:eastAsia="宋体" w:cs="宋体"/>
                <w:spacing w:val="6"/>
                <w:sz w:val="20"/>
                <w:szCs w:val="20"/>
              </w:rPr>
              <w:t>厂房阻隔</w:t>
            </w:r>
          </w:p>
        </w:tc>
        <w:tc>
          <w:tcPr>
            <w:tcW w:w="2370" w:type="dxa"/>
            <w:tcBorders>
              <w:right w:val="single" w:color="000000" w:sz="6" w:space="0"/>
            </w:tcBorders>
            <w:vAlign w:val="top"/>
          </w:tcPr>
          <w:p w14:paraId="27FD65EC">
            <w:pPr>
              <w:spacing w:before="33" w:line="228" w:lineRule="auto"/>
              <w:ind w:left="147"/>
              <w:rPr>
                <w:rFonts w:ascii="宋体" w:hAnsi="宋体" w:eastAsia="宋体" w:cs="宋体"/>
                <w:sz w:val="20"/>
                <w:szCs w:val="20"/>
              </w:rPr>
            </w:pPr>
            <w:r>
              <w:rPr>
                <w:rFonts w:ascii="宋体" w:hAnsi="宋体" w:eastAsia="宋体" w:cs="宋体"/>
                <w:spacing w:val="8"/>
                <w:sz w:val="20"/>
                <w:szCs w:val="20"/>
              </w:rPr>
              <w:t>《合成树脂工业污染物</w:t>
            </w:r>
          </w:p>
          <w:p w14:paraId="27EDFC63">
            <w:pPr>
              <w:spacing w:before="27" w:line="228" w:lineRule="auto"/>
              <w:ind w:left="667"/>
              <w:rPr>
                <w:rFonts w:ascii="宋体" w:hAnsi="宋体" w:eastAsia="宋体" w:cs="宋体"/>
                <w:sz w:val="20"/>
                <w:szCs w:val="20"/>
              </w:rPr>
            </w:pPr>
            <w:r>
              <w:rPr>
                <w:rFonts w:ascii="宋体" w:hAnsi="宋体" w:eastAsia="宋体" w:cs="宋体"/>
                <w:spacing w:val="5"/>
                <w:sz w:val="20"/>
                <w:szCs w:val="20"/>
              </w:rPr>
              <w:t>排放标准》</w:t>
            </w:r>
          </w:p>
          <w:p w14:paraId="5FBFEF28">
            <w:pPr>
              <w:spacing w:before="23" w:line="229" w:lineRule="auto"/>
              <w:ind w:left="154"/>
              <w:rPr>
                <w:rFonts w:ascii="Times New Roman" w:hAnsi="Times New Roman" w:eastAsia="Times New Roman" w:cs="Times New Roman"/>
                <w:sz w:val="20"/>
                <w:szCs w:val="20"/>
              </w:rPr>
            </w:pPr>
            <w:r>
              <w:rPr>
                <w:rFonts w:ascii="宋体" w:hAnsi="宋体" w:eastAsia="宋体" w:cs="宋体"/>
                <w:spacing w:val="5"/>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31572-2015</w:t>
            </w:r>
            <w:r>
              <w:rPr>
                <w:rFonts w:ascii="宋体" w:hAnsi="宋体" w:eastAsia="宋体" w:cs="宋体"/>
                <w:spacing w:val="5"/>
                <w:sz w:val="20"/>
                <w:szCs w:val="20"/>
              </w:rPr>
              <w:t>）表</w:t>
            </w:r>
            <w:r>
              <w:rPr>
                <w:rFonts w:ascii="宋体" w:hAnsi="宋体" w:eastAsia="宋体" w:cs="宋体"/>
                <w:spacing w:val="-36"/>
                <w:sz w:val="20"/>
                <w:szCs w:val="20"/>
              </w:rPr>
              <w:t xml:space="preserve"> </w:t>
            </w:r>
            <w:r>
              <w:rPr>
                <w:rFonts w:ascii="Times New Roman" w:hAnsi="Times New Roman" w:eastAsia="Times New Roman" w:cs="Times New Roman"/>
                <w:spacing w:val="5"/>
                <w:sz w:val="20"/>
                <w:szCs w:val="20"/>
              </w:rPr>
              <w:t>9</w:t>
            </w:r>
          </w:p>
          <w:p w14:paraId="64A8A3AE">
            <w:pPr>
              <w:spacing w:before="25" w:line="228" w:lineRule="auto"/>
              <w:ind w:left="142"/>
              <w:rPr>
                <w:rFonts w:ascii="宋体" w:hAnsi="宋体" w:eastAsia="宋体" w:cs="宋体"/>
                <w:sz w:val="20"/>
                <w:szCs w:val="20"/>
              </w:rPr>
            </w:pPr>
            <w:r>
              <w:rPr>
                <w:rFonts w:ascii="宋体" w:hAnsi="宋体" w:eastAsia="宋体" w:cs="宋体"/>
                <w:spacing w:val="8"/>
                <w:sz w:val="20"/>
                <w:szCs w:val="20"/>
              </w:rPr>
              <w:t>规定的大气污染物排放</w:t>
            </w:r>
          </w:p>
          <w:p w14:paraId="0754A70E">
            <w:pPr>
              <w:spacing w:before="24" w:line="214" w:lineRule="auto"/>
              <w:ind w:left="785"/>
              <w:rPr>
                <w:rFonts w:ascii="宋体" w:hAnsi="宋体" w:eastAsia="宋体" w:cs="宋体"/>
                <w:sz w:val="20"/>
                <w:szCs w:val="20"/>
              </w:rPr>
            </w:pPr>
            <w:r>
              <w:rPr>
                <w:rFonts w:ascii="宋体" w:hAnsi="宋体" w:eastAsia="宋体" w:cs="宋体"/>
                <w:spacing w:val="3"/>
                <w:sz w:val="20"/>
                <w:szCs w:val="20"/>
              </w:rPr>
              <w:t>限值要求</w:t>
            </w:r>
          </w:p>
        </w:tc>
      </w:tr>
      <w:tr w14:paraId="001FA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1148" w:type="dxa"/>
            <w:tcBorders>
              <w:left w:val="single" w:color="000000" w:sz="6" w:space="0"/>
            </w:tcBorders>
            <w:vAlign w:val="top"/>
          </w:tcPr>
          <w:p w14:paraId="4AEF7062">
            <w:pPr>
              <w:spacing w:line="241" w:lineRule="auto"/>
              <w:rPr>
                <w:rFonts w:ascii="Arial"/>
                <w:sz w:val="21"/>
              </w:rPr>
            </w:pPr>
          </w:p>
          <w:p w14:paraId="35007F44">
            <w:pPr>
              <w:spacing w:before="65" w:line="252" w:lineRule="auto"/>
              <w:ind w:left="467" w:right="155" w:hanging="315"/>
              <w:rPr>
                <w:rFonts w:ascii="宋体" w:hAnsi="宋体" w:eastAsia="宋体" w:cs="宋体"/>
                <w:sz w:val="20"/>
                <w:szCs w:val="20"/>
              </w:rPr>
            </w:pPr>
            <w:r>
              <w:rPr>
                <w:rFonts w:ascii="宋体" w:hAnsi="宋体" w:eastAsia="宋体" w:cs="宋体"/>
                <w:spacing w:val="7"/>
                <w:sz w:val="20"/>
                <w:szCs w:val="20"/>
              </w:rPr>
              <w:t>地表水环</w:t>
            </w:r>
            <w:r>
              <w:rPr>
                <w:rFonts w:ascii="宋体" w:hAnsi="宋体" w:eastAsia="宋体" w:cs="宋体"/>
                <w:sz w:val="20"/>
                <w:szCs w:val="20"/>
              </w:rPr>
              <w:t>境</w:t>
            </w:r>
          </w:p>
        </w:tc>
        <w:tc>
          <w:tcPr>
            <w:tcW w:w="2157" w:type="dxa"/>
            <w:vAlign w:val="top"/>
          </w:tcPr>
          <w:p w14:paraId="6ABDCEA3">
            <w:pPr>
              <w:spacing w:line="420" w:lineRule="auto"/>
              <w:rPr>
                <w:rFonts w:ascii="Arial"/>
                <w:sz w:val="21"/>
              </w:rPr>
            </w:pPr>
          </w:p>
          <w:p w14:paraId="7EB5F50D">
            <w:pPr>
              <w:spacing w:before="57" w:line="195" w:lineRule="auto"/>
              <w:ind w:left="742"/>
              <w:rPr>
                <w:rFonts w:ascii="Times New Roman" w:hAnsi="Times New Roman" w:eastAsia="Times New Roman" w:cs="Times New Roman"/>
                <w:sz w:val="20"/>
                <w:szCs w:val="20"/>
              </w:rPr>
            </w:pPr>
            <w:r>
              <w:rPr>
                <w:rFonts w:ascii="Times New Roman" w:hAnsi="Times New Roman" w:eastAsia="Times New Roman" w:cs="Times New Roman"/>
                <w:sz w:val="20"/>
                <w:szCs w:val="20"/>
              </w:rPr>
              <w:t>DW</w:t>
            </w:r>
            <w:r>
              <w:rPr>
                <w:rFonts w:ascii="Times New Roman" w:hAnsi="Times New Roman" w:eastAsia="Times New Roman" w:cs="Times New Roman"/>
                <w:spacing w:val="8"/>
                <w:sz w:val="20"/>
                <w:szCs w:val="20"/>
              </w:rPr>
              <w:t>001</w:t>
            </w:r>
          </w:p>
        </w:tc>
        <w:tc>
          <w:tcPr>
            <w:tcW w:w="1583" w:type="dxa"/>
            <w:vAlign w:val="top"/>
          </w:tcPr>
          <w:p w14:paraId="3730FD97">
            <w:pPr>
              <w:spacing w:line="241" w:lineRule="auto"/>
              <w:rPr>
                <w:rFonts w:ascii="Arial"/>
                <w:sz w:val="21"/>
              </w:rPr>
            </w:pPr>
          </w:p>
          <w:p w14:paraId="0C474F22">
            <w:pPr>
              <w:spacing w:before="65" w:line="245" w:lineRule="auto"/>
              <w:ind w:left="328" w:right="127" w:hanging="198"/>
              <w:rPr>
                <w:rFonts w:ascii="Times New Roman" w:hAnsi="Times New Roman" w:eastAsia="Times New Roman" w:cs="Times New Roman"/>
                <w:sz w:val="13"/>
                <w:szCs w:val="13"/>
              </w:rPr>
            </w:pPr>
            <w:r>
              <w:rPr>
                <w:rFonts w:ascii="Times New Roman" w:hAnsi="Times New Roman" w:eastAsia="Times New Roman" w:cs="Times New Roman"/>
                <w:sz w:val="20"/>
                <w:szCs w:val="20"/>
              </w:rPr>
              <w:t>COD</w:t>
            </w:r>
            <w:r>
              <w:rPr>
                <w:rFonts w:ascii="Times New Roman" w:hAnsi="Times New Roman" w:eastAsia="Times New Roman" w:cs="Times New Roman"/>
                <w:spacing w:val="-27"/>
                <w:sz w:val="20"/>
                <w:szCs w:val="20"/>
              </w:rPr>
              <w:t xml:space="preserve"> </w:t>
            </w:r>
            <w:r>
              <w:rPr>
                <w:rFonts w:ascii="宋体" w:hAnsi="宋体" w:eastAsia="宋体" w:cs="宋体"/>
                <w:spacing w:val="2"/>
                <w:sz w:val="20"/>
                <w:szCs w:val="20"/>
              </w:rPr>
              <w:t>、</w:t>
            </w:r>
            <w:r>
              <w:rPr>
                <w:rFonts w:ascii="Times New Roman" w:hAnsi="Times New Roman" w:eastAsia="Times New Roman" w:cs="Times New Roman"/>
                <w:sz w:val="20"/>
                <w:szCs w:val="20"/>
              </w:rPr>
              <w:t>pH</w:t>
            </w:r>
            <w:r>
              <w:rPr>
                <w:rFonts w:ascii="Times New Roman" w:hAnsi="Times New Roman" w:eastAsia="Times New Roman" w:cs="Times New Roman"/>
                <w:spacing w:val="-27"/>
                <w:sz w:val="20"/>
                <w:szCs w:val="20"/>
              </w:rPr>
              <w:t xml:space="preserve"> </w:t>
            </w:r>
            <w:r>
              <w:rPr>
                <w:rFonts w:ascii="宋体" w:hAnsi="宋体" w:eastAsia="宋体" w:cs="宋体"/>
                <w:spacing w:val="2"/>
                <w:sz w:val="20"/>
                <w:szCs w:val="20"/>
              </w:rPr>
              <w:t>、氨</w:t>
            </w:r>
            <w:r>
              <w:rPr>
                <w:rFonts w:ascii="宋体" w:hAnsi="宋体" w:eastAsia="宋体" w:cs="宋体"/>
                <w:spacing w:val="12"/>
                <w:sz w:val="20"/>
                <w:szCs w:val="20"/>
              </w:rPr>
              <w:t>氮、</w:t>
            </w:r>
            <w:r>
              <w:rPr>
                <w:rFonts w:ascii="Times New Roman" w:hAnsi="Times New Roman" w:eastAsia="Times New Roman" w:cs="Times New Roman"/>
                <w:sz w:val="20"/>
                <w:szCs w:val="20"/>
              </w:rPr>
              <w:t>BOD</w:t>
            </w:r>
            <w:r>
              <w:rPr>
                <w:rFonts w:ascii="Times New Roman" w:hAnsi="Times New Roman" w:eastAsia="Times New Roman" w:cs="Times New Roman"/>
                <w:spacing w:val="12"/>
                <w:position w:val="-1"/>
                <w:sz w:val="13"/>
                <w:szCs w:val="13"/>
              </w:rPr>
              <w:t>5</w:t>
            </w:r>
          </w:p>
        </w:tc>
        <w:tc>
          <w:tcPr>
            <w:tcW w:w="2366" w:type="dxa"/>
            <w:vAlign w:val="top"/>
          </w:tcPr>
          <w:p w14:paraId="152AB491">
            <w:pPr>
              <w:spacing w:line="241" w:lineRule="auto"/>
              <w:rPr>
                <w:rFonts w:ascii="Arial"/>
                <w:sz w:val="21"/>
              </w:rPr>
            </w:pPr>
          </w:p>
          <w:p w14:paraId="11528596">
            <w:pPr>
              <w:spacing w:before="65" w:line="247" w:lineRule="auto"/>
              <w:ind w:left="114" w:right="15" w:firstLine="8"/>
              <w:rPr>
                <w:rFonts w:ascii="宋体" w:hAnsi="宋体" w:eastAsia="宋体" w:cs="宋体"/>
                <w:sz w:val="20"/>
                <w:szCs w:val="20"/>
              </w:rPr>
            </w:pPr>
            <w:r>
              <w:rPr>
                <w:rFonts w:ascii="宋体" w:hAnsi="宋体" w:eastAsia="宋体" w:cs="宋体"/>
                <w:spacing w:val="7"/>
                <w:sz w:val="20"/>
                <w:szCs w:val="20"/>
              </w:rPr>
              <w:t>化粪池（</w:t>
            </w:r>
            <w:r>
              <w:rPr>
                <w:rFonts w:ascii="Times New Roman" w:hAnsi="Times New Roman" w:eastAsia="Times New Roman" w:cs="Times New Roman"/>
                <w:spacing w:val="7"/>
                <w:sz w:val="20"/>
                <w:szCs w:val="20"/>
              </w:rPr>
              <w:t>4m</w:t>
            </w:r>
            <w:r>
              <w:rPr>
                <w:rFonts w:ascii="Times New Roman" w:hAnsi="Times New Roman" w:eastAsia="Times New Roman" w:cs="Times New Roman"/>
                <w:spacing w:val="7"/>
                <w:position w:val="1"/>
                <w:sz w:val="13"/>
                <w:szCs w:val="13"/>
              </w:rPr>
              <w:t>3</w:t>
            </w:r>
            <w:r>
              <w:rPr>
                <w:rFonts w:ascii="宋体" w:hAnsi="宋体" w:eastAsia="宋体" w:cs="宋体"/>
                <w:spacing w:val="7"/>
                <w:position w:val="1"/>
                <w:sz w:val="20"/>
                <w:szCs w:val="20"/>
              </w:rPr>
              <w:t>）</w:t>
            </w:r>
            <w:r>
              <w:rPr>
                <w:rFonts w:ascii="Times New Roman" w:hAnsi="Times New Roman" w:eastAsia="Times New Roman" w:cs="Times New Roman"/>
                <w:spacing w:val="7"/>
                <w:sz w:val="20"/>
                <w:szCs w:val="20"/>
              </w:rPr>
              <w:t>+</w:t>
            </w:r>
            <w:r>
              <w:rPr>
                <w:rFonts w:ascii="宋体" w:hAnsi="宋体" w:eastAsia="宋体" w:cs="宋体"/>
                <w:spacing w:val="7"/>
                <w:sz w:val="20"/>
                <w:szCs w:val="20"/>
              </w:rPr>
              <w:t>一体化</w:t>
            </w:r>
            <w:r>
              <w:rPr>
                <w:rFonts w:ascii="宋体" w:hAnsi="宋体" w:eastAsia="宋体" w:cs="宋体"/>
                <w:spacing w:val="3"/>
                <w:sz w:val="20"/>
                <w:szCs w:val="20"/>
              </w:rPr>
              <w:t>污水处理设施（</w:t>
            </w:r>
            <w:r>
              <w:rPr>
                <w:rFonts w:ascii="Times New Roman" w:hAnsi="Times New Roman" w:eastAsia="Times New Roman" w:cs="Times New Roman"/>
                <w:spacing w:val="3"/>
                <w:sz w:val="20"/>
                <w:szCs w:val="20"/>
              </w:rPr>
              <w:t>10m</w:t>
            </w:r>
            <w:r>
              <w:rPr>
                <w:rFonts w:ascii="Times New Roman" w:hAnsi="Times New Roman" w:eastAsia="Times New Roman" w:cs="Times New Roman"/>
                <w:spacing w:val="3"/>
                <w:position w:val="6"/>
                <w:sz w:val="13"/>
                <w:szCs w:val="13"/>
              </w:rPr>
              <w:t>3</w:t>
            </w:r>
            <w:r>
              <w:rPr>
                <w:rFonts w:ascii="Times New Roman" w:hAnsi="Times New Roman" w:eastAsia="Times New Roman" w:cs="Times New Roman"/>
                <w:spacing w:val="3"/>
                <w:sz w:val="20"/>
                <w:szCs w:val="20"/>
              </w:rPr>
              <w:t>/d</w:t>
            </w:r>
            <w:r>
              <w:rPr>
                <w:rFonts w:ascii="宋体" w:hAnsi="宋体" w:eastAsia="宋体" w:cs="宋体"/>
                <w:spacing w:val="3"/>
                <w:sz w:val="20"/>
                <w:szCs w:val="20"/>
              </w:rPr>
              <w:t>）</w:t>
            </w:r>
          </w:p>
        </w:tc>
        <w:tc>
          <w:tcPr>
            <w:tcW w:w="2370" w:type="dxa"/>
            <w:tcBorders>
              <w:right w:val="single" w:color="000000" w:sz="6" w:space="0"/>
            </w:tcBorders>
            <w:vAlign w:val="top"/>
          </w:tcPr>
          <w:p w14:paraId="74E18878">
            <w:pPr>
              <w:spacing w:before="35" w:line="228" w:lineRule="auto"/>
              <w:ind w:left="147"/>
              <w:rPr>
                <w:rFonts w:ascii="宋体" w:hAnsi="宋体" w:eastAsia="宋体" w:cs="宋体"/>
                <w:sz w:val="20"/>
                <w:szCs w:val="20"/>
              </w:rPr>
            </w:pPr>
            <w:r>
              <w:rPr>
                <w:rFonts w:ascii="宋体" w:hAnsi="宋体" w:eastAsia="宋体" w:cs="宋体"/>
                <w:spacing w:val="8"/>
                <w:sz w:val="20"/>
                <w:szCs w:val="20"/>
              </w:rPr>
              <w:t>《城市污水再生利用城</w:t>
            </w:r>
          </w:p>
          <w:p w14:paraId="5D6B0E9C">
            <w:pPr>
              <w:spacing w:before="24" w:line="228" w:lineRule="auto"/>
              <w:ind w:left="462"/>
              <w:rPr>
                <w:rFonts w:ascii="宋体" w:hAnsi="宋体" w:eastAsia="宋体" w:cs="宋体"/>
                <w:sz w:val="20"/>
                <w:szCs w:val="20"/>
              </w:rPr>
            </w:pPr>
            <w:r>
              <w:rPr>
                <w:rFonts w:ascii="宋体" w:hAnsi="宋体" w:eastAsia="宋体" w:cs="宋体"/>
                <w:spacing w:val="6"/>
                <w:sz w:val="20"/>
                <w:szCs w:val="20"/>
              </w:rPr>
              <w:t>市杂用水水质》</w:t>
            </w:r>
          </w:p>
          <w:p w14:paraId="09F59BA5">
            <w:pPr>
              <w:spacing w:before="24" w:line="228" w:lineRule="auto"/>
              <w:ind w:left="140"/>
              <w:rPr>
                <w:rFonts w:ascii="宋体" w:hAnsi="宋体" w:eastAsia="宋体" w:cs="宋体"/>
                <w:sz w:val="20"/>
                <w:szCs w:val="20"/>
              </w:rPr>
            </w:pPr>
            <w:r>
              <w:rPr>
                <w:rFonts w:ascii="宋体" w:hAnsi="宋体" w:eastAsia="宋体" w:cs="宋体"/>
                <w:spacing w:val="5"/>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/T18920-2020</w:t>
            </w:r>
            <w:r>
              <w:rPr>
                <w:rFonts w:ascii="宋体" w:hAnsi="宋体" w:eastAsia="宋体" w:cs="宋体"/>
                <w:spacing w:val="5"/>
                <w:sz w:val="20"/>
                <w:szCs w:val="20"/>
              </w:rPr>
              <w:t>）标</w:t>
            </w:r>
          </w:p>
          <w:p w14:paraId="0A69332B">
            <w:pPr>
              <w:spacing w:before="26" w:line="213" w:lineRule="auto"/>
              <w:ind w:left="1089"/>
              <w:rPr>
                <w:rFonts w:ascii="宋体" w:hAnsi="宋体" w:eastAsia="宋体" w:cs="宋体"/>
                <w:sz w:val="20"/>
                <w:szCs w:val="20"/>
              </w:rPr>
            </w:pPr>
            <w:r>
              <w:rPr>
                <w:rFonts w:ascii="宋体" w:hAnsi="宋体" w:eastAsia="宋体" w:cs="宋体"/>
                <w:sz w:val="20"/>
                <w:szCs w:val="20"/>
              </w:rPr>
              <w:t>准</w:t>
            </w:r>
          </w:p>
        </w:tc>
      </w:tr>
      <w:tr w14:paraId="58AE5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148" w:type="dxa"/>
            <w:tcBorders>
              <w:left w:val="single" w:color="000000" w:sz="6" w:space="0"/>
            </w:tcBorders>
            <w:vAlign w:val="top"/>
          </w:tcPr>
          <w:p w14:paraId="5417BFE0">
            <w:pPr>
              <w:spacing w:line="378" w:lineRule="auto"/>
              <w:rPr>
                <w:rFonts w:ascii="Arial"/>
                <w:sz w:val="21"/>
              </w:rPr>
            </w:pPr>
          </w:p>
          <w:p w14:paraId="681AA3A9">
            <w:pPr>
              <w:spacing w:before="65" w:line="228" w:lineRule="auto"/>
              <w:ind w:left="262"/>
              <w:rPr>
                <w:rFonts w:ascii="宋体" w:hAnsi="宋体" w:eastAsia="宋体" w:cs="宋体"/>
                <w:sz w:val="20"/>
                <w:szCs w:val="20"/>
              </w:rPr>
            </w:pPr>
            <w:r>
              <w:rPr>
                <w:rFonts w:ascii="宋体" w:hAnsi="宋体" w:eastAsia="宋体" w:cs="宋体"/>
                <w:spacing w:val="5"/>
                <w:sz w:val="20"/>
                <w:szCs w:val="20"/>
              </w:rPr>
              <w:t>声环境</w:t>
            </w:r>
          </w:p>
        </w:tc>
        <w:tc>
          <w:tcPr>
            <w:tcW w:w="2157" w:type="dxa"/>
            <w:vAlign w:val="top"/>
          </w:tcPr>
          <w:p w14:paraId="29E542C3">
            <w:pPr>
              <w:spacing w:line="378" w:lineRule="auto"/>
              <w:rPr>
                <w:rFonts w:ascii="Arial"/>
                <w:sz w:val="21"/>
              </w:rPr>
            </w:pPr>
          </w:p>
          <w:p w14:paraId="4A1CCFAA">
            <w:pPr>
              <w:spacing w:before="65" w:line="228" w:lineRule="auto"/>
              <w:ind w:left="872"/>
              <w:rPr>
                <w:rFonts w:ascii="宋体" w:hAnsi="宋体" w:eastAsia="宋体" w:cs="宋体"/>
                <w:sz w:val="20"/>
                <w:szCs w:val="20"/>
              </w:rPr>
            </w:pPr>
            <w:r>
              <w:rPr>
                <w:rFonts w:ascii="宋体" w:hAnsi="宋体" w:eastAsia="宋体" w:cs="宋体"/>
                <w:spacing w:val="3"/>
                <w:sz w:val="20"/>
                <w:szCs w:val="20"/>
              </w:rPr>
              <w:t>厂区</w:t>
            </w:r>
          </w:p>
        </w:tc>
        <w:tc>
          <w:tcPr>
            <w:tcW w:w="1583" w:type="dxa"/>
            <w:vAlign w:val="top"/>
          </w:tcPr>
          <w:p w14:paraId="229865A3">
            <w:pPr>
              <w:spacing w:line="378" w:lineRule="auto"/>
              <w:rPr>
                <w:rFonts w:ascii="Arial"/>
                <w:sz w:val="21"/>
              </w:rPr>
            </w:pPr>
          </w:p>
          <w:p w14:paraId="45F2FEF0">
            <w:pPr>
              <w:spacing w:before="65" w:line="221" w:lineRule="auto"/>
              <w:ind w:left="343"/>
              <w:rPr>
                <w:rFonts w:ascii="宋体" w:hAnsi="宋体" w:eastAsia="宋体" w:cs="宋体"/>
                <w:sz w:val="20"/>
                <w:szCs w:val="20"/>
              </w:rPr>
            </w:pPr>
            <w:r>
              <w:rPr>
                <w:rFonts w:ascii="Times New Roman" w:hAnsi="Times New Roman" w:eastAsia="Times New Roman" w:cs="Times New Roman"/>
                <w:sz w:val="20"/>
                <w:szCs w:val="20"/>
              </w:rPr>
              <w:t>Leq</w:t>
            </w:r>
            <w:r>
              <w:rPr>
                <w:rFonts w:ascii="宋体" w:hAnsi="宋体" w:eastAsia="宋体" w:cs="宋体"/>
                <w:spacing w:val="8"/>
                <w:sz w:val="20"/>
                <w:szCs w:val="20"/>
              </w:rPr>
              <w:t>（</w:t>
            </w:r>
            <w:r>
              <w:rPr>
                <w:rFonts w:ascii="Times New Roman" w:hAnsi="Times New Roman" w:eastAsia="Times New Roman" w:cs="Times New Roman"/>
                <w:spacing w:val="8"/>
                <w:sz w:val="20"/>
                <w:szCs w:val="20"/>
              </w:rPr>
              <w:t>A</w:t>
            </w:r>
            <w:r>
              <w:rPr>
                <w:rFonts w:ascii="宋体" w:hAnsi="宋体" w:eastAsia="宋体" w:cs="宋体"/>
                <w:spacing w:val="8"/>
                <w:sz w:val="20"/>
                <w:szCs w:val="20"/>
              </w:rPr>
              <w:t>）</w:t>
            </w:r>
          </w:p>
        </w:tc>
        <w:tc>
          <w:tcPr>
            <w:tcW w:w="2366" w:type="dxa"/>
            <w:vAlign w:val="top"/>
          </w:tcPr>
          <w:p w14:paraId="7A0F6C51">
            <w:pPr>
              <w:spacing w:line="378" w:lineRule="auto"/>
              <w:rPr>
                <w:rFonts w:ascii="Arial"/>
                <w:sz w:val="21"/>
              </w:rPr>
            </w:pPr>
          </w:p>
          <w:p w14:paraId="06455C89">
            <w:pPr>
              <w:spacing w:before="65" w:line="228" w:lineRule="auto"/>
              <w:ind w:left="773"/>
              <w:rPr>
                <w:rFonts w:ascii="宋体" w:hAnsi="宋体" w:eastAsia="宋体" w:cs="宋体"/>
                <w:sz w:val="20"/>
                <w:szCs w:val="20"/>
              </w:rPr>
            </w:pPr>
            <w:r>
              <w:rPr>
                <w:rFonts w:ascii="宋体" w:hAnsi="宋体" w:eastAsia="宋体" w:cs="宋体"/>
                <w:spacing w:val="6"/>
                <w:sz w:val="20"/>
                <w:szCs w:val="20"/>
              </w:rPr>
              <w:t>厂房隔声</w:t>
            </w:r>
          </w:p>
        </w:tc>
        <w:tc>
          <w:tcPr>
            <w:tcW w:w="2370" w:type="dxa"/>
            <w:tcBorders>
              <w:right w:val="single" w:color="000000" w:sz="6" w:space="0"/>
            </w:tcBorders>
            <w:vAlign w:val="top"/>
          </w:tcPr>
          <w:p w14:paraId="7CA9C73C">
            <w:pPr>
              <w:spacing w:before="37" w:line="228" w:lineRule="auto"/>
              <w:ind w:left="147"/>
              <w:rPr>
                <w:rFonts w:ascii="宋体" w:hAnsi="宋体" w:eastAsia="宋体" w:cs="宋体"/>
                <w:sz w:val="20"/>
                <w:szCs w:val="20"/>
              </w:rPr>
            </w:pPr>
            <w:r>
              <w:rPr>
                <w:rFonts w:ascii="宋体" w:hAnsi="宋体" w:eastAsia="宋体" w:cs="宋体"/>
                <w:spacing w:val="8"/>
                <w:sz w:val="20"/>
                <w:szCs w:val="20"/>
              </w:rPr>
              <w:t>《工业企业厂界环境噪</w:t>
            </w:r>
          </w:p>
          <w:p w14:paraId="77905044">
            <w:pPr>
              <w:spacing w:before="24" w:line="228" w:lineRule="auto"/>
              <w:ind w:left="566"/>
              <w:rPr>
                <w:rFonts w:ascii="宋体" w:hAnsi="宋体" w:eastAsia="宋体" w:cs="宋体"/>
                <w:sz w:val="20"/>
                <w:szCs w:val="20"/>
              </w:rPr>
            </w:pPr>
            <w:r>
              <w:rPr>
                <w:rFonts w:ascii="宋体" w:hAnsi="宋体" w:eastAsia="宋体" w:cs="宋体"/>
                <w:spacing w:val="6"/>
                <w:sz w:val="20"/>
                <w:szCs w:val="20"/>
              </w:rPr>
              <w:t>声排放标准》</w:t>
            </w:r>
          </w:p>
          <w:p w14:paraId="52A4723D">
            <w:pPr>
              <w:spacing w:before="25" w:line="228" w:lineRule="auto"/>
              <w:ind w:left="154"/>
              <w:rPr>
                <w:rFonts w:ascii="宋体" w:hAnsi="宋体" w:eastAsia="宋体" w:cs="宋体"/>
                <w:sz w:val="20"/>
                <w:szCs w:val="20"/>
              </w:rPr>
            </w:pPr>
            <w:r>
              <w:rPr>
                <w:rFonts w:ascii="宋体" w:hAnsi="宋体" w:eastAsia="宋体" w:cs="宋体"/>
                <w:spacing w:val="5"/>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12348-2008</w:t>
            </w:r>
            <w:r>
              <w:rPr>
                <w:rFonts w:ascii="宋体" w:hAnsi="宋体" w:eastAsia="宋体" w:cs="宋体"/>
                <w:spacing w:val="5"/>
                <w:sz w:val="20"/>
                <w:szCs w:val="20"/>
              </w:rPr>
              <w:t>）</w:t>
            </w:r>
            <w:r>
              <w:rPr>
                <w:rFonts w:ascii="Times New Roman" w:hAnsi="Times New Roman" w:eastAsia="Times New Roman" w:cs="Times New Roman"/>
                <w:spacing w:val="5"/>
                <w:sz w:val="20"/>
                <w:szCs w:val="20"/>
              </w:rPr>
              <w:t xml:space="preserve">3 </w:t>
            </w:r>
            <w:r>
              <w:rPr>
                <w:rFonts w:ascii="宋体" w:hAnsi="宋体" w:eastAsia="宋体" w:cs="宋体"/>
                <w:spacing w:val="5"/>
                <w:sz w:val="20"/>
                <w:szCs w:val="20"/>
              </w:rPr>
              <w:t>类</w:t>
            </w:r>
          </w:p>
          <w:p w14:paraId="51796EC3">
            <w:pPr>
              <w:spacing w:before="24" w:line="213" w:lineRule="auto"/>
              <w:ind w:left="892"/>
              <w:rPr>
                <w:rFonts w:ascii="宋体" w:hAnsi="宋体" w:eastAsia="宋体" w:cs="宋体"/>
                <w:sz w:val="20"/>
                <w:szCs w:val="20"/>
              </w:rPr>
            </w:pPr>
            <w:r>
              <w:rPr>
                <w:rFonts w:ascii="宋体" w:hAnsi="宋体" w:eastAsia="宋体" w:cs="宋体"/>
                <w:spacing w:val="1"/>
                <w:sz w:val="20"/>
                <w:szCs w:val="20"/>
              </w:rPr>
              <w:t>区标准</w:t>
            </w:r>
          </w:p>
        </w:tc>
      </w:tr>
      <w:tr w14:paraId="682BE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148" w:type="dxa"/>
            <w:tcBorders>
              <w:left w:val="single" w:color="000000" w:sz="6" w:space="0"/>
            </w:tcBorders>
            <w:vAlign w:val="top"/>
          </w:tcPr>
          <w:p w14:paraId="113084AC">
            <w:pPr>
              <w:spacing w:before="162" w:line="228" w:lineRule="auto"/>
              <w:ind w:left="177"/>
              <w:rPr>
                <w:rFonts w:ascii="宋体" w:hAnsi="宋体" w:eastAsia="宋体" w:cs="宋体"/>
                <w:sz w:val="20"/>
                <w:szCs w:val="20"/>
              </w:rPr>
            </w:pPr>
            <w:r>
              <w:rPr>
                <w:rFonts w:ascii="宋体" w:hAnsi="宋体" w:eastAsia="宋体" w:cs="宋体"/>
                <w:spacing w:val="1"/>
                <w:sz w:val="20"/>
                <w:szCs w:val="20"/>
              </w:rPr>
              <w:t>电磁辐射</w:t>
            </w:r>
          </w:p>
        </w:tc>
        <w:tc>
          <w:tcPr>
            <w:tcW w:w="2157" w:type="dxa"/>
            <w:vAlign w:val="top"/>
          </w:tcPr>
          <w:p w14:paraId="2696F2A4">
            <w:pPr>
              <w:spacing w:before="194" w:line="199" w:lineRule="auto"/>
              <w:ind w:left="104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583" w:type="dxa"/>
            <w:vAlign w:val="top"/>
          </w:tcPr>
          <w:p w14:paraId="61EA9EEA">
            <w:pPr>
              <w:spacing w:before="194" w:line="199"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366" w:type="dxa"/>
            <w:vAlign w:val="top"/>
          </w:tcPr>
          <w:p w14:paraId="0934D68D">
            <w:pPr>
              <w:spacing w:before="194" w:line="199" w:lineRule="auto"/>
              <w:ind w:left="11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370" w:type="dxa"/>
            <w:tcBorders>
              <w:right w:val="single" w:color="000000" w:sz="6" w:space="0"/>
            </w:tcBorders>
            <w:vAlign w:val="top"/>
          </w:tcPr>
          <w:p w14:paraId="11F7E140">
            <w:pPr>
              <w:spacing w:before="194" w:line="199" w:lineRule="auto"/>
              <w:ind w:left="115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16FAC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4" w:hRule="atLeast"/>
        </w:trPr>
        <w:tc>
          <w:tcPr>
            <w:tcW w:w="1148" w:type="dxa"/>
            <w:tcBorders>
              <w:left w:val="single" w:color="000000" w:sz="6" w:space="0"/>
            </w:tcBorders>
            <w:vAlign w:val="top"/>
          </w:tcPr>
          <w:p w14:paraId="721FFC61">
            <w:pPr>
              <w:spacing w:line="284" w:lineRule="auto"/>
              <w:rPr>
                <w:rFonts w:ascii="Arial"/>
                <w:sz w:val="21"/>
              </w:rPr>
            </w:pPr>
          </w:p>
          <w:p w14:paraId="7EFE619A">
            <w:pPr>
              <w:spacing w:line="284" w:lineRule="auto"/>
              <w:rPr>
                <w:rFonts w:ascii="Arial"/>
                <w:sz w:val="21"/>
              </w:rPr>
            </w:pPr>
          </w:p>
          <w:p w14:paraId="30FC1F8E">
            <w:pPr>
              <w:spacing w:line="285" w:lineRule="auto"/>
              <w:rPr>
                <w:rFonts w:ascii="Arial"/>
                <w:sz w:val="21"/>
              </w:rPr>
            </w:pPr>
          </w:p>
          <w:p w14:paraId="43759464">
            <w:pPr>
              <w:spacing w:before="65" w:line="228" w:lineRule="auto"/>
              <w:ind w:left="170"/>
              <w:rPr>
                <w:rFonts w:ascii="宋体" w:hAnsi="宋体" w:eastAsia="宋体" w:cs="宋体"/>
                <w:sz w:val="20"/>
                <w:szCs w:val="20"/>
              </w:rPr>
            </w:pPr>
            <w:r>
              <w:rPr>
                <w:rFonts w:ascii="宋体" w:hAnsi="宋体" w:eastAsia="宋体" w:cs="宋体"/>
                <w:spacing w:val="2"/>
                <w:sz w:val="20"/>
                <w:szCs w:val="20"/>
              </w:rPr>
              <w:t>固体废物</w:t>
            </w:r>
          </w:p>
        </w:tc>
        <w:tc>
          <w:tcPr>
            <w:tcW w:w="8476" w:type="dxa"/>
            <w:gridSpan w:val="4"/>
            <w:tcBorders>
              <w:right w:val="single" w:color="000000" w:sz="6" w:space="0"/>
            </w:tcBorders>
            <w:vAlign w:val="top"/>
          </w:tcPr>
          <w:p w14:paraId="2A82CE9C">
            <w:pPr>
              <w:spacing w:before="37" w:line="225" w:lineRule="auto"/>
              <w:ind w:left="105"/>
              <w:rPr>
                <w:rFonts w:ascii="宋体" w:hAnsi="宋体" w:eastAsia="宋体" w:cs="宋体"/>
                <w:sz w:val="20"/>
                <w:szCs w:val="20"/>
              </w:rPr>
            </w:pPr>
            <w:r>
              <w:rPr>
                <w:rFonts w:ascii="宋体" w:hAnsi="宋体" w:eastAsia="宋体" w:cs="宋体"/>
                <w:spacing w:val="8"/>
                <w:sz w:val="20"/>
                <w:szCs w:val="20"/>
              </w:rPr>
              <w:t>①不合格产品及废边角料：收集后外售；</w:t>
            </w:r>
          </w:p>
          <w:p w14:paraId="19152D8D">
            <w:pPr>
              <w:spacing w:before="163" w:line="378" w:lineRule="auto"/>
              <w:ind w:left="114" w:right="104" w:hanging="10"/>
              <w:rPr>
                <w:rFonts w:ascii="宋体" w:hAnsi="宋体" w:eastAsia="宋体" w:cs="宋体"/>
                <w:sz w:val="20"/>
                <w:szCs w:val="20"/>
              </w:rPr>
            </w:pPr>
            <w:r>
              <w:rPr>
                <w:rFonts w:ascii="宋体" w:hAnsi="宋体" w:eastAsia="宋体" w:cs="宋体"/>
                <w:spacing w:val="12"/>
                <w:sz w:val="20"/>
                <w:szCs w:val="20"/>
              </w:rPr>
              <w:t>②废弃包装材料：经统一收集后可回收利用的在厂区内重复</w:t>
            </w:r>
            <w:r>
              <w:rPr>
                <w:rFonts w:ascii="宋体" w:hAnsi="宋体" w:eastAsia="宋体" w:cs="宋体"/>
                <w:spacing w:val="11"/>
                <w:sz w:val="20"/>
                <w:szCs w:val="20"/>
              </w:rPr>
              <w:t>使用，不可利用的外售回收商</w:t>
            </w:r>
            <w:r>
              <w:rPr>
                <w:rFonts w:ascii="宋体" w:hAnsi="宋体" w:eastAsia="宋体" w:cs="宋体"/>
                <w:spacing w:val="6"/>
                <w:sz w:val="20"/>
                <w:szCs w:val="20"/>
              </w:rPr>
              <w:t>资源化利用处置；</w:t>
            </w:r>
          </w:p>
          <w:p w14:paraId="7B92EB3D">
            <w:pPr>
              <w:spacing w:line="225" w:lineRule="auto"/>
              <w:ind w:left="104"/>
              <w:rPr>
                <w:rFonts w:ascii="宋体" w:hAnsi="宋体" w:eastAsia="宋体" w:cs="宋体"/>
                <w:sz w:val="20"/>
                <w:szCs w:val="20"/>
              </w:rPr>
            </w:pPr>
            <w:r>
              <w:rPr>
                <w:rFonts w:ascii="宋体" w:hAnsi="宋体" w:eastAsia="宋体" w:cs="宋体"/>
                <w:spacing w:val="8"/>
                <w:sz w:val="20"/>
                <w:szCs w:val="20"/>
              </w:rPr>
              <w:t>③生活垃圾：环卫部门清运处理；</w:t>
            </w:r>
          </w:p>
          <w:p w14:paraId="32EAC91F">
            <w:pPr>
              <w:spacing w:before="164" w:line="225" w:lineRule="auto"/>
              <w:ind w:left="104"/>
              <w:rPr>
                <w:rFonts w:ascii="宋体" w:hAnsi="宋体" w:eastAsia="宋体" w:cs="宋体"/>
                <w:sz w:val="20"/>
                <w:szCs w:val="20"/>
              </w:rPr>
            </w:pPr>
            <w:r>
              <w:rPr>
                <w:rFonts w:ascii="宋体" w:hAnsi="宋体" w:eastAsia="宋体" w:cs="宋体"/>
                <w:spacing w:val="9"/>
                <w:sz w:val="20"/>
                <w:szCs w:val="20"/>
              </w:rPr>
              <w:t>④废机油、废旧活性炭：分类暂存危废暂存间，定期由有资质单位进行处置。</w:t>
            </w:r>
          </w:p>
        </w:tc>
      </w:tr>
      <w:tr w14:paraId="5ECB8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0" w:hRule="atLeast"/>
        </w:trPr>
        <w:tc>
          <w:tcPr>
            <w:tcW w:w="1148" w:type="dxa"/>
            <w:tcBorders>
              <w:left w:val="single" w:color="000000" w:sz="6" w:space="0"/>
              <w:bottom w:val="single" w:color="000000" w:sz="6" w:space="0"/>
            </w:tcBorders>
            <w:vAlign w:val="top"/>
          </w:tcPr>
          <w:p w14:paraId="2683E294">
            <w:pPr>
              <w:spacing w:line="252" w:lineRule="auto"/>
              <w:rPr>
                <w:rFonts w:ascii="Arial"/>
                <w:sz w:val="21"/>
              </w:rPr>
            </w:pPr>
          </w:p>
          <w:p w14:paraId="5B3B0509">
            <w:pPr>
              <w:spacing w:line="253" w:lineRule="auto"/>
              <w:rPr>
                <w:rFonts w:ascii="Arial"/>
                <w:sz w:val="21"/>
              </w:rPr>
            </w:pPr>
          </w:p>
          <w:p w14:paraId="7DD918DD">
            <w:pPr>
              <w:spacing w:line="253" w:lineRule="auto"/>
              <w:rPr>
                <w:rFonts w:ascii="Arial"/>
                <w:sz w:val="21"/>
              </w:rPr>
            </w:pPr>
          </w:p>
          <w:p w14:paraId="02B25F25">
            <w:pPr>
              <w:spacing w:line="253" w:lineRule="auto"/>
              <w:rPr>
                <w:rFonts w:ascii="Arial"/>
                <w:sz w:val="21"/>
              </w:rPr>
            </w:pPr>
          </w:p>
          <w:p w14:paraId="1B9C1AC5">
            <w:pPr>
              <w:spacing w:line="253" w:lineRule="auto"/>
              <w:rPr>
                <w:rFonts w:ascii="Arial"/>
                <w:sz w:val="21"/>
              </w:rPr>
            </w:pPr>
          </w:p>
          <w:p w14:paraId="3321817F">
            <w:pPr>
              <w:spacing w:before="65" w:line="250" w:lineRule="auto"/>
              <w:ind w:left="367" w:right="155" w:hanging="214"/>
              <w:rPr>
                <w:rFonts w:ascii="宋体" w:hAnsi="宋体" w:eastAsia="宋体" w:cs="宋体"/>
                <w:sz w:val="20"/>
                <w:szCs w:val="20"/>
              </w:rPr>
            </w:pPr>
            <w:r>
              <w:rPr>
                <w:rFonts w:ascii="宋体" w:hAnsi="宋体" w:eastAsia="宋体" w:cs="宋体"/>
                <w:spacing w:val="7"/>
                <w:sz w:val="20"/>
                <w:szCs w:val="20"/>
              </w:rPr>
              <w:t>土壤及地</w:t>
            </w:r>
            <w:r>
              <w:rPr>
                <w:rFonts w:ascii="宋体" w:hAnsi="宋体" w:eastAsia="宋体" w:cs="宋体"/>
                <w:spacing w:val="1"/>
                <w:sz w:val="20"/>
                <w:szCs w:val="20"/>
              </w:rPr>
              <w:t>下水</w:t>
            </w:r>
          </w:p>
          <w:p w14:paraId="69310771">
            <w:pPr>
              <w:spacing w:line="254" w:lineRule="auto"/>
              <w:ind w:left="361" w:right="155" w:hanging="207"/>
              <w:rPr>
                <w:rFonts w:ascii="宋体" w:hAnsi="宋体" w:eastAsia="宋体" w:cs="宋体"/>
                <w:sz w:val="20"/>
                <w:szCs w:val="20"/>
              </w:rPr>
            </w:pPr>
            <w:r>
              <w:rPr>
                <w:rFonts w:ascii="宋体" w:hAnsi="宋体" w:eastAsia="宋体" w:cs="宋体"/>
                <w:spacing w:val="6"/>
                <w:sz w:val="20"/>
                <w:szCs w:val="20"/>
              </w:rPr>
              <w:t>污染防治</w:t>
            </w:r>
            <w:r>
              <w:rPr>
                <w:rFonts w:ascii="宋体" w:hAnsi="宋体" w:eastAsia="宋体" w:cs="宋体"/>
                <w:spacing w:val="4"/>
                <w:sz w:val="20"/>
                <w:szCs w:val="20"/>
              </w:rPr>
              <w:t>措施</w:t>
            </w:r>
          </w:p>
        </w:tc>
        <w:tc>
          <w:tcPr>
            <w:tcW w:w="8476" w:type="dxa"/>
            <w:gridSpan w:val="4"/>
            <w:tcBorders>
              <w:bottom w:val="single" w:color="000000" w:sz="6" w:space="0"/>
              <w:right w:val="single" w:color="000000" w:sz="6" w:space="0"/>
            </w:tcBorders>
            <w:vAlign w:val="top"/>
          </w:tcPr>
          <w:p w14:paraId="79D99880">
            <w:pPr>
              <w:spacing w:before="41" w:line="377" w:lineRule="auto"/>
              <w:ind w:left="108" w:right="104" w:firstLine="8"/>
              <w:rPr>
                <w:rFonts w:ascii="宋体" w:hAnsi="宋体" w:eastAsia="宋体" w:cs="宋体"/>
                <w:sz w:val="20"/>
                <w:szCs w:val="20"/>
              </w:rPr>
            </w:pPr>
            <w:r>
              <w:rPr>
                <w:rFonts w:ascii="宋体" w:hAnsi="宋体" w:eastAsia="宋体" w:cs="宋体"/>
                <w:spacing w:val="9"/>
                <w:sz w:val="20"/>
                <w:szCs w:val="20"/>
              </w:rPr>
              <w:t>（</w:t>
            </w:r>
            <w:r>
              <w:rPr>
                <w:rFonts w:ascii="Times New Roman" w:hAnsi="Times New Roman" w:eastAsia="Times New Roman" w:cs="Times New Roman"/>
                <w:spacing w:val="9"/>
                <w:sz w:val="20"/>
                <w:szCs w:val="20"/>
              </w:rPr>
              <w:t>1</w:t>
            </w:r>
            <w:r>
              <w:rPr>
                <w:rFonts w:ascii="宋体" w:hAnsi="宋体" w:eastAsia="宋体" w:cs="宋体"/>
                <w:spacing w:val="9"/>
                <w:sz w:val="20"/>
                <w:szCs w:val="20"/>
              </w:rPr>
              <w:t>）源头控制：①加强环境管理，定期对危废暂存间</w:t>
            </w:r>
            <w:r>
              <w:rPr>
                <w:rFonts w:ascii="宋体" w:hAnsi="宋体" w:eastAsia="宋体" w:cs="宋体"/>
                <w:spacing w:val="8"/>
                <w:sz w:val="20"/>
                <w:szCs w:val="20"/>
              </w:rPr>
              <w:t>地面进行巡检、维修保养，及时发现</w:t>
            </w:r>
            <w:r>
              <w:rPr>
                <w:rFonts w:ascii="宋体" w:hAnsi="宋体" w:eastAsia="宋体" w:cs="宋体"/>
                <w:spacing w:val="11"/>
                <w:sz w:val="20"/>
                <w:szCs w:val="20"/>
              </w:rPr>
              <w:t>可能引起事故的异常情况，消除事故隐患，将污</w:t>
            </w:r>
            <w:r>
              <w:rPr>
                <w:rFonts w:ascii="宋体" w:hAnsi="宋体" w:eastAsia="宋体" w:cs="宋体"/>
                <w:spacing w:val="10"/>
                <w:sz w:val="20"/>
                <w:szCs w:val="20"/>
              </w:rPr>
              <w:t>染物跑、</w:t>
            </w:r>
            <w:r>
              <w:rPr>
                <w:rFonts w:ascii="宋体" w:hAnsi="宋体" w:eastAsia="宋体" w:cs="宋体"/>
                <w:spacing w:val="-59"/>
                <w:sz w:val="20"/>
                <w:szCs w:val="20"/>
              </w:rPr>
              <w:t xml:space="preserve"> </w:t>
            </w:r>
            <w:r>
              <w:rPr>
                <w:rFonts w:ascii="宋体" w:hAnsi="宋体" w:eastAsia="宋体" w:cs="宋体"/>
                <w:spacing w:val="10"/>
                <w:sz w:val="20"/>
                <w:szCs w:val="20"/>
              </w:rPr>
              <w:t>冒、滴、漏降到最低限度；②危</w:t>
            </w:r>
            <w:r>
              <w:rPr>
                <w:rFonts w:ascii="宋体" w:hAnsi="宋体" w:eastAsia="宋体" w:cs="宋体"/>
                <w:spacing w:val="8"/>
                <w:sz w:val="20"/>
                <w:szCs w:val="20"/>
              </w:rPr>
              <w:t>险废物使用耐腐蚀的容器盛装，暂存于</w:t>
            </w:r>
            <w:r>
              <w:rPr>
                <w:rFonts w:ascii="Times New Roman" w:hAnsi="Times New Roman" w:eastAsia="Times New Roman" w:cs="Times New Roman"/>
                <w:spacing w:val="8"/>
                <w:sz w:val="20"/>
                <w:szCs w:val="20"/>
              </w:rPr>
              <w:t>“</w:t>
            </w:r>
            <w:r>
              <w:rPr>
                <w:rFonts w:ascii="Times New Roman" w:hAnsi="Times New Roman" w:eastAsia="Times New Roman" w:cs="Times New Roman"/>
                <w:spacing w:val="-27"/>
                <w:sz w:val="20"/>
                <w:szCs w:val="20"/>
              </w:rPr>
              <w:t xml:space="preserve"> </w:t>
            </w:r>
            <w:r>
              <w:rPr>
                <w:rFonts w:ascii="宋体" w:hAnsi="宋体" w:eastAsia="宋体" w:cs="宋体"/>
                <w:spacing w:val="8"/>
                <w:sz w:val="20"/>
                <w:szCs w:val="20"/>
              </w:rPr>
              <w:t>防风、防雨、防晒、防</w:t>
            </w:r>
            <w:r>
              <w:rPr>
                <w:rFonts w:ascii="宋体" w:hAnsi="宋体" w:eastAsia="宋体" w:cs="宋体"/>
                <w:spacing w:val="7"/>
                <w:sz w:val="20"/>
                <w:szCs w:val="20"/>
              </w:rPr>
              <w:t>渗</w:t>
            </w:r>
            <w:r>
              <w:rPr>
                <w:rFonts w:ascii="Times New Roman" w:hAnsi="Times New Roman" w:eastAsia="Times New Roman" w:cs="Times New Roman"/>
                <w:spacing w:val="7"/>
                <w:sz w:val="20"/>
                <w:szCs w:val="20"/>
              </w:rPr>
              <w:t>”</w:t>
            </w:r>
            <w:r>
              <w:rPr>
                <w:rFonts w:ascii="Times New Roman" w:hAnsi="Times New Roman" w:eastAsia="Times New Roman" w:cs="Times New Roman"/>
                <w:spacing w:val="-24"/>
                <w:sz w:val="20"/>
                <w:szCs w:val="20"/>
              </w:rPr>
              <w:t xml:space="preserve"> </w:t>
            </w:r>
            <w:r>
              <w:rPr>
                <w:rFonts w:ascii="宋体" w:hAnsi="宋体" w:eastAsia="宋体" w:cs="宋体"/>
                <w:spacing w:val="7"/>
                <w:sz w:val="20"/>
                <w:szCs w:val="20"/>
              </w:rPr>
              <w:t>的危废暂存间。</w:t>
            </w:r>
          </w:p>
          <w:p w14:paraId="3528B235">
            <w:pPr>
              <w:spacing w:line="228" w:lineRule="auto"/>
              <w:ind w:left="116"/>
              <w:rPr>
                <w:rFonts w:ascii="宋体" w:hAnsi="宋体" w:eastAsia="宋体" w:cs="宋体"/>
                <w:sz w:val="20"/>
                <w:szCs w:val="20"/>
              </w:rPr>
            </w:pPr>
            <w:r>
              <w:rPr>
                <w:rFonts w:ascii="宋体" w:hAnsi="宋体" w:eastAsia="宋体" w:cs="宋体"/>
                <w:spacing w:val="5"/>
                <w:sz w:val="20"/>
                <w:szCs w:val="20"/>
              </w:rPr>
              <w:t>（</w:t>
            </w:r>
            <w:r>
              <w:rPr>
                <w:rFonts w:ascii="Times New Roman" w:hAnsi="Times New Roman" w:eastAsia="Times New Roman" w:cs="Times New Roman"/>
                <w:spacing w:val="5"/>
                <w:sz w:val="20"/>
                <w:szCs w:val="20"/>
              </w:rPr>
              <w:t>2</w:t>
            </w:r>
            <w:r>
              <w:rPr>
                <w:rFonts w:ascii="宋体" w:hAnsi="宋体" w:eastAsia="宋体" w:cs="宋体"/>
                <w:spacing w:val="5"/>
                <w:sz w:val="20"/>
                <w:szCs w:val="20"/>
              </w:rPr>
              <w:t>）分区防渗：</w:t>
            </w:r>
          </w:p>
          <w:p w14:paraId="0BD0B956">
            <w:pPr>
              <w:spacing w:before="161" w:line="377" w:lineRule="auto"/>
              <w:ind w:left="106" w:right="104" w:hanging="1"/>
              <w:rPr>
                <w:rFonts w:ascii="宋体" w:hAnsi="宋体" w:eastAsia="宋体" w:cs="宋体"/>
                <w:sz w:val="20"/>
                <w:szCs w:val="20"/>
              </w:rPr>
            </w:pPr>
            <w:r>
              <w:rPr>
                <w:rFonts w:ascii="宋体" w:hAnsi="宋体" w:eastAsia="宋体" w:cs="宋体"/>
                <w:spacing w:val="9"/>
                <w:sz w:val="20"/>
                <w:szCs w:val="20"/>
              </w:rPr>
              <w:t>①重点防渗区：危废暂存间，按照《危险废物贮存污染控制</w:t>
            </w:r>
            <w:r>
              <w:rPr>
                <w:rFonts w:ascii="宋体" w:hAnsi="宋体" w:eastAsia="宋体" w:cs="宋体"/>
                <w:spacing w:val="8"/>
                <w:sz w:val="20"/>
                <w:szCs w:val="20"/>
              </w:rPr>
              <w:t>标准》（</w:t>
            </w:r>
            <w:r>
              <w:rPr>
                <w:rFonts w:ascii="Times New Roman" w:hAnsi="Times New Roman" w:eastAsia="Times New Roman" w:cs="Times New Roman"/>
                <w:sz w:val="20"/>
                <w:szCs w:val="20"/>
              </w:rPr>
              <w:t>GB</w:t>
            </w:r>
            <w:r>
              <w:rPr>
                <w:rFonts w:ascii="Times New Roman" w:hAnsi="Times New Roman" w:eastAsia="Times New Roman" w:cs="Times New Roman"/>
                <w:spacing w:val="8"/>
                <w:sz w:val="20"/>
                <w:szCs w:val="20"/>
              </w:rPr>
              <w:t>18597-2023</w:t>
            </w:r>
            <w:r>
              <w:rPr>
                <w:rFonts w:ascii="宋体" w:hAnsi="宋体" w:eastAsia="宋体" w:cs="宋体"/>
                <w:spacing w:val="8"/>
                <w:sz w:val="20"/>
                <w:szCs w:val="20"/>
              </w:rPr>
              <w:t>）</w:t>
            </w:r>
            <w:r>
              <w:rPr>
                <w:rFonts w:ascii="宋体" w:hAnsi="宋体" w:eastAsia="宋体" w:cs="宋体"/>
                <w:spacing w:val="-60"/>
                <w:sz w:val="20"/>
                <w:szCs w:val="20"/>
              </w:rPr>
              <w:t xml:space="preserve"> </w:t>
            </w:r>
            <w:r>
              <w:rPr>
                <w:rFonts w:ascii="宋体" w:hAnsi="宋体" w:eastAsia="宋体" w:cs="宋体"/>
                <w:spacing w:val="8"/>
                <w:sz w:val="20"/>
                <w:szCs w:val="20"/>
              </w:rPr>
              <w:t>中防</w:t>
            </w:r>
            <w:r>
              <w:rPr>
                <w:rFonts w:ascii="宋体" w:hAnsi="宋体" w:eastAsia="宋体" w:cs="宋体"/>
                <w:spacing w:val="7"/>
                <w:sz w:val="20"/>
                <w:szCs w:val="20"/>
              </w:rPr>
              <w:t>渗要求，防渗层为至少</w:t>
            </w:r>
            <w:r>
              <w:rPr>
                <w:rFonts w:ascii="宋体" w:hAnsi="宋体" w:eastAsia="宋体" w:cs="宋体"/>
                <w:spacing w:val="-19"/>
                <w:sz w:val="20"/>
                <w:szCs w:val="20"/>
              </w:rPr>
              <w:t xml:space="preserve"> </w:t>
            </w:r>
            <w:r>
              <w:rPr>
                <w:rFonts w:ascii="Times New Roman" w:hAnsi="Times New Roman" w:eastAsia="Times New Roman" w:cs="Times New Roman"/>
                <w:spacing w:val="7"/>
                <w:sz w:val="20"/>
                <w:szCs w:val="20"/>
              </w:rPr>
              <w:t>1m</w:t>
            </w:r>
            <w:r>
              <w:rPr>
                <w:rFonts w:ascii="Times New Roman" w:hAnsi="Times New Roman" w:eastAsia="Times New Roman" w:cs="Times New Roman"/>
                <w:spacing w:val="17"/>
                <w:sz w:val="20"/>
                <w:szCs w:val="20"/>
              </w:rPr>
              <w:t xml:space="preserve"> </w:t>
            </w:r>
            <w:r>
              <w:rPr>
                <w:rFonts w:ascii="宋体" w:hAnsi="宋体" w:eastAsia="宋体" w:cs="宋体"/>
                <w:spacing w:val="7"/>
                <w:sz w:val="20"/>
                <w:szCs w:val="20"/>
              </w:rPr>
              <w:t>厚黏土层（渗透系数</w:t>
            </w:r>
            <w:r>
              <w:rPr>
                <w:rFonts w:ascii="宋体" w:hAnsi="宋体" w:eastAsia="宋体" w:cs="宋体"/>
                <w:spacing w:val="-44"/>
                <w:sz w:val="20"/>
                <w:szCs w:val="20"/>
              </w:rPr>
              <w:t xml:space="preserve"> </w:t>
            </w:r>
            <w:r>
              <w:rPr>
                <w:rFonts w:ascii="Times New Roman" w:hAnsi="Times New Roman" w:eastAsia="Times New Roman" w:cs="Times New Roman"/>
                <w:spacing w:val="7"/>
                <w:sz w:val="20"/>
                <w:szCs w:val="20"/>
              </w:rPr>
              <w:t>K≤10</w:t>
            </w:r>
            <w:r>
              <w:rPr>
                <w:rFonts w:ascii="Times New Roman" w:hAnsi="Times New Roman" w:eastAsia="Times New Roman" w:cs="Times New Roman"/>
                <w:spacing w:val="7"/>
                <w:position w:val="6"/>
                <w:sz w:val="13"/>
                <w:szCs w:val="13"/>
              </w:rPr>
              <w:t>-7</w:t>
            </w:r>
            <w:r>
              <w:rPr>
                <w:rFonts w:ascii="Times New Roman" w:hAnsi="Times New Roman" w:eastAsia="Times New Roman" w:cs="Times New Roman"/>
                <w:sz w:val="20"/>
                <w:szCs w:val="20"/>
              </w:rPr>
              <w:t>cm</w:t>
            </w:r>
            <w:r>
              <w:rPr>
                <w:rFonts w:ascii="Times New Roman" w:hAnsi="Times New Roman" w:eastAsia="Times New Roman" w:cs="Times New Roman"/>
                <w:spacing w:val="7"/>
                <w:sz w:val="20"/>
                <w:szCs w:val="20"/>
              </w:rPr>
              <w:t>/s</w:t>
            </w:r>
            <w:r>
              <w:rPr>
                <w:rFonts w:ascii="宋体" w:hAnsi="宋体" w:eastAsia="宋体" w:cs="宋体"/>
                <w:spacing w:val="19"/>
                <w:sz w:val="20"/>
                <w:szCs w:val="20"/>
              </w:rPr>
              <w:t>），</w:t>
            </w:r>
            <w:r>
              <w:rPr>
                <w:rFonts w:ascii="宋体" w:hAnsi="宋体" w:eastAsia="宋体" w:cs="宋体"/>
                <w:spacing w:val="7"/>
                <w:sz w:val="20"/>
                <w:szCs w:val="20"/>
              </w:rPr>
              <w:t>或</w:t>
            </w:r>
            <w:r>
              <w:rPr>
                <w:rFonts w:ascii="宋体" w:hAnsi="宋体" w:eastAsia="宋体" w:cs="宋体"/>
                <w:spacing w:val="-41"/>
                <w:sz w:val="20"/>
                <w:szCs w:val="20"/>
              </w:rPr>
              <w:t xml:space="preserve"> </w:t>
            </w:r>
            <w:r>
              <w:rPr>
                <w:rFonts w:ascii="Times New Roman" w:hAnsi="Times New Roman" w:eastAsia="Times New Roman" w:cs="Times New Roman"/>
                <w:spacing w:val="7"/>
                <w:sz w:val="20"/>
                <w:szCs w:val="20"/>
              </w:rPr>
              <w:t>2</w:t>
            </w:r>
            <w:r>
              <w:rPr>
                <w:rFonts w:ascii="Times New Roman" w:hAnsi="Times New Roman" w:eastAsia="Times New Roman" w:cs="Times New Roman"/>
                <w:sz w:val="20"/>
                <w:szCs w:val="20"/>
              </w:rPr>
              <w:t>mm</w:t>
            </w:r>
            <w:r>
              <w:rPr>
                <w:rFonts w:ascii="Times New Roman" w:hAnsi="Times New Roman" w:eastAsia="Times New Roman" w:cs="Times New Roman"/>
                <w:spacing w:val="22"/>
                <w:sz w:val="20"/>
                <w:szCs w:val="20"/>
              </w:rPr>
              <w:t xml:space="preserve"> </w:t>
            </w:r>
            <w:r>
              <w:rPr>
                <w:rFonts w:ascii="宋体" w:hAnsi="宋体" w:eastAsia="宋体" w:cs="宋体"/>
                <w:spacing w:val="7"/>
                <w:sz w:val="20"/>
                <w:szCs w:val="20"/>
              </w:rPr>
              <w:t>厚高密度聚乙烯，或至少</w:t>
            </w:r>
            <w:r>
              <w:rPr>
                <w:rFonts w:ascii="宋体" w:hAnsi="宋体" w:eastAsia="宋体" w:cs="宋体"/>
                <w:spacing w:val="-41"/>
                <w:sz w:val="20"/>
                <w:szCs w:val="20"/>
              </w:rPr>
              <w:t xml:space="preserve"> </w:t>
            </w:r>
            <w:r>
              <w:rPr>
                <w:rFonts w:ascii="Times New Roman" w:hAnsi="Times New Roman" w:eastAsia="Times New Roman" w:cs="Times New Roman"/>
                <w:spacing w:val="7"/>
                <w:sz w:val="20"/>
                <w:szCs w:val="20"/>
              </w:rPr>
              <w:t>2</w:t>
            </w:r>
            <w:r>
              <w:rPr>
                <w:rFonts w:ascii="Times New Roman" w:hAnsi="Times New Roman" w:eastAsia="Times New Roman" w:cs="Times New Roman"/>
                <w:sz w:val="20"/>
                <w:szCs w:val="20"/>
              </w:rPr>
              <w:t>mm</w:t>
            </w:r>
            <w:r>
              <w:rPr>
                <w:rFonts w:ascii="Times New Roman" w:hAnsi="Times New Roman" w:eastAsia="Times New Roman" w:cs="Times New Roman"/>
                <w:spacing w:val="17"/>
                <w:w w:val="101"/>
                <w:sz w:val="20"/>
                <w:szCs w:val="20"/>
              </w:rPr>
              <w:t xml:space="preserve"> </w:t>
            </w:r>
            <w:r>
              <w:rPr>
                <w:rFonts w:ascii="宋体" w:hAnsi="宋体" w:eastAsia="宋体" w:cs="宋体"/>
                <w:spacing w:val="7"/>
                <w:sz w:val="20"/>
                <w:szCs w:val="20"/>
              </w:rPr>
              <w:t>厚的其他人工材料，渗透系数</w:t>
            </w:r>
            <w:r>
              <w:rPr>
                <w:rFonts w:ascii="宋体" w:hAnsi="宋体" w:eastAsia="宋体" w:cs="宋体"/>
                <w:spacing w:val="-42"/>
                <w:sz w:val="20"/>
                <w:szCs w:val="20"/>
              </w:rPr>
              <w:t xml:space="preserve"> </w:t>
            </w:r>
            <w:r>
              <w:rPr>
                <w:rFonts w:ascii="Times New Roman" w:hAnsi="Times New Roman" w:eastAsia="Times New Roman" w:cs="Times New Roman"/>
                <w:spacing w:val="7"/>
                <w:sz w:val="20"/>
                <w:szCs w:val="20"/>
              </w:rPr>
              <w:t>K≤10</w:t>
            </w:r>
            <w:r>
              <w:rPr>
                <w:rFonts w:ascii="Times New Roman" w:hAnsi="Times New Roman" w:eastAsia="Times New Roman" w:cs="Times New Roman"/>
                <w:spacing w:val="7"/>
                <w:position w:val="6"/>
                <w:sz w:val="13"/>
                <w:szCs w:val="13"/>
              </w:rPr>
              <w:t>-10</w:t>
            </w:r>
            <w:r>
              <w:rPr>
                <w:rFonts w:ascii="Times New Roman" w:hAnsi="Times New Roman" w:eastAsia="Times New Roman" w:cs="Times New Roman"/>
                <w:sz w:val="20"/>
                <w:szCs w:val="20"/>
              </w:rPr>
              <w:t>cm</w:t>
            </w:r>
            <w:r>
              <w:rPr>
                <w:rFonts w:ascii="Times New Roman" w:hAnsi="Times New Roman" w:eastAsia="Times New Roman" w:cs="Times New Roman"/>
                <w:spacing w:val="7"/>
                <w:sz w:val="20"/>
                <w:szCs w:val="20"/>
              </w:rPr>
              <w:t>/</w:t>
            </w:r>
            <w:r>
              <w:rPr>
                <w:rFonts w:ascii="Times New Roman" w:hAnsi="Times New Roman" w:eastAsia="Times New Roman" w:cs="Times New Roman"/>
                <w:spacing w:val="6"/>
                <w:sz w:val="20"/>
                <w:szCs w:val="20"/>
              </w:rPr>
              <w:t xml:space="preserve">s  </w:t>
            </w:r>
            <w:r>
              <w:rPr>
                <w:rFonts w:ascii="宋体" w:hAnsi="宋体" w:eastAsia="宋体" w:cs="宋体"/>
                <w:spacing w:val="6"/>
                <w:sz w:val="20"/>
                <w:szCs w:val="20"/>
              </w:rPr>
              <w:t>；</w:t>
            </w:r>
          </w:p>
          <w:p w14:paraId="3727F4A6">
            <w:pPr>
              <w:spacing w:line="359" w:lineRule="auto"/>
              <w:ind w:left="106" w:right="49" w:hanging="2"/>
              <w:rPr>
                <w:rFonts w:ascii="宋体" w:hAnsi="宋体" w:eastAsia="宋体" w:cs="宋体"/>
                <w:sz w:val="20"/>
                <w:szCs w:val="20"/>
              </w:rPr>
            </w:pPr>
            <w:r>
              <w:rPr>
                <w:rFonts w:ascii="宋体" w:hAnsi="宋体" w:eastAsia="宋体" w:cs="宋体"/>
                <w:spacing w:val="6"/>
                <w:sz w:val="20"/>
                <w:szCs w:val="20"/>
              </w:rPr>
              <w:t>②一般防渗区：化粪池、一体化污水处理设施，防渗要求：等效黏土防渗层厚度</w:t>
            </w:r>
            <w:r>
              <w:rPr>
                <w:rFonts w:ascii="宋体" w:hAnsi="宋体" w:eastAsia="宋体" w:cs="宋体"/>
                <w:spacing w:val="-29"/>
                <w:sz w:val="20"/>
                <w:szCs w:val="20"/>
              </w:rPr>
              <w:t xml:space="preserve"> </w:t>
            </w:r>
            <w:r>
              <w:rPr>
                <w:rFonts w:ascii="Times New Roman" w:hAnsi="Times New Roman" w:eastAsia="Times New Roman" w:cs="Times New Roman"/>
                <w:sz w:val="20"/>
                <w:szCs w:val="20"/>
              </w:rPr>
              <w:t>Mb</w:t>
            </w:r>
            <w:r>
              <w:rPr>
                <w:rFonts w:ascii="Times New Roman" w:hAnsi="Times New Roman" w:eastAsia="Times New Roman" w:cs="Times New Roman"/>
                <w:spacing w:val="6"/>
                <w:sz w:val="20"/>
                <w:szCs w:val="20"/>
              </w:rPr>
              <w:t>≥1.5m</w:t>
            </w:r>
            <w:r>
              <w:rPr>
                <w:rFonts w:ascii="宋体" w:hAnsi="宋体" w:eastAsia="宋体" w:cs="宋体"/>
                <w:spacing w:val="6"/>
                <w:sz w:val="20"/>
                <w:szCs w:val="20"/>
              </w:rPr>
              <w:t>，</w:t>
            </w:r>
            <w:r>
              <w:rPr>
                <w:rFonts w:ascii="宋体" w:hAnsi="宋体" w:eastAsia="宋体" w:cs="宋体"/>
                <w:spacing w:val="5"/>
                <w:sz w:val="20"/>
                <w:szCs w:val="20"/>
              </w:rPr>
              <w:t>渗透系数</w:t>
            </w:r>
            <w:r>
              <w:rPr>
                <w:rFonts w:ascii="宋体" w:hAnsi="宋体" w:eastAsia="宋体" w:cs="宋体"/>
                <w:spacing w:val="-40"/>
                <w:sz w:val="20"/>
                <w:szCs w:val="20"/>
              </w:rPr>
              <w:t xml:space="preserve"> </w:t>
            </w:r>
            <w:r>
              <w:rPr>
                <w:rFonts w:ascii="Times New Roman" w:hAnsi="Times New Roman" w:eastAsia="Times New Roman" w:cs="Times New Roman"/>
                <w:spacing w:val="5"/>
                <w:sz w:val="20"/>
                <w:szCs w:val="20"/>
              </w:rPr>
              <w:t>K≤1.0×10</w:t>
            </w:r>
            <w:r>
              <w:rPr>
                <w:rFonts w:ascii="Times New Roman" w:hAnsi="Times New Roman" w:eastAsia="Times New Roman" w:cs="Times New Roman"/>
                <w:spacing w:val="5"/>
                <w:position w:val="6"/>
                <w:sz w:val="13"/>
                <w:szCs w:val="13"/>
              </w:rPr>
              <w:t>-7</w:t>
            </w:r>
            <w:r>
              <w:rPr>
                <w:rFonts w:ascii="Times New Roman" w:hAnsi="Times New Roman" w:eastAsia="Times New Roman" w:cs="Times New Roman"/>
                <w:sz w:val="20"/>
                <w:szCs w:val="20"/>
              </w:rPr>
              <w:t>cm</w:t>
            </w:r>
            <w:r>
              <w:rPr>
                <w:rFonts w:ascii="Times New Roman" w:hAnsi="Times New Roman" w:eastAsia="Times New Roman" w:cs="Times New Roman"/>
                <w:spacing w:val="5"/>
                <w:sz w:val="20"/>
                <w:szCs w:val="20"/>
              </w:rPr>
              <w:t>/s</w:t>
            </w:r>
            <w:r>
              <w:rPr>
                <w:rFonts w:ascii="宋体" w:hAnsi="宋体" w:eastAsia="宋体" w:cs="宋体"/>
                <w:spacing w:val="5"/>
                <w:sz w:val="20"/>
                <w:szCs w:val="20"/>
              </w:rPr>
              <w:t>；</w:t>
            </w:r>
          </w:p>
        </w:tc>
      </w:tr>
    </w:tbl>
    <w:p w14:paraId="7861A282">
      <w:pPr>
        <w:pStyle w:val="2"/>
      </w:pPr>
    </w:p>
    <w:p w14:paraId="197B08D0">
      <w:pPr>
        <w:sectPr>
          <w:footerReference r:id="rId114" w:type="default"/>
          <w:pgSz w:w="11906" w:h="16839"/>
          <w:pgMar w:top="400" w:right="1070" w:bottom="1097" w:left="1196" w:header="0" w:footer="755" w:gutter="0"/>
          <w:cols w:space="720" w:num="1"/>
        </w:sectPr>
      </w:pPr>
    </w:p>
    <w:p w14:paraId="6F952065">
      <w:pPr>
        <w:spacing w:before="42"/>
      </w:pPr>
    </w:p>
    <w:p w14:paraId="4A914B57">
      <w:pPr>
        <w:spacing w:before="41"/>
      </w:pPr>
    </w:p>
    <w:p w14:paraId="1F4E8BBC">
      <w:pPr>
        <w:spacing w:before="41"/>
      </w:pPr>
    </w:p>
    <w:p w14:paraId="05E36CBB">
      <w:pPr>
        <w:spacing w:before="41"/>
      </w:pPr>
    </w:p>
    <w:tbl>
      <w:tblPr>
        <w:tblStyle w:val="10"/>
        <w:tblW w:w="962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8"/>
        <w:gridCol w:w="8476"/>
      </w:tblGrid>
      <w:tr w14:paraId="0104B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148" w:type="dxa"/>
            <w:tcBorders>
              <w:top w:val="single" w:color="000000" w:sz="6" w:space="0"/>
              <w:left w:val="single" w:color="000000" w:sz="6" w:space="0"/>
            </w:tcBorders>
            <w:vAlign w:val="top"/>
          </w:tcPr>
          <w:p w14:paraId="3900D465">
            <w:pPr>
              <w:rPr>
                <w:rFonts w:ascii="Arial"/>
                <w:sz w:val="21"/>
              </w:rPr>
            </w:pPr>
          </w:p>
        </w:tc>
        <w:tc>
          <w:tcPr>
            <w:tcW w:w="8476" w:type="dxa"/>
            <w:tcBorders>
              <w:top w:val="single" w:color="000000" w:sz="6" w:space="0"/>
              <w:right w:val="single" w:color="000000" w:sz="6" w:space="0"/>
            </w:tcBorders>
            <w:vAlign w:val="top"/>
          </w:tcPr>
          <w:p w14:paraId="5BCD85A8">
            <w:pPr>
              <w:spacing w:before="27" w:line="225" w:lineRule="auto"/>
              <w:ind w:left="104"/>
              <w:rPr>
                <w:rFonts w:ascii="宋体" w:hAnsi="宋体" w:eastAsia="宋体" w:cs="宋体"/>
                <w:sz w:val="20"/>
                <w:szCs w:val="20"/>
              </w:rPr>
            </w:pPr>
            <w:r>
              <w:rPr>
                <w:rFonts w:ascii="宋体" w:hAnsi="宋体" w:eastAsia="宋体" w:cs="宋体"/>
                <w:spacing w:val="10"/>
                <w:sz w:val="20"/>
                <w:szCs w:val="20"/>
              </w:rPr>
              <w:t>③非污染区域：办公区域、仓库、设备区。</w:t>
            </w:r>
            <w:r>
              <w:rPr>
                <w:rFonts w:ascii="宋体" w:hAnsi="宋体" w:eastAsia="宋体" w:cs="宋体"/>
                <w:spacing w:val="9"/>
                <w:sz w:val="20"/>
                <w:szCs w:val="20"/>
              </w:rPr>
              <w:t>③简单防渗区：厂区地面进行混凝土硬化。</w:t>
            </w:r>
          </w:p>
        </w:tc>
      </w:tr>
      <w:tr w14:paraId="57D4C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148" w:type="dxa"/>
            <w:tcBorders>
              <w:left w:val="single" w:color="000000" w:sz="6" w:space="0"/>
            </w:tcBorders>
            <w:vAlign w:val="top"/>
          </w:tcPr>
          <w:p w14:paraId="1E7C9112">
            <w:pPr>
              <w:spacing w:before="34" w:line="233" w:lineRule="auto"/>
              <w:ind w:left="361" w:right="155" w:hanging="207"/>
              <w:rPr>
                <w:rFonts w:ascii="宋体" w:hAnsi="宋体" w:eastAsia="宋体" w:cs="宋体"/>
                <w:sz w:val="20"/>
                <w:szCs w:val="20"/>
              </w:rPr>
            </w:pPr>
            <w:r>
              <w:rPr>
                <w:rFonts w:ascii="宋体" w:hAnsi="宋体" w:eastAsia="宋体" w:cs="宋体"/>
                <w:spacing w:val="6"/>
                <w:sz w:val="20"/>
                <w:szCs w:val="20"/>
              </w:rPr>
              <w:t>生态保护</w:t>
            </w:r>
            <w:r>
              <w:rPr>
                <w:rFonts w:ascii="宋体" w:hAnsi="宋体" w:eastAsia="宋体" w:cs="宋体"/>
                <w:spacing w:val="4"/>
                <w:sz w:val="20"/>
                <w:szCs w:val="20"/>
              </w:rPr>
              <w:t>措施</w:t>
            </w:r>
          </w:p>
        </w:tc>
        <w:tc>
          <w:tcPr>
            <w:tcW w:w="8476" w:type="dxa"/>
            <w:tcBorders>
              <w:right w:val="single" w:color="000000" w:sz="6" w:space="0"/>
            </w:tcBorders>
            <w:vAlign w:val="top"/>
          </w:tcPr>
          <w:p w14:paraId="062CD9C3">
            <w:pPr>
              <w:spacing w:before="199" w:line="199" w:lineRule="auto"/>
              <w:ind w:left="4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0B47E1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82" w:hRule="atLeast"/>
        </w:trPr>
        <w:tc>
          <w:tcPr>
            <w:tcW w:w="1148" w:type="dxa"/>
            <w:tcBorders>
              <w:left w:val="single" w:color="000000" w:sz="6" w:space="0"/>
            </w:tcBorders>
            <w:vAlign w:val="top"/>
          </w:tcPr>
          <w:p w14:paraId="542545AA">
            <w:pPr>
              <w:spacing w:line="244" w:lineRule="auto"/>
              <w:rPr>
                <w:rFonts w:ascii="Arial"/>
                <w:sz w:val="21"/>
              </w:rPr>
            </w:pPr>
          </w:p>
          <w:p w14:paraId="652547D8">
            <w:pPr>
              <w:spacing w:line="244" w:lineRule="auto"/>
              <w:rPr>
                <w:rFonts w:ascii="Arial"/>
                <w:sz w:val="21"/>
              </w:rPr>
            </w:pPr>
          </w:p>
          <w:p w14:paraId="0C5585F3">
            <w:pPr>
              <w:spacing w:line="244" w:lineRule="auto"/>
              <w:rPr>
                <w:rFonts w:ascii="Arial"/>
                <w:sz w:val="21"/>
              </w:rPr>
            </w:pPr>
          </w:p>
          <w:p w14:paraId="54839330">
            <w:pPr>
              <w:spacing w:line="245" w:lineRule="auto"/>
              <w:rPr>
                <w:rFonts w:ascii="Arial"/>
                <w:sz w:val="21"/>
              </w:rPr>
            </w:pPr>
          </w:p>
          <w:p w14:paraId="0BFB19FD">
            <w:pPr>
              <w:spacing w:line="245" w:lineRule="auto"/>
              <w:rPr>
                <w:rFonts w:ascii="Arial"/>
                <w:sz w:val="21"/>
              </w:rPr>
            </w:pPr>
          </w:p>
          <w:p w14:paraId="1FEF04ED">
            <w:pPr>
              <w:spacing w:line="245" w:lineRule="auto"/>
              <w:rPr>
                <w:rFonts w:ascii="Arial"/>
                <w:sz w:val="21"/>
              </w:rPr>
            </w:pPr>
          </w:p>
          <w:p w14:paraId="14A4798A">
            <w:pPr>
              <w:spacing w:line="245" w:lineRule="auto"/>
              <w:rPr>
                <w:rFonts w:ascii="Arial"/>
                <w:sz w:val="21"/>
              </w:rPr>
            </w:pPr>
          </w:p>
          <w:p w14:paraId="13BD244A">
            <w:pPr>
              <w:spacing w:line="245" w:lineRule="auto"/>
              <w:rPr>
                <w:rFonts w:ascii="Arial"/>
                <w:sz w:val="21"/>
              </w:rPr>
            </w:pPr>
          </w:p>
          <w:p w14:paraId="6B047E59">
            <w:pPr>
              <w:spacing w:line="245" w:lineRule="auto"/>
              <w:rPr>
                <w:rFonts w:ascii="Arial"/>
                <w:sz w:val="21"/>
              </w:rPr>
            </w:pPr>
          </w:p>
          <w:p w14:paraId="2FB65443">
            <w:pPr>
              <w:spacing w:line="245" w:lineRule="auto"/>
              <w:rPr>
                <w:rFonts w:ascii="Arial"/>
                <w:sz w:val="21"/>
              </w:rPr>
            </w:pPr>
          </w:p>
          <w:p w14:paraId="52CE35F3">
            <w:pPr>
              <w:spacing w:line="245" w:lineRule="auto"/>
              <w:rPr>
                <w:rFonts w:ascii="Arial"/>
                <w:sz w:val="21"/>
              </w:rPr>
            </w:pPr>
          </w:p>
          <w:p w14:paraId="416FCE83">
            <w:pPr>
              <w:spacing w:line="245" w:lineRule="auto"/>
              <w:rPr>
                <w:rFonts w:ascii="Arial"/>
                <w:sz w:val="21"/>
              </w:rPr>
            </w:pPr>
          </w:p>
          <w:p w14:paraId="0B94C3D1">
            <w:pPr>
              <w:spacing w:line="245" w:lineRule="auto"/>
              <w:rPr>
                <w:rFonts w:ascii="Arial"/>
                <w:sz w:val="21"/>
              </w:rPr>
            </w:pPr>
          </w:p>
          <w:p w14:paraId="6620B949">
            <w:pPr>
              <w:spacing w:line="245" w:lineRule="auto"/>
              <w:rPr>
                <w:rFonts w:ascii="Arial"/>
                <w:sz w:val="21"/>
              </w:rPr>
            </w:pPr>
          </w:p>
          <w:p w14:paraId="4C5C1F44">
            <w:pPr>
              <w:spacing w:line="245" w:lineRule="auto"/>
              <w:rPr>
                <w:rFonts w:ascii="Arial"/>
                <w:sz w:val="21"/>
              </w:rPr>
            </w:pPr>
          </w:p>
          <w:p w14:paraId="325EBDE8">
            <w:pPr>
              <w:spacing w:line="245" w:lineRule="auto"/>
              <w:rPr>
                <w:rFonts w:ascii="Arial"/>
                <w:sz w:val="21"/>
              </w:rPr>
            </w:pPr>
          </w:p>
          <w:p w14:paraId="19008D93">
            <w:pPr>
              <w:spacing w:line="245" w:lineRule="auto"/>
              <w:rPr>
                <w:rFonts w:ascii="Arial"/>
                <w:sz w:val="21"/>
              </w:rPr>
            </w:pPr>
          </w:p>
          <w:p w14:paraId="092CFDFD">
            <w:pPr>
              <w:spacing w:before="65" w:line="254" w:lineRule="auto"/>
              <w:ind w:left="165" w:right="155" w:hanging="13"/>
              <w:rPr>
                <w:rFonts w:ascii="宋体" w:hAnsi="宋体" w:eastAsia="宋体" w:cs="宋体"/>
                <w:sz w:val="20"/>
                <w:szCs w:val="20"/>
              </w:rPr>
            </w:pPr>
            <w:r>
              <w:rPr>
                <w:rFonts w:ascii="宋体" w:hAnsi="宋体" w:eastAsia="宋体" w:cs="宋体"/>
                <w:spacing w:val="7"/>
                <w:sz w:val="20"/>
                <w:szCs w:val="20"/>
              </w:rPr>
              <w:t>环境风险</w:t>
            </w:r>
            <w:r>
              <w:rPr>
                <w:rFonts w:ascii="宋体" w:hAnsi="宋体" w:eastAsia="宋体" w:cs="宋体"/>
                <w:spacing w:val="4"/>
                <w:sz w:val="20"/>
                <w:szCs w:val="20"/>
              </w:rPr>
              <w:t>防范措施</w:t>
            </w:r>
          </w:p>
        </w:tc>
        <w:tc>
          <w:tcPr>
            <w:tcW w:w="8476" w:type="dxa"/>
            <w:tcBorders>
              <w:right w:val="single" w:color="000000" w:sz="6" w:space="0"/>
            </w:tcBorders>
            <w:vAlign w:val="top"/>
          </w:tcPr>
          <w:p w14:paraId="692374D6">
            <w:pPr>
              <w:spacing w:before="31" w:line="377" w:lineRule="auto"/>
              <w:ind w:left="105" w:right="49"/>
              <w:rPr>
                <w:rFonts w:ascii="宋体" w:hAnsi="宋体" w:eastAsia="宋体" w:cs="宋体"/>
                <w:sz w:val="20"/>
                <w:szCs w:val="20"/>
              </w:rPr>
            </w:pPr>
            <w:r>
              <w:rPr>
                <w:rFonts w:ascii="宋体" w:hAnsi="宋体" w:eastAsia="宋体" w:cs="宋体"/>
                <w:spacing w:val="12"/>
                <w:sz w:val="20"/>
                <w:szCs w:val="20"/>
              </w:rPr>
              <w:t>①按照《危险废物贮存污染控制标准》要求，废机油采用</w:t>
            </w:r>
            <w:r>
              <w:rPr>
                <w:rFonts w:ascii="宋体" w:hAnsi="宋体" w:eastAsia="宋体" w:cs="宋体"/>
                <w:spacing w:val="11"/>
                <w:sz w:val="20"/>
                <w:szCs w:val="20"/>
              </w:rPr>
              <w:t>专用的容器存放，收集后置于危</w:t>
            </w:r>
            <w:r>
              <w:rPr>
                <w:rFonts w:ascii="宋体" w:hAnsi="宋体" w:eastAsia="宋体" w:cs="宋体"/>
                <w:spacing w:val="8"/>
                <w:sz w:val="20"/>
                <w:szCs w:val="20"/>
              </w:rPr>
              <w:t>废间相应区域内，防止风吹雨淋和日晒。危废间设立危险废物警示</w:t>
            </w:r>
            <w:r>
              <w:rPr>
                <w:rFonts w:ascii="宋体" w:hAnsi="宋体" w:eastAsia="宋体" w:cs="宋体"/>
                <w:spacing w:val="7"/>
                <w:sz w:val="20"/>
                <w:szCs w:val="20"/>
              </w:rPr>
              <w:t>标志，由专人进行管理，</w:t>
            </w:r>
            <w:r>
              <w:rPr>
                <w:rFonts w:ascii="宋体" w:hAnsi="宋体" w:eastAsia="宋体" w:cs="宋体"/>
                <w:spacing w:val="12"/>
                <w:sz w:val="20"/>
                <w:szCs w:val="20"/>
              </w:rPr>
              <w:t>严格落实危险固废转移台账管理，做到每一笔危险固废的</w:t>
            </w:r>
            <w:r>
              <w:rPr>
                <w:rFonts w:ascii="宋体" w:hAnsi="宋体" w:eastAsia="宋体" w:cs="宋体"/>
                <w:spacing w:val="11"/>
                <w:sz w:val="20"/>
                <w:szCs w:val="20"/>
              </w:rPr>
              <w:t>去向都有台账记录，包括厂区内</w:t>
            </w:r>
            <w:r>
              <w:rPr>
                <w:rFonts w:ascii="宋体" w:hAnsi="宋体" w:eastAsia="宋体" w:cs="宋体"/>
                <w:spacing w:val="8"/>
                <w:sz w:val="20"/>
                <w:szCs w:val="20"/>
              </w:rPr>
              <w:t>部的和行政管理部门的。</w:t>
            </w:r>
          </w:p>
          <w:p w14:paraId="3BFC2B6D">
            <w:pPr>
              <w:spacing w:before="1" w:line="377" w:lineRule="auto"/>
              <w:ind w:left="105" w:right="104" w:hanging="1"/>
              <w:rPr>
                <w:rFonts w:ascii="宋体" w:hAnsi="宋体" w:eastAsia="宋体" w:cs="宋体"/>
                <w:sz w:val="20"/>
                <w:szCs w:val="20"/>
              </w:rPr>
            </w:pPr>
            <w:r>
              <w:rPr>
                <w:rFonts w:ascii="宋体" w:hAnsi="宋体" w:eastAsia="宋体" w:cs="宋体"/>
                <w:spacing w:val="12"/>
                <w:sz w:val="20"/>
                <w:szCs w:val="20"/>
              </w:rPr>
              <w:t>②危险废物暂存场所设置堵截泄漏的裙脚，地面进行防渗处</w:t>
            </w:r>
            <w:r>
              <w:rPr>
                <w:rFonts w:ascii="宋体" w:hAnsi="宋体" w:eastAsia="宋体" w:cs="宋体"/>
                <w:spacing w:val="11"/>
                <w:sz w:val="20"/>
                <w:szCs w:val="20"/>
              </w:rPr>
              <w:t>理，危废暂存场所危废暂存间</w:t>
            </w:r>
            <w:r>
              <w:rPr>
                <w:rFonts w:ascii="宋体" w:hAnsi="宋体" w:eastAsia="宋体" w:cs="宋体"/>
                <w:spacing w:val="10"/>
                <w:sz w:val="20"/>
                <w:szCs w:val="20"/>
              </w:rPr>
              <w:t>地面做防渗，防渗层为至少</w:t>
            </w:r>
            <w:r>
              <w:rPr>
                <w:rFonts w:ascii="宋体" w:hAnsi="宋体" w:eastAsia="宋体" w:cs="宋体"/>
                <w:spacing w:val="-29"/>
                <w:sz w:val="20"/>
                <w:szCs w:val="20"/>
              </w:rPr>
              <w:t xml:space="preserve"> </w:t>
            </w:r>
            <w:r>
              <w:rPr>
                <w:rFonts w:ascii="Times New Roman" w:hAnsi="Times New Roman" w:eastAsia="Times New Roman" w:cs="Times New Roman"/>
                <w:spacing w:val="10"/>
                <w:sz w:val="20"/>
                <w:szCs w:val="20"/>
              </w:rPr>
              <w:t>2</w:t>
            </w:r>
            <w:r>
              <w:rPr>
                <w:rFonts w:ascii="Times New Roman" w:hAnsi="Times New Roman" w:eastAsia="Times New Roman" w:cs="Times New Roman"/>
                <w:sz w:val="20"/>
                <w:szCs w:val="20"/>
              </w:rPr>
              <w:t>mm</w:t>
            </w:r>
            <w:r>
              <w:rPr>
                <w:rFonts w:ascii="Times New Roman" w:hAnsi="Times New Roman" w:eastAsia="Times New Roman" w:cs="Times New Roman"/>
                <w:spacing w:val="22"/>
                <w:sz w:val="20"/>
                <w:szCs w:val="20"/>
              </w:rPr>
              <w:t xml:space="preserve"> </w:t>
            </w:r>
            <w:r>
              <w:rPr>
                <w:rFonts w:ascii="宋体" w:hAnsi="宋体" w:eastAsia="宋体" w:cs="宋体"/>
                <w:spacing w:val="10"/>
                <w:sz w:val="20"/>
                <w:szCs w:val="20"/>
              </w:rPr>
              <w:t>厚高密度聚乙烯，或至少</w:t>
            </w:r>
            <w:r>
              <w:rPr>
                <w:rFonts w:ascii="宋体" w:hAnsi="宋体" w:eastAsia="宋体" w:cs="宋体"/>
                <w:spacing w:val="-41"/>
                <w:sz w:val="20"/>
                <w:szCs w:val="20"/>
              </w:rPr>
              <w:t xml:space="preserve"> </w:t>
            </w:r>
            <w:r>
              <w:rPr>
                <w:rFonts w:ascii="Times New Roman" w:hAnsi="Times New Roman" w:eastAsia="Times New Roman" w:cs="Times New Roman"/>
                <w:spacing w:val="10"/>
                <w:sz w:val="20"/>
                <w:szCs w:val="20"/>
              </w:rPr>
              <w:t>2</w:t>
            </w:r>
            <w:r>
              <w:rPr>
                <w:rFonts w:ascii="Times New Roman" w:hAnsi="Times New Roman" w:eastAsia="Times New Roman" w:cs="Times New Roman"/>
                <w:sz w:val="20"/>
                <w:szCs w:val="20"/>
              </w:rPr>
              <w:t>mm</w:t>
            </w:r>
            <w:r>
              <w:rPr>
                <w:rFonts w:ascii="Times New Roman" w:hAnsi="Times New Roman" w:eastAsia="Times New Roman" w:cs="Times New Roman"/>
                <w:spacing w:val="19"/>
                <w:w w:val="101"/>
                <w:sz w:val="20"/>
                <w:szCs w:val="20"/>
              </w:rPr>
              <w:t xml:space="preserve"> </w:t>
            </w:r>
            <w:r>
              <w:rPr>
                <w:rFonts w:ascii="宋体" w:hAnsi="宋体" w:eastAsia="宋体" w:cs="宋体"/>
                <w:spacing w:val="10"/>
                <w:sz w:val="20"/>
                <w:szCs w:val="20"/>
              </w:rPr>
              <w:t>厚的其它人工材料，渗透</w:t>
            </w:r>
            <w:r>
              <w:rPr>
                <w:rFonts w:ascii="宋体" w:hAnsi="宋体" w:eastAsia="宋体" w:cs="宋体"/>
                <w:spacing w:val="4"/>
                <w:sz w:val="20"/>
                <w:szCs w:val="20"/>
              </w:rPr>
              <w:t>系数</w:t>
            </w:r>
            <w:r>
              <w:rPr>
                <w:rFonts w:ascii="Times New Roman" w:hAnsi="Times New Roman" w:eastAsia="Times New Roman" w:cs="Times New Roman"/>
                <w:spacing w:val="4"/>
                <w:sz w:val="20"/>
                <w:szCs w:val="20"/>
              </w:rPr>
              <w:t>≤10</w:t>
            </w:r>
            <w:r>
              <w:rPr>
                <w:rFonts w:ascii="Times New Roman" w:hAnsi="Times New Roman" w:eastAsia="Times New Roman" w:cs="Times New Roman"/>
                <w:spacing w:val="4"/>
                <w:position w:val="6"/>
                <w:sz w:val="13"/>
                <w:szCs w:val="13"/>
              </w:rPr>
              <w:t>-10</w:t>
            </w:r>
            <w:r>
              <w:rPr>
                <w:rFonts w:ascii="Times New Roman" w:hAnsi="Times New Roman" w:eastAsia="Times New Roman" w:cs="Times New Roman"/>
                <w:sz w:val="20"/>
                <w:szCs w:val="20"/>
              </w:rPr>
              <w:t>cm</w:t>
            </w:r>
            <w:r>
              <w:rPr>
                <w:rFonts w:ascii="Times New Roman" w:hAnsi="Times New Roman" w:eastAsia="Times New Roman" w:cs="Times New Roman"/>
                <w:spacing w:val="4"/>
                <w:sz w:val="20"/>
                <w:szCs w:val="20"/>
              </w:rPr>
              <w:t>/s</w:t>
            </w:r>
            <w:r>
              <w:rPr>
                <w:rFonts w:ascii="宋体" w:hAnsi="宋体" w:eastAsia="宋体" w:cs="宋体"/>
                <w:spacing w:val="4"/>
                <w:sz w:val="20"/>
                <w:szCs w:val="20"/>
              </w:rPr>
              <w:t>。</w:t>
            </w:r>
          </w:p>
          <w:p w14:paraId="068B444B">
            <w:pPr>
              <w:spacing w:before="1" w:line="376" w:lineRule="auto"/>
              <w:ind w:left="108" w:right="102" w:hanging="4"/>
              <w:rPr>
                <w:rFonts w:ascii="宋体" w:hAnsi="宋体" w:eastAsia="宋体" w:cs="宋体"/>
                <w:sz w:val="20"/>
                <w:szCs w:val="20"/>
              </w:rPr>
            </w:pPr>
            <w:r>
              <w:rPr>
                <w:rFonts w:ascii="宋体" w:hAnsi="宋体" w:eastAsia="宋体" w:cs="宋体"/>
                <w:spacing w:val="12"/>
                <w:sz w:val="20"/>
                <w:szCs w:val="20"/>
              </w:rPr>
              <w:t>③对装有废机油的容器进行定期检查，容器泄漏损坏时必须立即处</w:t>
            </w:r>
            <w:r>
              <w:rPr>
                <w:rFonts w:ascii="宋体" w:hAnsi="宋体" w:eastAsia="宋体" w:cs="宋体"/>
                <w:spacing w:val="11"/>
                <w:sz w:val="20"/>
                <w:szCs w:val="20"/>
              </w:rPr>
              <w:t>理，并将危废装入完好</w:t>
            </w:r>
            <w:r>
              <w:rPr>
                <w:rFonts w:ascii="宋体" w:hAnsi="宋体" w:eastAsia="宋体" w:cs="宋体"/>
                <w:spacing w:val="8"/>
                <w:sz w:val="20"/>
                <w:szCs w:val="20"/>
              </w:rPr>
              <w:t>容器内，同时危险废物储存区设置警示标牌。</w:t>
            </w:r>
          </w:p>
          <w:p w14:paraId="67536D40">
            <w:pPr>
              <w:spacing w:line="377" w:lineRule="auto"/>
              <w:ind w:left="108" w:right="104" w:hanging="4"/>
              <w:rPr>
                <w:rFonts w:ascii="宋体" w:hAnsi="宋体" w:eastAsia="宋体" w:cs="宋体"/>
                <w:sz w:val="20"/>
                <w:szCs w:val="20"/>
              </w:rPr>
            </w:pPr>
            <w:r>
              <w:rPr>
                <w:rFonts w:ascii="宋体" w:hAnsi="宋体" w:eastAsia="宋体" w:cs="宋体"/>
                <w:spacing w:val="12"/>
                <w:sz w:val="20"/>
                <w:szCs w:val="20"/>
              </w:rPr>
              <w:t>④所有包装袋、桶必须贴上危险废物标签，危险废物标签上</w:t>
            </w:r>
            <w:r>
              <w:rPr>
                <w:rFonts w:ascii="宋体" w:hAnsi="宋体" w:eastAsia="宋体" w:cs="宋体"/>
                <w:spacing w:val="11"/>
                <w:sz w:val="20"/>
                <w:szCs w:val="20"/>
              </w:rPr>
              <w:t>文字字体为黑体、底色为醒目</w:t>
            </w:r>
            <w:r>
              <w:rPr>
                <w:rFonts w:ascii="宋体" w:hAnsi="宋体" w:eastAsia="宋体" w:cs="宋体"/>
                <w:spacing w:val="12"/>
                <w:sz w:val="20"/>
                <w:szCs w:val="20"/>
              </w:rPr>
              <w:t>的桔黄色，稳妥贴附在包装袋、桶适当位置，使其</w:t>
            </w:r>
            <w:r>
              <w:rPr>
                <w:rFonts w:ascii="宋体" w:hAnsi="宋体" w:eastAsia="宋体" w:cs="宋体"/>
                <w:spacing w:val="11"/>
                <w:sz w:val="20"/>
                <w:szCs w:val="20"/>
              </w:rPr>
              <w:t>清晰易读。危险废物标签要提供下列说</w:t>
            </w:r>
            <w:r>
              <w:rPr>
                <w:rFonts w:ascii="宋体" w:hAnsi="宋体" w:eastAsia="宋体" w:cs="宋体"/>
                <w:spacing w:val="12"/>
                <w:sz w:val="20"/>
                <w:szCs w:val="20"/>
              </w:rPr>
              <w:t>明：</w:t>
            </w:r>
            <w:r>
              <w:rPr>
                <w:rFonts w:ascii="Times New Roman" w:hAnsi="Times New Roman" w:eastAsia="Times New Roman" w:cs="Times New Roman"/>
                <w:spacing w:val="12"/>
                <w:sz w:val="20"/>
                <w:szCs w:val="20"/>
              </w:rPr>
              <w:t>“</w:t>
            </w:r>
            <w:r>
              <w:rPr>
                <w:rFonts w:ascii="宋体" w:hAnsi="宋体" w:eastAsia="宋体" w:cs="宋体"/>
                <w:spacing w:val="12"/>
                <w:sz w:val="20"/>
                <w:szCs w:val="20"/>
              </w:rPr>
              <w:t>危险废物</w:t>
            </w:r>
            <w:r>
              <w:rPr>
                <w:rFonts w:ascii="Times New Roman" w:hAnsi="Times New Roman" w:eastAsia="Times New Roman" w:cs="Times New Roman"/>
                <w:spacing w:val="12"/>
                <w:sz w:val="20"/>
                <w:szCs w:val="20"/>
              </w:rPr>
              <w:t>”</w:t>
            </w:r>
            <w:r>
              <w:rPr>
                <w:rFonts w:ascii="宋体" w:hAnsi="宋体" w:eastAsia="宋体" w:cs="宋体"/>
                <w:spacing w:val="12"/>
                <w:sz w:val="20"/>
                <w:szCs w:val="20"/>
              </w:rPr>
              <w:t>字样、危险废物产生单位名称、联系人、联系电话、主要</w:t>
            </w:r>
            <w:r>
              <w:rPr>
                <w:rFonts w:ascii="宋体" w:hAnsi="宋体" w:eastAsia="宋体" w:cs="宋体"/>
                <w:spacing w:val="11"/>
                <w:sz w:val="20"/>
                <w:szCs w:val="20"/>
              </w:rPr>
              <w:t>化学成分或商品</w:t>
            </w:r>
            <w:r>
              <w:rPr>
                <w:rFonts w:ascii="宋体" w:hAnsi="宋体" w:eastAsia="宋体" w:cs="宋体"/>
                <w:spacing w:val="8"/>
                <w:sz w:val="20"/>
                <w:szCs w:val="20"/>
              </w:rPr>
              <w:t>名称、危险类别、安全措施等。</w:t>
            </w:r>
          </w:p>
          <w:p w14:paraId="0FBE18DD">
            <w:pPr>
              <w:spacing w:before="1" w:line="376" w:lineRule="auto"/>
              <w:ind w:left="105" w:right="104" w:hanging="1"/>
              <w:rPr>
                <w:rFonts w:ascii="宋体" w:hAnsi="宋体" w:eastAsia="宋体" w:cs="宋体"/>
                <w:sz w:val="20"/>
                <w:szCs w:val="20"/>
              </w:rPr>
            </w:pPr>
            <w:r>
              <w:rPr>
                <w:rFonts w:ascii="宋体" w:hAnsi="宋体" w:eastAsia="宋体" w:cs="宋体"/>
                <w:spacing w:val="12"/>
                <w:sz w:val="20"/>
                <w:szCs w:val="20"/>
              </w:rPr>
              <w:t>⑤建设单位加强安全管理，配置相关消防器材，远离火源、</w:t>
            </w:r>
            <w:r>
              <w:rPr>
                <w:rFonts w:ascii="宋体" w:hAnsi="宋体" w:eastAsia="宋体" w:cs="宋体"/>
                <w:spacing w:val="11"/>
                <w:sz w:val="20"/>
                <w:szCs w:val="20"/>
              </w:rPr>
              <w:t>热源，完善突发事件应急管理</w:t>
            </w:r>
            <w:r>
              <w:rPr>
                <w:rFonts w:ascii="宋体" w:hAnsi="宋体" w:eastAsia="宋体" w:cs="宋体"/>
                <w:spacing w:val="9"/>
                <w:sz w:val="20"/>
                <w:szCs w:val="20"/>
              </w:rPr>
              <w:t>体系，并配置专业人员巡查及时排查安全隐患，防止事故发生。</w:t>
            </w:r>
          </w:p>
          <w:p w14:paraId="7F4874F3">
            <w:pPr>
              <w:spacing w:before="1" w:line="377" w:lineRule="auto"/>
              <w:ind w:left="105" w:right="104" w:hanging="1"/>
              <w:rPr>
                <w:rFonts w:ascii="宋体" w:hAnsi="宋体" w:eastAsia="宋体" w:cs="宋体"/>
                <w:sz w:val="20"/>
                <w:szCs w:val="20"/>
              </w:rPr>
            </w:pPr>
            <w:r>
              <w:rPr>
                <w:rFonts w:ascii="宋体" w:hAnsi="宋体" w:eastAsia="宋体" w:cs="宋体"/>
                <w:spacing w:val="6"/>
                <w:sz w:val="20"/>
                <w:szCs w:val="20"/>
              </w:rPr>
              <w:t>⑥存放油漆等的化学品仓库应按照《中华人民共和国安全生产法》（</w:t>
            </w:r>
            <w:r>
              <w:rPr>
                <w:rFonts w:ascii="Times New Roman" w:hAnsi="Times New Roman" w:eastAsia="Times New Roman" w:cs="Times New Roman"/>
                <w:spacing w:val="6"/>
                <w:sz w:val="20"/>
                <w:szCs w:val="20"/>
              </w:rPr>
              <w:t>2021</w:t>
            </w:r>
            <w:r>
              <w:rPr>
                <w:rFonts w:ascii="宋体" w:hAnsi="宋体" w:eastAsia="宋体" w:cs="宋体"/>
                <w:spacing w:val="6"/>
                <w:sz w:val="20"/>
                <w:szCs w:val="20"/>
              </w:rPr>
              <w:t>年修订版）和《危</w:t>
            </w:r>
            <w:r>
              <w:rPr>
                <w:rFonts w:ascii="宋体" w:hAnsi="宋体" w:eastAsia="宋体" w:cs="宋体"/>
                <w:spacing w:val="11"/>
                <w:sz w:val="20"/>
                <w:szCs w:val="20"/>
              </w:rPr>
              <w:t>险化学品安全管理条例》，</w:t>
            </w:r>
            <w:r>
              <w:rPr>
                <w:rFonts w:ascii="宋体" w:hAnsi="宋体" w:eastAsia="宋体" w:cs="宋体"/>
                <w:spacing w:val="-57"/>
                <w:sz w:val="20"/>
                <w:szCs w:val="20"/>
              </w:rPr>
              <w:t xml:space="preserve"> </w:t>
            </w:r>
            <w:r>
              <w:rPr>
                <w:rFonts w:ascii="宋体" w:hAnsi="宋体" w:eastAsia="宋体" w:cs="宋体"/>
                <w:spacing w:val="11"/>
                <w:sz w:val="20"/>
                <w:szCs w:val="20"/>
              </w:rPr>
              <w:t>以及《常用危险化</w:t>
            </w:r>
            <w:r>
              <w:rPr>
                <w:rFonts w:ascii="宋体" w:hAnsi="宋体" w:eastAsia="宋体" w:cs="宋体"/>
                <w:spacing w:val="10"/>
                <w:sz w:val="20"/>
                <w:szCs w:val="20"/>
              </w:rPr>
              <w:t>学品贮存通则》《腐蚀性商品储藏养护技术</w:t>
            </w:r>
            <w:r>
              <w:rPr>
                <w:rFonts w:ascii="宋体" w:hAnsi="宋体" w:eastAsia="宋体" w:cs="宋体"/>
                <w:spacing w:val="12"/>
                <w:sz w:val="20"/>
                <w:szCs w:val="20"/>
              </w:rPr>
              <w:t>条件》等国家标准对仓储管理各要求进行有机整合，符</w:t>
            </w:r>
            <w:r>
              <w:rPr>
                <w:rFonts w:ascii="宋体" w:hAnsi="宋体" w:eastAsia="宋体" w:cs="宋体"/>
                <w:spacing w:val="11"/>
                <w:sz w:val="20"/>
                <w:szCs w:val="20"/>
              </w:rPr>
              <w:t>合有关安全、防火规定，并设置相</w:t>
            </w:r>
            <w:r>
              <w:rPr>
                <w:rFonts w:ascii="宋体" w:hAnsi="宋体" w:eastAsia="宋体" w:cs="宋体"/>
                <w:spacing w:val="8"/>
                <w:sz w:val="20"/>
                <w:szCs w:val="20"/>
              </w:rPr>
              <w:t>应的通风、防火、灭火等安全设施。</w:t>
            </w:r>
          </w:p>
          <w:p w14:paraId="471175D9">
            <w:pPr>
              <w:spacing w:before="2" w:line="362" w:lineRule="auto"/>
              <w:ind w:left="104" w:right="104"/>
              <w:rPr>
                <w:rFonts w:ascii="宋体" w:hAnsi="宋体" w:eastAsia="宋体" w:cs="宋体"/>
                <w:sz w:val="20"/>
                <w:szCs w:val="20"/>
              </w:rPr>
            </w:pPr>
            <w:r>
              <w:rPr>
                <w:rFonts w:ascii="宋体" w:hAnsi="宋体" w:eastAsia="宋体" w:cs="宋体"/>
                <w:spacing w:val="12"/>
                <w:sz w:val="20"/>
                <w:szCs w:val="20"/>
              </w:rPr>
              <w:t>⑦按照《突发环境事件应急预案管理暂行办法》的要求，修</w:t>
            </w:r>
            <w:r>
              <w:rPr>
                <w:rFonts w:ascii="宋体" w:hAnsi="宋体" w:eastAsia="宋体" w:cs="宋体"/>
                <w:spacing w:val="11"/>
                <w:sz w:val="20"/>
                <w:szCs w:val="20"/>
              </w:rPr>
              <w:t>编突发环境事件应急预案，并</w:t>
            </w:r>
            <w:r>
              <w:rPr>
                <w:rFonts w:ascii="宋体" w:hAnsi="宋体" w:eastAsia="宋体" w:cs="宋体"/>
                <w:spacing w:val="10"/>
                <w:sz w:val="20"/>
                <w:szCs w:val="20"/>
              </w:rPr>
              <w:t>报昆明市生态环境局寻甸分局备案。建立完善的应急报告制度，落实应急物资和经费，</w:t>
            </w:r>
            <w:r>
              <w:rPr>
                <w:rFonts w:ascii="宋体" w:hAnsi="宋体" w:eastAsia="宋体" w:cs="宋体"/>
                <w:spacing w:val="-35"/>
                <w:sz w:val="20"/>
                <w:szCs w:val="20"/>
              </w:rPr>
              <w:t xml:space="preserve"> </w:t>
            </w:r>
            <w:r>
              <w:rPr>
                <w:rFonts w:ascii="宋体" w:hAnsi="宋体" w:eastAsia="宋体" w:cs="宋体"/>
                <w:spacing w:val="10"/>
                <w:sz w:val="20"/>
                <w:szCs w:val="20"/>
              </w:rPr>
              <w:t>日</w:t>
            </w:r>
            <w:r>
              <w:rPr>
                <w:rFonts w:ascii="宋体" w:hAnsi="宋体" w:eastAsia="宋体" w:cs="宋体"/>
                <w:spacing w:val="7"/>
                <w:sz w:val="20"/>
                <w:szCs w:val="20"/>
              </w:rPr>
              <w:t>常加强应急演练。</w:t>
            </w:r>
          </w:p>
        </w:tc>
      </w:tr>
      <w:tr w14:paraId="7F21C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2" w:hRule="atLeast"/>
        </w:trPr>
        <w:tc>
          <w:tcPr>
            <w:tcW w:w="1148" w:type="dxa"/>
            <w:tcBorders>
              <w:left w:val="single" w:color="000000" w:sz="6" w:space="0"/>
              <w:bottom w:val="single" w:color="000000" w:sz="6" w:space="0"/>
            </w:tcBorders>
            <w:vAlign w:val="top"/>
          </w:tcPr>
          <w:p w14:paraId="51506516">
            <w:pPr>
              <w:spacing w:line="266" w:lineRule="auto"/>
              <w:rPr>
                <w:rFonts w:ascii="Arial"/>
                <w:sz w:val="21"/>
              </w:rPr>
            </w:pPr>
          </w:p>
          <w:p w14:paraId="56962FAE">
            <w:pPr>
              <w:spacing w:line="266" w:lineRule="auto"/>
              <w:rPr>
                <w:rFonts w:ascii="Arial"/>
                <w:sz w:val="21"/>
              </w:rPr>
            </w:pPr>
          </w:p>
          <w:p w14:paraId="4EB50F4E">
            <w:pPr>
              <w:spacing w:line="266" w:lineRule="auto"/>
              <w:rPr>
                <w:rFonts w:ascii="Arial"/>
                <w:sz w:val="21"/>
              </w:rPr>
            </w:pPr>
          </w:p>
          <w:p w14:paraId="38FCCDDB">
            <w:pPr>
              <w:spacing w:line="266" w:lineRule="auto"/>
              <w:rPr>
                <w:rFonts w:ascii="Arial"/>
                <w:sz w:val="21"/>
              </w:rPr>
            </w:pPr>
          </w:p>
          <w:p w14:paraId="1A111BE4">
            <w:pPr>
              <w:spacing w:line="267" w:lineRule="auto"/>
              <w:rPr>
                <w:rFonts w:ascii="Arial"/>
                <w:sz w:val="21"/>
              </w:rPr>
            </w:pPr>
          </w:p>
          <w:p w14:paraId="754F67BF">
            <w:pPr>
              <w:spacing w:before="65" w:line="252" w:lineRule="auto"/>
              <w:ind w:left="157" w:right="155" w:hanging="4"/>
              <w:rPr>
                <w:rFonts w:ascii="宋体" w:hAnsi="宋体" w:eastAsia="宋体" w:cs="宋体"/>
                <w:sz w:val="20"/>
                <w:szCs w:val="20"/>
              </w:rPr>
            </w:pPr>
            <w:r>
              <w:rPr>
                <w:rFonts w:ascii="宋体" w:hAnsi="宋体" w:eastAsia="宋体" w:cs="宋体"/>
                <w:spacing w:val="7"/>
                <w:sz w:val="20"/>
                <w:szCs w:val="20"/>
              </w:rPr>
              <w:t>其他环境</w:t>
            </w:r>
            <w:r>
              <w:rPr>
                <w:rFonts w:ascii="宋体" w:hAnsi="宋体" w:eastAsia="宋体" w:cs="宋体"/>
                <w:spacing w:val="6"/>
                <w:sz w:val="20"/>
                <w:szCs w:val="20"/>
              </w:rPr>
              <w:t>管理要求</w:t>
            </w:r>
          </w:p>
        </w:tc>
        <w:tc>
          <w:tcPr>
            <w:tcW w:w="8476" w:type="dxa"/>
            <w:tcBorders>
              <w:bottom w:val="single" w:color="000000" w:sz="6" w:space="0"/>
              <w:right w:val="single" w:color="000000" w:sz="6" w:space="0"/>
            </w:tcBorders>
            <w:vAlign w:val="top"/>
          </w:tcPr>
          <w:p w14:paraId="045F1B28">
            <w:pPr>
              <w:spacing w:before="43" w:line="228" w:lineRule="auto"/>
              <w:ind w:left="532"/>
              <w:rPr>
                <w:rFonts w:ascii="宋体" w:hAnsi="宋体" w:eastAsia="宋体" w:cs="宋体"/>
                <w:sz w:val="20"/>
                <w:szCs w:val="20"/>
              </w:rPr>
            </w:pPr>
            <w:r>
              <w:rPr>
                <w:rFonts w:ascii="Times New Roman" w:hAnsi="Times New Roman" w:eastAsia="Times New Roman" w:cs="Times New Roman"/>
                <w:b/>
                <w:bCs/>
                <w:spacing w:val="1"/>
                <w:sz w:val="20"/>
                <w:szCs w:val="20"/>
              </w:rPr>
              <w:t>1</w:t>
            </w:r>
            <w:r>
              <w:rPr>
                <w:rFonts w:ascii="Times New Roman" w:hAnsi="Times New Roman" w:eastAsia="Times New Roman" w:cs="Times New Roman"/>
                <w:b/>
                <w:bCs/>
                <w:spacing w:val="-25"/>
                <w:sz w:val="20"/>
                <w:szCs w:val="20"/>
              </w:rPr>
              <w:t xml:space="preserve"> </w:t>
            </w:r>
            <w:r>
              <w:rPr>
                <w:rFonts w:ascii="宋体" w:hAnsi="宋体" w:eastAsia="宋体" w:cs="宋体"/>
                <w:b/>
                <w:bCs/>
                <w:spacing w:val="1"/>
                <w:sz w:val="20"/>
                <w:szCs w:val="20"/>
              </w:rPr>
              <w:t>、环境管理</w:t>
            </w:r>
          </w:p>
          <w:p w14:paraId="10EB5ACA">
            <w:pPr>
              <w:spacing w:before="160" w:line="228" w:lineRule="auto"/>
              <w:ind w:left="536"/>
              <w:rPr>
                <w:rFonts w:ascii="宋体" w:hAnsi="宋体" w:eastAsia="宋体" w:cs="宋体"/>
                <w:sz w:val="20"/>
                <w:szCs w:val="20"/>
              </w:rPr>
            </w:pPr>
            <w:r>
              <w:rPr>
                <w:rFonts w:ascii="宋体" w:hAnsi="宋体" w:eastAsia="宋体" w:cs="宋体"/>
                <w:b/>
                <w:bCs/>
                <w:spacing w:val="5"/>
                <w:sz w:val="20"/>
                <w:szCs w:val="20"/>
              </w:rPr>
              <w:t>（</w:t>
            </w:r>
            <w:r>
              <w:rPr>
                <w:rFonts w:ascii="Times New Roman" w:hAnsi="Times New Roman" w:eastAsia="Times New Roman" w:cs="Times New Roman"/>
                <w:b/>
                <w:bCs/>
                <w:spacing w:val="5"/>
                <w:sz w:val="20"/>
                <w:szCs w:val="20"/>
              </w:rPr>
              <w:t>1</w:t>
            </w:r>
            <w:r>
              <w:rPr>
                <w:rFonts w:ascii="宋体" w:hAnsi="宋体" w:eastAsia="宋体" w:cs="宋体"/>
                <w:b/>
                <w:bCs/>
                <w:spacing w:val="5"/>
                <w:sz w:val="20"/>
                <w:szCs w:val="20"/>
              </w:rPr>
              <w:t>）环境管理的重要性：</w:t>
            </w:r>
          </w:p>
          <w:p w14:paraId="5ADC18BD">
            <w:pPr>
              <w:spacing w:before="160" w:line="377" w:lineRule="auto"/>
              <w:ind w:left="105" w:right="104" w:firstLine="424"/>
              <w:jc w:val="both"/>
              <w:rPr>
                <w:rFonts w:ascii="宋体" w:hAnsi="宋体" w:eastAsia="宋体" w:cs="宋体"/>
                <w:sz w:val="20"/>
                <w:szCs w:val="20"/>
              </w:rPr>
            </w:pPr>
            <w:r>
              <w:rPr>
                <w:rFonts w:ascii="宋体" w:hAnsi="宋体" w:eastAsia="宋体" w:cs="宋体"/>
                <w:spacing w:val="12"/>
                <w:sz w:val="20"/>
                <w:szCs w:val="20"/>
              </w:rPr>
              <w:t>项目在运营期将对环境产生一定的影响，为确保项目</w:t>
            </w:r>
            <w:r>
              <w:rPr>
                <w:rFonts w:ascii="宋体" w:hAnsi="宋体" w:eastAsia="宋体" w:cs="宋体"/>
                <w:spacing w:val="11"/>
                <w:sz w:val="20"/>
                <w:szCs w:val="20"/>
              </w:rPr>
              <w:t>内各污染治理设施正常运转，能</w:t>
            </w:r>
            <w:r>
              <w:rPr>
                <w:rFonts w:ascii="宋体" w:hAnsi="宋体" w:eastAsia="宋体" w:cs="宋体"/>
                <w:spacing w:val="12"/>
                <w:sz w:val="20"/>
                <w:szCs w:val="20"/>
              </w:rPr>
              <w:t>够实现污染达标排放，加强企业内部环境管理工作。针对</w:t>
            </w:r>
            <w:r>
              <w:rPr>
                <w:rFonts w:ascii="宋体" w:hAnsi="宋体" w:eastAsia="宋体" w:cs="宋体"/>
                <w:spacing w:val="11"/>
                <w:sz w:val="20"/>
                <w:szCs w:val="20"/>
              </w:rPr>
              <w:t>本次环境评价提出的主要环境问</w:t>
            </w:r>
            <w:r>
              <w:rPr>
                <w:rFonts w:ascii="宋体" w:hAnsi="宋体" w:eastAsia="宋体" w:cs="宋体"/>
                <w:spacing w:val="9"/>
                <w:sz w:val="20"/>
                <w:szCs w:val="20"/>
              </w:rPr>
              <w:t>题、环保措施及环保部门对该项目的要求，提出厂区环境管理与监控计划。</w:t>
            </w:r>
          </w:p>
          <w:p w14:paraId="0F552AC3">
            <w:pPr>
              <w:spacing w:line="227" w:lineRule="auto"/>
              <w:ind w:left="536"/>
              <w:rPr>
                <w:rFonts w:ascii="宋体" w:hAnsi="宋体" w:eastAsia="宋体" w:cs="宋体"/>
                <w:sz w:val="20"/>
                <w:szCs w:val="20"/>
              </w:rPr>
            </w:pPr>
            <w:r>
              <w:rPr>
                <w:rFonts w:ascii="宋体" w:hAnsi="宋体" w:eastAsia="宋体" w:cs="宋体"/>
                <w:b/>
                <w:bCs/>
                <w:spacing w:val="5"/>
                <w:sz w:val="20"/>
                <w:szCs w:val="20"/>
              </w:rPr>
              <w:t>（</w:t>
            </w:r>
            <w:r>
              <w:rPr>
                <w:rFonts w:ascii="Times New Roman" w:hAnsi="Times New Roman" w:eastAsia="Times New Roman" w:cs="Times New Roman"/>
                <w:b/>
                <w:bCs/>
                <w:spacing w:val="5"/>
                <w:sz w:val="20"/>
                <w:szCs w:val="20"/>
              </w:rPr>
              <w:t>2</w:t>
            </w:r>
            <w:r>
              <w:rPr>
                <w:rFonts w:ascii="宋体" w:hAnsi="宋体" w:eastAsia="宋体" w:cs="宋体"/>
                <w:b/>
                <w:bCs/>
                <w:spacing w:val="5"/>
                <w:sz w:val="20"/>
                <w:szCs w:val="20"/>
              </w:rPr>
              <w:t>）环境管理职责：</w:t>
            </w:r>
          </w:p>
          <w:p w14:paraId="5A3CD91D">
            <w:pPr>
              <w:spacing w:before="164" w:line="228" w:lineRule="auto"/>
              <w:ind w:left="529"/>
              <w:rPr>
                <w:rFonts w:ascii="宋体" w:hAnsi="宋体" w:eastAsia="宋体" w:cs="宋体"/>
                <w:sz w:val="20"/>
                <w:szCs w:val="20"/>
              </w:rPr>
            </w:pPr>
            <w:r>
              <w:rPr>
                <w:rFonts w:ascii="宋体" w:hAnsi="宋体" w:eastAsia="宋体" w:cs="宋体"/>
                <w:spacing w:val="9"/>
                <w:sz w:val="20"/>
                <w:szCs w:val="20"/>
              </w:rPr>
              <w:t>为加强企业的环境保护管理工作，明确其环境管理的主要职责如下：</w:t>
            </w:r>
          </w:p>
          <w:p w14:paraId="507F1760">
            <w:pPr>
              <w:spacing w:before="161" w:line="228" w:lineRule="auto"/>
              <w:ind w:left="542"/>
              <w:rPr>
                <w:rFonts w:ascii="宋体" w:hAnsi="宋体" w:eastAsia="宋体" w:cs="宋体"/>
                <w:sz w:val="20"/>
                <w:szCs w:val="20"/>
              </w:rPr>
            </w:pPr>
            <w:r>
              <w:rPr>
                <w:rFonts w:ascii="Times New Roman" w:hAnsi="Times New Roman" w:eastAsia="Times New Roman" w:cs="Times New Roman"/>
                <w:spacing w:val="8"/>
                <w:sz w:val="20"/>
                <w:szCs w:val="20"/>
              </w:rPr>
              <w:t>1</w:t>
            </w:r>
            <w:r>
              <w:rPr>
                <w:rFonts w:ascii="宋体" w:hAnsi="宋体" w:eastAsia="宋体" w:cs="宋体"/>
                <w:spacing w:val="8"/>
                <w:sz w:val="20"/>
                <w:szCs w:val="20"/>
              </w:rPr>
              <w:t>）贯彻执行国家、地方环境保护法规和标准。</w:t>
            </w:r>
          </w:p>
        </w:tc>
      </w:tr>
    </w:tbl>
    <w:p w14:paraId="166F6C45">
      <w:pPr>
        <w:pStyle w:val="2"/>
      </w:pPr>
    </w:p>
    <w:p w14:paraId="19D19360">
      <w:pPr>
        <w:sectPr>
          <w:footerReference r:id="rId115" w:type="default"/>
          <w:pgSz w:w="11906" w:h="16839"/>
          <w:pgMar w:top="400" w:right="1070" w:bottom="1097" w:left="1196" w:header="0" w:footer="755" w:gutter="0"/>
          <w:cols w:space="720" w:num="1"/>
        </w:sectPr>
      </w:pPr>
    </w:p>
    <w:p w14:paraId="5614986B">
      <w:pPr>
        <w:spacing w:before="42"/>
      </w:pPr>
    </w:p>
    <w:p w14:paraId="798430BA">
      <w:pPr>
        <w:spacing w:before="41"/>
      </w:pPr>
    </w:p>
    <w:p w14:paraId="444DEAAD">
      <w:pPr>
        <w:spacing w:before="41"/>
      </w:pPr>
    </w:p>
    <w:p w14:paraId="64C2CEB4">
      <w:pPr>
        <w:spacing w:before="41"/>
      </w:pPr>
    </w:p>
    <w:tbl>
      <w:tblPr>
        <w:tblStyle w:val="10"/>
        <w:tblW w:w="96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48"/>
        <w:gridCol w:w="8476"/>
      </w:tblGrid>
      <w:tr w14:paraId="070C9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3" w:hRule="atLeast"/>
        </w:trPr>
        <w:tc>
          <w:tcPr>
            <w:tcW w:w="1148" w:type="dxa"/>
            <w:tcBorders>
              <w:right w:val="single" w:color="000000" w:sz="2" w:space="0"/>
            </w:tcBorders>
            <w:vAlign w:val="top"/>
          </w:tcPr>
          <w:p w14:paraId="215DCB3E">
            <w:pPr>
              <w:rPr>
                <w:rFonts w:ascii="Arial"/>
                <w:sz w:val="21"/>
              </w:rPr>
            </w:pPr>
          </w:p>
        </w:tc>
        <w:tc>
          <w:tcPr>
            <w:tcW w:w="8476" w:type="dxa"/>
            <w:tcBorders>
              <w:left w:val="single" w:color="000000" w:sz="2" w:space="0"/>
            </w:tcBorders>
            <w:vAlign w:val="top"/>
          </w:tcPr>
          <w:p w14:paraId="199AD0FA">
            <w:pPr>
              <w:spacing w:before="26" w:line="377" w:lineRule="auto"/>
              <w:ind w:left="107" w:right="104" w:firstLine="415"/>
              <w:rPr>
                <w:rFonts w:ascii="宋体" w:hAnsi="宋体" w:eastAsia="宋体" w:cs="宋体"/>
                <w:sz w:val="20"/>
                <w:szCs w:val="20"/>
              </w:rPr>
            </w:pPr>
            <w:r>
              <w:rPr>
                <w:rFonts w:ascii="Times New Roman" w:hAnsi="Times New Roman" w:eastAsia="Times New Roman" w:cs="Times New Roman"/>
                <w:spacing w:val="9"/>
                <w:sz w:val="20"/>
                <w:szCs w:val="20"/>
              </w:rPr>
              <w:t>2</w:t>
            </w:r>
            <w:r>
              <w:rPr>
                <w:rFonts w:ascii="宋体" w:hAnsi="宋体" w:eastAsia="宋体" w:cs="宋体"/>
                <w:spacing w:val="9"/>
                <w:sz w:val="20"/>
                <w:szCs w:val="20"/>
              </w:rPr>
              <w:t>）制定明确的环境方针，包括对污染预防的承诺、对有关环境法律、法规</w:t>
            </w:r>
            <w:r>
              <w:rPr>
                <w:rFonts w:ascii="宋体" w:hAnsi="宋体" w:eastAsia="宋体" w:cs="宋体"/>
                <w:spacing w:val="8"/>
                <w:sz w:val="20"/>
                <w:szCs w:val="20"/>
              </w:rPr>
              <w:t>及应遵守的</w:t>
            </w:r>
            <w:r>
              <w:rPr>
                <w:rFonts w:ascii="宋体" w:hAnsi="宋体" w:eastAsia="宋体" w:cs="宋体"/>
                <w:spacing w:val="6"/>
                <w:sz w:val="20"/>
                <w:szCs w:val="20"/>
              </w:rPr>
              <w:t>规定和承诺。</w:t>
            </w:r>
          </w:p>
          <w:p w14:paraId="21855585">
            <w:pPr>
              <w:spacing w:before="1" w:line="376" w:lineRule="auto"/>
              <w:ind w:left="108" w:right="106" w:firstLine="418"/>
              <w:rPr>
                <w:rFonts w:ascii="宋体" w:hAnsi="宋体" w:eastAsia="宋体" w:cs="宋体"/>
                <w:sz w:val="20"/>
                <w:szCs w:val="20"/>
              </w:rPr>
            </w:pPr>
            <w:r>
              <w:rPr>
                <w:rFonts w:ascii="Times New Roman" w:hAnsi="Times New Roman" w:eastAsia="Times New Roman" w:cs="Times New Roman"/>
                <w:spacing w:val="9"/>
                <w:sz w:val="20"/>
                <w:szCs w:val="20"/>
              </w:rPr>
              <w:t>3</w:t>
            </w:r>
            <w:r>
              <w:rPr>
                <w:rFonts w:ascii="宋体" w:hAnsi="宋体" w:eastAsia="宋体" w:cs="宋体"/>
                <w:spacing w:val="9"/>
                <w:sz w:val="20"/>
                <w:szCs w:val="20"/>
              </w:rPr>
              <w:t>）负责运营期环保工作的计划安排，加强对生产过程中废水</w:t>
            </w:r>
            <w:r>
              <w:rPr>
                <w:rFonts w:ascii="宋体" w:hAnsi="宋体" w:eastAsia="宋体" w:cs="宋体"/>
                <w:spacing w:val="8"/>
                <w:sz w:val="20"/>
                <w:szCs w:val="20"/>
              </w:rPr>
              <w:t>、废气、噪声、固体废物</w:t>
            </w:r>
            <w:r>
              <w:rPr>
                <w:rFonts w:ascii="宋体" w:hAnsi="宋体" w:eastAsia="宋体" w:cs="宋体"/>
                <w:spacing w:val="5"/>
                <w:sz w:val="20"/>
                <w:szCs w:val="20"/>
              </w:rPr>
              <w:t>等的管理。</w:t>
            </w:r>
          </w:p>
          <w:p w14:paraId="78AAFF9E">
            <w:pPr>
              <w:spacing w:before="1" w:line="377" w:lineRule="auto"/>
              <w:ind w:left="110" w:right="104" w:firstLine="411"/>
              <w:rPr>
                <w:rFonts w:ascii="宋体" w:hAnsi="宋体" w:eastAsia="宋体" w:cs="宋体"/>
                <w:sz w:val="20"/>
                <w:szCs w:val="20"/>
              </w:rPr>
            </w:pPr>
            <w:r>
              <w:rPr>
                <w:rFonts w:ascii="Times New Roman" w:hAnsi="Times New Roman" w:eastAsia="Times New Roman" w:cs="Times New Roman"/>
                <w:spacing w:val="9"/>
                <w:sz w:val="20"/>
                <w:szCs w:val="20"/>
              </w:rPr>
              <w:t>4</w:t>
            </w:r>
            <w:r>
              <w:rPr>
                <w:rFonts w:ascii="宋体" w:hAnsi="宋体" w:eastAsia="宋体" w:cs="宋体"/>
                <w:spacing w:val="9"/>
                <w:sz w:val="20"/>
                <w:szCs w:val="20"/>
              </w:rPr>
              <w:t>）认真贯彻落实环保</w:t>
            </w:r>
            <w:r>
              <w:rPr>
                <w:rFonts w:ascii="Times New Roman" w:hAnsi="Times New Roman" w:eastAsia="Times New Roman" w:cs="Times New Roman"/>
                <w:spacing w:val="9"/>
                <w:sz w:val="20"/>
                <w:szCs w:val="20"/>
              </w:rPr>
              <w:t>“</w:t>
            </w:r>
            <w:r>
              <w:rPr>
                <w:rFonts w:ascii="宋体" w:hAnsi="宋体" w:eastAsia="宋体" w:cs="宋体"/>
                <w:spacing w:val="9"/>
                <w:sz w:val="20"/>
                <w:szCs w:val="20"/>
              </w:rPr>
              <w:t>三同时</w:t>
            </w:r>
            <w:r>
              <w:rPr>
                <w:rFonts w:ascii="Times New Roman" w:hAnsi="Times New Roman" w:eastAsia="Times New Roman" w:cs="Times New Roman"/>
                <w:spacing w:val="9"/>
                <w:sz w:val="20"/>
                <w:szCs w:val="20"/>
              </w:rPr>
              <w:t>”</w:t>
            </w:r>
            <w:r>
              <w:rPr>
                <w:rFonts w:ascii="宋体" w:hAnsi="宋体" w:eastAsia="宋体" w:cs="宋体"/>
                <w:spacing w:val="9"/>
                <w:sz w:val="20"/>
                <w:szCs w:val="20"/>
              </w:rPr>
              <w:t>规定，以确保环保设施的建设，使环保工程达到预期效</w:t>
            </w:r>
            <w:r>
              <w:rPr>
                <w:rFonts w:ascii="宋体" w:hAnsi="宋体" w:eastAsia="宋体" w:cs="宋体"/>
                <w:spacing w:val="-2"/>
                <w:sz w:val="20"/>
                <w:szCs w:val="20"/>
              </w:rPr>
              <w:t>果。</w:t>
            </w:r>
          </w:p>
          <w:p w14:paraId="26585DB1">
            <w:pPr>
              <w:spacing w:line="226" w:lineRule="auto"/>
              <w:ind w:left="528"/>
              <w:rPr>
                <w:rFonts w:ascii="宋体" w:hAnsi="宋体" w:eastAsia="宋体" w:cs="宋体"/>
                <w:sz w:val="20"/>
                <w:szCs w:val="20"/>
              </w:rPr>
            </w:pPr>
            <w:r>
              <w:rPr>
                <w:rFonts w:ascii="Times New Roman" w:hAnsi="Times New Roman" w:eastAsia="Times New Roman" w:cs="Times New Roman"/>
                <w:spacing w:val="9"/>
                <w:sz w:val="20"/>
                <w:szCs w:val="20"/>
              </w:rPr>
              <w:t>5</w:t>
            </w:r>
            <w:r>
              <w:rPr>
                <w:rFonts w:ascii="宋体" w:hAnsi="宋体" w:eastAsia="宋体" w:cs="宋体"/>
                <w:spacing w:val="9"/>
                <w:sz w:val="20"/>
                <w:szCs w:val="20"/>
              </w:rPr>
              <w:t>）搞好环境保护宣传和职工环境意识教育及技术培训等工作。</w:t>
            </w:r>
          </w:p>
          <w:p w14:paraId="24DF5BF0">
            <w:pPr>
              <w:spacing w:before="161" w:line="377" w:lineRule="auto"/>
              <w:ind w:left="106" w:right="104" w:firstLine="420"/>
              <w:rPr>
                <w:rFonts w:ascii="宋体" w:hAnsi="宋体" w:eastAsia="宋体" w:cs="宋体"/>
                <w:sz w:val="20"/>
                <w:szCs w:val="20"/>
              </w:rPr>
            </w:pPr>
            <w:r>
              <w:rPr>
                <w:rFonts w:ascii="Times New Roman" w:hAnsi="Times New Roman" w:eastAsia="Times New Roman" w:cs="Times New Roman"/>
                <w:spacing w:val="9"/>
                <w:sz w:val="20"/>
                <w:szCs w:val="20"/>
              </w:rPr>
              <w:t>6</w:t>
            </w:r>
            <w:r>
              <w:rPr>
                <w:rFonts w:ascii="宋体" w:hAnsi="宋体" w:eastAsia="宋体" w:cs="宋体"/>
                <w:spacing w:val="9"/>
                <w:sz w:val="20"/>
                <w:szCs w:val="20"/>
              </w:rPr>
              <w:t>）检查环境管理工作中的问题和不足，对发现的问题和不足，提</w:t>
            </w:r>
            <w:r>
              <w:rPr>
                <w:rFonts w:ascii="宋体" w:hAnsi="宋体" w:eastAsia="宋体" w:cs="宋体"/>
                <w:spacing w:val="8"/>
                <w:sz w:val="20"/>
                <w:szCs w:val="20"/>
              </w:rPr>
              <w:t>出改进意见。协同当</w:t>
            </w:r>
            <w:r>
              <w:rPr>
                <w:rFonts w:ascii="宋体" w:hAnsi="宋体" w:eastAsia="宋体" w:cs="宋体"/>
                <w:spacing w:val="9"/>
                <w:sz w:val="20"/>
                <w:szCs w:val="20"/>
              </w:rPr>
              <w:t>地环保部门处理与工程有关的环境问题，维护好公众的利益。</w:t>
            </w:r>
          </w:p>
          <w:p w14:paraId="7DEAC74F">
            <w:pPr>
              <w:spacing w:line="229" w:lineRule="auto"/>
              <w:ind w:left="523"/>
              <w:rPr>
                <w:rFonts w:ascii="宋体" w:hAnsi="宋体" w:eastAsia="宋体" w:cs="宋体"/>
                <w:sz w:val="20"/>
                <w:szCs w:val="20"/>
              </w:rPr>
            </w:pPr>
            <w:r>
              <w:rPr>
                <w:rFonts w:ascii="Times New Roman" w:hAnsi="Times New Roman" w:eastAsia="Times New Roman" w:cs="Times New Roman"/>
                <w:b/>
                <w:bCs/>
                <w:spacing w:val="4"/>
                <w:sz w:val="20"/>
                <w:szCs w:val="20"/>
              </w:rPr>
              <w:t>2</w:t>
            </w:r>
            <w:r>
              <w:rPr>
                <w:rFonts w:ascii="Times New Roman" w:hAnsi="Times New Roman" w:eastAsia="Times New Roman" w:cs="Times New Roman"/>
                <w:b/>
                <w:bCs/>
                <w:spacing w:val="-19"/>
                <w:sz w:val="20"/>
                <w:szCs w:val="20"/>
              </w:rPr>
              <w:t xml:space="preserve"> </w:t>
            </w:r>
            <w:r>
              <w:rPr>
                <w:rFonts w:ascii="宋体" w:hAnsi="宋体" w:eastAsia="宋体" w:cs="宋体"/>
                <w:b/>
                <w:bCs/>
                <w:spacing w:val="4"/>
                <w:sz w:val="20"/>
                <w:szCs w:val="20"/>
              </w:rPr>
              <w:t>、排污口设置要求</w:t>
            </w:r>
          </w:p>
          <w:p w14:paraId="19BBC8B1">
            <w:pPr>
              <w:spacing w:before="162" w:line="377" w:lineRule="auto"/>
              <w:ind w:left="131" w:right="104" w:firstLine="398"/>
              <w:rPr>
                <w:rFonts w:ascii="宋体" w:hAnsi="宋体" w:eastAsia="宋体" w:cs="宋体"/>
                <w:sz w:val="20"/>
                <w:szCs w:val="20"/>
              </w:rPr>
            </w:pPr>
            <w:r>
              <w:rPr>
                <w:rFonts w:ascii="宋体" w:hAnsi="宋体" w:eastAsia="宋体" w:cs="宋体"/>
                <w:spacing w:val="11"/>
                <w:sz w:val="20"/>
                <w:szCs w:val="20"/>
              </w:rPr>
              <w:t>项目须按照国家标准规定，设置环保图形标</w:t>
            </w:r>
            <w:r>
              <w:rPr>
                <w:rFonts w:ascii="宋体" w:hAnsi="宋体" w:eastAsia="宋体" w:cs="宋体"/>
                <w:spacing w:val="10"/>
                <w:sz w:val="20"/>
                <w:szCs w:val="20"/>
              </w:rPr>
              <w:t>志牌。各个标志牌的形式、规格、</w:t>
            </w:r>
            <w:r>
              <w:rPr>
                <w:rFonts w:ascii="宋体" w:hAnsi="宋体" w:eastAsia="宋体" w:cs="宋体"/>
                <w:spacing w:val="-59"/>
                <w:sz w:val="20"/>
                <w:szCs w:val="20"/>
              </w:rPr>
              <w:t xml:space="preserve"> </w:t>
            </w:r>
            <w:r>
              <w:rPr>
                <w:rFonts w:ascii="宋体" w:hAnsi="宋体" w:eastAsia="宋体" w:cs="宋体"/>
                <w:spacing w:val="10"/>
                <w:sz w:val="20"/>
                <w:szCs w:val="20"/>
              </w:rPr>
              <w:t>内容是</w:t>
            </w:r>
            <w:r>
              <w:rPr>
                <w:rFonts w:ascii="宋体" w:hAnsi="宋体" w:eastAsia="宋体" w:cs="宋体"/>
                <w:spacing w:val="5"/>
                <w:sz w:val="20"/>
                <w:szCs w:val="20"/>
              </w:rPr>
              <w:t>由环保部门统一设置。</w:t>
            </w:r>
          </w:p>
          <w:p w14:paraId="1DF388C1">
            <w:pPr>
              <w:spacing w:before="1" w:line="227" w:lineRule="auto"/>
              <w:ind w:left="544"/>
              <w:rPr>
                <w:rFonts w:ascii="宋体" w:hAnsi="宋体" w:eastAsia="宋体" w:cs="宋体"/>
                <w:sz w:val="20"/>
                <w:szCs w:val="20"/>
              </w:rPr>
            </w:pPr>
            <w:r>
              <w:rPr>
                <w:rFonts w:ascii="宋体" w:hAnsi="宋体" w:eastAsia="宋体" w:cs="宋体"/>
                <w:spacing w:val="7"/>
                <w:sz w:val="20"/>
                <w:szCs w:val="20"/>
              </w:rPr>
              <w:t>固废：危废暂存间在醒目处设置标志牌。</w:t>
            </w:r>
          </w:p>
          <w:p w14:paraId="757C3949">
            <w:pPr>
              <w:spacing w:before="161" w:line="227" w:lineRule="auto"/>
              <w:ind w:left="525"/>
              <w:rPr>
                <w:rFonts w:ascii="宋体" w:hAnsi="宋体" w:eastAsia="宋体" w:cs="宋体"/>
                <w:sz w:val="20"/>
                <w:szCs w:val="20"/>
              </w:rPr>
            </w:pPr>
            <w:r>
              <w:rPr>
                <w:rFonts w:ascii="宋体" w:hAnsi="宋体" w:eastAsia="宋体" w:cs="宋体"/>
                <w:spacing w:val="8"/>
                <w:sz w:val="20"/>
                <w:szCs w:val="20"/>
              </w:rPr>
              <w:t>废气：本项目设置废气排放口（</w:t>
            </w: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005</w:t>
            </w:r>
            <w:r>
              <w:rPr>
                <w:rFonts w:ascii="宋体" w:hAnsi="宋体" w:eastAsia="宋体" w:cs="宋体"/>
                <w:spacing w:val="8"/>
                <w:sz w:val="20"/>
                <w:szCs w:val="20"/>
              </w:rPr>
              <w:t>）。</w:t>
            </w:r>
          </w:p>
          <w:p w14:paraId="3C902454">
            <w:pPr>
              <w:spacing w:before="162" w:line="227" w:lineRule="auto"/>
              <w:ind w:left="525"/>
              <w:rPr>
                <w:rFonts w:ascii="宋体" w:hAnsi="宋体" w:eastAsia="宋体" w:cs="宋体"/>
                <w:sz w:val="20"/>
                <w:szCs w:val="20"/>
              </w:rPr>
            </w:pPr>
            <w:r>
              <w:rPr>
                <w:rFonts w:ascii="宋体" w:hAnsi="宋体" w:eastAsia="宋体" w:cs="宋体"/>
                <w:spacing w:val="8"/>
                <w:sz w:val="20"/>
                <w:szCs w:val="20"/>
              </w:rPr>
              <w:t>废水：本项目不设置污（废）水排放口。</w:t>
            </w:r>
          </w:p>
          <w:p w14:paraId="351BEE6A">
            <w:pPr>
              <w:spacing w:before="162" w:line="228" w:lineRule="auto"/>
              <w:ind w:left="521"/>
              <w:rPr>
                <w:rFonts w:ascii="宋体" w:hAnsi="宋体" w:eastAsia="宋体" w:cs="宋体"/>
                <w:sz w:val="20"/>
                <w:szCs w:val="20"/>
              </w:rPr>
            </w:pPr>
            <w:r>
              <w:rPr>
                <w:rFonts w:ascii="Times New Roman" w:hAnsi="Times New Roman" w:eastAsia="Times New Roman" w:cs="Times New Roman"/>
                <w:b/>
                <w:bCs/>
                <w:spacing w:val="5"/>
                <w:sz w:val="20"/>
                <w:szCs w:val="20"/>
              </w:rPr>
              <w:t>3</w:t>
            </w:r>
            <w:r>
              <w:rPr>
                <w:rFonts w:ascii="Times New Roman" w:hAnsi="Times New Roman" w:eastAsia="Times New Roman" w:cs="Times New Roman"/>
                <w:b/>
                <w:bCs/>
                <w:spacing w:val="-22"/>
                <w:sz w:val="20"/>
                <w:szCs w:val="20"/>
              </w:rPr>
              <w:t xml:space="preserve"> </w:t>
            </w:r>
            <w:r>
              <w:rPr>
                <w:rFonts w:ascii="宋体" w:hAnsi="宋体" w:eastAsia="宋体" w:cs="宋体"/>
                <w:b/>
                <w:bCs/>
                <w:spacing w:val="5"/>
                <w:sz w:val="20"/>
                <w:szCs w:val="20"/>
              </w:rPr>
              <w:t>、排污许可管理要求</w:t>
            </w:r>
          </w:p>
          <w:p w14:paraId="55091F02">
            <w:pPr>
              <w:spacing w:before="163" w:line="377" w:lineRule="auto"/>
              <w:ind w:left="105" w:right="104" w:firstLine="420"/>
              <w:rPr>
                <w:rFonts w:ascii="宋体" w:hAnsi="宋体" w:eastAsia="宋体" w:cs="宋体"/>
                <w:sz w:val="20"/>
                <w:szCs w:val="20"/>
              </w:rPr>
            </w:pPr>
            <w:r>
              <w:rPr>
                <w:rFonts w:ascii="宋体" w:hAnsi="宋体" w:eastAsia="宋体" w:cs="宋体"/>
                <w:spacing w:val="7"/>
                <w:sz w:val="20"/>
                <w:szCs w:val="20"/>
              </w:rPr>
              <w:t>根据《固定污染源排污许可分类管理名录（</w:t>
            </w:r>
            <w:r>
              <w:rPr>
                <w:rFonts w:ascii="Times New Roman" w:hAnsi="Times New Roman" w:eastAsia="Times New Roman" w:cs="Times New Roman"/>
                <w:spacing w:val="6"/>
                <w:sz w:val="20"/>
                <w:szCs w:val="20"/>
              </w:rPr>
              <w:t xml:space="preserve">2019 </w:t>
            </w:r>
            <w:r>
              <w:rPr>
                <w:rFonts w:ascii="宋体" w:hAnsi="宋体" w:eastAsia="宋体" w:cs="宋体"/>
                <w:spacing w:val="6"/>
                <w:sz w:val="20"/>
                <w:szCs w:val="20"/>
              </w:rPr>
              <w:t>年版）》，本项目属于</w:t>
            </w:r>
            <w:r>
              <w:rPr>
                <w:rFonts w:ascii="Times New Roman" w:hAnsi="Times New Roman" w:eastAsia="Times New Roman" w:cs="Times New Roman"/>
                <w:spacing w:val="6"/>
                <w:sz w:val="20"/>
                <w:szCs w:val="20"/>
              </w:rPr>
              <w:t>“62</w:t>
            </w:r>
            <w:r>
              <w:rPr>
                <w:rFonts w:ascii="Times New Roman" w:hAnsi="Times New Roman" w:eastAsia="Times New Roman" w:cs="Times New Roman"/>
                <w:spacing w:val="-26"/>
                <w:sz w:val="20"/>
                <w:szCs w:val="20"/>
              </w:rPr>
              <w:t xml:space="preserve"> </w:t>
            </w:r>
            <w:r>
              <w:rPr>
                <w:rFonts w:ascii="宋体" w:hAnsi="宋体" w:eastAsia="宋体" w:cs="宋体"/>
                <w:spacing w:val="6"/>
                <w:sz w:val="20"/>
                <w:szCs w:val="20"/>
              </w:rPr>
              <w:t>、塑料制品</w:t>
            </w:r>
            <w:r>
              <w:rPr>
                <w:rFonts w:ascii="宋体" w:hAnsi="宋体" w:eastAsia="宋体" w:cs="宋体"/>
                <w:spacing w:val="7"/>
                <w:sz w:val="20"/>
                <w:szCs w:val="20"/>
              </w:rPr>
              <w:t>业</w:t>
            </w:r>
            <w:r>
              <w:rPr>
                <w:rFonts w:ascii="宋体" w:hAnsi="宋体" w:eastAsia="宋体" w:cs="宋体"/>
                <w:spacing w:val="-40"/>
                <w:sz w:val="20"/>
                <w:szCs w:val="20"/>
              </w:rPr>
              <w:t xml:space="preserve"> </w:t>
            </w:r>
            <w:r>
              <w:rPr>
                <w:rFonts w:ascii="Times New Roman" w:hAnsi="Times New Roman" w:eastAsia="Times New Roman" w:cs="Times New Roman"/>
                <w:spacing w:val="7"/>
                <w:sz w:val="20"/>
                <w:szCs w:val="20"/>
              </w:rPr>
              <w:t>292”</w:t>
            </w:r>
            <w:r>
              <w:rPr>
                <w:rFonts w:ascii="Times New Roman" w:hAnsi="Times New Roman" w:eastAsia="Times New Roman" w:cs="Times New Roman"/>
                <w:spacing w:val="-24"/>
                <w:sz w:val="20"/>
                <w:szCs w:val="20"/>
              </w:rPr>
              <w:t xml:space="preserve"> </w:t>
            </w:r>
            <w:r>
              <w:rPr>
                <w:rFonts w:ascii="宋体" w:hAnsi="宋体" w:eastAsia="宋体" w:cs="宋体"/>
                <w:spacing w:val="7"/>
                <w:sz w:val="20"/>
                <w:szCs w:val="20"/>
              </w:rPr>
              <w:t>，环评批复后应按要求进行排污许可变</w:t>
            </w:r>
            <w:r>
              <w:rPr>
                <w:rFonts w:ascii="宋体" w:hAnsi="宋体" w:eastAsia="宋体" w:cs="宋体"/>
                <w:spacing w:val="6"/>
                <w:sz w:val="20"/>
                <w:szCs w:val="20"/>
              </w:rPr>
              <w:t>更。</w:t>
            </w:r>
          </w:p>
          <w:p w14:paraId="2D1378AD">
            <w:pPr>
              <w:spacing w:line="227" w:lineRule="auto"/>
              <w:ind w:left="523"/>
              <w:rPr>
                <w:rFonts w:ascii="宋体" w:hAnsi="宋体" w:eastAsia="宋体" w:cs="宋体"/>
                <w:sz w:val="20"/>
                <w:szCs w:val="20"/>
              </w:rPr>
            </w:pPr>
            <w:r>
              <w:rPr>
                <w:rFonts w:ascii="Times New Roman" w:hAnsi="Times New Roman" w:eastAsia="Times New Roman" w:cs="Times New Roman"/>
                <w:b/>
                <w:bCs/>
                <w:spacing w:val="6"/>
                <w:sz w:val="20"/>
                <w:szCs w:val="20"/>
              </w:rPr>
              <w:t>4</w:t>
            </w:r>
            <w:r>
              <w:rPr>
                <w:rFonts w:ascii="Times New Roman" w:hAnsi="Times New Roman" w:eastAsia="Times New Roman" w:cs="Times New Roman"/>
                <w:b/>
                <w:bCs/>
                <w:spacing w:val="-21"/>
                <w:sz w:val="20"/>
                <w:szCs w:val="20"/>
              </w:rPr>
              <w:t xml:space="preserve"> </w:t>
            </w:r>
            <w:r>
              <w:rPr>
                <w:rFonts w:ascii="宋体" w:hAnsi="宋体" w:eastAsia="宋体" w:cs="宋体"/>
                <w:b/>
                <w:bCs/>
                <w:spacing w:val="6"/>
                <w:sz w:val="20"/>
                <w:szCs w:val="20"/>
              </w:rPr>
              <w:t>、环境监测与竣工环保</w:t>
            </w:r>
            <w:r>
              <w:rPr>
                <w:rFonts w:ascii="Times New Roman" w:hAnsi="Times New Roman" w:eastAsia="Times New Roman" w:cs="Times New Roman"/>
                <w:b/>
                <w:bCs/>
                <w:spacing w:val="6"/>
                <w:sz w:val="20"/>
                <w:szCs w:val="20"/>
              </w:rPr>
              <w:t>“</w:t>
            </w:r>
            <w:r>
              <w:rPr>
                <w:rFonts w:ascii="宋体" w:hAnsi="宋体" w:eastAsia="宋体" w:cs="宋体"/>
                <w:b/>
                <w:bCs/>
                <w:spacing w:val="6"/>
                <w:sz w:val="20"/>
                <w:szCs w:val="20"/>
              </w:rPr>
              <w:t>三同时</w:t>
            </w:r>
            <w:r>
              <w:rPr>
                <w:rFonts w:ascii="Times New Roman" w:hAnsi="Times New Roman" w:eastAsia="Times New Roman" w:cs="Times New Roman"/>
                <w:b/>
                <w:bCs/>
                <w:spacing w:val="6"/>
                <w:sz w:val="20"/>
                <w:szCs w:val="20"/>
              </w:rPr>
              <w:t>”</w:t>
            </w:r>
            <w:r>
              <w:rPr>
                <w:rFonts w:ascii="宋体" w:hAnsi="宋体" w:eastAsia="宋体" w:cs="宋体"/>
                <w:b/>
                <w:bCs/>
                <w:spacing w:val="6"/>
                <w:sz w:val="20"/>
                <w:szCs w:val="20"/>
              </w:rPr>
              <w:t>验收</w:t>
            </w:r>
          </w:p>
          <w:p w14:paraId="4DB8EC62">
            <w:pPr>
              <w:spacing w:before="162" w:line="228" w:lineRule="auto"/>
              <w:ind w:left="536"/>
              <w:rPr>
                <w:rFonts w:ascii="宋体" w:hAnsi="宋体" w:eastAsia="宋体" w:cs="宋体"/>
                <w:sz w:val="20"/>
                <w:szCs w:val="20"/>
              </w:rPr>
            </w:pPr>
            <w:r>
              <w:rPr>
                <w:rFonts w:ascii="宋体" w:hAnsi="宋体" w:eastAsia="宋体" w:cs="宋体"/>
                <w:b/>
                <w:bCs/>
                <w:spacing w:val="5"/>
                <w:sz w:val="20"/>
                <w:szCs w:val="20"/>
              </w:rPr>
              <w:t>（</w:t>
            </w:r>
            <w:r>
              <w:rPr>
                <w:rFonts w:ascii="Times New Roman" w:hAnsi="Times New Roman" w:eastAsia="Times New Roman" w:cs="Times New Roman"/>
                <w:b/>
                <w:bCs/>
                <w:spacing w:val="5"/>
                <w:sz w:val="20"/>
                <w:szCs w:val="20"/>
              </w:rPr>
              <w:t>1</w:t>
            </w:r>
            <w:r>
              <w:rPr>
                <w:rFonts w:ascii="宋体" w:hAnsi="宋体" w:eastAsia="宋体" w:cs="宋体"/>
                <w:b/>
                <w:bCs/>
                <w:spacing w:val="5"/>
                <w:sz w:val="20"/>
                <w:szCs w:val="20"/>
              </w:rPr>
              <w:t>）环境监测</w:t>
            </w:r>
          </w:p>
          <w:p w14:paraId="6DE71116">
            <w:pPr>
              <w:spacing w:before="162" w:line="377" w:lineRule="auto"/>
              <w:ind w:left="106" w:right="91" w:firstLine="420"/>
              <w:rPr>
                <w:rFonts w:ascii="宋体" w:hAnsi="宋体" w:eastAsia="宋体" w:cs="宋体"/>
                <w:sz w:val="20"/>
                <w:szCs w:val="20"/>
              </w:rPr>
            </w:pPr>
            <w:r>
              <w:rPr>
                <w:rFonts w:ascii="宋体" w:hAnsi="宋体" w:eastAsia="宋体" w:cs="宋体"/>
                <w:spacing w:val="12"/>
                <w:sz w:val="20"/>
                <w:szCs w:val="20"/>
              </w:rPr>
              <w:t>环境监测计划只针对运营期提出如下监测计划，运营期的环</w:t>
            </w:r>
            <w:r>
              <w:rPr>
                <w:rFonts w:ascii="宋体" w:hAnsi="宋体" w:eastAsia="宋体" w:cs="宋体"/>
                <w:spacing w:val="11"/>
                <w:sz w:val="20"/>
                <w:szCs w:val="20"/>
              </w:rPr>
              <w:t>境监测主要内容和对象包</w:t>
            </w:r>
            <w:r>
              <w:rPr>
                <w:rFonts w:ascii="宋体" w:hAnsi="宋体" w:eastAsia="宋体" w:cs="宋体"/>
                <w:spacing w:val="8"/>
                <w:sz w:val="20"/>
                <w:szCs w:val="20"/>
              </w:rPr>
              <w:t>括项目所涉及的环境问题，即废气、废水和噪声。监测项目</w:t>
            </w:r>
            <w:r>
              <w:rPr>
                <w:rFonts w:ascii="宋体" w:hAnsi="宋体" w:eastAsia="宋体" w:cs="宋体"/>
                <w:spacing w:val="7"/>
                <w:sz w:val="20"/>
                <w:szCs w:val="20"/>
              </w:rPr>
              <w:t>、监测时间频率设置见表</w:t>
            </w:r>
            <w:r>
              <w:rPr>
                <w:rFonts w:ascii="宋体" w:hAnsi="宋体" w:eastAsia="宋体" w:cs="宋体"/>
                <w:spacing w:val="-35"/>
                <w:sz w:val="20"/>
                <w:szCs w:val="20"/>
              </w:rPr>
              <w:t xml:space="preserve"> </w:t>
            </w:r>
            <w:r>
              <w:rPr>
                <w:rFonts w:ascii="Times New Roman" w:hAnsi="Times New Roman" w:eastAsia="Times New Roman" w:cs="Times New Roman"/>
                <w:spacing w:val="7"/>
                <w:sz w:val="20"/>
                <w:szCs w:val="20"/>
              </w:rPr>
              <w:t>5-</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7"/>
                <w:sz w:val="20"/>
                <w:szCs w:val="20"/>
              </w:rPr>
              <w:t>1</w:t>
            </w:r>
            <w:r>
              <w:rPr>
                <w:rFonts w:ascii="宋体" w:hAnsi="宋体" w:eastAsia="宋体" w:cs="宋体"/>
                <w:spacing w:val="7"/>
                <w:sz w:val="20"/>
                <w:szCs w:val="20"/>
              </w:rPr>
              <w:t>。</w:t>
            </w:r>
          </w:p>
          <w:p w14:paraId="332C7889">
            <w:pPr>
              <w:spacing w:before="1" w:line="223" w:lineRule="auto"/>
              <w:ind w:left="2676"/>
              <w:rPr>
                <w:rFonts w:ascii="宋体" w:hAnsi="宋体" w:eastAsia="宋体" w:cs="宋体"/>
                <w:sz w:val="20"/>
                <w:szCs w:val="20"/>
              </w:rPr>
            </w:pPr>
            <w:r>
              <w:rPr>
                <w:rFonts w:ascii="宋体" w:hAnsi="宋体" w:eastAsia="宋体" w:cs="宋体"/>
                <w:b/>
                <w:bCs/>
                <w:spacing w:val="6"/>
                <w:sz w:val="20"/>
                <w:szCs w:val="20"/>
              </w:rPr>
              <w:t>表</w:t>
            </w:r>
            <w:r>
              <w:rPr>
                <w:rFonts w:ascii="宋体" w:hAnsi="宋体" w:eastAsia="宋体" w:cs="宋体"/>
                <w:spacing w:val="-32"/>
                <w:sz w:val="20"/>
                <w:szCs w:val="20"/>
              </w:rPr>
              <w:t xml:space="preserve"> </w:t>
            </w:r>
            <w:r>
              <w:rPr>
                <w:rFonts w:ascii="Times New Roman" w:hAnsi="Times New Roman" w:eastAsia="Times New Roman" w:cs="Times New Roman"/>
                <w:b/>
                <w:bCs/>
                <w:spacing w:val="6"/>
                <w:sz w:val="20"/>
                <w:szCs w:val="20"/>
              </w:rPr>
              <w:t xml:space="preserve">5-1 </w:t>
            </w:r>
            <w:r>
              <w:rPr>
                <w:rFonts w:ascii="宋体" w:hAnsi="宋体" w:eastAsia="宋体" w:cs="宋体"/>
                <w:b/>
                <w:bCs/>
                <w:spacing w:val="6"/>
                <w:sz w:val="20"/>
                <w:szCs w:val="20"/>
              </w:rPr>
              <w:t>污染源自行监测计划一览表</w:t>
            </w:r>
          </w:p>
          <w:tbl>
            <w:tblPr>
              <w:tblStyle w:val="10"/>
              <w:tblW w:w="8250"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4"/>
              <w:gridCol w:w="2758"/>
              <w:gridCol w:w="3076"/>
              <w:gridCol w:w="1102"/>
            </w:tblGrid>
            <w:tr w14:paraId="4DA4A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314" w:type="dxa"/>
                  <w:vAlign w:val="top"/>
                </w:tcPr>
                <w:p w14:paraId="113A1A59">
                  <w:pPr>
                    <w:spacing w:before="35" w:line="228" w:lineRule="auto"/>
                    <w:ind w:left="240"/>
                    <w:rPr>
                      <w:rFonts w:ascii="宋体" w:hAnsi="宋体" w:eastAsia="宋体" w:cs="宋体"/>
                      <w:sz w:val="20"/>
                      <w:szCs w:val="20"/>
                    </w:rPr>
                  </w:pPr>
                  <w:r>
                    <w:rPr>
                      <w:rFonts w:ascii="宋体" w:hAnsi="宋体" w:eastAsia="宋体" w:cs="宋体"/>
                      <w:b/>
                      <w:bCs/>
                      <w:spacing w:val="6"/>
                      <w:sz w:val="20"/>
                      <w:szCs w:val="20"/>
                    </w:rPr>
                    <w:t>监测内容</w:t>
                  </w:r>
                </w:p>
              </w:tc>
              <w:tc>
                <w:tcPr>
                  <w:tcW w:w="2758" w:type="dxa"/>
                  <w:vAlign w:val="top"/>
                </w:tcPr>
                <w:p w14:paraId="1FD55E84">
                  <w:pPr>
                    <w:spacing w:before="36" w:line="229" w:lineRule="auto"/>
                    <w:ind w:left="962"/>
                    <w:rPr>
                      <w:rFonts w:ascii="宋体" w:hAnsi="宋体" w:eastAsia="宋体" w:cs="宋体"/>
                      <w:sz w:val="20"/>
                      <w:szCs w:val="20"/>
                    </w:rPr>
                  </w:pPr>
                  <w:r>
                    <w:rPr>
                      <w:rFonts w:ascii="宋体" w:hAnsi="宋体" w:eastAsia="宋体" w:cs="宋体"/>
                      <w:b/>
                      <w:bCs/>
                      <w:spacing w:val="6"/>
                      <w:sz w:val="20"/>
                      <w:szCs w:val="20"/>
                    </w:rPr>
                    <w:t>监测点位</w:t>
                  </w:r>
                </w:p>
              </w:tc>
              <w:tc>
                <w:tcPr>
                  <w:tcW w:w="3076" w:type="dxa"/>
                  <w:vAlign w:val="top"/>
                </w:tcPr>
                <w:p w14:paraId="57D3B3CC">
                  <w:pPr>
                    <w:spacing w:before="36" w:line="228" w:lineRule="auto"/>
                    <w:ind w:left="1122"/>
                    <w:rPr>
                      <w:rFonts w:ascii="宋体" w:hAnsi="宋体" w:eastAsia="宋体" w:cs="宋体"/>
                      <w:sz w:val="20"/>
                      <w:szCs w:val="20"/>
                    </w:rPr>
                  </w:pPr>
                  <w:r>
                    <w:rPr>
                      <w:rFonts w:ascii="宋体" w:hAnsi="宋体" w:eastAsia="宋体" w:cs="宋体"/>
                      <w:b/>
                      <w:bCs/>
                      <w:spacing w:val="6"/>
                      <w:sz w:val="20"/>
                      <w:szCs w:val="20"/>
                    </w:rPr>
                    <w:t>监测因子</w:t>
                  </w:r>
                </w:p>
              </w:tc>
              <w:tc>
                <w:tcPr>
                  <w:tcW w:w="1102" w:type="dxa"/>
                  <w:vAlign w:val="top"/>
                </w:tcPr>
                <w:p w14:paraId="4B5B4E8D">
                  <w:pPr>
                    <w:spacing w:before="35" w:line="228" w:lineRule="auto"/>
                    <w:ind w:left="134"/>
                    <w:rPr>
                      <w:rFonts w:ascii="宋体" w:hAnsi="宋体" w:eastAsia="宋体" w:cs="宋体"/>
                      <w:sz w:val="20"/>
                      <w:szCs w:val="20"/>
                    </w:rPr>
                  </w:pPr>
                  <w:r>
                    <w:rPr>
                      <w:rFonts w:ascii="宋体" w:hAnsi="宋体" w:eastAsia="宋体" w:cs="宋体"/>
                      <w:b/>
                      <w:bCs/>
                      <w:spacing w:val="6"/>
                      <w:sz w:val="20"/>
                      <w:szCs w:val="20"/>
                    </w:rPr>
                    <w:t>监测频次</w:t>
                  </w:r>
                </w:p>
              </w:tc>
            </w:tr>
            <w:tr w14:paraId="2C3BA7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314" w:type="dxa"/>
                  <w:vAlign w:val="top"/>
                </w:tcPr>
                <w:p w14:paraId="38453607">
                  <w:pPr>
                    <w:spacing w:before="32" w:line="228" w:lineRule="auto"/>
                    <w:ind w:left="463"/>
                    <w:rPr>
                      <w:rFonts w:ascii="宋体" w:hAnsi="宋体" w:eastAsia="宋体" w:cs="宋体"/>
                      <w:sz w:val="20"/>
                      <w:szCs w:val="20"/>
                    </w:rPr>
                  </w:pPr>
                  <w:r>
                    <w:rPr>
                      <w:rFonts w:ascii="宋体" w:hAnsi="宋体" w:eastAsia="宋体" w:cs="宋体"/>
                      <w:spacing w:val="-1"/>
                      <w:sz w:val="20"/>
                      <w:szCs w:val="20"/>
                    </w:rPr>
                    <w:t>噪声</w:t>
                  </w:r>
                </w:p>
              </w:tc>
              <w:tc>
                <w:tcPr>
                  <w:tcW w:w="2758" w:type="dxa"/>
                  <w:vAlign w:val="top"/>
                </w:tcPr>
                <w:p w14:paraId="5403B758">
                  <w:pPr>
                    <w:spacing w:before="31" w:line="228" w:lineRule="auto"/>
                    <w:ind w:left="359"/>
                    <w:rPr>
                      <w:rFonts w:ascii="宋体" w:hAnsi="宋体" w:eastAsia="宋体" w:cs="宋体"/>
                      <w:sz w:val="20"/>
                      <w:szCs w:val="20"/>
                    </w:rPr>
                  </w:pPr>
                  <w:r>
                    <w:rPr>
                      <w:rFonts w:ascii="宋体" w:hAnsi="宋体" w:eastAsia="宋体" w:cs="宋体"/>
                      <w:spacing w:val="4"/>
                      <w:sz w:val="20"/>
                      <w:szCs w:val="20"/>
                    </w:rPr>
                    <w:t>厂界东南西北外</w:t>
                  </w:r>
                  <w:r>
                    <w:rPr>
                      <w:rFonts w:ascii="宋体" w:hAnsi="宋体" w:eastAsia="宋体" w:cs="宋体"/>
                      <w:spacing w:val="-18"/>
                      <w:sz w:val="20"/>
                      <w:szCs w:val="20"/>
                    </w:rPr>
                    <w:t xml:space="preserve"> </w:t>
                  </w:r>
                  <w:r>
                    <w:rPr>
                      <w:rFonts w:ascii="Times New Roman" w:hAnsi="Times New Roman" w:eastAsia="Times New Roman" w:cs="Times New Roman"/>
                      <w:spacing w:val="4"/>
                      <w:sz w:val="20"/>
                      <w:szCs w:val="20"/>
                    </w:rPr>
                    <w:t>1m</w:t>
                  </w:r>
                  <w:r>
                    <w:rPr>
                      <w:rFonts w:ascii="Times New Roman" w:hAnsi="Times New Roman" w:eastAsia="Times New Roman" w:cs="Times New Roman"/>
                      <w:spacing w:val="16"/>
                      <w:sz w:val="20"/>
                      <w:szCs w:val="20"/>
                    </w:rPr>
                    <w:t xml:space="preserve"> </w:t>
                  </w:r>
                  <w:r>
                    <w:rPr>
                      <w:rFonts w:ascii="宋体" w:hAnsi="宋体" w:eastAsia="宋体" w:cs="宋体"/>
                      <w:spacing w:val="4"/>
                      <w:sz w:val="20"/>
                      <w:szCs w:val="20"/>
                    </w:rPr>
                    <w:t>处</w:t>
                  </w:r>
                </w:p>
              </w:tc>
              <w:tc>
                <w:tcPr>
                  <w:tcW w:w="3076" w:type="dxa"/>
                  <w:vAlign w:val="top"/>
                </w:tcPr>
                <w:p w14:paraId="012189E1">
                  <w:pPr>
                    <w:spacing w:before="31" w:line="221" w:lineRule="auto"/>
                    <w:ind w:left="776"/>
                    <w:rPr>
                      <w:rFonts w:ascii="宋体" w:hAnsi="宋体" w:eastAsia="宋体" w:cs="宋体"/>
                      <w:sz w:val="20"/>
                      <w:szCs w:val="20"/>
                    </w:rPr>
                  </w:pPr>
                  <w:r>
                    <w:rPr>
                      <w:rFonts w:ascii="Times New Roman" w:hAnsi="Times New Roman" w:eastAsia="Times New Roman" w:cs="Times New Roman"/>
                      <w:sz w:val="20"/>
                      <w:szCs w:val="20"/>
                    </w:rPr>
                    <w:t>Leq</w:t>
                  </w:r>
                  <w:r>
                    <w:rPr>
                      <w:rFonts w:ascii="宋体" w:hAnsi="宋体" w:eastAsia="宋体" w:cs="宋体"/>
                      <w:spacing w:val="9"/>
                      <w:sz w:val="20"/>
                      <w:szCs w:val="20"/>
                    </w:rPr>
                    <w:t>（</w:t>
                  </w:r>
                  <w:r>
                    <w:rPr>
                      <w:rFonts w:ascii="Times New Roman" w:hAnsi="Times New Roman" w:eastAsia="Times New Roman" w:cs="Times New Roman"/>
                      <w:spacing w:val="9"/>
                      <w:sz w:val="20"/>
                      <w:szCs w:val="20"/>
                    </w:rPr>
                    <w:t>A</w:t>
                  </w:r>
                  <w:r>
                    <w:rPr>
                      <w:rFonts w:ascii="宋体" w:hAnsi="宋体" w:eastAsia="宋体" w:cs="宋体"/>
                      <w:spacing w:val="15"/>
                      <w:sz w:val="20"/>
                      <w:szCs w:val="20"/>
                    </w:rPr>
                    <w:t>），</w:t>
                  </w:r>
                  <w:r>
                    <w:rPr>
                      <w:rFonts w:ascii="宋体" w:hAnsi="宋体" w:eastAsia="宋体" w:cs="宋体"/>
                      <w:spacing w:val="9"/>
                      <w:sz w:val="20"/>
                      <w:szCs w:val="20"/>
                    </w:rPr>
                    <w:t>昼间</w:t>
                  </w:r>
                </w:p>
              </w:tc>
              <w:tc>
                <w:tcPr>
                  <w:tcW w:w="1102" w:type="dxa"/>
                  <w:vAlign w:val="top"/>
                </w:tcPr>
                <w:p w14:paraId="211E7AD9">
                  <w:pPr>
                    <w:spacing w:before="31" w:line="228" w:lineRule="auto"/>
                    <w:ind w:left="255"/>
                    <w:rPr>
                      <w:rFonts w:ascii="宋体" w:hAnsi="宋体" w:eastAsia="宋体" w:cs="宋体"/>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15"/>
                      <w:sz w:val="20"/>
                      <w:szCs w:val="20"/>
                    </w:rPr>
                    <w:t xml:space="preserve"> </w:t>
                  </w:r>
                  <w:r>
                    <w:rPr>
                      <w:rFonts w:ascii="宋体" w:hAnsi="宋体" w:eastAsia="宋体" w:cs="宋体"/>
                      <w:spacing w:val="-3"/>
                      <w:sz w:val="20"/>
                      <w:szCs w:val="20"/>
                    </w:rPr>
                    <w:t>次</w:t>
                  </w:r>
                  <w:r>
                    <w:rPr>
                      <w:rFonts w:ascii="Times New Roman" w:hAnsi="Times New Roman" w:eastAsia="Times New Roman" w:cs="Times New Roman"/>
                      <w:spacing w:val="-3"/>
                      <w:sz w:val="20"/>
                      <w:szCs w:val="20"/>
                    </w:rPr>
                    <w:t>/</w:t>
                  </w:r>
                  <w:r>
                    <w:rPr>
                      <w:rFonts w:ascii="宋体" w:hAnsi="宋体" w:eastAsia="宋体" w:cs="宋体"/>
                      <w:spacing w:val="-3"/>
                      <w:sz w:val="20"/>
                      <w:szCs w:val="20"/>
                    </w:rPr>
                    <w:t>季</w:t>
                  </w:r>
                </w:p>
              </w:tc>
            </w:tr>
            <w:tr w14:paraId="64802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314" w:type="dxa"/>
                  <w:vMerge w:val="restart"/>
                  <w:tcBorders>
                    <w:bottom w:val="nil"/>
                  </w:tcBorders>
                  <w:vAlign w:val="top"/>
                </w:tcPr>
                <w:p w14:paraId="31CC8A49">
                  <w:pPr>
                    <w:spacing w:line="384" w:lineRule="auto"/>
                    <w:rPr>
                      <w:rFonts w:ascii="Arial"/>
                      <w:sz w:val="21"/>
                    </w:rPr>
                  </w:pPr>
                </w:p>
                <w:p w14:paraId="3EE93581">
                  <w:pPr>
                    <w:spacing w:before="65" w:line="228" w:lineRule="auto"/>
                    <w:ind w:left="452"/>
                    <w:rPr>
                      <w:rFonts w:ascii="宋体" w:hAnsi="宋体" w:eastAsia="宋体" w:cs="宋体"/>
                      <w:sz w:val="20"/>
                      <w:szCs w:val="20"/>
                    </w:rPr>
                  </w:pPr>
                  <w:r>
                    <w:rPr>
                      <w:rFonts w:ascii="宋体" w:hAnsi="宋体" w:eastAsia="宋体" w:cs="宋体"/>
                      <w:spacing w:val="5"/>
                      <w:sz w:val="20"/>
                      <w:szCs w:val="20"/>
                    </w:rPr>
                    <w:t>废气</w:t>
                  </w:r>
                </w:p>
              </w:tc>
              <w:tc>
                <w:tcPr>
                  <w:tcW w:w="2758" w:type="dxa"/>
                  <w:vAlign w:val="top"/>
                </w:tcPr>
                <w:p w14:paraId="2AB78BF7">
                  <w:pPr>
                    <w:spacing w:before="74" w:line="195" w:lineRule="auto"/>
                    <w:ind w:left="1069"/>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005</w:t>
                  </w:r>
                </w:p>
              </w:tc>
              <w:tc>
                <w:tcPr>
                  <w:tcW w:w="3076" w:type="dxa"/>
                  <w:vAlign w:val="top"/>
                </w:tcPr>
                <w:p w14:paraId="3938B648">
                  <w:pPr>
                    <w:spacing w:before="31" w:line="228" w:lineRule="auto"/>
                    <w:ind w:left="604"/>
                    <w:rPr>
                      <w:rFonts w:ascii="宋体" w:hAnsi="宋体" w:eastAsia="宋体" w:cs="宋体"/>
                      <w:sz w:val="20"/>
                      <w:szCs w:val="20"/>
                    </w:rPr>
                  </w:pPr>
                  <w:r>
                    <w:rPr>
                      <w:rFonts w:ascii="宋体" w:hAnsi="宋体" w:eastAsia="宋体" w:cs="宋体"/>
                      <w:spacing w:val="8"/>
                      <w:sz w:val="20"/>
                      <w:szCs w:val="20"/>
                    </w:rPr>
                    <w:t>非甲烷总烃、颗粒物</w:t>
                  </w:r>
                </w:p>
              </w:tc>
              <w:tc>
                <w:tcPr>
                  <w:tcW w:w="1102" w:type="dxa"/>
                  <w:vAlign w:val="top"/>
                </w:tcPr>
                <w:p w14:paraId="10BEFE00">
                  <w:pPr>
                    <w:spacing w:before="31" w:line="228" w:lineRule="auto"/>
                    <w:ind w:left="150"/>
                    <w:rPr>
                      <w:rFonts w:ascii="宋体" w:hAnsi="宋体" w:eastAsia="宋体" w:cs="宋体"/>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pacing w:val="16"/>
                      <w:w w:val="101"/>
                      <w:sz w:val="20"/>
                      <w:szCs w:val="20"/>
                    </w:rPr>
                    <w:t xml:space="preserve"> </w:t>
                  </w:r>
                  <w:r>
                    <w:rPr>
                      <w:rFonts w:ascii="宋体" w:hAnsi="宋体" w:eastAsia="宋体" w:cs="宋体"/>
                      <w:spacing w:val="-1"/>
                      <w:sz w:val="20"/>
                      <w:szCs w:val="20"/>
                    </w:rPr>
                    <w:t>次</w:t>
                  </w:r>
                  <w:r>
                    <w:rPr>
                      <w:rFonts w:ascii="Times New Roman" w:hAnsi="Times New Roman" w:eastAsia="Times New Roman" w:cs="Times New Roman"/>
                      <w:spacing w:val="-1"/>
                      <w:sz w:val="20"/>
                      <w:szCs w:val="20"/>
                    </w:rPr>
                    <w:t>/</w:t>
                  </w:r>
                  <w:r>
                    <w:rPr>
                      <w:rFonts w:ascii="宋体" w:hAnsi="宋体" w:eastAsia="宋体" w:cs="宋体"/>
                      <w:spacing w:val="-1"/>
                      <w:sz w:val="20"/>
                      <w:szCs w:val="20"/>
                    </w:rPr>
                    <w:t>半年</w:t>
                  </w:r>
                </w:p>
              </w:tc>
            </w:tr>
            <w:tr w14:paraId="7934A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314" w:type="dxa"/>
                  <w:vMerge w:val="continue"/>
                  <w:tcBorders>
                    <w:top w:val="nil"/>
                    <w:bottom w:val="nil"/>
                  </w:tcBorders>
                  <w:vAlign w:val="top"/>
                </w:tcPr>
                <w:p w14:paraId="2ABC993D">
                  <w:pPr>
                    <w:rPr>
                      <w:rFonts w:ascii="Arial"/>
                      <w:sz w:val="21"/>
                    </w:rPr>
                  </w:pPr>
                </w:p>
              </w:tc>
              <w:tc>
                <w:tcPr>
                  <w:tcW w:w="2758" w:type="dxa"/>
                  <w:vAlign w:val="top"/>
                </w:tcPr>
                <w:p w14:paraId="3E525B47">
                  <w:pPr>
                    <w:spacing w:before="34" w:line="228" w:lineRule="auto"/>
                    <w:ind w:left="113"/>
                    <w:rPr>
                      <w:rFonts w:ascii="宋体" w:hAnsi="宋体" w:eastAsia="宋体" w:cs="宋体"/>
                      <w:sz w:val="20"/>
                      <w:szCs w:val="20"/>
                    </w:rPr>
                  </w:pPr>
                  <w:r>
                    <w:rPr>
                      <w:rFonts w:ascii="宋体" w:hAnsi="宋体" w:eastAsia="宋体" w:cs="宋体"/>
                      <w:spacing w:val="4"/>
                      <w:sz w:val="20"/>
                      <w:szCs w:val="20"/>
                    </w:rPr>
                    <w:t>上风向</w:t>
                  </w:r>
                  <w:r>
                    <w:rPr>
                      <w:rFonts w:ascii="宋体" w:hAnsi="宋体" w:eastAsia="宋体" w:cs="宋体"/>
                      <w:spacing w:val="-23"/>
                      <w:sz w:val="20"/>
                      <w:szCs w:val="20"/>
                    </w:rPr>
                    <w:t xml:space="preserve">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个、下风向</w:t>
                  </w:r>
                  <w:r>
                    <w:rPr>
                      <w:rFonts w:ascii="宋体" w:hAnsi="宋体" w:eastAsia="宋体" w:cs="宋体"/>
                      <w:spacing w:val="-39"/>
                      <w:sz w:val="20"/>
                      <w:szCs w:val="20"/>
                    </w:rPr>
                    <w:t xml:space="preserve"> </w:t>
                  </w:r>
                  <w:r>
                    <w:rPr>
                      <w:rFonts w:ascii="Times New Roman" w:hAnsi="Times New Roman" w:eastAsia="Times New Roman" w:cs="Times New Roman"/>
                      <w:spacing w:val="4"/>
                      <w:sz w:val="20"/>
                      <w:szCs w:val="20"/>
                    </w:rPr>
                    <w:t>3</w:t>
                  </w:r>
                  <w:r>
                    <w:rPr>
                      <w:rFonts w:ascii="Times New Roman" w:hAnsi="Times New Roman" w:eastAsia="Times New Roman" w:cs="Times New Roman"/>
                      <w:spacing w:val="12"/>
                      <w:sz w:val="20"/>
                      <w:szCs w:val="20"/>
                    </w:rPr>
                    <w:t xml:space="preserve"> </w:t>
                  </w:r>
                  <w:r>
                    <w:rPr>
                      <w:rFonts w:ascii="宋体" w:hAnsi="宋体" w:eastAsia="宋体" w:cs="宋体"/>
                      <w:spacing w:val="4"/>
                      <w:sz w:val="20"/>
                      <w:szCs w:val="20"/>
                    </w:rPr>
                    <w:t>个</w:t>
                  </w:r>
                </w:p>
              </w:tc>
              <w:tc>
                <w:tcPr>
                  <w:tcW w:w="3076" w:type="dxa"/>
                  <w:vAlign w:val="top"/>
                </w:tcPr>
                <w:p w14:paraId="01BE86FE">
                  <w:pPr>
                    <w:spacing w:before="34" w:line="228" w:lineRule="auto"/>
                    <w:ind w:left="604"/>
                    <w:rPr>
                      <w:rFonts w:ascii="宋体" w:hAnsi="宋体" w:eastAsia="宋体" w:cs="宋体"/>
                      <w:sz w:val="20"/>
                      <w:szCs w:val="20"/>
                    </w:rPr>
                  </w:pPr>
                  <w:r>
                    <w:rPr>
                      <w:rFonts w:ascii="宋体" w:hAnsi="宋体" w:eastAsia="宋体" w:cs="宋体"/>
                      <w:spacing w:val="8"/>
                      <w:sz w:val="20"/>
                      <w:szCs w:val="20"/>
                    </w:rPr>
                    <w:t>非甲烷总烃、颗粒物</w:t>
                  </w:r>
                </w:p>
              </w:tc>
              <w:tc>
                <w:tcPr>
                  <w:tcW w:w="1102" w:type="dxa"/>
                  <w:vAlign w:val="top"/>
                </w:tcPr>
                <w:p w14:paraId="1C847B73">
                  <w:pPr>
                    <w:spacing w:before="34" w:line="228" w:lineRule="auto"/>
                    <w:ind w:left="150"/>
                    <w:rPr>
                      <w:rFonts w:ascii="宋体" w:hAnsi="宋体" w:eastAsia="宋体" w:cs="宋体"/>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pacing w:val="16"/>
                      <w:w w:val="101"/>
                      <w:sz w:val="20"/>
                      <w:szCs w:val="20"/>
                    </w:rPr>
                    <w:t xml:space="preserve"> </w:t>
                  </w:r>
                  <w:r>
                    <w:rPr>
                      <w:rFonts w:ascii="宋体" w:hAnsi="宋体" w:eastAsia="宋体" w:cs="宋体"/>
                      <w:spacing w:val="-1"/>
                      <w:sz w:val="20"/>
                      <w:szCs w:val="20"/>
                    </w:rPr>
                    <w:t>次</w:t>
                  </w:r>
                  <w:r>
                    <w:rPr>
                      <w:rFonts w:ascii="Times New Roman" w:hAnsi="Times New Roman" w:eastAsia="Times New Roman" w:cs="Times New Roman"/>
                      <w:spacing w:val="-1"/>
                      <w:sz w:val="20"/>
                      <w:szCs w:val="20"/>
                    </w:rPr>
                    <w:t>/</w:t>
                  </w:r>
                  <w:r>
                    <w:rPr>
                      <w:rFonts w:ascii="宋体" w:hAnsi="宋体" w:eastAsia="宋体" w:cs="宋体"/>
                      <w:spacing w:val="-1"/>
                      <w:sz w:val="20"/>
                      <w:szCs w:val="20"/>
                    </w:rPr>
                    <w:t>半年</w:t>
                  </w:r>
                </w:p>
              </w:tc>
            </w:tr>
            <w:tr w14:paraId="13497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314" w:type="dxa"/>
                  <w:vMerge w:val="continue"/>
                  <w:tcBorders>
                    <w:top w:val="nil"/>
                  </w:tcBorders>
                  <w:vAlign w:val="top"/>
                </w:tcPr>
                <w:p w14:paraId="20307168">
                  <w:pPr>
                    <w:rPr>
                      <w:rFonts w:ascii="Arial"/>
                      <w:sz w:val="21"/>
                    </w:rPr>
                  </w:pPr>
                </w:p>
              </w:tc>
              <w:tc>
                <w:tcPr>
                  <w:tcW w:w="2758" w:type="dxa"/>
                  <w:vAlign w:val="top"/>
                </w:tcPr>
                <w:p w14:paraId="261209ED">
                  <w:pPr>
                    <w:spacing w:before="34" w:line="228" w:lineRule="auto"/>
                    <w:ind w:left="911"/>
                    <w:rPr>
                      <w:rFonts w:ascii="Times New Roman" w:hAnsi="Times New Roman" w:eastAsia="Times New Roman" w:cs="Times New Roman"/>
                      <w:sz w:val="20"/>
                      <w:szCs w:val="20"/>
                    </w:rPr>
                  </w:pPr>
                  <w:r>
                    <w:rPr>
                      <w:rFonts w:ascii="宋体" w:hAnsi="宋体" w:eastAsia="宋体" w:cs="宋体"/>
                      <w:spacing w:val="1"/>
                      <w:sz w:val="20"/>
                      <w:szCs w:val="20"/>
                    </w:rPr>
                    <w:t>厂房外</w:t>
                  </w:r>
                  <w:r>
                    <w:rPr>
                      <w:rFonts w:ascii="宋体" w:hAnsi="宋体" w:eastAsia="宋体" w:cs="宋体"/>
                      <w:spacing w:val="-23"/>
                      <w:sz w:val="20"/>
                      <w:szCs w:val="20"/>
                    </w:rPr>
                    <w:t xml:space="preserve"> </w:t>
                  </w:r>
                  <w:r>
                    <w:rPr>
                      <w:rFonts w:ascii="Times New Roman" w:hAnsi="Times New Roman" w:eastAsia="Times New Roman" w:cs="Times New Roman"/>
                      <w:spacing w:val="1"/>
                      <w:sz w:val="20"/>
                      <w:szCs w:val="20"/>
                    </w:rPr>
                    <w:t>1m</w:t>
                  </w:r>
                </w:p>
              </w:tc>
              <w:tc>
                <w:tcPr>
                  <w:tcW w:w="3076" w:type="dxa"/>
                  <w:vAlign w:val="top"/>
                </w:tcPr>
                <w:p w14:paraId="359F0093">
                  <w:pPr>
                    <w:spacing w:before="34" w:line="228" w:lineRule="auto"/>
                    <w:ind w:left="657"/>
                    <w:rPr>
                      <w:rFonts w:ascii="宋体" w:hAnsi="宋体" w:eastAsia="宋体" w:cs="宋体"/>
                      <w:sz w:val="20"/>
                      <w:szCs w:val="20"/>
                    </w:rPr>
                  </w:pPr>
                  <w:r>
                    <w:rPr>
                      <w:rFonts w:ascii="宋体" w:hAnsi="宋体" w:eastAsia="宋体" w:cs="宋体"/>
                      <w:spacing w:val="7"/>
                      <w:sz w:val="20"/>
                      <w:szCs w:val="20"/>
                    </w:rPr>
                    <w:t>非甲烷总烃</w:t>
                  </w:r>
                </w:p>
              </w:tc>
              <w:tc>
                <w:tcPr>
                  <w:tcW w:w="1102" w:type="dxa"/>
                  <w:vAlign w:val="top"/>
                </w:tcPr>
                <w:p w14:paraId="7600F12D">
                  <w:pPr>
                    <w:spacing w:before="33" w:line="228" w:lineRule="auto"/>
                    <w:ind w:left="150"/>
                    <w:rPr>
                      <w:rFonts w:ascii="宋体" w:hAnsi="宋体" w:eastAsia="宋体" w:cs="宋体"/>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pacing w:val="16"/>
                      <w:w w:val="101"/>
                      <w:sz w:val="20"/>
                      <w:szCs w:val="20"/>
                    </w:rPr>
                    <w:t xml:space="preserve"> </w:t>
                  </w:r>
                  <w:r>
                    <w:rPr>
                      <w:rFonts w:ascii="宋体" w:hAnsi="宋体" w:eastAsia="宋体" w:cs="宋体"/>
                      <w:spacing w:val="-1"/>
                      <w:sz w:val="20"/>
                      <w:szCs w:val="20"/>
                    </w:rPr>
                    <w:t>次</w:t>
                  </w:r>
                  <w:r>
                    <w:rPr>
                      <w:rFonts w:ascii="Times New Roman" w:hAnsi="Times New Roman" w:eastAsia="Times New Roman" w:cs="Times New Roman"/>
                      <w:spacing w:val="-1"/>
                      <w:sz w:val="20"/>
                      <w:szCs w:val="20"/>
                    </w:rPr>
                    <w:t>/</w:t>
                  </w:r>
                  <w:r>
                    <w:rPr>
                      <w:rFonts w:ascii="宋体" w:hAnsi="宋体" w:eastAsia="宋体" w:cs="宋体"/>
                      <w:spacing w:val="-1"/>
                      <w:sz w:val="20"/>
                      <w:szCs w:val="20"/>
                    </w:rPr>
                    <w:t>半年</w:t>
                  </w:r>
                </w:p>
              </w:tc>
            </w:tr>
            <w:tr w14:paraId="0CAAE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314" w:type="dxa"/>
                  <w:vAlign w:val="top"/>
                </w:tcPr>
                <w:p w14:paraId="23EC4DD5">
                  <w:pPr>
                    <w:spacing w:before="36" w:line="228" w:lineRule="auto"/>
                    <w:ind w:left="452"/>
                    <w:rPr>
                      <w:rFonts w:ascii="宋体" w:hAnsi="宋体" w:eastAsia="宋体" w:cs="宋体"/>
                      <w:sz w:val="20"/>
                      <w:szCs w:val="20"/>
                    </w:rPr>
                  </w:pPr>
                  <w:r>
                    <w:rPr>
                      <w:rFonts w:ascii="宋体" w:hAnsi="宋体" w:eastAsia="宋体" w:cs="宋体"/>
                      <w:spacing w:val="5"/>
                      <w:sz w:val="20"/>
                      <w:szCs w:val="20"/>
                    </w:rPr>
                    <w:t>废水</w:t>
                  </w:r>
                </w:p>
              </w:tc>
              <w:tc>
                <w:tcPr>
                  <w:tcW w:w="2758" w:type="dxa"/>
                  <w:vAlign w:val="top"/>
                </w:tcPr>
                <w:p w14:paraId="24DFAAFE">
                  <w:pPr>
                    <w:spacing w:before="80" w:line="195" w:lineRule="auto"/>
                    <w:ind w:left="1045"/>
                    <w:rPr>
                      <w:rFonts w:ascii="Times New Roman" w:hAnsi="Times New Roman" w:eastAsia="Times New Roman" w:cs="Times New Roman"/>
                      <w:sz w:val="20"/>
                      <w:szCs w:val="20"/>
                    </w:rPr>
                  </w:pPr>
                  <w:r>
                    <w:rPr>
                      <w:rFonts w:ascii="Times New Roman" w:hAnsi="Times New Roman" w:eastAsia="Times New Roman" w:cs="Times New Roman"/>
                      <w:sz w:val="20"/>
                      <w:szCs w:val="20"/>
                    </w:rPr>
                    <w:t>DW</w:t>
                  </w:r>
                  <w:r>
                    <w:rPr>
                      <w:rFonts w:ascii="Times New Roman" w:hAnsi="Times New Roman" w:eastAsia="Times New Roman" w:cs="Times New Roman"/>
                      <w:spacing w:val="8"/>
                      <w:sz w:val="20"/>
                      <w:szCs w:val="20"/>
                    </w:rPr>
                    <w:t>001</w:t>
                  </w:r>
                </w:p>
              </w:tc>
              <w:tc>
                <w:tcPr>
                  <w:tcW w:w="3076" w:type="dxa"/>
                  <w:vAlign w:val="top"/>
                </w:tcPr>
                <w:p w14:paraId="4F6413D6">
                  <w:pPr>
                    <w:spacing w:before="36" w:line="227" w:lineRule="auto"/>
                    <w:ind w:left="576"/>
                    <w:rPr>
                      <w:rFonts w:ascii="宋体" w:hAnsi="宋体" w:eastAsia="宋体" w:cs="宋体"/>
                      <w:sz w:val="20"/>
                      <w:szCs w:val="20"/>
                    </w:rPr>
                  </w:pPr>
                  <w:r>
                    <w:rPr>
                      <w:rFonts w:ascii="Times New Roman" w:hAnsi="Times New Roman" w:eastAsia="Times New Roman" w:cs="Times New Roman"/>
                      <w:sz w:val="20"/>
                      <w:szCs w:val="20"/>
                    </w:rPr>
                    <w:t>COD</w:t>
                  </w:r>
                  <w:r>
                    <w:rPr>
                      <w:rFonts w:ascii="Times New Roman" w:hAnsi="Times New Roman" w:eastAsia="Times New Roman" w:cs="Times New Roman"/>
                      <w:spacing w:val="-24"/>
                      <w:sz w:val="20"/>
                      <w:szCs w:val="20"/>
                    </w:rPr>
                    <w:t xml:space="preserve"> </w:t>
                  </w:r>
                  <w:r>
                    <w:rPr>
                      <w:rFonts w:ascii="宋体" w:hAnsi="宋体" w:eastAsia="宋体" w:cs="宋体"/>
                      <w:spacing w:val="6"/>
                      <w:sz w:val="20"/>
                      <w:szCs w:val="20"/>
                    </w:rPr>
                    <w:t>、</w:t>
                  </w:r>
                  <w:r>
                    <w:rPr>
                      <w:rFonts w:ascii="Times New Roman" w:hAnsi="Times New Roman" w:eastAsia="Times New Roman" w:cs="Times New Roman"/>
                      <w:sz w:val="20"/>
                      <w:szCs w:val="20"/>
                    </w:rPr>
                    <w:t>BOD</w:t>
                  </w:r>
                  <w:r>
                    <w:rPr>
                      <w:rFonts w:ascii="Times New Roman" w:hAnsi="Times New Roman" w:eastAsia="Times New Roman" w:cs="Times New Roman"/>
                      <w:spacing w:val="-27"/>
                      <w:sz w:val="20"/>
                      <w:szCs w:val="20"/>
                    </w:rPr>
                    <w:t xml:space="preserve"> </w:t>
                  </w:r>
                  <w:r>
                    <w:rPr>
                      <w:rFonts w:ascii="宋体" w:hAnsi="宋体" w:eastAsia="宋体" w:cs="宋体"/>
                      <w:spacing w:val="6"/>
                      <w:sz w:val="20"/>
                      <w:szCs w:val="20"/>
                    </w:rPr>
                    <w:t>、氨氮等</w:t>
                  </w:r>
                </w:p>
              </w:tc>
              <w:tc>
                <w:tcPr>
                  <w:tcW w:w="1102" w:type="dxa"/>
                  <w:vAlign w:val="top"/>
                </w:tcPr>
                <w:p w14:paraId="4FC1CE80">
                  <w:pPr>
                    <w:spacing w:before="36" w:line="228" w:lineRule="auto"/>
                    <w:ind w:left="255"/>
                    <w:rPr>
                      <w:rFonts w:ascii="宋体" w:hAnsi="宋体" w:eastAsia="宋体" w:cs="宋体"/>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15"/>
                      <w:sz w:val="20"/>
                      <w:szCs w:val="20"/>
                    </w:rPr>
                    <w:t xml:space="preserve"> </w:t>
                  </w:r>
                  <w:r>
                    <w:rPr>
                      <w:rFonts w:ascii="宋体" w:hAnsi="宋体" w:eastAsia="宋体" w:cs="宋体"/>
                      <w:spacing w:val="-3"/>
                      <w:sz w:val="20"/>
                      <w:szCs w:val="20"/>
                    </w:rPr>
                    <w:t>次</w:t>
                  </w:r>
                  <w:r>
                    <w:rPr>
                      <w:rFonts w:ascii="Times New Roman" w:hAnsi="Times New Roman" w:eastAsia="Times New Roman" w:cs="Times New Roman"/>
                      <w:spacing w:val="-3"/>
                      <w:sz w:val="20"/>
                      <w:szCs w:val="20"/>
                    </w:rPr>
                    <w:t>/</w:t>
                  </w:r>
                  <w:r>
                    <w:rPr>
                      <w:rFonts w:ascii="宋体" w:hAnsi="宋体" w:eastAsia="宋体" w:cs="宋体"/>
                      <w:spacing w:val="-3"/>
                      <w:sz w:val="20"/>
                      <w:szCs w:val="20"/>
                    </w:rPr>
                    <w:t>年</w:t>
                  </w:r>
                </w:p>
              </w:tc>
            </w:tr>
          </w:tbl>
          <w:p w14:paraId="6304F369">
            <w:pPr>
              <w:spacing w:before="30" w:line="228" w:lineRule="auto"/>
              <w:ind w:left="536"/>
              <w:rPr>
                <w:rFonts w:ascii="宋体" w:hAnsi="宋体" w:eastAsia="宋体" w:cs="宋体"/>
                <w:sz w:val="20"/>
                <w:szCs w:val="20"/>
              </w:rPr>
            </w:pPr>
            <w:r>
              <w:rPr>
                <w:rFonts w:ascii="宋体" w:hAnsi="宋体" w:eastAsia="宋体" w:cs="宋体"/>
                <w:b/>
                <w:bCs/>
                <w:spacing w:val="6"/>
                <w:sz w:val="20"/>
                <w:szCs w:val="20"/>
              </w:rPr>
              <w:t>（</w:t>
            </w:r>
            <w:r>
              <w:rPr>
                <w:rFonts w:ascii="Times New Roman" w:hAnsi="Times New Roman" w:eastAsia="Times New Roman" w:cs="Times New Roman"/>
                <w:b/>
                <w:bCs/>
                <w:spacing w:val="6"/>
                <w:sz w:val="20"/>
                <w:szCs w:val="20"/>
              </w:rPr>
              <w:t>2</w:t>
            </w:r>
            <w:r>
              <w:rPr>
                <w:rFonts w:ascii="宋体" w:hAnsi="宋体" w:eastAsia="宋体" w:cs="宋体"/>
                <w:b/>
                <w:bCs/>
                <w:spacing w:val="6"/>
                <w:sz w:val="20"/>
                <w:szCs w:val="20"/>
              </w:rPr>
              <w:t>）竣工环保验收</w:t>
            </w:r>
          </w:p>
          <w:p w14:paraId="196391C5">
            <w:pPr>
              <w:spacing w:before="161" w:line="378" w:lineRule="auto"/>
              <w:ind w:left="105" w:right="104" w:firstLine="420"/>
              <w:rPr>
                <w:rFonts w:ascii="宋体" w:hAnsi="宋体" w:eastAsia="宋体" w:cs="宋体"/>
                <w:sz w:val="20"/>
                <w:szCs w:val="20"/>
              </w:rPr>
            </w:pPr>
            <w:r>
              <w:rPr>
                <w:rFonts w:ascii="宋体" w:hAnsi="宋体" w:eastAsia="宋体" w:cs="宋体"/>
                <w:spacing w:val="12"/>
                <w:sz w:val="20"/>
                <w:szCs w:val="20"/>
              </w:rPr>
              <w:t>根据建设单位项目</w:t>
            </w:r>
            <w:r>
              <w:rPr>
                <w:rFonts w:ascii="Times New Roman" w:hAnsi="Times New Roman" w:eastAsia="Times New Roman" w:cs="Times New Roman"/>
                <w:spacing w:val="12"/>
                <w:sz w:val="20"/>
                <w:szCs w:val="20"/>
              </w:rPr>
              <w:t>“</w:t>
            </w:r>
            <w:r>
              <w:rPr>
                <w:rFonts w:ascii="宋体" w:hAnsi="宋体" w:eastAsia="宋体" w:cs="宋体"/>
                <w:spacing w:val="12"/>
                <w:sz w:val="20"/>
                <w:szCs w:val="20"/>
              </w:rPr>
              <w:t>三同时</w:t>
            </w:r>
            <w:r>
              <w:rPr>
                <w:rFonts w:ascii="Times New Roman" w:hAnsi="Times New Roman" w:eastAsia="Times New Roman" w:cs="Times New Roman"/>
                <w:spacing w:val="12"/>
                <w:sz w:val="20"/>
                <w:szCs w:val="20"/>
              </w:rPr>
              <w:t>”</w:t>
            </w:r>
            <w:r>
              <w:rPr>
                <w:rFonts w:ascii="Times New Roman" w:hAnsi="Times New Roman" w:eastAsia="Times New Roman" w:cs="Times New Roman"/>
                <w:spacing w:val="-33"/>
                <w:sz w:val="20"/>
                <w:szCs w:val="20"/>
              </w:rPr>
              <w:t xml:space="preserve"> </w:t>
            </w:r>
            <w:r>
              <w:rPr>
                <w:rFonts w:ascii="宋体" w:hAnsi="宋体" w:eastAsia="宋体" w:cs="宋体"/>
                <w:spacing w:val="12"/>
                <w:sz w:val="20"/>
                <w:szCs w:val="20"/>
              </w:rPr>
              <w:t>原则，在项目建设</w:t>
            </w:r>
            <w:r>
              <w:rPr>
                <w:rFonts w:ascii="宋体" w:hAnsi="宋体" w:eastAsia="宋体" w:cs="宋体"/>
                <w:spacing w:val="11"/>
                <w:sz w:val="20"/>
                <w:szCs w:val="20"/>
              </w:rPr>
              <w:t>过程中，环境污染防治设施应与主体工</w:t>
            </w:r>
            <w:r>
              <w:rPr>
                <w:rFonts w:ascii="宋体" w:hAnsi="宋体" w:eastAsia="宋体" w:cs="宋体"/>
                <w:spacing w:val="9"/>
                <w:sz w:val="20"/>
                <w:szCs w:val="20"/>
              </w:rPr>
              <w:t>程同时设计、同时施工、同时投入使用，项目建成运营时，应对环保设施进行验收。</w:t>
            </w:r>
          </w:p>
          <w:p w14:paraId="445D57F0">
            <w:pPr>
              <w:spacing w:before="1" w:line="227" w:lineRule="auto"/>
              <w:ind w:left="525"/>
              <w:rPr>
                <w:rFonts w:ascii="宋体" w:hAnsi="宋体" w:eastAsia="宋体" w:cs="宋体"/>
                <w:sz w:val="20"/>
                <w:szCs w:val="20"/>
              </w:rPr>
            </w:pPr>
            <w:r>
              <w:rPr>
                <w:rFonts w:ascii="宋体" w:hAnsi="宋体" w:eastAsia="宋体" w:cs="宋体"/>
                <w:spacing w:val="5"/>
                <w:sz w:val="20"/>
                <w:szCs w:val="20"/>
              </w:rPr>
              <w:t>验收监测计划见表</w:t>
            </w:r>
            <w:r>
              <w:rPr>
                <w:rFonts w:ascii="宋体" w:hAnsi="宋体" w:eastAsia="宋体" w:cs="宋体"/>
                <w:spacing w:val="-25"/>
                <w:sz w:val="20"/>
                <w:szCs w:val="20"/>
              </w:rPr>
              <w:t xml:space="preserve"> </w:t>
            </w:r>
            <w:r>
              <w:rPr>
                <w:rFonts w:ascii="Times New Roman" w:hAnsi="Times New Roman" w:eastAsia="Times New Roman" w:cs="Times New Roman"/>
                <w:spacing w:val="5"/>
                <w:sz w:val="20"/>
                <w:szCs w:val="20"/>
              </w:rPr>
              <w:t>5-2</w:t>
            </w:r>
            <w:r>
              <w:rPr>
                <w:rFonts w:ascii="宋体" w:hAnsi="宋体" w:eastAsia="宋体" w:cs="宋体"/>
                <w:spacing w:val="5"/>
                <w:sz w:val="20"/>
                <w:szCs w:val="20"/>
              </w:rPr>
              <w:t>。</w:t>
            </w:r>
          </w:p>
        </w:tc>
      </w:tr>
    </w:tbl>
    <w:p w14:paraId="358596F6">
      <w:pPr>
        <w:pStyle w:val="2"/>
      </w:pPr>
    </w:p>
    <w:p w14:paraId="6AE50D7E">
      <w:pPr>
        <w:sectPr>
          <w:footerReference r:id="rId116" w:type="default"/>
          <w:pgSz w:w="11906" w:h="16839"/>
          <w:pgMar w:top="400" w:right="1070" w:bottom="1097" w:left="1196" w:header="0" w:footer="755" w:gutter="0"/>
          <w:cols w:space="720" w:num="1"/>
        </w:sectPr>
      </w:pPr>
    </w:p>
    <w:p w14:paraId="4A4A1365">
      <w:pPr>
        <w:spacing w:before="42"/>
      </w:pPr>
    </w:p>
    <w:p w14:paraId="061CD07C">
      <w:pPr>
        <w:spacing w:before="41"/>
      </w:pPr>
    </w:p>
    <w:p w14:paraId="64D2D085">
      <w:pPr>
        <w:spacing w:before="41"/>
      </w:pPr>
    </w:p>
    <w:p w14:paraId="41D276A7">
      <w:pPr>
        <w:spacing w:before="41"/>
      </w:pPr>
    </w:p>
    <w:tbl>
      <w:tblPr>
        <w:tblStyle w:val="10"/>
        <w:tblW w:w="96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48"/>
        <w:gridCol w:w="8476"/>
      </w:tblGrid>
      <w:tr w14:paraId="25BE5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95" w:hRule="atLeast"/>
        </w:trPr>
        <w:tc>
          <w:tcPr>
            <w:tcW w:w="1148" w:type="dxa"/>
            <w:tcBorders>
              <w:right w:val="single" w:color="000000" w:sz="2" w:space="0"/>
            </w:tcBorders>
            <w:vAlign w:val="top"/>
          </w:tcPr>
          <w:p w14:paraId="4054065E">
            <w:pPr>
              <w:rPr>
                <w:rFonts w:ascii="Arial"/>
                <w:sz w:val="21"/>
              </w:rPr>
            </w:pPr>
          </w:p>
        </w:tc>
        <w:tc>
          <w:tcPr>
            <w:tcW w:w="8476" w:type="dxa"/>
            <w:tcBorders>
              <w:left w:val="single" w:color="000000" w:sz="2" w:space="0"/>
            </w:tcBorders>
            <w:vAlign w:val="top"/>
          </w:tcPr>
          <w:p w14:paraId="1562DABE">
            <w:pPr>
              <w:spacing w:before="27" w:line="221" w:lineRule="auto"/>
              <w:ind w:left="2966"/>
              <w:rPr>
                <w:rFonts w:ascii="宋体" w:hAnsi="宋体" w:eastAsia="宋体" w:cs="宋体"/>
                <w:sz w:val="20"/>
                <w:szCs w:val="20"/>
              </w:rPr>
            </w:pPr>
            <w:r>
              <w:rPr>
                <w:rFonts w:ascii="宋体" w:hAnsi="宋体" w:eastAsia="宋体" w:cs="宋体"/>
                <w:b/>
                <w:bCs/>
                <w:spacing w:val="5"/>
                <w:sz w:val="20"/>
                <w:szCs w:val="20"/>
              </w:rPr>
              <w:t>表</w:t>
            </w:r>
            <w:r>
              <w:rPr>
                <w:rFonts w:ascii="宋体" w:hAnsi="宋体" w:eastAsia="宋体" w:cs="宋体"/>
                <w:spacing w:val="-27"/>
                <w:sz w:val="20"/>
                <w:szCs w:val="20"/>
              </w:rPr>
              <w:t xml:space="preserve"> </w:t>
            </w:r>
            <w:r>
              <w:rPr>
                <w:rFonts w:ascii="Times New Roman" w:hAnsi="Times New Roman" w:eastAsia="Times New Roman" w:cs="Times New Roman"/>
                <w:b/>
                <w:bCs/>
                <w:spacing w:val="5"/>
                <w:sz w:val="20"/>
                <w:szCs w:val="20"/>
              </w:rPr>
              <w:t xml:space="preserve">5-2  </w:t>
            </w:r>
            <w:r>
              <w:rPr>
                <w:rFonts w:ascii="宋体" w:hAnsi="宋体" w:eastAsia="宋体" w:cs="宋体"/>
                <w:b/>
                <w:bCs/>
                <w:spacing w:val="5"/>
                <w:sz w:val="20"/>
                <w:szCs w:val="20"/>
              </w:rPr>
              <w:t>验收监测计划一览表</w:t>
            </w:r>
          </w:p>
          <w:tbl>
            <w:tblPr>
              <w:tblStyle w:val="10"/>
              <w:tblW w:w="8250"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4"/>
              <w:gridCol w:w="1722"/>
              <w:gridCol w:w="2335"/>
              <w:gridCol w:w="2879"/>
            </w:tblGrid>
            <w:tr w14:paraId="77D1A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314" w:type="dxa"/>
                  <w:vAlign w:val="top"/>
                </w:tcPr>
                <w:p w14:paraId="7F4C5DEC">
                  <w:pPr>
                    <w:spacing w:before="35" w:line="228" w:lineRule="auto"/>
                    <w:ind w:left="242"/>
                    <w:rPr>
                      <w:rFonts w:ascii="宋体" w:hAnsi="宋体" w:eastAsia="宋体" w:cs="宋体"/>
                      <w:sz w:val="20"/>
                      <w:szCs w:val="20"/>
                    </w:rPr>
                  </w:pPr>
                  <w:r>
                    <w:rPr>
                      <w:rFonts w:ascii="宋体" w:hAnsi="宋体" w:eastAsia="宋体" w:cs="宋体"/>
                      <w:b/>
                      <w:bCs/>
                      <w:spacing w:val="6"/>
                      <w:sz w:val="20"/>
                      <w:szCs w:val="20"/>
                    </w:rPr>
                    <w:t>监测内容</w:t>
                  </w:r>
                </w:p>
              </w:tc>
              <w:tc>
                <w:tcPr>
                  <w:tcW w:w="1722" w:type="dxa"/>
                  <w:vAlign w:val="top"/>
                </w:tcPr>
                <w:p w14:paraId="03057008">
                  <w:pPr>
                    <w:spacing w:before="36" w:line="229" w:lineRule="auto"/>
                    <w:ind w:left="445"/>
                    <w:rPr>
                      <w:rFonts w:ascii="宋体" w:hAnsi="宋体" w:eastAsia="宋体" w:cs="宋体"/>
                      <w:sz w:val="20"/>
                      <w:szCs w:val="20"/>
                    </w:rPr>
                  </w:pPr>
                  <w:r>
                    <w:rPr>
                      <w:rFonts w:ascii="宋体" w:hAnsi="宋体" w:eastAsia="宋体" w:cs="宋体"/>
                      <w:b/>
                      <w:bCs/>
                      <w:spacing w:val="6"/>
                      <w:sz w:val="20"/>
                      <w:szCs w:val="20"/>
                    </w:rPr>
                    <w:t>监测点位</w:t>
                  </w:r>
                </w:p>
              </w:tc>
              <w:tc>
                <w:tcPr>
                  <w:tcW w:w="2335" w:type="dxa"/>
                  <w:vAlign w:val="top"/>
                </w:tcPr>
                <w:p w14:paraId="32D4E5D9">
                  <w:pPr>
                    <w:spacing w:before="36" w:line="228" w:lineRule="auto"/>
                    <w:ind w:left="753"/>
                    <w:rPr>
                      <w:rFonts w:ascii="宋体" w:hAnsi="宋体" w:eastAsia="宋体" w:cs="宋体"/>
                      <w:sz w:val="20"/>
                      <w:szCs w:val="20"/>
                    </w:rPr>
                  </w:pPr>
                  <w:r>
                    <w:rPr>
                      <w:rFonts w:ascii="宋体" w:hAnsi="宋体" w:eastAsia="宋体" w:cs="宋体"/>
                      <w:b/>
                      <w:bCs/>
                      <w:spacing w:val="6"/>
                      <w:sz w:val="20"/>
                      <w:szCs w:val="20"/>
                    </w:rPr>
                    <w:t>监测因子</w:t>
                  </w:r>
                </w:p>
              </w:tc>
              <w:tc>
                <w:tcPr>
                  <w:tcW w:w="2879" w:type="dxa"/>
                  <w:vAlign w:val="top"/>
                </w:tcPr>
                <w:p w14:paraId="17E3FF53">
                  <w:pPr>
                    <w:spacing w:before="35" w:line="228" w:lineRule="auto"/>
                    <w:ind w:left="1022"/>
                    <w:rPr>
                      <w:rFonts w:ascii="宋体" w:hAnsi="宋体" w:eastAsia="宋体" w:cs="宋体"/>
                      <w:sz w:val="20"/>
                      <w:szCs w:val="20"/>
                    </w:rPr>
                  </w:pPr>
                  <w:r>
                    <w:rPr>
                      <w:rFonts w:ascii="宋体" w:hAnsi="宋体" w:eastAsia="宋体" w:cs="宋体"/>
                      <w:b/>
                      <w:bCs/>
                      <w:spacing w:val="6"/>
                      <w:sz w:val="20"/>
                      <w:szCs w:val="20"/>
                    </w:rPr>
                    <w:t>监测频次</w:t>
                  </w:r>
                </w:p>
              </w:tc>
            </w:tr>
            <w:tr w14:paraId="289CC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314" w:type="dxa"/>
                  <w:vAlign w:val="top"/>
                </w:tcPr>
                <w:p w14:paraId="1B5D8BDF">
                  <w:pPr>
                    <w:spacing w:before="235" w:line="228" w:lineRule="auto"/>
                    <w:ind w:left="462"/>
                    <w:rPr>
                      <w:rFonts w:ascii="宋体" w:hAnsi="宋体" w:eastAsia="宋体" w:cs="宋体"/>
                      <w:sz w:val="20"/>
                      <w:szCs w:val="20"/>
                    </w:rPr>
                  </w:pPr>
                  <w:r>
                    <w:rPr>
                      <w:rFonts w:ascii="宋体" w:hAnsi="宋体" w:eastAsia="宋体" w:cs="宋体"/>
                      <w:spacing w:val="-1"/>
                      <w:sz w:val="20"/>
                      <w:szCs w:val="20"/>
                    </w:rPr>
                    <w:t>噪声</w:t>
                  </w:r>
                </w:p>
              </w:tc>
              <w:tc>
                <w:tcPr>
                  <w:tcW w:w="1722" w:type="dxa"/>
                  <w:vAlign w:val="top"/>
                </w:tcPr>
                <w:p w14:paraId="17CF7002">
                  <w:pPr>
                    <w:spacing w:before="30" w:line="360" w:lineRule="auto"/>
                    <w:ind w:left="616" w:right="145" w:hanging="503"/>
                    <w:rPr>
                      <w:rFonts w:ascii="宋体" w:hAnsi="宋体" w:eastAsia="宋体" w:cs="宋体"/>
                      <w:sz w:val="20"/>
                      <w:szCs w:val="20"/>
                    </w:rPr>
                  </w:pPr>
                  <w:r>
                    <w:rPr>
                      <w:rFonts w:ascii="宋体" w:hAnsi="宋体" w:eastAsia="宋体" w:cs="宋体"/>
                      <w:spacing w:val="8"/>
                      <w:sz w:val="20"/>
                      <w:szCs w:val="20"/>
                    </w:rPr>
                    <w:t>厂界东南西北外</w:t>
                  </w:r>
                  <w:r>
                    <w:rPr>
                      <w:rFonts w:ascii="Times New Roman" w:hAnsi="Times New Roman" w:eastAsia="Times New Roman" w:cs="Times New Roman"/>
                      <w:spacing w:val="-5"/>
                      <w:sz w:val="20"/>
                      <w:szCs w:val="20"/>
                    </w:rPr>
                    <w:t>1m</w:t>
                  </w:r>
                  <w:r>
                    <w:rPr>
                      <w:rFonts w:ascii="Times New Roman" w:hAnsi="Times New Roman" w:eastAsia="Times New Roman" w:cs="Times New Roman"/>
                      <w:spacing w:val="15"/>
                      <w:w w:val="101"/>
                      <w:sz w:val="20"/>
                      <w:szCs w:val="20"/>
                    </w:rPr>
                    <w:t xml:space="preserve"> </w:t>
                  </w:r>
                  <w:r>
                    <w:rPr>
                      <w:rFonts w:ascii="宋体" w:hAnsi="宋体" w:eastAsia="宋体" w:cs="宋体"/>
                      <w:spacing w:val="-5"/>
                      <w:sz w:val="20"/>
                      <w:szCs w:val="20"/>
                    </w:rPr>
                    <w:t>处</w:t>
                  </w:r>
                </w:p>
              </w:tc>
              <w:tc>
                <w:tcPr>
                  <w:tcW w:w="2335" w:type="dxa"/>
                  <w:vAlign w:val="top"/>
                </w:tcPr>
                <w:p w14:paraId="45BB3B05">
                  <w:pPr>
                    <w:spacing w:before="234" w:line="221" w:lineRule="auto"/>
                    <w:ind w:left="720"/>
                    <w:rPr>
                      <w:rFonts w:ascii="宋体" w:hAnsi="宋体" w:eastAsia="宋体" w:cs="宋体"/>
                      <w:sz w:val="20"/>
                      <w:szCs w:val="20"/>
                    </w:rPr>
                  </w:pPr>
                  <w:r>
                    <w:rPr>
                      <w:rFonts w:ascii="Times New Roman" w:hAnsi="Times New Roman" w:eastAsia="Times New Roman" w:cs="Times New Roman"/>
                      <w:sz w:val="20"/>
                      <w:szCs w:val="20"/>
                    </w:rPr>
                    <w:t>Leq</w:t>
                  </w:r>
                  <w:r>
                    <w:rPr>
                      <w:rFonts w:ascii="宋体" w:hAnsi="宋体" w:eastAsia="宋体" w:cs="宋体"/>
                      <w:spacing w:val="8"/>
                      <w:sz w:val="20"/>
                      <w:szCs w:val="20"/>
                    </w:rPr>
                    <w:t>（</w:t>
                  </w:r>
                  <w:r>
                    <w:rPr>
                      <w:rFonts w:ascii="Times New Roman" w:hAnsi="Times New Roman" w:eastAsia="Times New Roman" w:cs="Times New Roman"/>
                      <w:spacing w:val="8"/>
                      <w:sz w:val="20"/>
                      <w:szCs w:val="20"/>
                    </w:rPr>
                    <w:t>A</w:t>
                  </w:r>
                  <w:r>
                    <w:rPr>
                      <w:rFonts w:ascii="宋体" w:hAnsi="宋体" w:eastAsia="宋体" w:cs="宋体"/>
                      <w:spacing w:val="8"/>
                      <w:sz w:val="20"/>
                      <w:szCs w:val="20"/>
                    </w:rPr>
                    <w:t>）</w:t>
                  </w:r>
                </w:p>
              </w:tc>
              <w:tc>
                <w:tcPr>
                  <w:tcW w:w="2879" w:type="dxa"/>
                  <w:vAlign w:val="top"/>
                </w:tcPr>
                <w:p w14:paraId="2F49671E">
                  <w:pPr>
                    <w:spacing w:before="30" w:line="228" w:lineRule="auto"/>
                    <w:ind w:left="115"/>
                    <w:rPr>
                      <w:rFonts w:ascii="宋体" w:hAnsi="宋体" w:eastAsia="宋体" w:cs="宋体"/>
                      <w:sz w:val="20"/>
                      <w:szCs w:val="20"/>
                    </w:rPr>
                  </w:pPr>
                  <w:r>
                    <w:rPr>
                      <w:rFonts w:ascii="宋体" w:hAnsi="宋体" w:eastAsia="宋体" w:cs="宋体"/>
                      <w:spacing w:val="1"/>
                      <w:sz w:val="20"/>
                      <w:szCs w:val="20"/>
                    </w:rPr>
                    <w:t>连续监测</w:t>
                  </w:r>
                  <w:r>
                    <w:rPr>
                      <w:rFonts w:ascii="宋体" w:hAnsi="宋体" w:eastAsia="宋体" w:cs="宋体"/>
                      <w:spacing w:val="-30"/>
                      <w:sz w:val="20"/>
                      <w:szCs w:val="20"/>
                    </w:rPr>
                    <w:t xml:space="preserve"> </w:t>
                  </w:r>
                  <w:r>
                    <w:rPr>
                      <w:rFonts w:ascii="Times New Roman" w:hAnsi="Times New Roman" w:eastAsia="Times New Roman" w:cs="Times New Roman"/>
                      <w:spacing w:val="1"/>
                      <w:sz w:val="20"/>
                      <w:szCs w:val="20"/>
                    </w:rPr>
                    <w:t>2</w:t>
                  </w:r>
                  <w:r>
                    <w:rPr>
                      <w:rFonts w:ascii="Times New Roman" w:hAnsi="Times New Roman" w:eastAsia="Times New Roman" w:cs="Times New Roman"/>
                      <w:spacing w:val="16"/>
                      <w:sz w:val="20"/>
                      <w:szCs w:val="20"/>
                    </w:rPr>
                    <w:t xml:space="preserve"> </w:t>
                  </w:r>
                  <w:r>
                    <w:rPr>
                      <w:rFonts w:ascii="宋体" w:hAnsi="宋体" w:eastAsia="宋体" w:cs="宋体"/>
                      <w:spacing w:val="1"/>
                      <w:sz w:val="20"/>
                      <w:szCs w:val="20"/>
                    </w:rPr>
                    <w:t>天，昼夜间各监测</w:t>
                  </w:r>
                </w:p>
                <w:p w14:paraId="309868DC">
                  <w:pPr>
                    <w:spacing w:before="160" w:line="228" w:lineRule="auto"/>
                    <w:ind w:left="1278"/>
                    <w:rPr>
                      <w:rFonts w:ascii="宋体" w:hAnsi="宋体" w:eastAsia="宋体" w:cs="宋体"/>
                      <w:sz w:val="20"/>
                      <w:szCs w:val="20"/>
                    </w:rPr>
                  </w:pPr>
                  <w:r>
                    <w:rPr>
                      <w:rFonts w:ascii="Times New Roman" w:hAnsi="Times New Roman" w:eastAsia="Times New Roman" w:cs="Times New Roman"/>
                      <w:spacing w:val="-10"/>
                      <w:sz w:val="20"/>
                      <w:szCs w:val="20"/>
                    </w:rPr>
                    <w:t>1</w:t>
                  </w:r>
                  <w:r>
                    <w:rPr>
                      <w:rFonts w:ascii="Times New Roman" w:hAnsi="Times New Roman" w:eastAsia="Times New Roman" w:cs="Times New Roman"/>
                      <w:spacing w:val="15"/>
                      <w:sz w:val="20"/>
                      <w:szCs w:val="20"/>
                    </w:rPr>
                    <w:t xml:space="preserve"> </w:t>
                  </w:r>
                  <w:r>
                    <w:rPr>
                      <w:rFonts w:ascii="宋体" w:hAnsi="宋体" w:eastAsia="宋体" w:cs="宋体"/>
                      <w:spacing w:val="-10"/>
                      <w:sz w:val="20"/>
                      <w:szCs w:val="20"/>
                    </w:rPr>
                    <w:t>次</w:t>
                  </w:r>
                </w:p>
              </w:tc>
            </w:tr>
            <w:tr w14:paraId="27586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314" w:type="dxa"/>
                  <w:vMerge w:val="restart"/>
                  <w:tcBorders>
                    <w:bottom w:val="nil"/>
                  </w:tcBorders>
                  <w:vAlign w:val="top"/>
                </w:tcPr>
                <w:p w14:paraId="60DF8863">
                  <w:pPr>
                    <w:spacing w:line="262" w:lineRule="auto"/>
                    <w:rPr>
                      <w:rFonts w:ascii="Arial"/>
                      <w:sz w:val="21"/>
                    </w:rPr>
                  </w:pPr>
                </w:p>
                <w:p w14:paraId="340A3129">
                  <w:pPr>
                    <w:spacing w:line="263" w:lineRule="auto"/>
                    <w:rPr>
                      <w:rFonts w:ascii="Arial"/>
                      <w:sz w:val="21"/>
                    </w:rPr>
                  </w:pPr>
                </w:p>
                <w:p w14:paraId="3C444A49">
                  <w:pPr>
                    <w:spacing w:line="263" w:lineRule="auto"/>
                    <w:rPr>
                      <w:rFonts w:ascii="Arial"/>
                      <w:sz w:val="21"/>
                    </w:rPr>
                  </w:pPr>
                </w:p>
                <w:p w14:paraId="5EBD0697">
                  <w:pPr>
                    <w:spacing w:before="65" w:line="228" w:lineRule="auto"/>
                    <w:ind w:left="452"/>
                    <w:rPr>
                      <w:rFonts w:ascii="宋体" w:hAnsi="宋体" w:eastAsia="宋体" w:cs="宋体"/>
                      <w:sz w:val="20"/>
                      <w:szCs w:val="20"/>
                    </w:rPr>
                  </w:pPr>
                  <w:r>
                    <w:rPr>
                      <w:rFonts w:ascii="宋体" w:hAnsi="宋体" w:eastAsia="宋体" w:cs="宋体"/>
                      <w:spacing w:val="5"/>
                      <w:sz w:val="20"/>
                      <w:szCs w:val="20"/>
                    </w:rPr>
                    <w:t>废气</w:t>
                  </w:r>
                </w:p>
              </w:tc>
              <w:tc>
                <w:tcPr>
                  <w:tcW w:w="1722" w:type="dxa"/>
                  <w:vAlign w:val="top"/>
                </w:tcPr>
                <w:p w14:paraId="5F3DA8FA">
                  <w:pPr>
                    <w:spacing w:before="75" w:line="195" w:lineRule="auto"/>
                    <w:ind w:left="550"/>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8"/>
                      <w:sz w:val="20"/>
                      <w:szCs w:val="20"/>
                    </w:rPr>
                    <w:t>005</w:t>
                  </w:r>
                </w:p>
              </w:tc>
              <w:tc>
                <w:tcPr>
                  <w:tcW w:w="2335" w:type="dxa"/>
                  <w:vAlign w:val="top"/>
                </w:tcPr>
                <w:p w14:paraId="3132D7F7">
                  <w:pPr>
                    <w:spacing w:before="33" w:line="228" w:lineRule="auto"/>
                    <w:ind w:left="230"/>
                    <w:rPr>
                      <w:rFonts w:ascii="宋体" w:hAnsi="宋体" w:eastAsia="宋体" w:cs="宋体"/>
                      <w:sz w:val="20"/>
                      <w:szCs w:val="20"/>
                    </w:rPr>
                  </w:pPr>
                  <w:r>
                    <w:rPr>
                      <w:rFonts w:ascii="宋体" w:hAnsi="宋体" w:eastAsia="宋体" w:cs="宋体"/>
                      <w:spacing w:val="8"/>
                      <w:sz w:val="20"/>
                      <w:szCs w:val="20"/>
                    </w:rPr>
                    <w:t>非甲烷总烃、颗粒物</w:t>
                  </w:r>
                </w:p>
              </w:tc>
              <w:tc>
                <w:tcPr>
                  <w:tcW w:w="2879" w:type="dxa"/>
                  <w:vAlign w:val="top"/>
                </w:tcPr>
                <w:p w14:paraId="659ADAB4">
                  <w:pPr>
                    <w:spacing w:before="32" w:line="228" w:lineRule="auto"/>
                    <w:ind w:left="290"/>
                    <w:rPr>
                      <w:rFonts w:ascii="宋体" w:hAnsi="宋体" w:eastAsia="宋体" w:cs="宋体"/>
                      <w:sz w:val="20"/>
                      <w:szCs w:val="20"/>
                    </w:rPr>
                  </w:pPr>
                  <w:r>
                    <w:rPr>
                      <w:rFonts w:ascii="宋体" w:hAnsi="宋体" w:eastAsia="宋体" w:cs="宋体"/>
                      <w:spacing w:val="10"/>
                      <w:sz w:val="20"/>
                      <w:szCs w:val="20"/>
                    </w:rPr>
                    <w:t>连续监测</w:t>
                  </w:r>
                  <w:r>
                    <w:rPr>
                      <w:rFonts w:ascii="Times New Roman" w:hAnsi="Times New Roman" w:eastAsia="Times New Roman" w:cs="Times New Roman"/>
                      <w:spacing w:val="10"/>
                      <w:sz w:val="20"/>
                      <w:szCs w:val="20"/>
                    </w:rPr>
                    <w:t xml:space="preserve">2 </w:t>
                  </w:r>
                  <w:r>
                    <w:rPr>
                      <w:rFonts w:ascii="宋体" w:hAnsi="宋体" w:eastAsia="宋体" w:cs="宋体"/>
                      <w:spacing w:val="10"/>
                      <w:sz w:val="20"/>
                      <w:szCs w:val="20"/>
                    </w:rPr>
                    <w:t>天，每天</w:t>
                  </w:r>
                  <w:r>
                    <w:rPr>
                      <w:rFonts w:ascii="宋体" w:hAnsi="宋体" w:eastAsia="宋体" w:cs="宋体"/>
                      <w:spacing w:val="-34"/>
                      <w:sz w:val="20"/>
                      <w:szCs w:val="20"/>
                    </w:rPr>
                    <w:t xml:space="preserve"> </w:t>
                  </w:r>
                  <w:r>
                    <w:rPr>
                      <w:rFonts w:ascii="Times New Roman" w:hAnsi="Times New Roman" w:eastAsia="Times New Roman" w:cs="Times New Roman"/>
                      <w:spacing w:val="10"/>
                      <w:sz w:val="20"/>
                      <w:szCs w:val="20"/>
                    </w:rPr>
                    <w:t>4</w:t>
                  </w:r>
                  <w:r>
                    <w:rPr>
                      <w:rFonts w:ascii="Times New Roman" w:hAnsi="Times New Roman" w:eastAsia="Times New Roman" w:cs="Times New Roman"/>
                      <w:spacing w:val="17"/>
                      <w:w w:val="101"/>
                      <w:sz w:val="20"/>
                      <w:szCs w:val="20"/>
                    </w:rPr>
                    <w:t xml:space="preserve"> </w:t>
                  </w:r>
                  <w:r>
                    <w:rPr>
                      <w:rFonts w:ascii="宋体" w:hAnsi="宋体" w:eastAsia="宋体" w:cs="宋体"/>
                      <w:spacing w:val="10"/>
                      <w:sz w:val="20"/>
                      <w:szCs w:val="20"/>
                    </w:rPr>
                    <w:t>次</w:t>
                  </w:r>
                </w:p>
              </w:tc>
            </w:tr>
            <w:tr w14:paraId="5B0B9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314" w:type="dxa"/>
                  <w:vMerge w:val="continue"/>
                  <w:tcBorders>
                    <w:top w:val="nil"/>
                    <w:bottom w:val="nil"/>
                  </w:tcBorders>
                  <w:vAlign w:val="top"/>
                </w:tcPr>
                <w:p w14:paraId="77B7BEBD">
                  <w:pPr>
                    <w:rPr>
                      <w:rFonts w:ascii="Arial"/>
                      <w:sz w:val="21"/>
                    </w:rPr>
                  </w:pPr>
                </w:p>
              </w:tc>
              <w:tc>
                <w:tcPr>
                  <w:tcW w:w="1722" w:type="dxa"/>
                  <w:vAlign w:val="top"/>
                </w:tcPr>
                <w:p w14:paraId="58C1544F">
                  <w:pPr>
                    <w:spacing w:before="33" w:line="359" w:lineRule="auto"/>
                    <w:ind w:left="444" w:right="126" w:hanging="313"/>
                    <w:rPr>
                      <w:rFonts w:ascii="宋体" w:hAnsi="宋体" w:eastAsia="宋体" w:cs="宋体"/>
                      <w:sz w:val="20"/>
                      <w:szCs w:val="20"/>
                    </w:rPr>
                  </w:pPr>
                  <w:r>
                    <w:rPr>
                      <w:rFonts w:ascii="宋体" w:hAnsi="宋体" w:eastAsia="宋体" w:cs="宋体"/>
                      <w:spacing w:val="4"/>
                      <w:sz w:val="20"/>
                      <w:szCs w:val="20"/>
                    </w:rPr>
                    <w:t>上风向</w:t>
                  </w:r>
                  <w:r>
                    <w:rPr>
                      <w:rFonts w:ascii="宋体" w:hAnsi="宋体" w:eastAsia="宋体" w:cs="宋体"/>
                      <w:spacing w:val="-23"/>
                      <w:sz w:val="20"/>
                      <w:szCs w:val="20"/>
                    </w:rPr>
                    <w:t xml:space="preserve">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个、下</w:t>
                  </w:r>
                  <w:r>
                    <w:rPr>
                      <w:rFonts w:ascii="宋体" w:hAnsi="宋体" w:eastAsia="宋体" w:cs="宋体"/>
                      <w:spacing w:val="1"/>
                      <w:sz w:val="20"/>
                      <w:szCs w:val="20"/>
                    </w:rPr>
                    <w:t>风向</w:t>
                  </w:r>
                  <w:r>
                    <w:rPr>
                      <w:rFonts w:ascii="宋体" w:hAnsi="宋体" w:eastAsia="宋体" w:cs="宋体"/>
                      <w:spacing w:val="-36"/>
                      <w:sz w:val="20"/>
                      <w:szCs w:val="20"/>
                    </w:rPr>
                    <w:t xml:space="preserve"> </w:t>
                  </w:r>
                  <w:r>
                    <w:rPr>
                      <w:rFonts w:ascii="Times New Roman" w:hAnsi="Times New Roman" w:eastAsia="Times New Roman" w:cs="Times New Roman"/>
                      <w:spacing w:val="1"/>
                      <w:sz w:val="20"/>
                      <w:szCs w:val="20"/>
                    </w:rPr>
                    <w:t>3</w:t>
                  </w:r>
                  <w:r>
                    <w:rPr>
                      <w:rFonts w:ascii="Times New Roman" w:hAnsi="Times New Roman" w:eastAsia="Times New Roman" w:cs="Times New Roman"/>
                      <w:spacing w:val="12"/>
                      <w:sz w:val="20"/>
                      <w:szCs w:val="20"/>
                    </w:rPr>
                    <w:t xml:space="preserve"> </w:t>
                  </w:r>
                  <w:r>
                    <w:rPr>
                      <w:rFonts w:ascii="宋体" w:hAnsi="宋体" w:eastAsia="宋体" w:cs="宋体"/>
                      <w:spacing w:val="1"/>
                      <w:sz w:val="20"/>
                      <w:szCs w:val="20"/>
                    </w:rPr>
                    <w:t>个</w:t>
                  </w:r>
                </w:p>
              </w:tc>
              <w:tc>
                <w:tcPr>
                  <w:tcW w:w="2335" w:type="dxa"/>
                  <w:vAlign w:val="top"/>
                </w:tcPr>
                <w:p w14:paraId="0F4E2769">
                  <w:pPr>
                    <w:spacing w:before="237" w:line="228" w:lineRule="auto"/>
                    <w:ind w:left="230"/>
                    <w:rPr>
                      <w:rFonts w:ascii="宋体" w:hAnsi="宋体" w:eastAsia="宋体" w:cs="宋体"/>
                      <w:sz w:val="20"/>
                      <w:szCs w:val="20"/>
                    </w:rPr>
                  </w:pPr>
                  <w:r>
                    <w:rPr>
                      <w:rFonts w:ascii="宋体" w:hAnsi="宋体" w:eastAsia="宋体" w:cs="宋体"/>
                      <w:spacing w:val="8"/>
                      <w:sz w:val="20"/>
                      <w:szCs w:val="20"/>
                    </w:rPr>
                    <w:t>非甲烷总烃、颗粒物</w:t>
                  </w:r>
                </w:p>
              </w:tc>
              <w:tc>
                <w:tcPr>
                  <w:tcW w:w="2879" w:type="dxa"/>
                  <w:vAlign w:val="top"/>
                </w:tcPr>
                <w:p w14:paraId="551B3955">
                  <w:pPr>
                    <w:spacing w:before="237" w:line="228" w:lineRule="auto"/>
                    <w:ind w:left="290"/>
                    <w:rPr>
                      <w:rFonts w:ascii="宋体" w:hAnsi="宋体" w:eastAsia="宋体" w:cs="宋体"/>
                      <w:sz w:val="20"/>
                      <w:szCs w:val="20"/>
                    </w:rPr>
                  </w:pPr>
                  <w:r>
                    <w:rPr>
                      <w:rFonts w:ascii="宋体" w:hAnsi="宋体" w:eastAsia="宋体" w:cs="宋体"/>
                      <w:spacing w:val="10"/>
                      <w:sz w:val="20"/>
                      <w:szCs w:val="20"/>
                    </w:rPr>
                    <w:t>连续监测</w:t>
                  </w:r>
                  <w:r>
                    <w:rPr>
                      <w:rFonts w:ascii="Times New Roman" w:hAnsi="Times New Roman" w:eastAsia="Times New Roman" w:cs="Times New Roman"/>
                      <w:spacing w:val="10"/>
                      <w:sz w:val="20"/>
                      <w:szCs w:val="20"/>
                    </w:rPr>
                    <w:t xml:space="preserve">2 </w:t>
                  </w:r>
                  <w:r>
                    <w:rPr>
                      <w:rFonts w:ascii="宋体" w:hAnsi="宋体" w:eastAsia="宋体" w:cs="宋体"/>
                      <w:spacing w:val="10"/>
                      <w:sz w:val="20"/>
                      <w:szCs w:val="20"/>
                    </w:rPr>
                    <w:t>天，每天</w:t>
                  </w:r>
                  <w:r>
                    <w:rPr>
                      <w:rFonts w:ascii="宋体" w:hAnsi="宋体" w:eastAsia="宋体" w:cs="宋体"/>
                      <w:spacing w:val="-34"/>
                      <w:sz w:val="20"/>
                      <w:szCs w:val="20"/>
                    </w:rPr>
                    <w:t xml:space="preserve"> </w:t>
                  </w:r>
                  <w:r>
                    <w:rPr>
                      <w:rFonts w:ascii="Times New Roman" w:hAnsi="Times New Roman" w:eastAsia="Times New Roman" w:cs="Times New Roman"/>
                      <w:spacing w:val="10"/>
                      <w:sz w:val="20"/>
                      <w:szCs w:val="20"/>
                    </w:rPr>
                    <w:t>4</w:t>
                  </w:r>
                  <w:r>
                    <w:rPr>
                      <w:rFonts w:ascii="Times New Roman" w:hAnsi="Times New Roman" w:eastAsia="Times New Roman" w:cs="Times New Roman"/>
                      <w:spacing w:val="17"/>
                      <w:w w:val="101"/>
                      <w:sz w:val="20"/>
                      <w:szCs w:val="20"/>
                    </w:rPr>
                    <w:t xml:space="preserve"> </w:t>
                  </w:r>
                  <w:r>
                    <w:rPr>
                      <w:rFonts w:ascii="宋体" w:hAnsi="宋体" w:eastAsia="宋体" w:cs="宋体"/>
                      <w:spacing w:val="10"/>
                      <w:sz w:val="20"/>
                      <w:szCs w:val="20"/>
                    </w:rPr>
                    <w:t>次</w:t>
                  </w:r>
                </w:p>
              </w:tc>
            </w:tr>
            <w:tr w14:paraId="5793F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314" w:type="dxa"/>
                  <w:vMerge w:val="continue"/>
                  <w:tcBorders>
                    <w:top w:val="nil"/>
                  </w:tcBorders>
                  <w:vAlign w:val="top"/>
                </w:tcPr>
                <w:p w14:paraId="3F281CAB">
                  <w:pPr>
                    <w:rPr>
                      <w:rFonts w:ascii="Arial"/>
                      <w:sz w:val="21"/>
                    </w:rPr>
                  </w:pPr>
                </w:p>
              </w:tc>
              <w:tc>
                <w:tcPr>
                  <w:tcW w:w="1722" w:type="dxa"/>
                  <w:vAlign w:val="top"/>
                </w:tcPr>
                <w:p w14:paraId="178D299C">
                  <w:pPr>
                    <w:spacing w:before="239" w:line="228" w:lineRule="auto"/>
                    <w:ind w:left="391"/>
                    <w:rPr>
                      <w:rFonts w:ascii="Times New Roman" w:hAnsi="Times New Roman" w:eastAsia="Times New Roman" w:cs="Times New Roman"/>
                      <w:sz w:val="20"/>
                      <w:szCs w:val="20"/>
                    </w:rPr>
                  </w:pPr>
                  <w:r>
                    <w:rPr>
                      <w:rFonts w:ascii="宋体" w:hAnsi="宋体" w:eastAsia="宋体" w:cs="宋体"/>
                      <w:spacing w:val="1"/>
                      <w:sz w:val="20"/>
                      <w:szCs w:val="20"/>
                    </w:rPr>
                    <w:t>厂房外</w:t>
                  </w:r>
                  <w:r>
                    <w:rPr>
                      <w:rFonts w:ascii="宋体" w:hAnsi="宋体" w:eastAsia="宋体" w:cs="宋体"/>
                      <w:spacing w:val="-23"/>
                      <w:sz w:val="20"/>
                      <w:szCs w:val="20"/>
                    </w:rPr>
                    <w:t xml:space="preserve"> </w:t>
                  </w:r>
                  <w:r>
                    <w:rPr>
                      <w:rFonts w:ascii="Times New Roman" w:hAnsi="Times New Roman" w:eastAsia="Times New Roman" w:cs="Times New Roman"/>
                      <w:spacing w:val="1"/>
                      <w:sz w:val="20"/>
                      <w:szCs w:val="20"/>
                    </w:rPr>
                    <w:t>1m</w:t>
                  </w:r>
                </w:p>
              </w:tc>
              <w:tc>
                <w:tcPr>
                  <w:tcW w:w="2335" w:type="dxa"/>
                  <w:vAlign w:val="top"/>
                </w:tcPr>
                <w:p w14:paraId="7B1F36D5">
                  <w:pPr>
                    <w:spacing w:before="239" w:line="228" w:lineRule="auto"/>
                    <w:ind w:left="650"/>
                    <w:rPr>
                      <w:rFonts w:ascii="宋体" w:hAnsi="宋体" w:eastAsia="宋体" w:cs="宋体"/>
                      <w:sz w:val="20"/>
                      <w:szCs w:val="20"/>
                    </w:rPr>
                  </w:pPr>
                  <w:r>
                    <w:rPr>
                      <w:rFonts w:ascii="宋体" w:hAnsi="宋体" w:eastAsia="宋体" w:cs="宋体"/>
                      <w:spacing w:val="7"/>
                      <w:sz w:val="20"/>
                      <w:szCs w:val="20"/>
                    </w:rPr>
                    <w:t>非甲烷总烃</w:t>
                  </w:r>
                </w:p>
              </w:tc>
              <w:tc>
                <w:tcPr>
                  <w:tcW w:w="2879" w:type="dxa"/>
                  <w:vAlign w:val="top"/>
                </w:tcPr>
                <w:p w14:paraId="7D9D51CA">
                  <w:pPr>
                    <w:spacing w:before="35" w:line="228" w:lineRule="auto"/>
                    <w:ind w:left="115"/>
                    <w:rPr>
                      <w:rFonts w:ascii="宋体" w:hAnsi="宋体" w:eastAsia="宋体" w:cs="宋体"/>
                      <w:sz w:val="20"/>
                      <w:szCs w:val="20"/>
                    </w:rPr>
                  </w:pPr>
                  <w:r>
                    <w:rPr>
                      <w:rFonts w:ascii="宋体" w:hAnsi="宋体" w:eastAsia="宋体" w:cs="宋体"/>
                      <w:spacing w:val="1"/>
                      <w:sz w:val="20"/>
                      <w:szCs w:val="20"/>
                    </w:rPr>
                    <w:t>连续监测</w:t>
                  </w:r>
                  <w:r>
                    <w:rPr>
                      <w:rFonts w:ascii="宋体" w:hAnsi="宋体" w:eastAsia="宋体" w:cs="宋体"/>
                      <w:spacing w:val="-33"/>
                      <w:sz w:val="20"/>
                      <w:szCs w:val="20"/>
                    </w:rPr>
                    <w:t xml:space="preserve"> </w:t>
                  </w:r>
                  <w:r>
                    <w:rPr>
                      <w:rFonts w:ascii="Times New Roman" w:hAnsi="Times New Roman" w:eastAsia="Times New Roman" w:cs="Times New Roman"/>
                      <w:spacing w:val="1"/>
                      <w:sz w:val="20"/>
                      <w:szCs w:val="20"/>
                    </w:rPr>
                    <w:t>2</w:t>
                  </w:r>
                  <w:r>
                    <w:rPr>
                      <w:rFonts w:ascii="Times New Roman" w:hAnsi="Times New Roman" w:eastAsia="Times New Roman" w:cs="Times New Roman"/>
                      <w:spacing w:val="16"/>
                      <w:w w:val="101"/>
                      <w:sz w:val="20"/>
                      <w:szCs w:val="20"/>
                    </w:rPr>
                    <w:t xml:space="preserve"> </w:t>
                  </w:r>
                  <w:r>
                    <w:rPr>
                      <w:rFonts w:ascii="宋体" w:hAnsi="宋体" w:eastAsia="宋体" w:cs="宋体"/>
                      <w:spacing w:val="1"/>
                      <w:sz w:val="20"/>
                      <w:szCs w:val="20"/>
                    </w:rPr>
                    <w:t>天，测小时值和日</w:t>
                  </w:r>
                </w:p>
                <w:p w14:paraId="767B7587">
                  <w:pPr>
                    <w:spacing w:before="161" w:line="228" w:lineRule="auto"/>
                    <w:ind w:left="1236"/>
                    <w:rPr>
                      <w:rFonts w:ascii="宋体" w:hAnsi="宋体" w:eastAsia="宋体" w:cs="宋体"/>
                      <w:sz w:val="20"/>
                      <w:szCs w:val="20"/>
                    </w:rPr>
                  </w:pPr>
                  <w:r>
                    <w:rPr>
                      <w:rFonts w:ascii="宋体" w:hAnsi="宋体" w:eastAsia="宋体" w:cs="宋体"/>
                      <w:spacing w:val="4"/>
                      <w:sz w:val="20"/>
                      <w:szCs w:val="20"/>
                    </w:rPr>
                    <w:t>均值</w:t>
                  </w:r>
                </w:p>
              </w:tc>
            </w:tr>
            <w:tr w14:paraId="28BF8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314" w:type="dxa"/>
                  <w:vAlign w:val="top"/>
                </w:tcPr>
                <w:p w14:paraId="70B07688">
                  <w:pPr>
                    <w:spacing w:before="37" w:line="228" w:lineRule="auto"/>
                    <w:ind w:left="452"/>
                    <w:rPr>
                      <w:rFonts w:ascii="宋体" w:hAnsi="宋体" w:eastAsia="宋体" w:cs="宋体"/>
                      <w:sz w:val="20"/>
                      <w:szCs w:val="20"/>
                    </w:rPr>
                  </w:pPr>
                  <w:r>
                    <w:rPr>
                      <w:rFonts w:ascii="宋体" w:hAnsi="宋体" w:eastAsia="宋体" w:cs="宋体"/>
                      <w:spacing w:val="5"/>
                      <w:sz w:val="20"/>
                      <w:szCs w:val="20"/>
                    </w:rPr>
                    <w:t>废水</w:t>
                  </w:r>
                </w:p>
              </w:tc>
              <w:tc>
                <w:tcPr>
                  <w:tcW w:w="1722" w:type="dxa"/>
                  <w:vAlign w:val="top"/>
                </w:tcPr>
                <w:p w14:paraId="3C47D72C">
                  <w:pPr>
                    <w:spacing w:before="78" w:line="195" w:lineRule="auto"/>
                    <w:ind w:left="528"/>
                    <w:rPr>
                      <w:rFonts w:ascii="Times New Roman" w:hAnsi="Times New Roman" w:eastAsia="Times New Roman" w:cs="Times New Roman"/>
                      <w:sz w:val="20"/>
                      <w:szCs w:val="20"/>
                    </w:rPr>
                  </w:pPr>
                  <w:r>
                    <w:rPr>
                      <w:rFonts w:ascii="Times New Roman" w:hAnsi="Times New Roman" w:eastAsia="Times New Roman" w:cs="Times New Roman"/>
                      <w:sz w:val="20"/>
                      <w:szCs w:val="20"/>
                    </w:rPr>
                    <w:t>DW</w:t>
                  </w:r>
                  <w:r>
                    <w:rPr>
                      <w:rFonts w:ascii="Times New Roman" w:hAnsi="Times New Roman" w:eastAsia="Times New Roman" w:cs="Times New Roman"/>
                      <w:spacing w:val="8"/>
                      <w:sz w:val="20"/>
                      <w:szCs w:val="20"/>
                    </w:rPr>
                    <w:t>001</w:t>
                  </w:r>
                </w:p>
              </w:tc>
              <w:tc>
                <w:tcPr>
                  <w:tcW w:w="2335" w:type="dxa"/>
                  <w:vAlign w:val="top"/>
                </w:tcPr>
                <w:p w14:paraId="7E541344">
                  <w:pPr>
                    <w:spacing w:before="37" w:line="227" w:lineRule="auto"/>
                    <w:ind w:left="205"/>
                    <w:rPr>
                      <w:rFonts w:ascii="宋体" w:hAnsi="宋体" w:eastAsia="宋体" w:cs="宋体"/>
                      <w:sz w:val="20"/>
                      <w:szCs w:val="20"/>
                    </w:rPr>
                  </w:pPr>
                  <w:r>
                    <w:rPr>
                      <w:rFonts w:ascii="Times New Roman" w:hAnsi="Times New Roman" w:eastAsia="Times New Roman" w:cs="Times New Roman"/>
                      <w:sz w:val="20"/>
                      <w:szCs w:val="20"/>
                    </w:rPr>
                    <w:t>COD</w:t>
                  </w:r>
                  <w:r>
                    <w:rPr>
                      <w:rFonts w:ascii="Times New Roman" w:hAnsi="Times New Roman" w:eastAsia="Times New Roman" w:cs="Times New Roman"/>
                      <w:spacing w:val="-24"/>
                      <w:sz w:val="20"/>
                      <w:szCs w:val="20"/>
                    </w:rPr>
                    <w:t xml:space="preserve"> </w:t>
                  </w:r>
                  <w:r>
                    <w:rPr>
                      <w:rFonts w:ascii="宋体" w:hAnsi="宋体" w:eastAsia="宋体" w:cs="宋体"/>
                      <w:spacing w:val="6"/>
                      <w:sz w:val="20"/>
                      <w:szCs w:val="20"/>
                    </w:rPr>
                    <w:t>、</w:t>
                  </w:r>
                  <w:r>
                    <w:rPr>
                      <w:rFonts w:ascii="Times New Roman" w:hAnsi="Times New Roman" w:eastAsia="Times New Roman" w:cs="Times New Roman"/>
                      <w:sz w:val="20"/>
                      <w:szCs w:val="20"/>
                    </w:rPr>
                    <w:t>BOD</w:t>
                  </w:r>
                  <w:r>
                    <w:rPr>
                      <w:rFonts w:ascii="Times New Roman" w:hAnsi="Times New Roman" w:eastAsia="Times New Roman" w:cs="Times New Roman"/>
                      <w:spacing w:val="-27"/>
                      <w:sz w:val="20"/>
                      <w:szCs w:val="20"/>
                    </w:rPr>
                    <w:t xml:space="preserve"> </w:t>
                  </w:r>
                  <w:r>
                    <w:rPr>
                      <w:rFonts w:ascii="宋体" w:hAnsi="宋体" w:eastAsia="宋体" w:cs="宋体"/>
                      <w:spacing w:val="6"/>
                      <w:sz w:val="20"/>
                      <w:szCs w:val="20"/>
                    </w:rPr>
                    <w:t>、氨氮等</w:t>
                  </w:r>
                </w:p>
              </w:tc>
              <w:tc>
                <w:tcPr>
                  <w:tcW w:w="2879" w:type="dxa"/>
                  <w:vAlign w:val="top"/>
                </w:tcPr>
                <w:p w14:paraId="6236EB06">
                  <w:pPr>
                    <w:spacing w:before="37" w:line="228" w:lineRule="auto"/>
                    <w:ind w:left="290"/>
                    <w:rPr>
                      <w:rFonts w:ascii="宋体" w:hAnsi="宋体" w:eastAsia="宋体" w:cs="宋体"/>
                      <w:sz w:val="20"/>
                      <w:szCs w:val="20"/>
                    </w:rPr>
                  </w:pPr>
                  <w:r>
                    <w:rPr>
                      <w:rFonts w:ascii="宋体" w:hAnsi="宋体" w:eastAsia="宋体" w:cs="宋体"/>
                      <w:spacing w:val="10"/>
                      <w:sz w:val="20"/>
                      <w:szCs w:val="20"/>
                    </w:rPr>
                    <w:t>连续监测</w:t>
                  </w:r>
                  <w:r>
                    <w:rPr>
                      <w:rFonts w:ascii="Times New Roman" w:hAnsi="Times New Roman" w:eastAsia="Times New Roman" w:cs="Times New Roman"/>
                      <w:spacing w:val="10"/>
                      <w:sz w:val="20"/>
                      <w:szCs w:val="20"/>
                    </w:rPr>
                    <w:t xml:space="preserve">2 </w:t>
                  </w:r>
                  <w:r>
                    <w:rPr>
                      <w:rFonts w:ascii="宋体" w:hAnsi="宋体" w:eastAsia="宋体" w:cs="宋体"/>
                      <w:spacing w:val="10"/>
                      <w:sz w:val="20"/>
                      <w:szCs w:val="20"/>
                    </w:rPr>
                    <w:t>天，每天</w:t>
                  </w:r>
                  <w:r>
                    <w:rPr>
                      <w:rFonts w:ascii="宋体" w:hAnsi="宋体" w:eastAsia="宋体" w:cs="宋体"/>
                      <w:spacing w:val="-34"/>
                      <w:sz w:val="20"/>
                      <w:szCs w:val="20"/>
                    </w:rPr>
                    <w:t xml:space="preserve"> </w:t>
                  </w:r>
                  <w:r>
                    <w:rPr>
                      <w:rFonts w:ascii="Times New Roman" w:hAnsi="Times New Roman" w:eastAsia="Times New Roman" w:cs="Times New Roman"/>
                      <w:spacing w:val="10"/>
                      <w:sz w:val="20"/>
                      <w:szCs w:val="20"/>
                    </w:rPr>
                    <w:t>4</w:t>
                  </w:r>
                  <w:r>
                    <w:rPr>
                      <w:rFonts w:ascii="Times New Roman" w:hAnsi="Times New Roman" w:eastAsia="Times New Roman" w:cs="Times New Roman"/>
                      <w:spacing w:val="17"/>
                      <w:w w:val="101"/>
                      <w:sz w:val="20"/>
                      <w:szCs w:val="20"/>
                    </w:rPr>
                    <w:t xml:space="preserve"> </w:t>
                  </w:r>
                  <w:r>
                    <w:rPr>
                      <w:rFonts w:ascii="宋体" w:hAnsi="宋体" w:eastAsia="宋体" w:cs="宋体"/>
                      <w:spacing w:val="10"/>
                      <w:sz w:val="20"/>
                      <w:szCs w:val="20"/>
                    </w:rPr>
                    <w:t>次</w:t>
                  </w:r>
                </w:p>
              </w:tc>
            </w:tr>
          </w:tbl>
          <w:p w14:paraId="637FADBF">
            <w:pPr>
              <w:spacing w:before="31" w:line="377" w:lineRule="auto"/>
              <w:ind w:left="105" w:right="104" w:firstLine="420"/>
              <w:jc w:val="both"/>
              <w:rPr>
                <w:rFonts w:ascii="宋体" w:hAnsi="宋体" w:eastAsia="宋体" w:cs="宋体"/>
                <w:sz w:val="20"/>
                <w:szCs w:val="20"/>
              </w:rPr>
            </w:pPr>
            <w:r>
              <w:rPr>
                <w:rFonts w:ascii="宋体" w:hAnsi="宋体" w:eastAsia="宋体" w:cs="宋体"/>
                <w:spacing w:val="7"/>
                <w:sz w:val="20"/>
                <w:szCs w:val="20"/>
              </w:rPr>
              <w:t>根据国环评规【</w:t>
            </w:r>
            <w:r>
              <w:rPr>
                <w:rFonts w:ascii="Times New Roman" w:hAnsi="Times New Roman" w:eastAsia="Times New Roman" w:cs="Times New Roman"/>
                <w:spacing w:val="7"/>
                <w:sz w:val="20"/>
                <w:szCs w:val="20"/>
              </w:rPr>
              <w:t>2017</w:t>
            </w:r>
            <w:r>
              <w:rPr>
                <w:rFonts w:ascii="宋体" w:hAnsi="宋体" w:eastAsia="宋体" w:cs="宋体"/>
                <w:spacing w:val="7"/>
                <w:sz w:val="20"/>
                <w:szCs w:val="20"/>
              </w:rPr>
              <w:t>】</w:t>
            </w:r>
            <w:r>
              <w:rPr>
                <w:rFonts w:ascii="Times New Roman" w:hAnsi="Times New Roman" w:eastAsia="Times New Roman" w:cs="Times New Roman"/>
                <w:spacing w:val="7"/>
                <w:sz w:val="20"/>
                <w:szCs w:val="20"/>
              </w:rPr>
              <w:t>4</w:t>
            </w:r>
            <w:r>
              <w:rPr>
                <w:rFonts w:ascii="Times New Roman" w:hAnsi="Times New Roman" w:eastAsia="Times New Roman" w:cs="Times New Roman"/>
                <w:spacing w:val="17"/>
                <w:sz w:val="20"/>
                <w:szCs w:val="20"/>
              </w:rPr>
              <w:t xml:space="preserve"> </w:t>
            </w:r>
            <w:r>
              <w:rPr>
                <w:rFonts w:ascii="宋体" w:hAnsi="宋体" w:eastAsia="宋体" w:cs="宋体"/>
                <w:spacing w:val="7"/>
                <w:sz w:val="20"/>
                <w:szCs w:val="20"/>
              </w:rPr>
              <w:t>号《建设项目竣工环境保护验收</w:t>
            </w:r>
            <w:r>
              <w:rPr>
                <w:rFonts w:ascii="宋体" w:hAnsi="宋体" w:eastAsia="宋体" w:cs="宋体"/>
                <w:spacing w:val="6"/>
                <w:sz w:val="20"/>
                <w:szCs w:val="20"/>
              </w:rPr>
              <w:t>暂行办法》，建设单位是项目</w:t>
            </w:r>
            <w:r>
              <w:rPr>
                <w:rFonts w:ascii="宋体" w:hAnsi="宋体" w:eastAsia="宋体" w:cs="宋体"/>
                <w:spacing w:val="12"/>
                <w:sz w:val="20"/>
                <w:szCs w:val="20"/>
              </w:rPr>
              <w:t>竣工环境保护验收的责任主体，建设单位应当如实查验、</w:t>
            </w:r>
            <w:r>
              <w:rPr>
                <w:rFonts w:ascii="宋体" w:hAnsi="宋体" w:eastAsia="宋体" w:cs="宋体"/>
                <w:spacing w:val="11"/>
                <w:sz w:val="20"/>
                <w:szCs w:val="20"/>
              </w:rPr>
              <w:t>监测、记载建设项目环境保护设</w:t>
            </w:r>
            <w:r>
              <w:rPr>
                <w:rFonts w:ascii="宋体" w:hAnsi="宋体" w:eastAsia="宋体" w:cs="宋体"/>
                <w:spacing w:val="12"/>
                <w:sz w:val="20"/>
                <w:szCs w:val="20"/>
              </w:rPr>
              <w:t>施的建设和调试情况，组织对配套建设的环境保护设施进</w:t>
            </w:r>
            <w:r>
              <w:rPr>
                <w:rFonts w:ascii="宋体" w:hAnsi="宋体" w:eastAsia="宋体" w:cs="宋体"/>
                <w:spacing w:val="11"/>
                <w:sz w:val="20"/>
                <w:szCs w:val="20"/>
              </w:rPr>
              <w:t>行验收，编制验收监测表，公开</w:t>
            </w:r>
            <w:r>
              <w:rPr>
                <w:rFonts w:ascii="宋体" w:hAnsi="宋体" w:eastAsia="宋体" w:cs="宋体"/>
                <w:spacing w:val="12"/>
                <w:sz w:val="20"/>
                <w:szCs w:val="20"/>
              </w:rPr>
              <w:t>相关信息，接受社会监督，邀请专家进行环保验收，并报</w:t>
            </w:r>
            <w:r>
              <w:rPr>
                <w:rFonts w:ascii="宋体" w:hAnsi="宋体" w:eastAsia="宋体" w:cs="宋体"/>
                <w:spacing w:val="11"/>
                <w:sz w:val="20"/>
                <w:szCs w:val="20"/>
              </w:rPr>
              <w:t>环保局备案，确保建设项目需要</w:t>
            </w:r>
            <w:r>
              <w:rPr>
                <w:rFonts w:ascii="宋体" w:hAnsi="宋体" w:eastAsia="宋体" w:cs="宋体"/>
                <w:spacing w:val="12"/>
                <w:sz w:val="20"/>
                <w:szCs w:val="20"/>
              </w:rPr>
              <w:t>配套建设的环境保护设施与主体工程同时投产或者同时使</w:t>
            </w:r>
            <w:r>
              <w:rPr>
                <w:rFonts w:ascii="宋体" w:hAnsi="宋体" w:eastAsia="宋体" w:cs="宋体"/>
                <w:spacing w:val="11"/>
                <w:sz w:val="20"/>
                <w:szCs w:val="20"/>
              </w:rPr>
              <w:t>用，并对验收内容、结论和所公</w:t>
            </w:r>
            <w:r>
              <w:rPr>
                <w:rFonts w:ascii="宋体" w:hAnsi="宋体" w:eastAsia="宋体" w:cs="宋体"/>
                <w:spacing w:val="9"/>
                <w:sz w:val="20"/>
                <w:szCs w:val="20"/>
              </w:rPr>
              <w:t>开信息的真实性、准确性和完整性负责，不得在验收过程中弄虚作假。</w:t>
            </w:r>
          </w:p>
          <w:p w14:paraId="2EB7A108">
            <w:pPr>
              <w:spacing w:before="1" w:line="377" w:lineRule="auto"/>
              <w:ind w:left="105" w:right="104" w:firstLine="420"/>
              <w:rPr>
                <w:rFonts w:ascii="宋体" w:hAnsi="宋体" w:eastAsia="宋体" w:cs="宋体"/>
                <w:sz w:val="20"/>
                <w:szCs w:val="20"/>
              </w:rPr>
            </w:pPr>
            <w:r>
              <w:rPr>
                <w:rFonts w:ascii="宋体" w:hAnsi="宋体" w:eastAsia="宋体" w:cs="宋体"/>
                <w:spacing w:val="12"/>
                <w:sz w:val="20"/>
                <w:szCs w:val="20"/>
              </w:rPr>
              <w:t>验收时限：除需要取得排污许可证的水和大气污染防治设施外</w:t>
            </w:r>
            <w:r>
              <w:rPr>
                <w:rFonts w:ascii="宋体" w:hAnsi="宋体" w:eastAsia="宋体" w:cs="宋体"/>
                <w:spacing w:val="11"/>
                <w:sz w:val="20"/>
                <w:szCs w:val="20"/>
              </w:rPr>
              <w:t>，其他环境保护设施的验收期限一般不超过</w:t>
            </w:r>
            <w:r>
              <w:rPr>
                <w:rFonts w:ascii="宋体" w:hAnsi="宋体" w:eastAsia="宋体" w:cs="宋体"/>
                <w:spacing w:val="-34"/>
                <w:sz w:val="20"/>
                <w:szCs w:val="20"/>
              </w:rPr>
              <w:t xml:space="preserve"> </w:t>
            </w:r>
            <w:r>
              <w:rPr>
                <w:rFonts w:ascii="Times New Roman" w:hAnsi="Times New Roman" w:eastAsia="Times New Roman" w:cs="Times New Roman"/>
                <w:spacing w:val="11"/>
                <w:sz w:val="20"/>
                <w:szCs w:val="20"/>
              </w:rPr>
              <w:t xml:space="preserve">3 </w:t>
            </w:r>
            <w:r>
              <w:rPr>
                <w:rFonts w:ascii="宋体" w:hAnsi="宋体" w:eastAsia="宋体" w:cs="宋体"/>
                <w:spacing w:val="11"/>
                <w:sz w:val="20"/>
                <w:szCs w:val="20"/>
              </w:rPr>
              <w:t>个月；需要对该类环境保护设施进行调试或者整改的，验收期</w:t>
            </w:r>
            <w:r>
              <w:rPr>
                <w:rFonts w:ascii="宋体" w:hAnsi="宋体" w:eastAsia="宋体" w:cs="宋体"/>
                <w:spacing w:val="10"/>
                <w:sz w:val="20"/>
                <w:szCs w:val="20"/>
              </w:rPr>
              <w:t>限可</w:t>
            </w:r>
          </w:p>
          <w:p w14:paraId="1FEE8425">
            <w:pPr>
              <w:spacing w:line="227" w:lineRule="auto"/>
              <w:ind w:left="130"/>
              <w:outlineLvl w:val="0"/>
              <w:rPr>
                <w:rFonts w:ascii="宋体" w:hAnsi="宋体" w:eastAsia="宋体" w:cs="宋体"/>
                <w:sz w:val="20"/>
                <w:szCs w:val="20"/>
              </w:rPr>
            </w:pPr>
            <w:r>
              <w:rPr>
                <w:rFonts w:ascii="宋体" w:hAnsi="宋体" w:eastAsia="宋体" w:cs="宋体"/>
                <w:spacing w:val="5"/>
                <w:sz w:val="20"/>
                <w:szCs w:val="20"/>
              </w:rPr>
              <w:t>以适当延期，但最长不超过</w:t>
            </w:r>
            <w:r>
              <w:rPr>
                <w:rFonts w:ascii="宋体" w:hAnsi="宋体" w:eastAsia="宋体" w:cs="宋体"/>
                <w:spacing w:val="-19"/>
                <w:sz w:val="20"/>
                <w:szCs w:val="20"/>
              </w:rPr>
              <w:t xml:space="preserve"> </w:t>
            </w:r>
            <w:r>
              <w:rPr>
                <w:rFonts w:ascii="Times New Roman" w:hAnsi="Times New Roman" w:eastAsia="Times New Roman" w:cs="Times New Roman"/>
                <w:spacing w:val="5"/>
                <w:sz w:val="20"/>
                <w:szCs w:val="20"/>
              </w:rPr>
              <w:t xml:space="preserve">12 </w:t>
            </w:r>
            <w:r>
              <w:rPr>
                <w:rFonts w:ascii="宋体" w:hAnsi="宋体" w:eastAsia="宋体" w:cs="宋体"/>
                <w:spacing w:val="5"/>
                <w:sz w:val="20"/>
                <w:szCs w:val="20"/>
              </w:rPr>
              <w:t>个月。</w:t>
            </w:r>
          </w:p>
        </w:tc>
      </w:tr>
    </w:tbl>
    <w:p w14:paraId="065A36E8">
      <w:pPr>
        <w:pStyle w:val="2"/>
      </w:pPr>
    </w:p>
    <w:p w14:paraId="49A5736A">
      <w:pPr>
        <w:sectPr>
          <w:footerReference r:id="rId117" w:type="default"/>
          <w:pgSz w:w="11906" w:h="16839"/>
          <w:pgMar w:top="400" w:right="1070" w:bottom="1097" w:left="1196" w:header="0" w:footer="753" w:gutter="0"/>
          <w:cols w:space="720" w:num="1"/>
        </w:sectPr>
      </w:pPr>
    </w:p>
    <w:p w14:paraId="22676C37">
      <w:pPr>
        <w:pStyle w:val="2"/>
        <w:spacing w:line="268" w:lineRule="auto"/>
      </w:pPr>
    </w:p>
    <w:p w14:paraId="786C1530">
      <w:pPr>
        <w:pStyle w:val="2"/>
        <w:spacing w:line="268" w:lineRule="auto"/>
      </w:pPr>
    </w:p>
    <w:p w14:paraId="50EDB4B4">
      <w:pPr>
        <w:pStyle w:val="2"/>
        <w:spacing w:line="268" w:lineRule="auto"/>
      </w:pPr>
    </w:p>
    <w:p w14:paraId="083D6C83">
      <w:pPr>
        <w:pStyle w:val="2"/>
        <w:spacing w:line="268" w:lineRule="auto"/>
      </w:pPr>
    </w:p>
    <w:p w14:paraId="00BE2AB5">
      <w:pPr>
        <w:spacing w:before="97" w:line="221" w:lineRule="auto"/>
        <w:ind w:left="4495"/>
        <w:outlineLvl w:val="2"/>
        <w:rPr>
          <w:rFonts w:ascii="宋体" w:hAnsi="宋体" w:eastAsia="宋体" w:cs="宋体"/>
          <w:sz w:val="30"/>
          <w:szCs w:val="30"/>
        </w:rPr>
      </w:pPr>
      <w:bookmarkStart w:id="9" w:name="bookmark6"/>
      <w:bookmarkEnd w:id="9"/>
      <w:r>
        <w:rPr>
          <w:rFonts w:ascii="宋体" w:hAnsi="宋体" w:eastAsia="宋体" w:cs="宋体"/>
          <w:spacing w:val="-4"/>
          <w:sz w:val="30"/>
          <w:szCs w:val="30"/>
        </w:rPr>
        <w:t>六、结论</w:t>
      </w:r>
    </w:p>
    <w:p w14:paraId="47875BF1">
      <w:pPr>
        <w:spacing w:line="179" w:lineRule="exact"/>
      </w:pPr>
    </w:p>
    <w:tbl>
      <w:tblPr>
        <w:tblStyle w:val="10"/>
        <w:tblW w:w="9550" w:type="dxa"/>
        <w:tblInd w:w="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550"/>
      </w:tblGrid>
      <w:tr w14:paraId="614B613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12000" w:hRule="atLeast"/>
        </w:trPr>
        <w:tc>
          <w:tcPr>
            <w:tcW w:w="9550" w:type="dxa"/>
            <w:vAlign w:val="top"/>
          </w:tcPr>
          <w:p w14:paraId="54CF1B7E">
            <w:pPr>
              <w:spacing w:before="40" w:line="359" w:lineRule="auto"/>
              <w:ind w:left="112" w:right="102" w:firstLine="480"/>
              <w:jc w:val="both"/>
              <w:rPr>
                <w:rFonts w:ascii="宋体" w:hAnsi="宋体" w:eastAsia="宋体" w:cs="宋体"/>
                <w:sz w:val="24"/>
                <w:szCs w:val="24"/>
              </w:rPr>
            </w:pPr>
            <w:r>
              <w:rPr>
                <w:rFonts w:ascii="宋体" w:hAnsi="宋体" w:eastAsia="宋体" w:cs="宋体"/>
                <w:spacing w:val="-1"/>
                <w:sz w:val="24"/>
                <w:szCs w:val="24"/>
              </w:rPr>
              <w:t>本项目的建设符合国家、地方产业政策，以及相关规划，所在区域环境</w:t>
            </w:r>
            <w:r>
              <w:rPr>
                <w:rFonts w:ascii="宋体" w:hAnsi="宋体" w:eastAsia="宋体" w:cs="宋体"/>
                <w:spacing w:val="-2"/>
                <w:sz w:val="24"/>
                <w:szCs w:val="24"/>
              </w:rPr>
              <w:t>质量现状符合</w:t>
            </w:r>
            <w:r>
              <w:rPr>
                <w:rFonts w:ascii="宋体" w:hAnsi="宋体" w:eastAsia="宋体" w:cs="宋体"/>
                <w:spacing w:val="-1"/>
                <w:sz w:val="24"/>
                <w:szCs w:val="24"/>
              </w:rPr>
              <w:t>相应环境质量标准，不涉及自然保护区、风景名胜区、水源保护区等环境敏感区。</w:t>
            </w:r>
            <w:r>
              <w:rPr>
                <w:rFonts w:ascii="宋体" w:hAnsi="宋体" w:eastAsia="宋体" w:cs="宋体"/>
                <w:spacing w:val="-2"/>
                <w:sz w:val="24"/>
                <w:szCs w:val="24"/>
              </w:rPr>
              <w:t>在采取</w:t>
            </w:r>
            <w:r>
              <w:rPr>
                <w:rFonts w:ascii="宋体" w:hAnsi="宋体" w:eastAsia="宋体" w:cs="宋体"/>
                <w:sz w:val="24"/>
                <w:szCs w:val="24"/>
              </w:rPr>
              <w:t>环评提出的措施后，项目产生的废气、噪声可达标排放，固废处置率</w:t>
            </w:r>
            <w:r>
              <w:rPr>
                <w:rFonts w:ascii="宋体" w:hAnsi="宋体" w:eastAsia="宋体" w:cs="宋体"/>
                <w:spacing w:val="-30"/>
                <w:sz w:val="24"/>
                <w:szCs w:val="24"/>
              </w:rPr>
              <w:t xml:space="preserve"> </w:t>
            </w:r>
            <w:r>
              <w:rPr>
                <w:rFonts w:ascii="Times New Roman" w:hAnsi="Times New Roman" w:eastAsia="Times New Roman" w:cs="Times New Roman"/>
                <w:sz w:val="24"/>
                <w:szCs w:val="24"/>
              </w:rPr>
              <w:t>100%</w:t>
            </w:r>
            <w:r>
              <w:rPr>
                <w:rFonts w:ascii="Times New Roman" w:hAnsi="Times New Roman" w:eastAsia="Times New Roman" w:cs="Times New Roman"/>
                <w:spacing w:val="-29"/>
                <w:sz w:val="24"/>
                <w:szCs w:val="24"/>
              </w:rPr>
              <w:t xml:space="preserve"> </w:t>
            </w:r>
            <w:r>
              <w:rPr>
                <w:rFonts w:ascii="宋体" w:hAnsi="宋体" w:eastAsia="宋体" w:cs="宋体"/>
                <w:sz w:val="24"/>
                <w:szCs w:val="24"/>
              </w:rPr>
              <w:t>，对当</w:t>
            </w:r>
            <w:r>
              <w:rPr>
                <w:rFonts w:ascii="宋体" w:hAnsi="宋体" w:eastAsia="宋体" w:cs="宋体"/>
                <w:spacing w:val="-1"/>
                <w:sz w:val="24"/>
                <w:szCs w:val="24"/>
              </w:rPr>
              <w:t>地环境质量及主要关心点环境影响很小，符合达标排放、总量控制和不降低当地环境功能</w:t>
            </w:r>
            <w:r>
              <w:rPr>
                <w:rFonts w:ascii="宋体" w:hAnsi="宋体" w:eastAsia="宋体" w:cs="宋体"/>
                <w:spacing w:val="-2"/>
                <w:sz w:val="24"/>
                <w:szCs w:val="24"/>
              </w:rPr>
              <w:t>的原则</w:t>
            </w:r>
            <w:r>
              <w:rPr>
                <w:rFonts w:ascii="宋体" w:hAnsi="宋体" w:eastAsia="宋体" w:cs="宋体"/>
                <w:spacing w:val="-1"/>
                <w:sz w:val="24"/>
                <w:szCs w:val="24"/>
              </w:rPr>
              <w:t>要求，符合国家法律法规要求。</w:t>
            </w:r>
          </w:p>
          <w:p w14:paraId="03C394CE">
            <w:pPr>
              <w:spacing w:line="360" w:lineRule="auto"/>
              <w:ind w:left="113" w:right="102" w:firstLine="480"/>
              <w:jc w:val="both"/>
              <w:rPr>
                <w:rFonts w:ascii="宋体" w:hAnsi="宋体" w:eastAsia="宋体" w:cs="宋体"/>
                <w:sz w:val="24"/>
                <w:szCs w:val="24"/>
              </w:rPr>
            </w:pPr>
            <w:r>
              <w:rPr>
                <w:rFonts w:ascii="宋体" w:hAnsi="宋体" w:eastAsia="宋体" w:cs="宋体"/>
                <w:sz w:val="24"/>
                <w:szCs w:val="24"/>
              </w:rPr>
              <w:t>本项目严格执行环境保护</w:t>
            </w:r>
            <w:r>
              <w:rPr>
                <w:rFonts w:ascii="Times New Roman" w:hAnsi="Times New Roman" w:eastAsia="Times New Roman" w:cs="Times New Roman"/>
                <w:sz w:val="24"/>
                <w:szCs w:val="24"/>
              </w:rPr>
              <w:t>“</w:t>
            </w:r>
            <w:r>
              <w:rPr>
                <w:rFonts w:ascii="宋体" w:hAnsi="宋体" w:eastAsia="宋体" w:cs="宋体"/>
                <w:sz w:val="24"/>
                <w:szCs w:val="24"/>
              </w:rPr>
              <w:t>三同时</w:t>
            </w:r>
            <w:r>
              <w:rPr>
                <w:rFonts w:ascii="Times New Roman" w:hAnsi="Times New Roman" w:eastAsia="Times New Roman" w:cs="Times New Roman"/>
                <w:sz w:val="24"/>
                <w:szCs w:val="24"/>
              </w:rPr>
              <w:t>”</w:t>
            </w:r>
            <w:r>
              <w:rPr>
                <w:rFonts w:ascii="宋体" w:hAnsi="宋体" w:eastAsia="宋体" w:cs="宋体"/>
                <w:sz w:val="24"/>
                <w:szCs w:val="24"/>
              </w:rPr>
              <w:t>规定，严格进</w:t>
            </w:r>
            <w:r>
              <w:rPr>
                <w:rFonts w:ascii="宋体" w:hAnsi="宋体" w:eastAsia="宋体" w:cs="宋体"/>
                <w:spacing w:val="-1"/>
                <w:sz w:val="24"/>
                <w:szCs w:val="24"/>
              </w:rPr>
              <w:t>行环境管理，保证项目内的废气处理设施及其他环保设施的正常运行，污染物达标排放，项目对周围环境影响较小。</w:t>
            </w:r>
            <w:r>
              <w:rPr>
                <w:rFonts w:ascii="宋体" w:hAnsi="宋体" w:eastAsia="宋体" w:cs="宋体"/>
                <w:spacing w:val="-2"/>
                <w:sz w:val="24"/>
                <w:szCs w:val="24"/>
              </w:rPr>
              <w:t>从环境保</w:t>
            </w:r>
            <w:r>
              <w:rPr>
                <w:rFonts w:ascii="宋体" w:hAnsi="宋体" w:eastAsia="宋体" w:cs="宋体"/>
                <w:spacing w:val="-1"/>
                <w:sz w:val="24"/>
                <w:szCs w:val="24"/>
              </w:rPr>
              <w:t>护角度论证，本项目的建设是可行的。</w:t>
            </w:r>
          </w:p>
        </w:tc>
      </w:tr>
    </w:tbl>
    <w:p w14:paraId="6A5B2F1A">
      <w:pPr>
        <w:pStyle w:val="2"/>
      </w:pPr>
    </w:p>
    <w:p w14:paraId="1DBA3814">
      <w:pPr>
        <w:sectPr>
          <w:footerReference r:id="rId118" w:type="default"/>
          <w:pgSz w:w="11906" w:h="16839"/>
          <w:pgMar w:top="400" w:right="1170" w:bottom="1097" w:left="1170" w:header="0" w:footer="753" w:gutter="0"/>
          <w:cols w:space="720" w:num="1"/>
        </w:sectPr>
      </w:pPr>
    </w:p>
    <w:p w14:paraId="0CE81D58">
      <w:pPr>
        <w:pStyle w:val="2"/>
        <w:spacing w:line="248" w:lineRule="auto"/>
      </w:pPr>
    </w:p>
    <w:p w14:paraId="7300D6DB">
      <w:pPr>
        <w:pStyle w:val="2"/>
        <w:spacing w:line="248" w:lineRule="auto"/>
      </w:pPr>
    </w:p>
    <w:p w14:paraId="7A3DD3F9">
      <w:pPr>
        <w:pStyle w:val="2"/>
        <w:spacing w:line="248" w:lineRule="auto"/>
      </w:pPr>
    </w:p>
    <w:p w14:paraId="304074EB">
      <w:pPr>
        <w:pStyle w:val="2"/>
        <w:spacing w:line="248" w:lineRule="auto"/>
      </w:pPr>
    </w:p>
    <w:p w14:paraId="7178A7B9">
      <w:pPr>
        <w:pStyle w:val="2"/>
        <w:spacing w:line="249" w:lineRule="auto"/>
      </w:pPr>
    </w:p>
    <w:p w14:paraId="475B012D">
      <w:pPr>
        <w:spacing w:before="101" w:line="224" w:lineRule="auto"/>
        <w:ind w:left="715"/>
        <w:outlineLvl w:val="0"/>
        <w:rPr>
          <w:rFonts w:ascii="宋体" w:hAnsi="宋体" w:eastAsia="宋体" w:cs="宋体"/>
          <w:sz w:val="31"/>
          <w:szCs w:val="31"/>
        </w:rPr>
      </w:pPr>
      <w:bookmarkStart w:id="10" w:name="bookmark30"/>
      <w:bookmarkEnd w:id="10"/>
      <w:r>
        <w:rPr>
          <w:rFonts w:ascii="宋体" w:hAnsi="宋体" w:eastAsia="宋体" w:cs="宋体"/>
          <w:spacing w:val="-10"/>
          <w:sz w:val="31"/>
          <w:szCs w:val="31"/>
        </w:rPr>
        <w:t>附表</w:t>
      </w:r>
    </w:p>
    <w:p w14:paraId="6A3445F4">
      <w:pPr>
        <w:spacing w:before="254" w:line="189" w:lineRule="auto"/>
        <w:ind w:left="4854"/>
        <w:outlineLvl w:val="0"/>
        <w:rPr>
          <w:rFonts w:ascii="宋体" w:hAnsi="宋体" w:eastAsia="宋体" w:cs="宋体"/>
          <w:sz w:val="37"/>
          <w:szCs w:val="37"/>
        </w:rPr>
      </w:pPr>
      <w:bookmarkStart w:id="11" w:name="bookmark7"/>
      <w:bookmarkEnd w:id="11"/>
      <w:r>
        <w:rPr>
          <w:rFonts w:ascii="宋体" w:hAnsi="宋体" w:eastAsia="宋体" w:cs="宋体"/>
          <w:spacing w:val="8"/>
          <w:sz w:val="37"/>
          <w:szCs w:val="37"/>
        </w:rPr>
        <w:t>建设项目污染</w:t>
      </w:r>
      <w:r>
        <w:rPr>
          <w:rFonts w:ascii="微软雅黑" w:hAnsi="微软雅黑" w:eastAsia="微软雅黑" w:cs="微软雅黑"/>
          <w:spacing w:val="8"/>
          <w:sz w:val="37"/>
          <w:szCs w:val="37"/>
        </w:rPr>
        <w:t>物</w:t>
      </w:r>
      <w:r>
        <w:rPr>
          <w:rFonts w:ascii="宋体" w:hAnsi="宋体" w:eastAsia="宋体" w:cs="宋体"/>
          <w:spacing w:val="8"/>
          <w:sz w:val="37"/>
          <w:szCs w:val="37"/>
        </w:rPr>
        <w:t>排放</w:t>
      </w:r>
      <w:r>
        <w:rPr>
          <w:rFonts w:ascii="微软雅黑" w:hAnsi="微软雅黑" w:eastAsia="微软雅黑" w:cs="微软雅黑"/>
          <w:spacing w:val="8"/>
          <w:sz w:val="37"/>
          <w:szCs w:val="37"/>
        </w:rPr>
        <w:t>量</w:t>
      </w:r>
      <w:r>
        <w:rPr>
          <w:rFonts w:ascii="宋体" w:hAnsi="宋体" w:eastAsia="宋体" w:cs="宋体"/>
          <w:spacing w:val="8"/>
          <w:sz w:val="37"/>
          <w:szCs w:val="37"/>
        </w:rPr>
        <w:t>汇</w:t>
      </w:r>
      <w:r>
        <w:rPr>
          <w:rFonts w:ascii="微软雅黑" w:hAnsi="微软雅黑" w:eastAsia="微软雅黑" w:cs="微软雅黑"/>
          <w:spacing w:val="8"/>
          <w:sz w:val="37"/>
          <w:szCs w:val="37"/>
        </w:rPr>
        <w:t>总</w:t>
      </w:r>
      <w:r>
        <w:rPr>
          <w:rFonts w:ascii="宋体" w:hAnsi="宋体" w:eastAsia="宋体" w:cs="宋体"/>
          <w:spacing w:val="8"/>
          <w:sz w:val="37"/>
          <w:szCs w:val="37"/>
        </w:rPr>
        <w:t>表</w:t>
      </w:r>
    </w:p>
    <w:p w14:paraId="0E4F527A">
      <w:pPr>
        <w:spacing w:line="182" w:lineRule="exact"/>
      </w:pPr>
    </w:p>
    <w:tbl>
      <w:tblPr>
        <w:tblStyle w:val="10"/>
        <w:tblW w:w="1383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6"/>
        <w:gridCol w:w="2511"/>
        <w:gridCol w:w="1828"/>
        <w:gridCol w:w="658"/>
        <w:gridCol w:w="1609"/>
        <w:gridCol w:w="1828"/>
        <w:gridCol w:w="1259"/>
        <w:gridCol w:w="1867"/>
        <w:gridCol w:w="1550"/>
      </w:tblGrid>
      <w:tr w14:paraId="584722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6" w:hRule="atLeast"/>
        </w:trPr>
        <w:tc>
          <w:tcPr>
            <w:tcW w:w="726" w:type="dxa"/>
            <w:tcBorders>
              <w:top w:val="single" w:color="000000" w:sz="6" w:space="0"/>
              <w:left w:val="single" w:color="000000" w:sz="6" w:space="0"/>
              <w:tl2br w:val="single" w:color="000000" w:sz="4" w:space="0"/>
            </w:tcBorders>
            <w:vAlign w:val="top"/>
          </w:tcPr>
          <w:p w14:paraId="22802481">
            <w:pPr>
              <w:spacing w:line="260" w:lineRule="auto"/>
              <w:rPr>
                <w:rFonts w:ascii="Arial"/>
                <w:sz w:val="21"/>
              </w:rPr>
            </w:pPr>
          </w:p>
          <w:p w14:paraId="4AFFF4CF">
            <w:pPr>
              <w:spacing w:line="261" w:lineRule="auto"/>
              <w:rPr>
                <w:rFonts w:ascii="Arial"/>
                <w:sz w:val="21"/>
              </w:rPr>
            </w:pPr>
          </w:p>
          <w:p w14:paraId="31BDF22A">
            <w:pPr>
              <w:spacing w:line="261" w:lineRule="auto"/>
              <w:rPr>
                <w:rFonts w:ascii="Arial"/>
                <w:sz w:val="21"/>
              </w:rPr>
            </w:pPr>
          </w:p>
          <w:p w14:paraId="5F66C83C">
            <w:pPr>
              <w:spacing w:before="65" w:line="378" w:lineRule="auto"/>
              <w:ind w:left="153" w:right="155"/>
              <w:rPr>
                <w:rFonts w:ascii="宋体" w:hAnsi="宋体" w:eastAsia="宋体" w:cs="宋体"/>
                <w:sz w:val="20"/>
                <w:szCs w:val="20"/>
              </w:rPr>
            </w:pPr>
            <w:r>
              <w:rPr>
                <w:rFonts w:ascii="宋体" w:hAnsi="宋体" w:eastAsia="宋体" w:cs="宋体"/>
                <w:spacing w:val="3"/>
                <w:sz w:val="20"/>
                <w:szCs w:val="20"/>
              </w:rPr>
              <w:t>项目分类</w:t>
            </w:r>
          </w:p>
        </w:tc>
        <w:tc>
          <w:tcPr>
            <w:tcW w:w="2511" w:type="dxa"/>
            <w:tcBorders>
              <w:top w:val="single" w:color="000000" w:sz="6" w:space="0"/>
            </w:tcBorders>
            <w:vAlign w:val="top"/>
          </w:tcPr>
          <w:p w14:paraId="6E19FFF5">
            <w:pPr>
              <w:spacing w:line="241" w:lineRule="auto"/>
              <w:rPr>
                <w:rFonts w:ascii="Arial"/>
                <w:sz w:val="21"/>
              </w:rPr>
            </w:pPr>
          </w:p>
          <w:p w14:paraId="6619E867">
            <w:pPr>
              <w:spacing w:line="241" w:lineRule="auto"/>
              <w:rPr>
                <w:rFonts w:ascii="Arial"/>
                <w:sz w:val="21"/>
              </w:rPr>
            </w:pPr>
          </w:p>
          <w:p w14:paraId="04DEE4C3">
            <w:pPr>
              <w:spacing w:line="241" w:lineRule="auto"/>
              <w:rPr>
                <w:rFonts w:ascii="Arial"/>
                <w:sz w:val="21"/>
              </w:rPr>
            </w:pPr>
          </w:p>
          <w:p w14:paraId="1B779DF8">
            <w:pPr>
              <w:spacing w:line="241" w:lineRule="auto"/>
              <w:rPr>
                <w:rFonts w:ascii="Arial"/>
                <w:sz w:val="21"/>
              </w:rPr>
            </w:pPr>
          </w:p>
          <w:p w14:paraId="57C0C0B0">
            <w:pPr>
              <w:spacing w:before="86" w:line="192" w:lineRule="auto"/>
              <w:ind w:left="732"/>
              <w:rPr>
                <w:rFonts w:ascii="宋体" w:hAnsi="宋体" w:eastAsia="宋体" w:cs="宋体"/>
                <w:sz w:val="20"/>
                <w:szCs w:val="20"/>
              </w:rPr>
            </w:pPr>
            <w:r>
              <w:rPr>
                <w:rFonts w:ascii="宋体" w:hAnsi="宋体" w:eastAsia="宋体" w:cs="宋体"/>
                <w:spacing w:val="7"/>
                <w:sz w:val="20"/>
                <w:szCs w:val="20"/>
              </w:rPr>
              <w:t>污染</w:t>
            </w:r>
            <w:r>
              <w:rPr>
                <w:rFonts w:ascii="微软雅黑" w:hAnsi="微软雅黑" w:eastAsia="微软雅黑" w:cs="微软雅黑"/>
                <w:spacing w:val="7"/>
                <w:sz w:val="20"/>
                <w:szCs w:val="20"/>
              </w:rPr>
              <w:t>物</w:t>
            </w:r>
            <w:r>
              <w:rPr>
                <w:rFonts w:ascii="宋体" w:hAnsi="宋体" w:eastAsia="宋体" w:cs="宋体"/>
                <w:spacing w:val="7"/>
                <w:sz w:val="20"/>
                <w:szCs w:val="20"/>
              </w:rPr>
              <w:t>名称</w:t>
            </w:r>
          </w:p>
        </w:tc>
        <w:tc>
          <w:tcPr>
            <w:tcW w:w="1828" w:type="dxa"/>
            <w:tcBorders>
              <w:top w:val="single" w:color="000000" w:sz="6" w:space="0"/>
            </w:tcBorders>
            <w:vAlign w:val="top"/>
          </w:tcPr>
          <w:p w14:paraId="12DA3DA1">
            <w:pPr>
              <w:spacing w:line="290" w:lineRule="auto"/>
              <w:rPr>
                <w:rFonts w:ascii="Arial"/>
                <w:sz w:val="21"/>
              </w:rPr>
            </w:pPr>
          </w:p>
          <w:p w14:paraId="45C92555">
            <w:pPr>
              <w:spacing w:line="290" w:lineRule="auto"/>
              <w:rPr>
                <w:rFonts w:ascii="Arial"/>
                <w:sz w:val="21"/>
              </w:rPr>
            </w:pPr>
          </w:p>
          <w:p w14:paraId="717152FE">
            <w:pPr>
              <w:spacing w:before="65" w:line="228" w:lineRule="auto"/>
              <w:ind w:left="499"/>
              <w:rPr>
                <w:rFonts w:ascii="宋体" w:hAnsi="宋体" w:eastAsia="宋体" w:cs="宋体"/>
                <w:sz w:val="20"/>
                <w:szCs w:val="20"/>
              </w:rPr>
            </w:pPr>
            <w:r>
              <w:rPr>
                <w:rFonts w:ascii="宋体" w:hAnsi="宋体" w:eastAsia="宋体" w:cs="宋体"/>
                <w:spacing w:val="6"/>
                <w:sz w:val="20"/>
                <w:szCs w:val="20"/>
              </w:rPr>
              <w:t>现有工程</w:t>
            </w:r>
          </w:p>
          <w:p w14:paraId="47F62E20">
            <w:pPr>
              <w:spacing w:before="160" w:line="192" w:lineRule="auto"/>
              <w:ind w:left="77"/>
              <w:rPr>
                <w:rFonts w:ascii="微软雅黑" w:hAnsi="微软雅黑" w:eastAsia="微软雅黑" w:cs="微软雅黑"/>
                <w:sz w:val="20"/>
                <w:szCs w:val="20"/>
              </w:rPr>
            </w:pPr>
            <w:r>
              <w:rPr>
                <w:rFonts w:ascii="宋体" w:hAnsi="宋体" w:eastAsia="宋体" w:cs="宋体"/>
                <w:spacing w:val="8"/>
                <w:sz w:val="20"/>
                <w:szCs w:val="20"/>
              </w:rPr>
              <w:t>排放</w:t>
            </w:r>
            <w:r>
              <w:rPr>
                <w:rFonts w:ascii="微软雅黑" w:hAnsi="微软雅黑" w:eastAsia="微软雅黑" w:cs="微软雅黑"/>
                <w:spacing w:val="8"/>
                <w:sz w:val="20"/>
                <w:szCs w:val="20"/>
              </w:rPr>
              <w:t>量</w:t>
            </w:r>
            <w:r>
              <w:rPr>
                <w:rFonts w:ascii="宋体" w:hAnsi="宋体" w:eastAsia="宋体" w:cs="宋体"/>
                <w:spacing w:val="8"/>
                <w:sz w:val="20"/>
                <w:szCs w:val="20"/>
              </w:rPr>
              <w:t>（固体</w:t>
            </w:r>
            <w:r>
              <w:rPr>
                <w:rFonts w:ascii="微软雅黑" w:hAnsi="微软雅黑" w:eastAsia="微软雅黑" w:cs="微软雅黑"/>
                <w:spacing w:val="8"/>
                <w:sz w:val="20"/>
                <w:szCs w:val="20"/>
              </w:rPr>
              <w:t>废物</w:t>
            </w:r>
          </w:p>
          <w:p w14:paraId="2FC1752F">
            <w:pPr>
              <w:spacing w:before="134" w:line="194" w:lineRule="auto"/>
              <w:ind w:left="391"/>
              <w:rPr>
                <w:rFonts w:ascii="宋体" w:hAnsi="宋体" w:eastAsia="宋体" w:cs="宋体"/>
                <w:sz w:val="20"/>
                <w:szCs w:val="20"/>
              </w:rPr>
            </w:pPr>
            <w:r>
              <w:rPr>
                <w:rFonts w:ascii="宋体" w:hAnsi="宋体" w:eastAsia="宋体" w:cs="宋体"/>
                <w:spacing w:val="8"/>
                <w:sz w:val="20"/>
                <w:szCs w:val="20"/>
              </w:rPr>
              <w:t>产生</w:t>
            </w:r>
            <w:r>
              <w:rPr>
                <w:rFonts w:ascii="微软雅黑" w:hAnsi="微软雅黑" w:eastAsia="微软雅黑" w:cs="微软雅黑"/>
                <w:spacing w:val="8"/>
                <w:sz w:val="20"/>
                <w:szCs w:val="20"/>
              </w:rPr>
              <w:t>量</w:t>
            </w:r>
            <w:r>
              <w:rPr>
                <w:rFonts w:ascii="宋体" w:hAnsi="宋体" w:eastAsia="宋体" w:cs="宋体"/>
                <w:spacing w:val="8"/>
                <w:sz w:val="20"/>
                <w:szCs w:val="20"/>
              </w:rPr>
              <w:t>）①</w:t>
            </w:r>
          </w:p>
        </w:tc>
        <w:tc>
          <w:tcPr>
            <w:tcW w:w="658" w:type="dxa"/>
            <w:tcBorders>
              <w:top w:val="single" w:color="000000" w:sz="6" w:space="0"/>
            </w:tcBorders>
            <w:vAlign w:val="top"/>
          </w:tcPr>
          <w:p w14:paraId="0A5EA309">
            <w:pPr>
              <w:spacing w:before="36" w:line="228" w:lineRule="auto"/>
              <w:ind w:left="125"/>
              <w:rPr>
                <w:rFonts w:ascii="宋体" w:hAnsi="宋体" w:eastAsia="宋体" w:cs="宋体"/>
                <w:sz w:val="20"/>
                <w:szCs w:val="20"/>
              </w:rPr>
            </w:pPr>
            <w:r>
              <w:rPr>
                <w:rFonts w:ascii="宋体" w:hAnsi="宋体" w:eastAsia="宋体" w:cs="宋体"/>
                <w:spacing w:val="3"/>
                <w:sz w:val="20"/>
                <w:szCs w:val="20"/>
              </w:rPr>
              <w:t>现有</w:t>
            </w:r>
          </w:p>
          <w:p w14:paraId="1D0C786C">
            <w:pPr>
              <w:spacing w:before="160" w:line="228" w:lineRule="auto"/>
              <w:ind w:left="126"/>
              <w:rPr>
                <w:rFonts w:ascii="宋体" w:hAnsi="宋体" w:eastAsia="宋体" w:cs="宋体"/>
                <w:sz w:val="20"/>
                <w:szCs w:val="20"/>
              </w:rPr>
            </w:pPr>
            <w:r>
              <w:rPr>
                <w:rFonts w:ascii="宋体" w:hAnsi="宋体" w:eastAsia="宋体" w:cs="宋体"/>
                <w:spacing w:val="3"/>
                <w:sz w:val="20"/>
                <w:szCs w:val="20"/>
              </w:rPr>
              <w:t>工程</w:t>
            </w:r>
          </w:p>
          <w:p w14:paraId="67BC912F">
            <w:pPr>
              <w:spacing w:before="160" w:line="228" w:lineRule="auto"/>
              <w:ind w:left="124"/>
              <w:rPr>
                <w:rFonts w:ascii="宋体" w:hAnsi="宋体" w:eastAsia="宋体" w:cs="宋体"/>
                <w:sz w:val="20"/>
                <w:szCs w:val="20"/>
              </w:rPr>
            </w:pPr>
            <w:r>
              <w:rPr>
                <w:rFonts w:ascii="宋体" w:hAnsi="宋体" w:eastAsia="宋体" w:cs="宋体"/>
                <w:spacing w:val="4"/>
                <w:sz w:val="20"/>
                <w:szCs w:val="20"/>
              </w:rPr>
              <w:t>许可</w:t>
            </w:r>
          </w:p>
          <w:p w14:paraId="43BA4DB4">
            <w:pPr>
              <w:spacing w:before="161" w:line="229" w:lineRule="auto"/>
              <w:ind w:left="123"/>
              <w:rPr>
                <w:rFonts w:ascii="宋体" w:hAnsi="宋体" w:eastAsia="宋体" w:cs="宋体"/>
                <w:sz w:val="20"/>
                <w:szCs w:val="20"/>
              </w:rPr>
            </w:pPr>
            <w:r>
              <w:rPr>
                <w:rFonts w:ascii="宋体" w:hAnsi="宋体" w:eastAsia="宋体" w:cs="宋体"/>
                <w:spacing w:val="4"/>
                <w:sz w:val="20"/>
                <w:szCs w:val="20"/>
              </w:rPr>
              <w:t>排放</w:t>
            </w:r>
          </w:p>
          <w:p w14:paraId="19253849">
            <w:pPr>
              <w:spacing w:before="161" w:line="196" w:lineRule="auto"/>
              <w:ind w:left="231"/>
              <w:rPr>
                <w:rFonts w:ascii="微软雅黑" w:hAnsi="微软雅黑" w:eastAsia="微软雅黑" w:cs="微软雅黑"/>
                <w:sz w:val="20"/>
                <w:szCs w:val="20"/>
              </w:rPr>
            </w:pPr>
            <w:r>
              <w:rPr>
                <w:rFonts w:ascii="微软雅黑" w:hAnsi="微软雅黑" w:eastAsia="微软雅黑" w:cs="微软雅黑"/>
                <w:sz w:val="20"/>
                <w:szCs w:val="20"/>
              </w:rPr>
              <w:t>量</w:t>
            </w:r>
          </w:p>
          <w:p w14:paraId="2FA7815A">
            <w:pPr>
              <w:spacing w:before="127" w:line="225" w:lineRule="auto"/>
              <w:ind w:left="225"/>
              <w:rPr>
                <w:rFonts w:ascii="宋体" w:hAnsi="宋体" w:eastAsia="宋体" w:cs="宋体"/>
                <w:sz w:val="20"/>
                <w:szCs w:val="20"/>
              </w:rPr>
            </w:pPr>
            <w:r>
              <w:rPr>
                <w:rFonts w:ascii="宋体" w:hAnsi="宋体" w:eastAsia="宋体" w:cs="宋体"/>
                <w:spacing w:val="2"/>
                <w:sz w:val="20"/>
                <w:szCs w:val="20"/>
              </w:rPr>
              <w:t>②</w:t>
            </w:r>
          </w:p>
        </w:tc>
        <w:tc>
          <w:tcPr>
            <w:tcW w:w="1609" w:type="dxa"/>
            <w:tcBorders>
              <w:top w:val="single" w:color="000000" w:sz="6" w:space="0"/>
            </w:tcBorders>
            <w:vAlign w:val="top"/>
          </w:tcPr>
          <w:p w14:paraId="3C5488DF">
            <w:pPr>
              <w:spacing w:line="290" w:lineRule="auto"/>
              <w:rPr>
                <w:rFonts w:ascii="Arial"/>
                <w:sz w:val="21"/>
              </w:rPr>
            </w:pPr>
          </w:p>
          <w:p w14:paraId="5FE4D07E">
            <w:pPr>
              <w:spacing w:line="290" w:lineRule="auto"/>
              <w:rPr>
                <w:rFonts w:ascii="Arial"/>
                <w:sz w:val="21"/>
              </w:rPr>
            </w:pPr>
          </w:p>
          <w:p w14:paraId="4C158FA1">
            <w:pPr>
              <w:spacing w:before="65" w:line="228" w:lineRule="auto"/>
              <w:ind w:left="388"/>
              <w:rPr>
                <w:rFonts w:ascii="宋体" w:hAnsi="宋体" w:eastAsia="宋体" w:cs="宋体"/>
                <w:sz w:val="20"/>
                <w:szCs w:val="20"/>
              </w:rPr>
            </w:pPr>
            <w:r>
              <w:rPr>
                <w:rFonts w:ascii="宋体" w:hAnsi="宋体" w:eastAsia="宋体" w:cs="宋体"/>
                <w:spacing w:val="7"/>
                <w:sz w:val="20"/>
                <w:szCs w:val="20"/>
              </w:rPr>
              <w:t>在建工程</w:t>
            </w:r>
          </w:p>
          <w:p w14:paraId="2D9087E2">
            <w:pPr>
              <w:spacing w:before="161" w:line="296" w:lineRule="auto"/>
              <w:ind w:left="184" w:right="67" w:hanging="109"/>
              <w:rPr>
                <w:rFonts w:ascii="宋体" w:hAnsi="宋体" w:eastAsia="宋体" w:cs="宋体"/>
                <w:sz w:val="20"/>
                <w:szCs w:val="20"/>
              </w:rPr>
            </w:pPr>
            <w:r>
              <w:rPr>
                <w:rFonts w:ascii="宋体" w:hAnsi="宋体" w:eastAsia="宋体" w:cs="宋体"/>
                <w:spacing w:val="8"/>
                <w:sz w:val="20"/>
                <w:szCs w:val="20"/>
              </w:rPr>
              <w:t>排放</w:t>
            </w:r>
            <w:r>
              <w:rPr>
                <w:rFonts w:ascii="微软雅黑" w:hAnsi="微软雅黑" w:eastAsia="微软雅黑" w:cs="微软雅黑"/>
                <w:spacing w:val="8"/>
                <w:sz w:val="20"/>
                <w:szCs w:val="20"/>
              </w:rPr>
              <w:t>量</w:t>
            </w:r>
            <w:r>
              <w:rPr>
                <w:rFonts w:ascii="宋体" w:hAnsi="宋体" w:eastAsia="宋体" w:cs="宋体"/>
                <w:spacing w:val="8"/>
                <w:sz w:val="20"/>
                <w:szCs w:val="20"/>
              </w:rPr>
              <w:t>（固体</w:t>
            </w:r>
            <w:r>
              <w:rPr>
                <w:rFonts w:ascii="微软雅黑" w:hAnsi="微软雅黑" w:eastAsia="微软雅黑" w:cs="微软雅黑"/>
                <w:spacing w:val="8"/>
                <w:sz w:val="20"/>
                <w:szCs w:val="20"/>
              </w:rPr>
              <w:t>废</w:t>
            </w:r>
            <w:r>
              <w:rPr>
                <w:rFonts w:ascii="微软雅黑" w:hAnsi="微软雅黑" w:eastAsia="微软雅黑" w:cs="微软雅黑"/>
                <w:spacing w:val="7"/>
                <w:sz w:val="20"/>
                <w:szCs w:val="20"/>
              </w:rPr>
              <w:t>物</w:t>
            </w:r>
            <w:r>
              <w:rPr>
                <w:rFonts w:ascii="宋体" w:hAnsi="宋体" w:eastAsia="宋体" w:cs="宋体"/>
                <w:spacing w:val="7"/>
                <w:sz w:val="20"/>
                <w:szCs w:val="20"/>
              </w:rPr>
              <w:t>产生</w:t>
            </w:r>
            <w:r>
              <w:rPr>
                <w:rFonts w:ascii="微软雅黑" w:hAnsi="微软雅黑" w:eastAsia="微软雅黑" w:cs="微软雅黑"/>
                <w:spacing w:val="7"/>
                <w:sz w:val="20"/>
                <w:szCs w:val="20"/>
              </w:rPr>
              <w:t>量</w:t>
            </w:r>
            <w:r>
              <w:rPr>
                <w:rFonts w:ascii="宋体" w:hAnsi="宋体" w:eastAsia="宋体" w:cs="宋体"/>
                <w:spacing w:val="7"/>
                <w:sz w:val="20"/>
                <w:szCs w:val="20"/>
              </w:rPr>
              <w:t>）③</w:t>
            </w:r>
          </w:p>
        </w:tc>
        <w:tc>
          <w:tcPr>
            <w:tcW w:w="1828" w:type="dxa"/>
            <w:tcBorders>
              <w:top w:val="single" w:color="000000" w:sz="6" w:space="0"/>
            </w:tcBorders>
            <w:vAlign w:val="top"/>
          </w:tcPr>
          <w:p w14:paraId="59869A4C">
            <w:pPr>
              <w:spacing w:line="289" w:lineRule="auto"/>
              <w:rPr>
                <w:rFonts w:ascii="Arial"/>
                <w:sz w:val="21"/>
              </w:rPr>
            </w:pPr>
          </w:p>
          <w:p w14:paraId="576892AD">
            <w:pPr>
              <w:spacing w:line="290" w:lineRule="auto"/>
              <w:rPr>
                <w:rFonts w:ascii="Arial"/>
                <w:sz w:val="21"/>
              </w:rPr>
            </w:pPr>
          </w:p>
          <w:p w14:paraId="3440B5C5">
            <w:pPr>
              <w:spacing w:before="65" w:line="227" w:lineRule="auto"/>
              <w:ind w:left="607"/>
              <w:rPr>
                <w:rFonts w:ascii="宋体" w:hAnsi="宋体" w:eastAsia="宋体" w:cs="宋体"/>
                <w:sz w:val="20"/>
                <w:szCs w:val="20"/>
              </w:rPr>
            </w:pPr>
            <w:r>
              <w:rPr>
                <w:rFonts w:ascii="宋体" w:hAnsi="宋体" w:eastAsia="宋体" w:cs="宋体"/>
                <w:spacing w:val="6"/>
                <w:sz w:val="20"/>
                <w:szCs w:val="20"/>
              </w:rPr>
              <w:t>本项目</w:t>
            </w:r>
          </w:p>
          <w:p w14:paraId="509A99AE">
            <w:pPr>
              <w:spacing w:before="162" w:line="192" w:lineRule="auto"/>
              <w:ind w:left="81"/>
              <w:rPr>
                <w:rFonts w:ascii="微软雅黑" w:hAnsi="微软雅黑" w:eastAsia="微软雅黑" w:cs="微软雅黑"/>
                <w:sz w:val="20"/>
                <w:szCs w:val="20"/>
              </w:rPr>
            </w:pPr>
            <w:r>
              <w:rPr>
                <w:rFonts w:ascii="宋体" w:hAnsi="宋体" w:eastAsia="宋体" w:cs="宋体"/>
                <w:spacing w:val="8"/>
                <w:sz w:val="20"/>
                <w:szCs w:val="20"/>
              </w:rPr>
              <w:t>排放</w:t>
            </w:r>
            <w:r>
              <w:rPr>
                <w:rFonts w:ascii="微软雅黑" w:hAnsi="微软雅黑" w:eastAsia="微软雅黑" w:cs="微软雅黑"/>
                <w:spacing w:val="8"/>
                <w:sz w:val="20"/>
                <w:szCs w:val="20"/>
              </w:rPr>
              <w:t>量</w:t>
            </w:r>
            <w:r>
              <w:rPr>
                <w:rFonts w:ascii="宋体" w:hAnsi="宋体" w:eastAsia="宋体" w:cs="宋体"/>
                <w:spacing w:val="8"/>
                <w:sz w:val="20"/>
                <w:szCs w:val="20"/>
              </w:rPr>
              <w:t>（固体</w:t>
            </w:r>
            <w:r>
              <w:rPr>
                <w:rFonts w:ascii="微软雅黑" w:hAnsi="微软雅黑" w:eastAsia="微软雅黑" w:cs="微软雅黑"/>
                <w:spacing w:val="8"/>
                <w:sz w:val="20"/>
                <w:szCs w:val="20"/>
              </w:rPr>
              <w:t>废物</w:t>
            </w:r>
          </w:p>
          <w:p w14:paraId="2D1FBB47">
            <w:pPr>
              <w:spacing w:before="134" w:line="194" w:lineRule="auto"/>
              <w:ind w:left="395"/>
              <w:rPr>
                <w:rFonts w:ascii="宋体" w:hAnsi="宋体" w:eastAsia="宋体" w:cs="宋体"/>
                <w:sz w:val="20"/>
                <w:szCs w:val="20"/>
              </w:rPr>
            </w:pPr>
            <w:r>
              <w:rPr>
                <w:rFonts w:ascii="宋体" w:hAnsi="宋体" w:eastAsia="宋体" w:cs="宋体"/>
                <w:spacing w:val="8"/>
                <w:sz w:val="20"/>
                <w:szCs w:val="20"/>
              </w:rPr>
              <w:t>产生</w:t>
            </w:r>
            <w:r>
              <w:rPr>
                <w:rFonts w:ascii="微软雅黑" w:hAnsi="微软雅黑" w:eastAsia="微软雅黑" w:cs="微软雅黑"/>
                <w:spacing w:val="8"/>
                <w:sz w:val="20"/>
                <w:szCs w:val="20"/>
              </w:rPr>
              <w:t>量</w:t>
            </w:r>
            <w:r>
              <w:rPr>
                <w:rFonts w:ascii="宋体" w:hAnsi="宋体" w:eastAsia="宋体" w:cs="宋体"/>
                <w:spacing w:val="8"/>
                <w:sz w:val="20"/>
                <w:szCs w:val="20"/>
              </w:rPr>
              <w:t>）④</w:t>
            </w:r>
          </w:p>
        </w:tc>
        <w:tc>
          <w:tcPr>
            <w:tcW w:w="1259" w:type="dxa"/>
            <w:tcBorders>
              <w:top w:val="single" w:color="000000" w:sz="6" w:space="0"/>
            </w:tcBorders>
            <w:vAlign w:val="top"/>
          </w:tcPr>
          <w:p w14:paraId="4B96AD63">
            <w:pPr>
              <w:spacing w:line="376" w:lineRule="auto"/>
              <w:rPr>
                <w:rFonts w:ascii="Arial"/>
                <w:sz w:val="21"/>
              </w:rPr>
            </w:pPr>
          </w:p>
          <w:p w14:paraId="4EF9171D">
            <w:pPr>
              <w:spacing w:before="65" w:line="325" w:lineRule="auto"/>
              <w:ind w:left="427" w:right="99" w:hanging="290"/>
              <w:rPr>
                <w:rFonts w:ascii="微软雅黑" w:hAnsi="微软雅黑" w:eastAsia="微软雅黑" w:cs="微软雅黑"/>
                <w:sz w:val="20"/>
                <w:szCs w:val="20"/>
              </w:rPr>
            </w:pPr>
            <w:r>
              <w:rPr>
                <w:rFonts w:ascii="宋体" w:hAnsi="宋体" w:eastAsia="宋体" w:cs="宋体"/>
                <w:spacing w:val="3"/>
                <w:sz w:val="20"/>
                <w:szCs w:val="20"/>
              </w:rPr>
              <w:t>以新带老削</w:t>
            </w:r>
            <w:r>
              <w:rPr>
                <w:rFonts w:ascii="宋体" w:hAnsi="宋体" w:eastAsia="宋体" w:cs="宋体"/>
                <w:spacing w:val="6"/>
                <w:sz w:val="20"/>
                <w:szCs w:val="20"/>
              </w:rPr>
              <w:t>减</w:t>
            </w:r>
            <w:r>
              <w:rPr>
                <w:rFonts w:ascii="微软雅黑" w:hAnsi="微软雅黑" w:eastAsia="微软雅黑" w:cs="微软雅黑"/>
                <w:spacing w:val="6"/>
                <w:sz w:val="20"/>
                <w:szCs w:val="20"/>
              </w:rPr>
              <w:t>量</w:t>
            </w:r>
          </w:p>
          <w:p w14:paraId="2B81FF97">
            <w:pPr>
              <w:spacing w:before="2" w:line="376" w:lineRule="auto"/>
              <w:ind w:left="221" w:right="99" w:hanging="98"/>
              <w:rPr>
                <w:rFonts w:ascii="宋体" w:hAnsi="宋体" w:eastAsia="宋体" w:cs="宋体"/>
                <w:sz w:val="20"/>
                <w:szCs w:val="20"/>
              </w:rPr>
            </w:pPr>
            <w:r>
              <w:rPr>
                <w:rFonts w:ascii="宋体" w:hAnsi="宋体" w:eastAsia="宋体" w:cs="宋体"/>
                <w:spacing w:val="6"/>
                <w:sz w:val="20"/>
                <w:szCs w:val="20"/>
              </w:rPr>
              <w:t>（新建项目不填）⑤</w:t>
            </w:r>
          </w:p>
        </w:tc>
        <w:tc>
          <w:tcPr>
            <w:tcW w:w="1867" w:type="dxa"/>
            <w:tcBorders>
              <w:top w:val="single" w:color="000000" w:sz="6" w:space="0"/>
            </w:tcBorders>
            <w:vAlign w:val="top"/>
          </w:tcPr>
          <w:p w14:paraId="61DD24FB">
            <w:pPr>
              <w:spacing w:line="289" w:lineRule="auto"/>
              <w:rPr>
                <w:rFonts w:ascii="Arial"/>
                <w:sz w:val="21"/>
              </w:rPr>
            </w:pPr>
          </w:p>
          <w:p w14:paraId="24230051">
            <w:pPr>
              <w:spacing w:line="290" w:lineRule="auto"/>
              <w:rPr>
                <w:rFonts w:ascii="Arial"/>
                <w:sz w:val="21"/>
              </w:rPr>
            </w:pPr>
          </w:p>
          <w:p w14:paraId="0FFD8303">
            <w:pPr>
              <w:spacing w:before="65" w:line="227" w:lineRule="auto"/>
              <w:ind w:left="314"/>
              <w:rPr>
                <w:rFonts w:ascii="宋体" w:hAnsi="宋体" w:eastAsia="宋体" w:cs="宋体"/>
                <w:sz w:val="20"/>
                <w:szCs w:val="20"/>
              </w:rPr>
            </w:pPr>
            <w:r>
              <w:rPr>
                <w:rFonts w:ascii="宋体" w:hAnsi="宋体" w:eastAsia="宋体" w:cs="宋体"/>
                <w:spacing w:val="8"/>
                <w:sz w:val="20"/>
                <w:szCs w:val="20"/>
              </w:rPr>
              <w:t>本项目建成后</w:t>
            </w:r>
          </w:p>
          <w:p w14:paraId="4A75F6E3">
            <w:pPr>
              <w:spacing w:before="162" w:line="192" w:lineRule="auto"/>
              <w:ind w:left="37"/>
              <w:rPr>
                <w:rFonts w:ascii="微软雅黑" w:hAnsi="微软雅黑" w:eastAsia="微软雅黑" w:cs="微软雅黑"/>
                <w:sz w:val="20"/>
                <w:szCs w:val="20"/>
              </w:rPr>
            </w:pPr>
            <w:r>
              <w:rPr>
                <w:rFonts w:ascii="宋体" w:hAnsi="宋体" w:eastAsia="宋体" w:cs="宋体"/>
                <w:sz w:val="20"/>
                <w:szCs w:val="20"/>
              </w:rPr>
              <w:t>全厂排放</w:t>
            </w:r>
            <w:r>
              <w:rPr>
                <w:rFonts w:ascii="微软雅黑" w:hAnsi="微软雅黑" w:eastAsia="微软雅黑" w:cs="微软雅黑"/>
                <w:sz w:val="20"/>
                <w:szCs w:val="20"/>
              </w:rPr>
              <w:t>量</w:t>
            </w:r>
            <w:r>
              <w:rPr>
                <w:rFonts w:ascii="宋体" w:hAnsi="宋体" w:eastAsia="宋体" w:cs="宋体"/>
                <w:sz w:val="20"/>
                <w:szCs w:val="20"/>
              </w:rPr>
              <w:t>（固体</w:t>
            </w:r>
            <w:r>
              <w:rPr>
                <w:rFonts w:ascii="微软雅黑" w:hAnsi="微软雅黑" w:eastAsia="微软雅黑" w:cs="微软雅黑"/>
                <w:sz w:val="20"/>
                <w:szCs w:val="20"/>
              </w:rPr>
              <w:t>废</w:t>
            </w:r>
          </w:p>
          <w:p w14:paraId="2032DF8B">
            <w:pPr>
              <w:spacing w:before="133" w:line="192" w:lineRule="auto"/>
              <w:ind w:left="320"/>
              <w:rPr>
                <w:rFonts w:ascii="宋体" w:hAnsi="宋体" w:eastAsia="宋体" w:cs="宋体"/>
                <w:sz w:val="20"/>
                <w:szCs w:val="20"/>
              </w:rPr>
            </w:pPr>
            <w:r>
              <w:rPr>
                <w:rFonts w:ascii="微软雅黑" w:hAnsi="微软雅黑" w:eastAsia="微软雅黑" w:cs="微软雅黑"/>
                <w:spacing w:val="7"/>
                <w:sz w:val="20"/>
                <w:szCs w:val="20"/>
              </w:rPr>
              <w:t>物</w:t>
            </w:r>
            <w:r>
              <w:rPr>
                <w:rFonts w:ascii="宋体" w:hAnsi="宋体" w:eastAsia="宋体" w:cs="宋体"/>
                <w:spacing w:val="7"/>
                <w:sz w:val="20"/>
                <w:szCs w:val="20"/>
              </w:rPr>
              <w:t>产生</w:t>
            </w:r>
            <w:r>
              <w:rPr>
                <w:rFonts w:ascii="微软雅黑" w:hAnsi="微软雅黑" w:eastAsia="微软雅黑" w:cs="微软雅黑"/>
                <w:spacing w:val="7"/>
                <w:sz w:val="20"/>
                <w:szCs w:val="20"/>
              </w:rPr>
              <w:t>量</w:t>
            </w:r>
            <w:r>
              <w:rPr>
                <w:rFonts w:ascii="宋体" w:hAnsi="宋体" w:eastAsia="宋体" w:cs="宋体"/>
                <w:spacing w:val="7"/>
                <w:sz w:val="20"/>
                <w:szCs w:val="20"/>
              </w:rPr>
              <w:t>）⑥</w:t>
            </w:r>
          </w:p>
        </w:tc>
        <w:tc>
          <w:tcPr>
            <w:tcW w:w="1550" w:type="dxa"/>
            <w:tcBorders>
              <w:top w:val="single" w:color="000000" w:sz="6" w:space="0"/>
              <w:right w:val="single" w:color="000000" w:sz="6" w:space="0"/>
            </w:tcBorders>
            <w:vAlign w:val="top"/>
          </w:tcPr>
          <w:p w14:paraId="48EF590B">
            <w:pPr>
              <w:spacing w:line="253" w:lineRule="auto"/>
              <w:rPr>
                <w:rFonts w:ascii="Arial"/>
                <w:sz w:val="21"/>
              </w:rPr>
            </w:pPr>
          </w:p>
          <w:p w14:paraId="2C2A5DF1">
            <w:pPr>
              <w:spacing w:line="254" w:lineRule="auto"/>
              <w:rPr>
                <w:rFonts w:ascii="Arial"/>
                <w:sz w:val="21"/>
              </w:rPr>
            </w:pPr>
          </w:p>
          <w:p w14:paraId="1D38F7D8">
            <w:pPr>
              <w:spacing w:line="254" w:lineRule="auto"/>
              <w:rPr>
                <w:rFonts w:ascii="Arial"/>
                <w:sz w:val="21"/>
              </w:rPr>
            </w:pPr>
          </w:p>
          <w:p w14:paraId="1595DFE2">
            <w:pPr>
              <w:spacing w:before="86" w:line="325" w:lineRule="auto"/>
              <w:ind w:left="676" w:right="451" w:hanging="209"/>
              <w:rPr>
                <w:rFonts w:ascii="宋体" w:hAnsi="宋体" w:eastAsia="宋体" w:cs="宋体"/>
                <w:sz w:val="20"/>
                <w:szCs w:val="20"/>
              </w:rPr>
            </w:pPr>
            <w:r>
              <w:rPr>
                <w:rFonts w:ascii="宋体" w:hAnsi="宋体" w:eastAsia="宋体" w:cs="宋体"/>
                <w:spacing w:val="6"/>
                <w:sz w:val="20"/>
                <w:szCs w:val="20"/>
              </w:rPr>
              <w:t>变化</w:t>
            </w:r>
            <w:r>
              <w:rPr>
                <w:rFonts w:ascii="微软雅黑" w:hAnsi="微软雅黑" w:eastAsia="微软雅黑" w:cs="微软雅黑"/>
                <w:spacing w:val="6"/>
                <w:sz w:val="20"/>
                <w:szCs w:val="20"/>
              </w:rPr>
              <w:t>量</w:t>
            </w:r>
            <w:r>
              <w:rPr>
                <w:rFonts w:ascii="宋体" w:hAnsi="宋体" w:eastAsia="宋体" w:cs="宋体"/>
                <w:spacing w:val="2"/>
                <w:sz w:val="20"/>
                <w:szCs w:val="20"/>
              </w:rPr>
              <w:t>⑦</w:t>
            </w:r>
          </w:p>
        </w:tc>
      </w:tr>
      <w:tr w14:paraId="05E20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26" w:type="dxa"/>
            <w:vMerge w:val="restart"/>
            <w:tcBorders>
              <w:left w:val="single" w:color="000000" w:sz="6" w:space="0"/>
              <w:bottom w:val="nil"/>
            </w:tcBorders>
            <w:vAlign w:val="top"/>
          </w:tcPr>
          <w:p w14:paraId="3F9DE5B5">
            <w:pPr>
              <w:spacing w:line="268" w:lineRule="auto"/>
              <w:rPr>
                <w:rFonts w:ascii="Arial"/>
                <w:sz w:val="21"/>
              </w:rPr>
            </w:pPr>
          </w:p>
          <w:p w14:paraId="4DC3A566">
            <w:pPr>
              <w:spacing w:line="269" w:lineRule="auto"/>
              <w:rPr>
                <w:rFonts w:ascii="Arial"/>
                <w:sz w:val="21"/>
              </w:rPr>
            </w:pPr>
          </w:p>
          <w:p w14:paraId="1D6608F7">
            <w:pPr>
              <w:spacing w:line="269" w:lineRule="auto"/>
              <w:rPr>
                <w:rFonts w:ascii="Arial"/>
                <w:sz w:val="21"/>
              </w:rPr>
            </w:pPr>
          </w:p>
          <w:p w14:paraId="5B1B1AB1">
            <w:pPr>
              <w:spacing w:line="269" w:lineRule="auto"/>
              <w:rPr>
                <w:rFonts w:ascii="Arial"/>
                <w:sz w:val="21"/>
              </w:rPr>
            </w:pPr>
          </w:p>
          <w:p w14:paraId="0FC79D00">
            <w:pPr>
              <w:spacing w:line="269" w:lineRule="auto"/>
              <w:rPr>
                <w:rFonts w:ascii="Arial"/>
                <w:sz w:val="21"/>
              </w:rPr>
            </w:pPr>
          </w:p>
          <w:p w14:paraId="33A5BCF8">
            <w:pPr>
              <w:spacing w:line="269" w:lineRule="auto"/>
              <w:rPr>
                <w:rFonts w:ascii="Arial"/>
                <w:sz w:val="21"/>
              </w:rPr>
            </w:pPr>
          </w:p>
          <w:p w14:paraId="35B3D533">
            <w:pPr>
              <w:spacing w:before="86" w:line="191" w:lineRule="auto"/>
              <w:ind w:left="149"/>
              <w:rPr>
                <w:rFonts w:ascii="微软雅黑" w:hAnsi="微软雅黑" w:eastAsia="微软雅黑" w:cs="微软雅黑"/>
                <w:sz w:val="20"/>
                <w:szCs w:val="20"/>
              </w:rPr>
            </w:pPr>
            <w:r>
              <w:rPr>
                <w:rFonts w:ascii="微软雅黑" w:hAnsi="微软雅黑" w:eastAsia="微软雅黑" w:cs="微软雅黑"/>
                <w:spacing w:val="5"/>
                <w:sz w:val="20"/>
                <w:szCs w:val="20"/>
              </w:rPr>
              <w:t>废气</w:t>
            </w:r>
          </w:p>
          <w:p w14:paraId="6B85F5EF">
            <w:pPr>
              <w:spacing w:line="241" w:lineRule="auto"/>
              <w:rPr>
                <w:rFonts w:ascii="Arial"/>
                <w:sz w:val="21"/>
              </w:rPr>
            </w:pPr>
          </w:p>
          <w:p w14:paraId="3FAF4E91">
            <w:pPr>
              <w:spacing w:line="241" w:lineRule="auto"/>
              <w:rPr>
                <w:rFonts w:ascii="Arial"/>
                <w:sz w:val="21"/>
              </w:rPr>
            </w:pPr>
          </w:p>
          <w:p w14:paraId="1265AFB3">
            <w:pPr>
              <w:spacing w:line="241" w:lineRule="auto"/>
              <w:rPr>
                <w:rFonts w:ascii="Arial"/>
                <w:sz w:val="21"/>
              </w:rPr>
            </w:pPr>
          </w:p>
          <w:p w14:paraId="08014B37">
            <w:pPr>
              <w:spacing w:line="241" w:lineRule="auto"/>
              <w:rPr>
                <w:rFonts w:ascii="Arial"/>
                <w:sz w:val="21"/>
              </w:rPr>
            </w:pPr>
          </w:p>
          <w:p w14:paraId="57A77A6C">
            <w:pPr>
              <w:spacing w:line="241" w:lineRule="auto"/>
              <w:rPr>
                <w:rFonts w:ascii="Arial"/>
                <w:sz w:val="21"/>
              </w:rPr>
            </w:pPr>
          </w:p>
          <w:p w14:paraId="12F9C334">
            <w:pPr>
              <w:spacing w:line="242" w:lineRule="auto"/>
              <w:rPr>
                <w:rFonts w:ascii="Arial"/>
                <w:sz w:val="21"/>
              </w:rPr>
            </w:pPr>
          </w:p>
          <w:p w14:paraId="19DBF35B">
            <w:pPr>
              <w:spacing w:line="242" w:lineRule="auto"/>
              <w:rPr>
                <w:rFonts w:ascii="Arial"/>
                <w:sz w:val="21"/>
              </w:rPr>
            </w:pPr>
          </w:p>
          <w:p w14:paraId="73C2E210">
            <w:pPr>
              <w:spacing w:line="242" w:lineRule="auto"/>
              <w:rPr>
                <w:rFonts w:ascii="Arial"/>
                <w:sz w:val="21"/>
              </w:rPr>
            </w:pPr>
          </w:p>
          <w:p w14:paraId="4DB5C356">
            <w:pPr>
              <w:spacing w:before="86" w:line="192" w:lineRule="auto"/>
              <w:ind w:left="149"/>
              <w:rPr>
                <w:rFonts w:ascii="宋体" w:hAnsi="宋体" w:eastAsia="宋体" w:cs="宋体"/>
                <w:sz w:val="20"/>
                <w:szCs w:val="20"/>
              </w:rPr>
            </w:pPr>
            <w:r>
              <w:rPr>
                <w:rFonts w:ascii="微软雅黑" w:hAnsi="微软雅黑" w:eastAsia="微软雅黑" w:cs="微软雅黑"/>
                <w:spacing w:val="5"/>
                <w:sz w:val="20"/>
                <w:szCs w:val="20"/>
              </w:rPr>
              <w:t>废</w:t>
            </w:r>
            <w:r>
              <w:rPr>
                <w:rFonts w:ascii="宋体" w:hAnsi="宋体" w:eastAsia="宋体" w:cs="宋体"/>
                <w:spacing w:val="5"/>
                <w:sz w:val="20"/>
                <w:szCs w:val="20"/>
              </w:rPr>
              <w:t>水</w:t>
            </w:r>
          </w:p>
        </w:tc>
        <w:tc>
          <w:tcPr>
            <w:tcW w:w="2511" w:type="dxa"/>
            <w:vAlign w:val="top"/>
          </w:tcPr>
          <w:p w14:paraId="45679DA5">
            <w:pPr>
              <w:spacing w:before="34" w:line="192" w:lineRule="auto"/>
              <w:ind w:left="405"/>
              <w:rPr>
                <w:rFonts w:ascii="宋体" w:hAnsi="宋体" w:eastAsia="宋体" w:cs="宋体"/>
                <w:sz w:val="20"/>
                <w:szCs w:val="20"/>
              </w:rPr>
            </w:pPr>
            <w:r>
              <w:rPr>
                <w:rFonts w:ascii="微软雅黑" w:hAnsi="微软雅黑" w:eastAsia="微软雅黑" w:cs="微软雅黑"/>
                <w:spacing w:val="4"/>
                <w:sz w:val="20"/>
                <w:szCs w:val="20"/>
              </w:rPr>
              <w:t>废气量</w:t>
            </w:r>
            <w:r>
              <w:rPr>
                <w:rFonts w:ascii="宋体" w:hAnsi="宋体" w:eastAsia="宋体" w:cs="宋体"/>
                <w:spacing w:val="4"/>
                <w:sz w:val="20"/>
                <w:szCs w:val="20"/>
              </w:rPr>
              <w:t>（</w:t>
            </w:r>
            <w:r>
              <w:rPr>
                <w:rFonts w:ascii="微软雅黑" w:hAnsi="微软雅黑" w:eastAsia="微软雅黑" w:cs="微软雅黑"/>
                <w:spacing w:val="4"/>
                <w:sz w:val="20"/>
                <w:szCs w:val="20"/>
              </w:rPr>
              <w:t xml:space="preserve">万 </w:t>
            </w:r>
            <w:r>
              <w:rPr>
                <w:rFonts w:ascii="Times New Roman" w:hAnsi="Times New Roman" w:eastAsia="Times New Roman" w:cs="Times New Roman"/>
                <w:spacing w:val="4"/>
                <w:sz w:val="20"/>
                <w:szCs w:val="20"/>
              </w:rPr>
              <w:t>m</w:t>
            </w:r>
            <w:r>
              <w:rPr>
                <w:rFonts w:ascii="Times New Roman" w:hAnsi="Times New Roman" w:eastAsia="Times New Roman" w:cs="Times New Roman"/>
                <w:spacing w:val="4"/>
                <w:position w:val="6"/>
                <w:sz w:val="13"/>
                <w:szCs w:val="13"/>
              </w:rPr>
              <w:t>3</w:t>
            </w:r>
            <w:r>
              <w:rPr>
                <w:rFonts w:ascii="Times New Roman" w:hAnsi="Times New Roman" w:eastAsia="Times New Roman" w:cs="Times New Roman"/>
                <w:spacing w:val="4"/>
                <w:sz w:val="20"/>
                <w:szCs w:val="20"/>
              </w:rPr>
              <w:t>/a</w:t>
            </w:r>
            <w:r>
              <w:rPr>
                <w:rFonts w:ascii="宋体" w:hAnsi="宋体" w:eastAsia="宋体" w:cs="宋体"/>
                <w:spacing w:val="4"/>
                <w:sz w:val="20"/>
                <w:szCs w:val="20"/>
              </w:rPr>
              <w:t>）</w:t>
            </w:r>
          </w:p>
        </w:tc>
        <w:tc>
          <w:tcPr>
            <w:tcW w:w="1828" w:type="dxa"/>
            <w:vAlign w:val="top"/>
          </w:tcPr>
          <w:p w14:paraId="6DCA82D3">
            <w:pPr>
              <w:spacing w:before="78" w:line="195" w:lineRule="auto"/>
              <w:ind w:left="59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14461.2</w:t>
            </w:r>
          </w:p>
        </w:tc>
        <w:tc>
          <w:tcPr>
            <w:tcW w:w="658" w:type="dxa"/>
            <w:vAlign w:val="top"/>
          </w:tcPr>
          <w:p w14:paraId="5AF3AF67">
            <w:pPr>
              <w:spacing w:before="78"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393B6ECF">
            <w:pPr>
              <w:spacing w:before="78"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37A6AE43">
            <w:pPr>
              <w:spacing w:before="78" w:line="195" w:lineRule="auto"/>
              <w:ind w:left="65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27600</w:t>
            </w:r>
          </w:p>
        </w:tc>
        <w:tc>
          <w:tcPr>
            <w:tcW w:w="1259" w:type="dxa"/>
            <w:vAlign w:val="top"/>
          </w:tcPr>
          <w:p w14:paraId="22F6FF53">
            <w:pPr>
              <w:spacing w:before="78"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5CE964FC">
            <w:pPr>
              <w:spacing w:before="78" w:line="195" w:lineRule="auto"/>
              <w:ind w:left="59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42061.2</w:t>
            </w:r>
          </w:p>
        </w:tc>
        <w:tc>
          <w:tcPr>
            <w:tcW w:w="1550" w:type="dxa"/>
            <w:tcBorders>
              <w:right w:val="single" w:color="000000" w:sz="6" w:space="0"/>
            </w:tcBorders>
            <w:vAlign w:val="top"/>
          </w:tcPr>
          <w:p w14:paraId="708E2CC8">
            <w:pPr>
              <w:spacing w:before="78" w:line="195" w:lineRule="auto"/>
              <w:ind w:left="45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+27600</w:t>
            </w:r>
          </w:p>
        </w:tc>
      </w:tr>
      <w:tr w14:paraId="225EB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26" w:type="dxa"/>
            <w:vMerge w:val="continue"/>
            <w:tcBorders>
              <w:top w:val="nil"/>
              <w:left w:val="single" w:color="000000" w:sz="6" w:space="0"/>
              <w:bottom w:val="nil"/>
            </w:tcBorders>
            <w:vAlign w:val="top"/>
          </w:tcPr>
          <w:p w14:paraId="0327C243">
            <w:pPr>
              <w:rPr>
                <w:rFonts w:ascii="Arial"/>
                <w:sz w:val="21"/>
              </w:rPr>
            </w:pPr>
          </w:p>
        </w:tc>
        <w:tc>
          <w:tcPr>
            <w:tcW w:w="2511" w:type="dxa"/>
            <w:vAlign w:val="top"/>
          </w:tcPr>
          <w:p w14:paraId="07C2B167">
            <w:pPr>
              <w:spacing w:before="37" w:line="192" w:lineRule="auto"/>
              <w:ind w:left="624"/>
              <w:rPr>
                <w:rFonts w:ascii="宋体" w:hAnsi="宋体" w:eastAsia="宋体" w:cs="宋体"/>
                <w:sz w:val="20"/>
                <w:szCs w:val="20"/>
              </w:rPr>
            </w:pPr>
            <w:r>
              <w:rPr>
                <w:rFonts w:ascii="微软雅黑" w:hAnsi="微软雅黑" w:eastAsia="微软雅黑" w:cs="微软雅黑"/>
                <w:spacing w:val="5"/>
                <w:sz w:val="20"/>
                <w:szCs w:val="20"/>
              </w:rPr>
              <w:t>颗粒物</w:t>
            </w:r>
            <w:r>
              <w:rPr>
                <w:rFonts w:ascii="宋体" w:hAnsi="宋体" w:eastAsia="宋体" w:cs="宋体"/>
                <w:spacing w:val="5"/>
                <w:sz w:val="20"/>
                <w:szCs w:val="20"/>
              </w:rPr>
              <w:t>（</w:t>
            </w:r>
            <w:r>
              <w:rPr>
                <w:rFonts w:ascii="Times New Roman" w:hAnsi="Times New Roman" w:eastAsia="Times New Roman" w:cs="Times New Roman"/>
                <w:spacing w:val="5"/>
                <w:sz w:val="20"/>
                <w:szCs w:val="20"/>
              </w:rPr>
              <w:t>t/a</w:t>
            </w:r>
            <w:r>
              <w:rPr>
                <w:rFonts w:ascii="宋体" w:hAnsi="宋体" w:eastAsia="宋体" w:cs="宋体"/>
                <w:spacing w:val="5"/>
                <w:sz w:val="20"/>
                <w:szCs w:val="20"/>
              </w:rPr>
              <w:t>）</w:t>
            </w:r>
          </w:p>
        </w:tc>
        <w:tc>
          <w:tcPr>
            <w:tcW w:w="1828" w:type="dxa"/>
            <w:vAlign w:val="top"/>
          </w:tcPr>
          <w:p w14:paraId="63E4D8E7">
            <w:pPr>
              <w:spacing w:before="81" w:line="195" w:lineRule="auto"/>
              <w:ind w:left="62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0.8088</w:t>
            </w:r>
          </w:p>
        </w:tc>
        <w:tc>
          <w:tcPr>
            <w:tcW w:w="658" w:type="dxa"/>
            <w:vAlign w:val="top"/>
          </w:tcPr>
          <w:p w14:paraId="22F15F20">
            <w:pPr>
              <w:spacing w:before="81"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52BAFF8D">
            <w:pPr>
              <w:spacing w:before="81"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33DD844A">
            <w:pPr>
              <w:spacing w:before="81"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vAlign w:val="top"/>
          </w:tcPr>
          <w:p w14:paraId="46314D06">
            <w:pPr>
              <w:spacing w:before="81"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0FA9F4B4">
            <w:pPr>
              <w:spacing w:before="81" w:line="195" w:lineRule="auto"/>
              <w:ind w:left="6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0.8088</w:t>
            </w:r>
          </w:p>
        </w:tc>
        <w:tc>
          <w:tcPr>
            <w:tcW w:w="1550" w:type="dxa"/>
            <w:tcBorders>
              <w:right w:val="single" w:color="000000" w:sz="6" w:space="0"/>
            </w:tcBorders>
            <w:vAlign w:val="top"/>
          </w:tcPr>
          <w:p w14:paraId="469CCE66">
            <w:pPr>
              <w:spacing w:before="81"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018F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26" w:type="dxa"/>
            <w:vMerge w:val="continue"/>
            <w:tcBorders>
              <w:top w:val="nil"/>
              <w:left w:val="single" w:color="000000" w:sz="6" w:space="0"/>
              <w:bottom w:val="nil"/>
            </w:tcBorders>
            <w:vAlign w:val="top"/>
          </w:tcPr>
          <w:p w14:paraId="4FE97651">
            <w:pPr>
              <w:rPr>
                <w:rFonts w:ascii="Arial"/>
                <w:sz w:val="21"/>
              </w:rPr>
            </w:pPr>
          </w:p>
        </w:tc>
        <w:tc>
          <w:tcPr>
            <w:tcW w:w="2511" w:type="dxa"/>
            <w:vAlign w:val="top"/>
          </w:tcPr>
          <w:p w14:paraId="7E1C8F25">
            <w:pPr>
              <w:spacing w:before="38" w:line="192" w:lineRule="auto"/>
              <w:ind w:left="834"/>
              <w:rPr>
                <w:rFonts w:ascii="宋体" w:hAnsi="宋体" w:eastAsia="宋体" w:cs="宋体"/>
                <w:sz w:val="20"/>
                <w:szCs w:val="20"/>
              </w:rPr>
            </w:pPr>
            <w:r>
              <w:rPr>
                <w:rFonts w:ascii="微软雅黑" w:hAnsi="微软雅黑" w:eastAsia="微软雅黑" w:cs="微软雅黑"/>
                <w:spacing w:val="3"/>
                <w:sz w:val="20"/>
                <w:szCs w:val="20"/>
              </w:rPr>
              <w:t>苯</w:t>
            </w:r>
            <w:r>
              <w:rPr>
                <w:rFonts w:ascii="宋体" w:hAnsi="宋体" w:eastAsia="宋体" w:cs="宋体"/>
                <w:spacing w:val="3"/>
                <w:sz w:val="20"/>
                <w:szCs w:val="20"/>
              </w:rPr>
              <w:t>（</w:t>
            </w:r>
            <w:r>
              <w:rPr>
                <w:rFonts w:ascii="Times New Roman" w:hAnsi="Times New Roman" w:eastAsia="Times New Roman" w:cs="Times New Roman"/>
                <w:spacing w:val="3"/>
                <w:sz w:val="20"/>
                <w:szCs w:val="20"/>
              </w:rPr>
              <w:t>t/a</w:t>
            </w:r>
            <w:r>
              <w:rPr>
                <w:rFonts w:ascii="宋体" w:hAnsi="宋体" w:eastAsia="宋体" w:cs="宋体"/>
                <w:spacing w:val="3"/>
                <w:sz w:val="20"/>
                <w:szCs w:val="20"/>
              </w:rPr>
              <w:t>）</w:t>
            </w:r>
          </w:p>
        </w:tc>
        <w:tc>
          <w:tcPr>
            <w:tcW w:w="1828" w:type="dxa"/>
            <w:vAlign w:val="top"/>
          </w:tcPr>
          <w:p w14:paraId="17D598DE">
            <w:pPr>
              <w:spacing w:before="80" w:line="195" w:lineRule="auto"/>
              <w:ind w:left="5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0.00288</w:t>
            </w:r>
          </w:p>
        </w:tc>
        <w:tc>
          <w:tcPr>
            <w:tcW w:w="658" w:type="dxa"/>
            <w:vAlign w:val="top"/>
          </w:tcPr>
          <w:p w14:paraId="03A50EC3">
            <w:pPr>
              <w:spacing w:before="80"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1711DA3F">
            <w:pPr>
              <w:spacing w:before="80"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50D39D3F">
            <w:pPr>
              <w:spacing w:before="80"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vAlign w:val="top"/>
          </w:tcPr>
          <w:p w14:paraId="64C62F5A">
            <w:pPr>
              <w:spacing w:before="80"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1465B90B">
            <w:pPr>
              <w:spacing w:before="80" w:line="195" w:lineRule="auto"/>
              <w:ind w:left="6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0.00288</w:t>
            </w:r>
          </w:p>
        </w:tc>
        <w:tc>
          <w:tcPr>
            <w:tcW w:w="1550" w:type="dxa"/>
            <w:tcBorders>
              <w:right w:val="single" w:color="000000" w:sz="6" w:space="0"/>
            </w:tcBorders>
            <w:vAlign w:val="top"/>
          </w:tcPr>
          <w:p w14:paraId="635EFE96">
            <w:pPr>
              <w:spacing w:before="80"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5A90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26" w:type="dxa"/>
            <w:vMerge w:val="continue"/>
            <w:tcBorders>
              <w:top w:val="nil"/>
              <w:left w:val="single" w:color="000000" w:sz="6" w:space="0"/>
              <w:bottom w:val="nil"/>
            </w:tcBorders>
            <w:vAlign w:val="top"/>
          </w:tcPr>
          <w:p w14:paraId="2B687A23">
            <w:pPr>
              <w:rPr>
                <w:rFonts w:ascii="Arial"/>
                <w:sz w:val="21"/>
              </w:rPr>
            </w:pPr>
          </w:p>
        </w:tc>
        <w:tc>
          <w:tcPr>
            <w:tcW w:w="2511" w:type="dxa"/>
            <w:vAlign w:val="top"/>
          </w:tcPr>
          <w:p w14:paraId="3D8A3828">
            <w:pPr>
              <w:spacing w:before="38" w:line="192" w:lineRule="auto"/>
              <w:ind w:left="761"/>
              <w:rPr>
                <w:rFonts w:ascii="宋体" w:hAnsi="宋体" w:eastAsia="宋体" w:cs="宋体"/>
                <w:sz w:val="20"/>
                <w:szCs w:val="20"/>
              </w:rPr>
            </w:pPr>
            <w:r>
              <w:rPr>
                <w:rFonts w:ascii="微软雅黑" w:hAnsi="微软雅黑" w:eastAsia="微软雅黑" w:cs="微软雅黑"/>
                <w:spacing w:val="-1"/>
                <w:sz w:val="20"/>
                <w:szCs w:val="20"/>
              </w:rPr>
              <w:t>甲苯</w:t>
            </w:r>
            <w:r>
              <w:rPr>
                <w:rFonts w:ascii="宋体" w:hAnsi="宋体" w:eastAsia="宋体" w:cs="宋体"/>
                <w:spacing w:val="-1"/>
                <w:sz w:val="20"/>
                <w:szCs w:val="20"/>
              </w:rPr>
              <w:t>（</w:t>
            </w:r>
            <w:r>
              <w:rPr>
                <w:rFonts w:ascii="Times New Roman" w:hAnsi="Times New Roman" w:eastAsia="Times New Roman" w:cs="Times New Roman"/>
                <w:spacing w:val="-1"/>
                <w:sz w:val="20"/>
                <w:szCs w:val="20"/>
              </w:rPr>
              <w:t>t/a</w:t>
            </w:r>
            <w:r>
              <w:rPr>
                <w:rFonts w:ascii="宋体" w:hAnsi="宋体" w:eastAsia="宋体" w:cs="宋体"/>
                <w:spacing w:val="-1"/>
                <w:sz w:val="20"/>
                <w:szCs w:val="20"/>
              </w:rPr>
              <w:t>）</w:t>
            </w:r>
          </w:p>
        </w:tc>
        <w:tc>
          <w:tcPr>
            <w:tcW w:w="1828" w:type="dxa"/>
            <w:vAlign w:val="top"/>
          </w:tcPr>
          <w:p w14:paraId="3FD955A4">
            <w:pPr>
              <w:spacing w:before="81" w:line="195" w:lineRule="auto"/>
              <w:ind w:left="5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0.00024</w:t>
            </w:r>
          </w:p>
        </w:tc>
        <w:tc>
          <w:tcPr>
            <w:tcW w:w="658" w:type="dxa"/>
            <w:vAlign w:val="top"/>
          </w:tcPr>
          <w:p w14:paraId="40B42A37">
            <w:pPr>
              <w:spacing w:before="81"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6CB45573">
            <w:pPr>
              <w:spacing w:before="81"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50482586">
            <w:pPr>
              <w:spacing w:before="81"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vAlign w:val="top"/>
          </w:tcPr>
          <w:p w14:paraId="7AE5B7F3">
            <w:pPr>
              <w:spacing w:before="81"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541673C7">
            <w:pPr>
              <w:spacing w:before="81" w:line="195" w:lineRule="auto"/>
              <w:ind w:left="6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0.00024</w:t>
            </w:r>
          </w:p>
        </w:tc>
        <w:tc>
          <w:tcPr>
            <w:tcW w:w="1550" w:type="dxa"/>
            <w:tcBorders>
              <w:right w:val="single" w:color="000000" w:sz="6" w:space="0"/>
            </w:tcBorders>
            <w:vAlign w:val="top"/>
          </w:tcPr>
          <w:p w14:paraId="1D704FE9">
            <w:pPr>
              <w:spacing w:before="81"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C7D1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26" w:type="dxa"/>
            <w:vMerge w:val="continue"/>
            <w:tcBorders>
              <w:top w:val="nil"/>
              <w:left w:val="single" w:color="000000" w:sz="6" w:space="0"/>
              <w:bottom w:val="nil"/>
            </w:tcBorders>
            <w:vAlign w:val="top"/>
          </w:tcPr>
          <w:p w14:paraId="28817FEC">
            <w:pPr>
              <w:rPr>
                <w:rFonts w:ascii="Arial"/>
                <w:sz w:val="21"/>
              </w:rPr>
            </w:pPr>
          </w:p>
        </w:tc>
        <w:tc>
          <w:tcPr>
            <w:tcW w:w="2511" w:type="dxa"/>
            <w:vAlign w:val="top"/>
          </w:tcPr>
          <w:p w14:paraId="53414B9D">
            <w:pPr>
              <w:spacing w:before="40" w:line="192" w:lineRule="auto"/>
              <w:ind w:left="427"/>
              <w:rPr>
                <w:rFonts w:ascii="宋体" w:hAnsi="宋体" w:eastAsia="宋体" w:cs="宋体"/>
                <w:sz w:val="20"/>
                <w:szCs w:val="20"/>
              </w:rPr>
            </w:pPr>
            <w:r>
              <w:rPr>
                <w:rFonts w:ascii="微软雅黑" w:hAnsi="微软雅黑" w:eastAsia="微软雅黑" w:cs="微软雅黑"/>
                <w:spacing w:val="4"/>
                <w:sz w:val="20"/>
                <w:szCs w:val="20"/>
              </w:rPr>
              <w:t>非甲烷总烃</w:t>
            </w:r>
            <w:r>
              <w:rPr>
                <w:rFonts w:ascii="宋体" w:hAnsi="宋体" w:eastAsia="宋体" w:cs="宋体"/>
                <w:spacing w:val="4"/>
                <w:sz w:val="20"/>
                <w:szCs w:val="20"/>
              </w:rPr>
              <w:t>（</w:t>
            </w:r>
            <w:r>
              <w:rPr>
                <w:rFonts w:ascii="Times New Roman" w:hAnsi="Times New Roman" w:eastAsia="Times New Roman" w:cs="Times New Roman"/>
                <w:spacing w:val="4"/>
                <w:sz w:val="20"/>
                <w:szCs w:val="20"/>
              </w:rPr>
              <w:t>t/a</w:t>
            </w:r>
            <w:r>
              <w:rPr>
                <w:rFonts w:ascii="宋体" w:hAnsi="宋体" w:eastAsia="宋体" w:cs="宋体"/>
                <w:spacing w:val="4"/>
                <w:sz w:val="20"/>
                <w:szCs w:val="20"/>
              </w:rPr>
              <w:t>）</w:t>
            </w:r>
          </w:p>
        </w:tc>
        <w:tc>
          <w:tcPr>
            <w:tcW w:w="1828" w:type="dxa"/>
            <w:vAlign w:val="top"/>
          </w:tcPr>
          <w:p w14:paraId="5020BCEA">
            <w:pPr>
              <w:spacing w:before="81" w:line="195" w:lineRule="auto"/>
              <w:ind w:left="62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0.7032</w:t>
            </w:r>
          </w:p>
        </w:tc>
        <w:tc>
          <w:tcPr>
            <w:tcW w:w="658" w:type="dxa"/>
            <w:vAlign w:val="top"/>
          </w:tcPr>
          <w:p w14:paraId="7ADB6BE8">
            <w:pPr>
              <w:spacing w:before="81"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7099EE20">
            <w:pPr>
              <w:spacing w:before="81"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5ED6C322">
            <w:pPr>
              <w:spacing w:before="81" w:line="195" w:lineRule="auto"/>
              <w:ind w:left="649"/>
              <w:rPr>
                <w:rFonts w:ascii="Times New Roman" w:hAnsi="Times New Roman" w:eastAsia="Times New Roman" w:cs="Times New Roman"/>
                <w:sz w:val="20"/>
                <w:szCs w:val="20"/>
              </w:rPr>
            </w:pPr>
            <w:r>
              <w:rPr>
                <w:rFonts w:ascii="Times New Roman" w:hAnsi="Times New Roman" w:eastAsia="Times New Roman" w:cs="Times New Roman"/>
                <w:sz w:val="20"/>
                <w:szCs w:val="20"/>
              </w:rPr>
              <w:t>1.7388</w:t>
            </w:r>
          </w:p>
        </w:tc>
        <w:tc>
          <w:tcPr>
            <w:tcW w:w="1259" w:type="dxa"/>
            <w:vAlign w:val="top"/>
          </w:tcPr>
          <w:p w14:paraId="58C55408">
            <w:pPr>
              <w:spacing w:before="81"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3A3F67AE">
            <w:pPr>
              <w:spacing w:before="81" w:line="195" w:lineRule="auto"/>
              <w:ind w:left="70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2.442</w:t>
            </w:r>
          </w:p>
        </w:tc>
        <w:tc>
          <w:tcPr>
            <w:tcW w:w="1550" w:type="dxa"/>
            <w:tcBorders>
              <w:right w:val="single" w:color="000000" w:sz="6" w:space="0"/>
            </w:tcBorders>
            <w:vAlign w:val="top"/>
          </w:tcPr>
          <w:p w14:paraId="506F3D68">
            <w:pPr>
              <w:spacing w:before="81" w:line="195" w:lineRule="auto"/>
              <w:ind w:left="42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+1.7388</w:t>
            </w:r>
          </w:p>
        </w:tc>
      </w:tr>
      <w:tr w14:paraId="67C2F3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26" w:type="dxa"/>
            <w:vMerge w:val="continue"/>
            <w:tcBorders>
              <w:top w:val="nil"/>
              <w:left w:val="single" w:color="000000" w:sz="6" w:space="0"/>
              <w:bottom w:val="nil"/>
            </w:tcBorders>
            <w:vAlign w:val="top"/>
          </w:tcPr>
          <w:p w14:paraId="15271B28">
            <w:pPr>
              <w:rPr>
                <w:rFonts w:ascii="Arial"/>
                <w:sz w:val="21"/>
              </w:rPr>
            </w:pPr>
          </w:p>
        </w:tc>
        <w:tc>
          <w:tcPr>
            <w:tcW w:w="2511" w:type="dxa"/>
            <w:vAlign w:val="top"/>
          </w:tcPr>
          <w:p w14:paraId="208F4DBB">
            <w:pPr>
              <w:spacing w:before="41" w:line="192" w:lineRule="auto"/>
              <w:ind w:left="636"/>
              <w:rPr>
                <w:rFonts w:ascii="宋体" w:hAnsi="宋体" w:eastAsia="宋体" w:cs="宋体"/>
                <w:sz w:val="20"/>
                <w:szCs w:val="20"/>
              </w:rPr>
            </w:pPr>
            <w:r>
              <w:rPr>
                <w:rFonts w:ascii="微软雅黑" w:hAnsi="微软雅黑" w:eastAsia="微软雅黑" w:cs="微软雅黑"/>
                <w:spacing w:val="-2"/>
                <w:sz w:val="20"/>
                <w:szCs w:val="20"/>
              </w:rPr>
              <w:t>二</w:t>
            </w:r>
            <w:r>
              <w:rPr>
                <w:rFonts w:ascii="微软雅黑" w:hAnsi="微软雅黑" w:eastAsia="微软雅黑" w:cs="微软雅黑"/>
                <w:spacing w:val="-16"/>
                <w:sz w:val="20"/>
                <w:szCs w:val="20"/>
              </w:rPr>
              <w:t xml:space="preserve"> </w:t>
            </w:r>
            <w:r>
              <w:rPr>
                <w:rFonts w:ascii="微软雅黑" w:hAnsi="微软雅黑" w:eastAsia="微软雅黑" w:cs="微软雅黑"/>
                <w:spacing w:val="-2"/>
                <w:sz w:val="20"/>
                <w:szCs w:val="20"/>
              </w:rPr>
              <w:t>甲苯</w:t>
            </w:r>
            <w:r>
              <w:rPr>
                <w:rFonts w:ascii="宋体" w:hAnsi="宋体" w:eastAsia="宋体" w:cs="宋体"/>
                <w:spacing w:val="-2"/>
                <w:sz w:val="20"/>
                <w:szCs w:val="20"/>
              </w:rPr>
              <w:t>（</w:t>
            </w:r>
            <w:r>
              <w:rPr>
                <w:rFonts w:ascii="Times New Roman" w:hAnsi="Times New Roman" w:eastAsia="Times New Roman" w:cs="Times New Roman"/>
                <w:spacing w:val="-2"/>
                <w:sz w:val="20"/>
                <w:szCs w:val="20"/>
              </w:rPr>
              <w:t>t/a</w:t>
            </w:r>
            <w:r>
              <w:rPr>
                <w:rFonts w:ascii="宋体" w:hAnsi="宋体" w:eastAsia="宋体" w:cs="宋体"/>
                <w:spacing w:val="-2"/>
                <w:sz w:val="20"/>
                <w:szCs w:val="20"/>
              </w:rPr>
              <w:t>）</w:t>
            </w:r>
          </w:p>
        </w:tc>
        <w:tc>
          <w:tcPr>
            <w:tcW w:w="1828" w:type="dxa"/>
            <w:vAlign w:val="top"/>
          </w:tcPr>
          <w:p w14:paraId="54C42BC6">
            <w:pPr>
              <w:spacing w:before="84" w:line="195" w:lineRule="auto"/>
              <w:ind w:left="5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0.00144</w:t>
            </w:r>
          </w:p>
        </w:tc>
        <w:tc>
          <w:tcPr>
            <w:tcW w:w="658" w:type="dxa"/>
            <w:vAlign w:val="top"/>
          </w:tcPr>
          <w:p w14:paraId="091C9732">
            <w:pPr>
              <w:spacing w:before="84"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3F0C1788">
            <w:pPr>
              <w:spacing w:before="84"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74A5983A">
            <w:pPr>
              <w:spacing w:before="84"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vAlign w:val="top"/>
          </w:tcPr>
          <w:p w14:paraId="7C7A19C4">
            <w:pPr>
              <w:spacing w:before="84"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5B8CFFF3">
            <w:pPr>
              <w:spacing w:before="84" w:line="195" w:lineRule="auto"/>
              <w:ind w:left="6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0.00144</w:t>
            </w:r>
          </w:p>
        </w:tc>
        <w:tc>
          <w:tcPr>
            <w:tcW w:w="1550" w:type="dxa"/>
            <w:tcBorders>
              <w:right w:val="single" w:color="000000" w:sz="6" w:space="0"/>
            </w:tcBorders>
            <w:vAlign w:val="top"/>
          </w:tcPr>
          <w:p w14:paraId="4F465CAB">
            <w:pPr>
              <w:spacing w:before="84"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D88D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26" w:type="dxa"/>
            <w:vMerge w:val="continue"/>
            <w:tcBorders>
              <w:top w:val="nil"/>
              <w:left w:val="single" w:color="000000" w:sz="6" w:space="0"/>
              <w:bottom w:val="nil"/>
            </w:tcBorders>
            <w:vAlign w:val="top"/>
          </w:tcPr>
          <w:p w14:paraId="5DB074C4">
            <w:pPr>
              <w:rPr>
                <w:rFonts w:ascii="Arial"/>
                <w:sz w:val="21"/>
              </w:rPr>
            </w:pPr>
          </w:p>
        </w:tc>
        <w:tc>
          <w:tcPr>
            <w:tcW w:w="2511" w:type="dxa"/>
            <w:vAlign w:val="top"/>
          </w:tcPr>
          <w:p w14:paraId="402563BD">
            <w:pPr>
              <w:spacing w:before="40" w:line="192" w:lineRule="auto"/>
              <w:ind w:left="761"/>
              <w:rPr>
                <w:rFonts w:ascii="宋体" w:hAnsi="宋体" w:eastAsia="宋体" w:cs="宋体"/>
                <w:sz w:val="20"/>
                <w:szCs w:val="20"/>
              </w:rPr>
            </w:pPr>
            <w:r>
              <w:rPr>
                <w:rFonts w:ascii="微软雅黑" w:hAnsi="微软雅黑" w:eastAsia="微软雅黑" w:cs="微软雅黑"/>
                <w:spacing w:val="-1"/>
                <w:sz w:val="20"/>
                <w:szCs w:val="20"/>
              </w:rPr>
              <w:t>甲醛</w:t>
            </w:r>
            <w:r>
              <w:rPr>
                <w:rFonts w:ascii="宋体" w:hAnsi="宋体" w:eastAsia="宋体" w:cs="宋体"/>
                <w:spacing w:val="-1"/>
                <w:sz w:val="20"/>
                <w:szCs w:val="20"/>
              </w:rPr>
              <w:t>（</w:t>
            </w:r>
            <w:r>
              <w:rPr>
                <w:rFonts w:ascii="Times New Roman" w:hAnsi="Times New Roman" w:eastAsia="Times New Roman" w:cs="Times New Roman"/>
                <w:spacing w:val="-1"/>
                <w:sz w:val="20"/>
                <w:szCs w:val="20"/>
              </w:rPr>
              <w:t>t/a</w:t>
            </w:r>
            <w:r>
              <w:rPr>
                <w:rFonts w:ascii="宋体" w:hAnsi="宋体" w:eastAsia="宋体" w:cs="宋体"/>
                <w:spacing w:val="-1"/>
                <w:sz w:val="20"/>
                <w:szCs w:val="20"/>
              </w:rPr>
              <w:t>）</w:t>
            </w:r>
          </w:p>
        </w:tc>
        <w:tc>
          <w:tcPr>
            <w:tcW w:w="1828" w:type="dxa"/>
            <w:vAlign w:val="top"/>
          </w:tcPr>
          <w:p w14:paraId="5C3667B3">
            <w:pPr>
              <w:spacing w:before="83" w:line="195" w:lineRule="auto"/>
              <w:ind w:left="62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0.0216</w:t>
            </w:r>
          </w:p>
        </w:tc>
        <w:tc>
          <w:tcPr>
            <w:tcW w:w="658" w:type="dxa"/>
            <w:vAlign w:val="top"/>
          </w:tcPr>
          <w:p w14:paraId="3DED80CD">
            <w:pPr>
              <w:spacing w:before="83"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0B6F9920">
            <w:pPr>
              <w:spacing w:before="83"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23798107">
            <w:pPr>
              <w:spacing w:before="83"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vAlign w:val="top"/>
          </w:tcPr>
          <w:p w14:paraId="04FABDF4">
            <w:pPr>
              <w:spacing w:before="83"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17071DFC">
            <w:pPr>
              <w:spacing w:before="83" w:line="195" w:lineRule="auto"/>
              <w:ind w:left="6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0.0216</w:t>
            </w:r>
          </w:p>
        </w:tc>
        <w:tc>
          <w:tcPr>
            <w:tcW w:w="1550" w:type="dxa"/>
            <w:tcBorders>
              <w:right w:val="single" w:color="000000" w:sz="6" w:space="0"/>
            </w:tcBorders>
            <w:vAlign w:val="top"/>
          </w:tcPr>
          <w:p w14:paraId="138F97A0">
            <w:pPr>
              <w:spacing w:before="83"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33CB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26" w:type="dxa"/>
            <w:vMerge w:val="continue"/>
            <w:tcBorders>
              <w:top w:val="nil"/>
              <w:left w:val="single" w:color="000000" w:sz="6" w:space="0"/>
              <w:bottom w:val="nil"/>
            </w:tcBorders>
            <w:vAlign w:val="top"/>
          </w:tcPr>
          <w:p w14:paraId="7B5758DA">
            <w:pPr>
              <w:rPr>
                <w:rFonts w:ascii="Arial"/>
                <w:sz w:val="21"/>
              </w:rPr>
            </w:pPr>
          </w:p>
        </w:tc>
        <w:tc>
          <w:tcPr>
            <w:tcW w:w="2511" w:type="dxa"/>
            <w:vAlign w:val="top"/>
          </w:tcPr>
          <w:p w14:paraId="62909C08">
            <w:pPr>
              <w:spacing w:before="43" w:line="237" w:lineRule="auto"/>
              <w:ind w:left="776"/>
              <w:rPr>
                <w:rFonts w:ascii="宋体" w:hAnsi="宋体" w:eastAsia="宋体" w:cs="宋体"/>
                <w:sz w:val="20"/>
                <w:szCs w:val="20"/>
              </w:rPr>
            </w:pPr>
            <w:r>
              <w:rPr>
                <w:rFonts w:ascii="Times New Roman" w:hAnsi="Times New Roman" w:eastAsia="Times New Roman" w:cs="Times New Roman"/>
                <w:sz w:val="20"/>
                <w:szCs w:val="20"/>
              </w:rPr>
              <w:t>SO</w:t>
            </w:r>
            <w:r>
              <w:rPr>
                <w:rFonts w:ascii="Times New Roman" w:hAnsi="Times New Roman" w:eastAsia="Times New Roman" w:cs="Times New Roman"/>
                <w:spacing w:val="3"/>
                <w:position w:val="-1"/>
                <w:sz w:val="13"/>
                <w:szCs w:val="13"/>
              </w:rPr>
              <w:t>2</w:t>
            </w:r>
            <w:r>
              <w:rPr>
                <w:rFonts w:ascii="宋体" w:hAnsi="宋体" w:eastAsia="宋体" w:cs="宋体"/>
                <w:spacing w:val="3"/>
                <w:sz w:val="20"/>
                <w:szCs w:val="20"/>
              </w:rPr>
              <w:t>（</w:t>
            </w:r>
            <w:r>
              <w:rPr>
                <w:rFonts w:ascii="Times New Roman" w:hAnsi="Times New Roman" w:eastAsia="Times New Roman" w:cs="Times New Roman"/>
                <w:spacing w:val="3"/>
                <w:sz w:val="20"/>
                <w:szCs w:val="20"/>
              </w:rPr>
              <w:t>t/a</w:t>
            </w:r>
            <w:r>
              <w:rPr>
                <w:rFonts w:ascii="宋体" w:hAnsi="宋体" w:eastAsia="宋体" w:cs="宋体"/>
                <w:spacing w:val="3"/>
                <w:sz w:val="20"/>
                <w:szCs w:val="20"/>
              </w:rPr>
              <w:t>）</w:t>
            </w:r>
          </w:p>
        </w:tc>
        <w:tc>
          <w:tcPr>
            <w:tcW w:w="1828" w:type="dxa"/>
            <w:vAlign w:val="top"/>
          </w:tcPr>
          <w:p w14:paraId="6DE7B368">
            <w:pPr>
              <w:spacing w:before="86" w:line="195" w:lineRule="auto"/>
              <w:ind w:left="62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0.1368</w:t>
            </w:r>
          </w:p>
        </w:tc>
        <w:tc>
          <w:tcPr>
            <w:tcW w:w="658" w:type="dxa"/>
            <w:vAlign w:val="top"/>
          </w:tcPr>
          <w:p w14:paraId="3B958070">
            <w:pPr>
              <w:spacing w:before="86"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2CC37861">
            <w:pPr>
              <w:spacing w:before="86"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27F1C0D5">
            <w:pPr>
              <w:spacing w:before="86"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vAlign w:val="top"/>
          </w:tcPr>
          <w:p w14:paraId="35DCC96A">
            <w:pPr>
              <w:spacing w:before="86"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27A60AFF">
            <w:pPr>
              <w:spacing w:before="86" w:line="195" w:lineRule="auto"/>
              <w:ind w:left="6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0.1368</w:t>
            </w:r>
          </w:p>
        </w:tc>
        <w:tc>
          <w:tcPr>
            <w:tcW w:w="1550" w:type="dxa"/>
            <w:tcBorders>
              <w:right w:val="single" w:color="000000" w:sz="6" w:space="0"/>
            </w:tcBorders>
            <w:vAlign w:val="top"/>
          </w:tcPr>
          <w:p w14:paraId="563C1BDB">
            <w:pPr>
              <w:spacing w:before="86"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11096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26" w:type="dxa"/>
            <w:vMerge w:val="continue"/>
            <w:tcBorders>
              <w:top w:val="nil"/>
              <w:left w:val="single" w:color="000000" w:sz="6" w:space="0"/>
              <w:bottom w:val="nil"/>
            </w:tcBorders>
            <w:vAlign w:val="top"/>
          </w:tcPr>
          <w:p w14:paraId="0F803C84">
            <w:pPr>
              <w:rPr>
                <w:rFonts w:ascii="Arial"/>
                <w:sz w:val="21"/>
              </w:rPr>
            </w:pPr>
          </w:p>
        </w:tc>
        <w:tc>
          <w:tcPr>
            <w:tcW w:w="2511" w:type="dxa"/>
            <w:vAlign w:val="top"/>
          </w:tcPr>
          <w:p w14:paraId="6FCE3DBC">
            <w:pPr>
              <w:spacing w:before="43"/>
              <w:ind w:left="724"/>
              <w:rPr>
                <w:rFonts w:ascii="宋体" w:hAnsi="宋体" w:eastAsia="宋体" w:cs="宋体"/>
                <w:sz w:val="20"/>
                <w:szCs w:val="20"/>
              </w:rPr>
            </w:pPr>
            <w:r>
              <w:rPr>
                <w:rFonts w:ascii="Times New Roman" w:hAnsi="Times New Roman" w:eastAsia="Times New Roman" w:cs="Times New Roman"/>
                <w:sz w:val="20"/>
                <w:szCs w:val="20"/>
              </w:rPr>
              <w:t>NOx</w:t>
            </w:r>
            <w:r>
              <w:rPr>
                <w:rFonts w:ascii="宋体" w:hAnsi="宋体" w:eastAsia="宋体" w:cs="宋体"/>
                <w:spacing w:val="8"/>
                <w:sz w:val="20"/>
                <w:szCs w:val="20"/>
              </w:rPr>
              <w:t>（</w:t>
            </w:r>
            <w:r>
              <w:rPr>
                <w:rFonts w:ascii="Times New Roman" w:hAnsi="Times New Roman" w:eastAsia="Times New Roman" w:cs="Times New Roman"/>
                <w:spacing w:val="8"/>
                <w:sz w:val="20"/>
                <w:szCs w:val="20"/>
              </w:rPr>
              <w:t>t/a</w:t>
            </w:r>
            <w:r>
              <w:rPr>
                <w:rFonts w:ascii="宋体" w:hAnsi="宋体" w:eastAsia="宋体" w:cs="宋体"/>
                <w:spacing w:val="8"/>
                <w:sz w:val="20"/>
                <w:szCs w:val="20"/>
              </w:rPr>
              <w:t>）</w:t>
            </w:r>
          </w:p>
        </w:tc>
        <w:tc>
          <w:tcPr>
            <w:tcW w:w="1828" w:type="dxa"/>
            <w:vAlign w:val="top"/>
          </w:tcPr>
          <w:p w14:paraId="0C825852">
            <w:pPr>
              <w:spacing w:before="86" w:line="195" w:lineRule="auto"/>
              <w:ind w:left="6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0.276</w:t>
            </w:r>
          </w:p>
        </w:tc>
        <w:tc>
          <w:tcPr>
            <w:tcW w:w="658" w:type="dxa"/>
            <w:vAlign w:val="top"/>
          </w:tcPr>
          <w:p w14:paraId="43D456A5">
            <w:pPr>
              <w:spacing w:before="86"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1BD7335D">
            <w:pPr>
              <w:spacing w:before="86"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483817B9">
            <w:pPr>
              <w:spacing w:before="86"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vAlign w:val="top"/>
          </w:tcPr>
          <w:p w14:paraId="07517A18">
            <w:pPr>
              <w:spacing w:before="86"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04A6C229">
            <w:pPr>
              <w:spacing w:before="86" w:line="195" w:lineRule="auto"/>
              <w:ind w:left="7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0.276</w:t>
            </w:r>
          </w:p>
        </w:tc>
        <w:tc>
          <w:tcPr>
            <w:tcW w:w="1550" w:type="dxa"/>
            <w:tcBorders>
              <w:right w:val="single" w:color="000000" w:sz="6" w:space="0"/>
            </w:tcBorders>
            <w:vAlign w:val="top"/>
          </w:tcPr>
          <w:p w14:paraId="06B46F33">
            <w:pPr>
              <w:spacing w:before="86"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EDE56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26" w:type="dxa"/>
            <w:vMerge w:val="continue"/>
            <w:tcBorders>
              <w:top w:val="nil"/>
              <w:left w:val="single" w:color="000000" w:sz="6" w:space="0"/>
              <w:bottom w:val="nil"/>
            </w:tcBorders>
            <w:vAlign w:val="top"/>
          </w:tcPr>
          <w:p w14:paraId="37A63314">
            <w:pPr>
              <w:rPr>
                <w:rFonts w:ascii="Arial"/>
                <w:sz w:val="21"/>
              </w:rPr>
            </w:pPr>
          </w:p>
        </w:tc>
        <w:tc>
          <w:tcPr>
            <w:tcW w:w="2511" w:type="dxa"/>
            <w:vAlign w:val="top"/>
          </w:tcPr>
          <w:p w14:paraId="772A6E78">
            <w:pPr>
              <w:spacing w:before="45" w:line="192" w:lineRule="auto"/>
              <w:ind w:left="286"/>
              <w:rPr>
                <w:rFonts w:ascii="宋体" w:hAnsi="宋体" w:eastAsia="宋体" w:cs="宋体"/>
                <w:sz w:val="20"/>
                <w:szCs w:val="20"/>
              </w:rPr>
            </w:pPr>
            <w:r>
              <w:rPr>
                <w:rFonts w:ascii="宋体" w:hAnsi="宋体" w:eastAsia="宋体" w:cs="宋体"/>
                <w:spacing w:val="5"/>
                <w:sz w:val="20"/>
                <w:szCs w:val="20"/>
              </w:rPr>
              <w:t>生活污水</w:t>
            </w:r>
            <w:r>
              <w:rPr>
                <w:rFonts w:ascii="微软雅黑" w:hAnsi="微软雅黑" w:eastAsia="微软雅黑" w:cs="微软雅黑"/>
                <w:spacing w:val="5"/>
                <w:sz w:val="20"/>
                <w:szCs w:val="20"/>
              </w:rPr>
              <w:t>量</w:t>
            </w:r>
            <w:r>
              <w:rPr>
                <w:rFonts w:ascii="宋体" w:hAnsi="宋体" w:eastAsia="宋体" w:cs="宋体"/>
                <w:spacing w:val="5"/>
                <w:sz w:val="20"/>
                <w:szCs w:val="20"/>
              </w:rPr>
              <w:t>（</w:t>
            </w:r>
            <w:r>
              <w:rPr>
                <w:rFonts w:ascii="微软雅黑" w:hAnsi="微软雅黑" w:eastAsia="微软雅黑" w:cs="微软雅黑"/>
                <w:spacing w:val="5"/>
                <w:sz w:val="20"/>
                <w:szCs w:val="20"/>
              </w:rPr>
              <w:t xml:space="preserve">万 </w:t>
            </w:r>
            <w:r>
              <w:rPr>
                <w:rFonts w:ascii="Times New Roman" w:hAnsi="Times New Roman" w:eastAsia="Times New Roman" w:cs="Times New Roman"/>
                <w:spacing w:val="5"/>
                <w:sz w:val="20"/>
                <w:szCs w:val="20"/>
              </w:rPr>
              <w:t>t/a</w:t>
            </w:r>
            <w:r>
              <w:rPr>
                <w:rFonts w:ascii="宋体" w:hAnsi="宋体" w:eastAsia="宋体" w:cs="宋体"/>
                <w:spacing w:val="5"/>
                <w:sz w:val="20"/>
                <w:szCs w:val="20"/>
              </w:rPr>
              <w:t>）</w:t>
            </w:r>
          </w:p>
        </w:tc>
        <w:tc>
          <w:tcPr>
            <w:tcW w:w="1828" w:type="dxa"/>
            <w:vAlign w:val="top"/>
          </w:tcPr>
          <w:p w14:paraId="4018DC78">
            <w:pPr>
              <w:spacing w:before="89" w:line="195" w:lineRule="auto"/>
              <w:ind w:left="86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58" w:type="dxa"/>
            <w:vAlign w:val="top"/>
          </w:tcPr>
          <w:p w14:paraId="55C9BF84">
            <w:pPr>
              <w:spacing w:before="89"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678EEE2F">
            <w:pPr>
              <w:spacing w:before="89"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579CA2B3">
            <w:pPr>
              <w:spacing w:before="89"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vAlign w:val="top"/>
          </w:tcPr>
          <w:p w14:paraId="1A0C8303">
            <w:pPr>
              <w:spacing w:before="89"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48F95E15">
            <w:pPr>
              <w:spacing w:before="89" w:line="195" w:lineRule="auto"/>
              <w:ind w:left="8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0" w:type="dxa"/>
            <w:tcBorders>
              <w:right w:val="single" w:color="000000" w:sz="6" w:space="0"/>
            </w:tcBorders>
            <w:vAlign w:val="top"/>
          </w:tcPr>
          <w:p w14:paraId="4C2FAFF8">
            <w:pPr>
              <w:spacing w:before="89"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65187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726" w:type="dxa"/>
            <w:vMerge w:val="continue"/>
            <w:tcBorders>
              <w:top w:val="nil"/>
              <w:left w:val="single" w:color="000000" w:sz="6" w:space="0"/>
              <w:bottom w:val="single" w:color="000000" w:sz="6" w:space="0"/>
            </w:tcBorders>
            <w:vAlign w:val="top"/>
          </w:tcPr>
          <w:p w14:paraId="1531D4B8">
            <w:pPr>
              <w:rPr>
                <w:rFonts w:ascii="Arial"/>
                <w:sz w:val="21"/>
              </w:rPr>
            </w:pPr>
          </w:p>
        </w:tc>
        <w:tc>
          <w:tcPr>
            <w:tcW w:w="2511" w:type="dxa"/>
            <w:tcBorders>
              <w:bottom w:val="single" w:color="000000" w:sz="6" w:space="0"/>
            </w:tcBorders>
            <w:vAlign w:val="top"/>
          </w:tcPr>
          <w:p w14:paraId="1C6C2A30">
            <w:pPr>
              <w:spacing w:before="45"/>
              <w:ind w:left="718"/>
              <w:rPr>
                <w:rFonts w:ascii="宋体" w:hAnsi="宋体" w:eastAsia="宋体" w:cs="宋体"/>
                <w:sz w:val="20"/>
                <w:szCs w:val="20"/>
              </w:rPr>
            </w:pPr>
            <w:r>
              <w:rPr>
                <w:rFonts w:ascii="Times New Roman" w:hAnsi="Times New Roman" w:eastAsia="Times New Roman" w:cs="Times New Roman"/>
                <w:sz w:val="20"/>
                <w:szCs w:val="20"/>
              </w:rPr>
              <w:t>COD</w:t>
            </w:r>
            <w:r>
              <w:rPr>
                <w:rFonts w:ascii="宋体" w:hAnsi="宋体" w:eastAsia="宋体" w:cs="宋体"/>
                <w:spacing w:val="6"/>
                <w:sz w:val="20"/>
                <w:szCs w:val="20"/>
              </w:rPr>
              <w:t>（</w:t>
            </w:r>
            <w:r>
              <w:rPr>
                <w:rFonts w:ascii="Times New Roman" w:hAnsi="Times New Roman" w:eastAsia="Times New Roman" w:cs="Times New Roman"/>
                <w:spacing w:val="6"/>
                <w:sz w:val="20"/>
                <w:szCs w:val="20"/>
              </w:rPr>
              <w:t>t/a</w:t>
            </w:r>
            <w:r>
              <w:rPr>
                <w:rFonts w:ascii="宋体" w:hAnsi="宋体" w:eastAsia="宋体" w:cs="宋体"/>
                <w:spacing w:val="6"/>
                <w:sz w:val="20"/>
                <w:szCs w:val="20"/>
              </w:rPr>
              <w:t>）</w:t>
            </w:r>
          </w:p>
        </w:tc>
        <w:tc>
          <w:tcPr>
            <w:tcW w:w="1828" w:type="dxa"/>
            <w:tcBorders>
              <w:bottom w:val="single" w:color="000000" w:sz="6" w:space="0"/>
            </w:tcBorders>
            <w:vAlign w:val="top"/>
          </w:tcPr>
          <w:p w14:paraId="57049442">
            <w:pPr>
              <w:spacing w:before="88" w:line="195" w:lineRule="auto"/>
              <w:ind w:left="86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58" w:type="dxa"/>
            <w:tcBorders>
              <w:bottom w:val="single" w:color="000000" w:sz="6" w:space="0"/>
            </w:tcBorders>
            <w:vAlign w:val="top"/>
          </w:tcPr>
          <w:p w14:paraId="0641438F">
            <w:pPr>
              <w:spacing w:before="88"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tcBorders>
              <w:bottom w:val="single" w:color="000000" w:sz="6" w:space="0"/>
            </w:tcBorders>
            <w:vAlign w:val="top"/>
          </w:tcPr>
          <w:p w14:paraId="45DDEE30">
            <w:pPr>
              <w:spacing w:before="88"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tcBorders>
              <w:bottom w:val="single" w:color="000000" w:sz="6" w:space="0"/>
            </w:tcBorders>
            <w:vAlign w:val="top"/>
          </w:tcPr>
          <w:p w14:paraId="76FA9699">
            <w:pPr>
              <w:spacing w:before="88"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tcBorders>
              <w:bottom w:val="single" w:color="000000" w:sz="6" w:space="0"/>
            </w:tcBorders>
            <w:vAlign w:val="top"/>
          </w:tcPr>
          <w:p w14:paraId="53DEE306">
            <w:pPr>
              <w:spacing w:before="88"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tcBorders>
              <w:bottom w:val="single" w:color="000000" w:sz="6" w:space="0"/>
            </w:tcBorders>
            <w:vAlign w:val="top"/>
          </w:tcPr>
          <w:p w14:paraId="16EF3C62">
            <w:pPr>
              <w:spacing w:before="88" w:line="195" w:lineRule="auto"/>
              <w:ind w:left="8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0" w:type="dxa"/>
            <w:tcBorders>
              <w:bottom w:val="single" w:color="000000" w:sz="6" w:space="0"/>
              <w:right w:val="single" w:color="000000" w:sz="6" w:space="0"/>
            </w:tcBorders>
            <w:vAlign w:val="top"/>
          </w:tcPr>
          <w:p w14:paraId="4993E0E5">
            <w:pPr>
              <w:spacing w:before="88"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bl>
    <w:p w14:paraId="731FDF67">
      <w:pPr>
        <w:pStyle w:val="2"/>
      </w:pPr>
    </w:p>
    <w:p w14:paraId="65B06F1A">
      <w:pPr>
        <w:sectPr>
          <w:footerReference r:id="rId119" w:type="default"/>
          <w:pgSz w:w="16839" w:h="11906"/>
          <w:pgMar w:top="400" w:right="1493" w:bottom="1097" w:left="1493" w:header="0" w:footer="755" w:gutter="0"/>
          <w:cols w:space="720" w:num="1"/>
        </w:sectPr>
      </w:pPr>
    </w:p>
    <w:p w14:paraId="48D8D2CC">
      <w:pPr>
        <w:spacing w:before="19"/>
      </w:pPr>
    </w:p>
    <w:p w14:paraId="6691F41E">
      <w:pPr>
        <w:spacing w:before="19"/>
      </w:pPr>
    </w:p>
    <w:p w14:paraId="38592673">
      <w:pPr>
        <w:spacing w:before="19"/>
      </w:pPr>
    </w:p>
    <w:p w14:paraId="7A06E127">
      <w:pPr>
        <w:spacing w:before="18"/>
      </w:pPr>
    </w:p>
    <w:p w14:paraId="57564413">
      <w:pPr>
        <w:spacing w:before="18"/>
      </w:pPr>
    </w:p>
    <w:tbl>
      <w:tblPr>
        <w:tblStyle w:val="10"/>
        <w:tblW w:w="1383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6"/>
        <w:gridCol w:w="2511"/>
        <w:gridCol w:w="1828"/>
        <w:gridCol w:w="658"/>
        <w:gridCol w:w="1609"/>
        <w:gridCol w:w="1828"/>
        <w:gridCol w:w="1259"/>
        <w:gridCol w:w="1867"/>
        <w:gridCol w:w="1550"/>
      </w:tblGrid>
      <w:tr w14:paraId="41C65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26" w:type="dxa"/>
            <w:vMerge w:val="restart"/>
            <w:tcBorders>
              <w:top w:val="single" w:color="000000" w:sz="6" w:space="0"/>
              <w:left w:val="single" w:color="000000" w:sz="6" w:space="0"/>
              <w:bottom w:val="nil"/>
            </w:tcBorders>
            <w:vAlign w:val="top"/>
          </w:tcPr>
          <w:p w14:paraId="1BAADD26">
            <w:pPr>
              <w:rPr>
                <w:rFonts w:ascii="Arial"/>
                <w:sz w:val="21"/>
              </w:rPr>
            </w:pPr>
          </w:p>
        </w:tc>
        <w:tc>
          <w:tcPr>
            <w:tcW w:w="2511" w:type="dxa"/>
            <w:tcBorders>
              <w:top w:val="single" w:color="000000" w:sz="6" w:space="0"/>
            </w:tcBorders>
            <w:vAlign w:val="top"/>
          </w:tcPr>
          <w:p w14:paraId="69A7B46E">
            <w:pPr>
              <w:spacing w:before="37"/>
              <w:ind w:left="661"/>
              <w:rPr>
                <w:rFonts w:ascii="宋体" w:hAnsi="宋体" w:eastAsia="宋体" w:cs="宋体"/>
                <w:sz w:val="20"/>
                <w:szCs w:val="20"/>
              </w:rPr>
            </w:pPr>
            <w:r>
              <w:rPr>
                <w:rFonts w:ascii="Times New Roman" w:hAnsi="Times New Roman" w:eastAsia="Times New Roman" w:cs="Times New Roman"/>
                <w:sz w:val="20"/>
                <w:szCs w:val="20"/>
              </w:rPr>
              <w:t>BOD</w:t>
            </w:r>
            <w:r>
              <w:rPr>
                <w:rFonts w:ascii="Times New Roman" w:hAnsi="Times New Roman" w:eastAsia="Times New Roman" w:cs="Times New Roman"/>
                <w:spacing w:val="6"/>
                <w:sz w:val="20"/>
                <w:szCs w:val="20"/>
              </w:rPr>
              <w:t>5</w:t>
            </w:r>
            <w:r>
              <w:rPr>
                <w:rFonts w:ascii="宋体" w:hAnsi="宋体" w:eastAsia="宋体" w:cs="宋体"/>
                <w:spacing w:val="6"/>
                <w:sz w:val="20"/>
                <w:szCs w:val="20"/>
              </w:rPr>
              <w:t>（</w:t>
            </w:r>
            <w:r>
              <w:rPr>
                <w:rFonts w:ascii="Times New Roman" w:hAnsi="Times New Roman" w:eastAsia="Times New Roman" w:cs="Times New Roman"/>
                <w:spacing w:val="6"/>
                <w:sz w:val="20"/>
                <w:szCs w:val="20"/>
              </w:rPr>
              <w:t>t/a</w:t>
            </w:r>
            <w:r>
              <w:rPr>
                <w:rFonts w:ascii="宋体" w:hAnsi="宋体" w:eastAsia="宋体" w:cs="宋体"/>
                <w:spacing w:val="6"/>
                <w:sz w:val="20"/>
                <w:szCs w:val="20"/>
              </w:rPr>
              <w:t>）</w:t>
            </w:r>
          </w:p>
        </w:tc>
        <w:tc>
          <w:tcPr>
            <w:tcW w:w="1828" w:type="dxa"/>
            <w:tcBorders>
              <w:top w:val="single" w:color="000000" w:sz="6" w:space="0"/>
            </w:tcBorders>
            <w:vAlign w:val="top"/>
          </w:tcPr>
          <w:p w14:paraId="753CD554">
            <w:pPr>
              <w:spacing w:before="78" w:line="195" w:lineRule="auto"/>
              <w:ind w:left="86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58" w:type="dxa"/>
            <w:tcBorders>
              <w:top w:val="single" w:color="000000" w:sz="6" w:space="0"/>
            </w:tcBorders>
            <w:vAlign w:val="top"/>
          </w:tcPr>
          <w:p w14:paraId="08BCD16C">
            <w:pPr>
              <w:spacing w:before="78"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tcBorders>
              <w:top w:val="single" w:color="000000" w:sz="6" w:space="0"/>
            </w:tcBorders>
            <w:vAlign w:val="top"/>
          </w:tcPr>
          <w:p w14:paraId="4F33E91B">
            <w:pPr>
              <w:spacing w:before="78"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tcBorders>
              <w:top w:val="single" w:color="000000" w:sz="6" w:space="0"/>
            </w:tcBorders>
            <w:vAlign w:val="top"/>
          </w:tcPr>
          <w:p w14:paraId="3A61E2A0">
            <w:pPr>
              <w:spacing w:before="78"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tcBorders>
              <w:top w:val="single" w:color="000000" w:sz="6" w:space="0"/>
            </w:tcBorders>
            <w:vAlign w:val="top"/>
          </w:tcPr>
          <w:p w14:paraId="1AAE2108">
            <w:pPr>
              <w:spacing w:before="78"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tcBorders>
              <w:top w:val="single" w:color="000000" w:sz="6" w:space="0"/>
            </w:tcBorders>
            <w:vAlign w:val="top"/>
          </w:tcPr>
          <w:p w14:paraId="5AC617F3">
            <w:pPr>
              <w:spacing w:before="78" w:line="195" w:lineRule="auto"/>
              <w:ind w:left="8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0" w:type="dxa"/>
            <w:tcBorders>
              <w:top w:val="single" w:color="000000" w:sz="6" w:space="0"/>
              <w:right w:val="single" w:color="000000" w:sz="6" w:space="0"/>
            </w:tcBorders>
            <w:vAlign w:val="top"/>
          </w:tcPr>
          <w:p w14:paraId="11BD2015">
            <w:pPr>
              <w:spacing w:before="78"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745F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26" w:type="dxa"/>
            <w:vMerge w:val="continue"/>
            <w:tcBorders>
              <w:top w:val="nil"/>
              <w:left w:val="single" w:color="000000" w:sz="6" w:space="0"/>
              <w:bottom w:val="nil"/>
            </w:tcBorders>
            <w:vAlign w:val="top"/>
          </w:tcPr>
          <w:p w14:paraId="4F2097D6">
            <w:pPr>
              <w:rPr>
                <w:rFonts w:ascii="Arial"/>
                <w:sz w:val="21"/>
              </w:rPr>
            </w:pPr>
          </w:p>
        </w:tc>
        <w:tc>
          <w:tcPr>
            <w:tcW w:w="2511" w:type="dxa"/>
            <w:vAlign w:val="top"/>
          </w:tcPr>
          <w:p w14:paraId="3ADDEE7F">
            <w:pPr>
              <w:spacing w:before="31"/>
              <w:ind w:left="829"/>
              <w:rPr>
                <w:rFonts w:ascii="宋体" w:hAnsi="宋体" w:eastAsia="宋体" w:cs="宋体"/>
                <w:sz w:val="20"/>
                <w:szCs w:val="20"/>
              </w:rPr>
            </w:pPr>
            <w:r>
              <w:rPr>
                <w:rFonts w:ascii="Times New Roman" w:hAnsi="Times New Roman" w:eastAsia="Times New Roman" w:cs="Times New Roman"/>
                <w:sz w:val="20"/>
                <w:szCs w:val="20"/>
              </w:rPr>
              <w:t>SS</w:t>
            </w:r>
            <w:r>
              <w:rPr>
                <w:rFonts w:ascii="宋体" w:hAnsi="宋体" w:eastAsia="宋体" w:cs="宋体"/>
                <w:spacing w:val="2"/>
                <w:sz w:val="20"/>
                <w:szCs w:val="20"/>
              </w:rPr>
              <w:t>（</w:t>
            </w:r>
            <w:r>
              <w:rPr>
                <w:rFonts w:ascii="Times New Roman" w:hAnsi="Times New Roman" w:eastAsia="Times New Roman" w:cs="Times New Roman"/>
                <w:spacing w:val="2"/>
                <w:sz w:val="20"/>
                <w:szCs w:val="20"/>
              </w:rPr>
              <w:t>t/a</w:t>
            </w:r>
            <w:r>
              <w:rPr>
                <w:rFonts w:ascii="宋体" w:hAnsi="宋体" w:eastAsia="宋体" w:cs="宋体"/>
                <w:spacing w:val="2"/>
                <w:sz w:val="20"/>
                <w:szCs w:val="20"/>
              </w:rPr>
              <w:t>）</w:t>
            </w:r>
          </w:p>
        </w:tc>
        <w:tc>
          <w:tcPr>
            <w:tcW w:w="1828" w:type="dxa"/>
            <w:vAlign w:val="top"/>
          </w:tcPr>
          <w:p w14:paraId="15C82B0D">
            <w:pPr>
              <w:spacing w:before="75" w:line="195" w:lineRule="auto"/>
              <w:ind w:left="86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58" w:type="dxa"/>
            <w:vAlign w:val="top"/>
          </w:tcPr>
          <w:p w14:paraId="21E993C4">
            <w:pPr>
              <w:spacing w:before="75"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75BF7653">
            <w:pPr>
              <w:spacing w:before="75"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3C5106B3">
            <w:pPr>
              <w:spacing w:before="75"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vAlign w:val="top"/>
          </w:tcPr>
          <w:p w14:paraId="5805DC50">
            <w:pPr>
              <w:spacing w:before="75"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4B17E3C1">
            <w:pPr>
              <w:spacing w:before="75" w:line="195" w:lineRule="auto"/>
              <w:ind w:left="8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0" w:type="dxa"/>
            <w:tcBorders>
              <w:right w:val="single" w:color="000000" w:sz="6" w:space="0"/>
            </w:tcBorders>
            <w:vAlign w:val="top"/>
          </w:tcPr>
          <w:p w14:paraId="2CFC7A86">
            <w:pPr>
              <w:spacing w:before="75"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202C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26" w:type="dxa"/>
            <w:vMerge w:val="continue"/>
            <w:tcBorders>
              <w:top w:val="nil"/>
              <w:left w:val="single" w:color="000000" w:sz="6" w:space="0"/>
              <w:bottom w:val="nil"/>
            </w:tcBorders>
            <w:vAlign w:val="top"/>
          </w:tcPr>
          <w:p w14:paraId="4BF685B8">
            <w:pPr>
              <w:rPr>
                <w:rFonts w:ascii="Arial"/>
                <w:sz w:val="21"/>
              </w:rPr>
            </w:pPr>
          </w:p>
        </w:tc>
        <w:tc>
          <w:tcPr>
            <w:tcW w:w="2511" w:type="dxa"/>
            <w:vAlign w:val="top"/>
          </w:tcPr>
          <w:p w14:paraId="1738C5B2">
            <w:pPr>
              <w:spacing w:before="32" w:line="192" w:lineRule="auto"/>
              <w:ind w:left="520"/>
              <w:rPr>
                <w:rFonts w:ascii="宋体" w:hAnsi="宋体" w:eastAsia="宋体" w:cs="宋体"/>
                <w:sz w:val="20"/>
                <w:szCs w:val="20"/>
              </w:rPr>
            </w:pPr>
            <w:r>
              <w:rPr>
                <w:rFonts w:ascii="宋体" w:hAnsi="宋体" w:eastAsia="宋体" w:cs="宋体"/>
                <w:spacing w:val="5"/>
                <w:sz w:val="20"/>
                <w:szCs w:val="20"/>
              </w:rPr>
              <w:t>动植</w:t>
            </w:r>
            <w:r>
              <w:rPr>
                <w:rFonts w:ascii="微软雅黑" w:hAnsi="微软雅黑" w:eastAsia="微软雅黑" w:cs="微软雅黑"/>
                <w:spacing w:val="5"/>
                <w:sz w:val="20"/>
                <w:szCs w:val="20"/>
              </w:rPr>
              <w:t>物</w:t>
            </w:r>
            <w:r>
              <w:rPr>
                <w:rFonts w:ascii="宋体" w:hAnsi="宋体" w:eastAsia="宋体" w:cs="宋体"/>
                <w:spacing w:val="5"/>
                <w:sz w:val="20"/>
                <w:szCs w:val="20"/>
              </w:rPr>
              <w:t>油（</w:t>
            </w:r>
            <w:r>
              <w:rPr>
                <w:rFonts w:ascii="Times New Roman" w:hAnsi="Times New Roman" w:eastAsia="Times New Roman" w:cs="Times New Roman"/>
                <w:spacing w:val="5"/>
                <w:sz w:val="20"/>
                <w:szCs w:val="20"/>
              </w:rPr>
              <w:t>t/a</w:t>
            </w:r>
            <w:r>
              <w:rPr>
                <w:rFonts w:ascii="宋体" w:hAnsi="宋体" w:eastAsia="宋体" w:cs="宋体"/>
                <w:spacing w:val="5"/>
                <w:sz w:val="20"/>
                <w:szCs w:val="20"/>
              </w:rPr>
              <w:t>）</w:t>
            </w:r>
          </w:p>
        </w:tc>
        <w:tc>
          <w:tcPr>
            <w:tcW w:w="1828" w:type="dxa"/>
            <w:vAlign w:val="top"/>
          </w:tcPr>
          <w:p w14:paraId="42F1BC42">
            <w:pPr>
              <w:spacing w:before="75" w:line="195" w:lineRule="auto"/>
              <w:ind w:left="86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58" w:type="dxa"/>
            <w:vAlign w:val="top"/>
          </w:tcPr>
          <w:p w14:paraId="12E460CF">
            <w:pPr>
              <w:spacing w:before="75"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1199B2E7">
            <w:pPr>
              <w:spacing w:before="75"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51C78BA5">
            <w:pPr>
              <w:spacing w:before="75"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vAlign w:val="top"/>
          </w:tcPr>
          <w:p w14:paraId="704E520C">
            <w:pPr>
              <w:spacing w:before="75"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62C5CF45">
            <w:pPr>
              <w:spacing w:before="75" w:line="195" w:lineRule="auto"/>
              <w:ind w:left="8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0" w:type="dxa"/>
            <w:tcBorders>
              <w:right w:val="single" w:color="000000" w:sz="6" w:space="0"/>
            </w:tcBorders>
            <w:vAlign w:val="top"/>
          </w:tcPr>
          <w:p w14:paraId="033E3401">
            <w:pPr>
              <w:spacing w:before="75"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004CAA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26" w:type="dxa"/>
            <w:vMerge w:val="continue"/>
            <w:tcBorders>
              <w:top w:val="nil"/>
              <w:left w:val="single" w:color="000000" w:sz="6" w:space="0"/>
              <w:bottom w:val="nil"/>
            </w:tcBorders>
            <w:vAlign w:val="top"/>
          </w:tcPr>
          <w:p w14:paraId="51173582">
            <w:pPr>
              <w:rPr>
                <w:rFonts w:ascii="Arial"/>
                <w:sz w:val="21"/>
              </w:rPr>
            </w:pPr>
          </w:p>
        </w:tc>
        <w:tc>
          <w:tcPr>
            <w:tcW w:w="2511" w:type="dxa"/>
            <w:vAlign w:val="top"/>
          </w:tcPr>
          <w:p w14:paraId="45F5D700">
            <w:pPr>
              <w:spacing w:before="32"/>
              <w:ind w:left="614"/>
              <w:rPr>
                <w:rFonts w:ascii="宋体" w:hAnsi="宋体" w:eastAsia="宋体" w:cs="宋体"/>
                <w:sz w:val="20"/>
                <w:szCs w:val="20"/>
              </w:rPr>
            </w:pPr>
            <w:r>
              <w:rPr>
                <w:rFonts w:ascii="Times New Roman" w:hAnsi="Times New Roman" w:eastAsia="Times New Roman" w:cs="Times New Roman"/>
                <w:sz w:val="20"/>
                <w:szCs w:val="20"/>
              </w:rPr>
              <w:t>NH</w:t>
            </w:r>
            <w:r>
              <w:rPr>
                <w:rFonts w:ascii="Times New Roman" w:hAnsi="Times New Roman" w:eastAsia="Times New Roman" w:cs="Times New Roman"/>
                <w:spacing w:val="6"/>
                <w:sz w:val="20"/>
                <w:szCs w:val="20"/>
              </w:rPr>
              <w:t>3-N</w:t>
            </w:r>
            <w:r>
              <w:rPr>
                <w:rFonts w:ascii="宋体" w:hAnsi="宋体" w:eastAsia="宋体" w:cs="宋体"/>
                <w:spacing w:val="6"/>
                <w:sz w:val="20"/>
                <w:szCs w:val="20"/>
              </w:rPr>
              <w:t>（</w:t>
            </w:r>
            <w:r>
              <w:rPr>
                <w:rFonts w:ascii="Times New Roman" w:hAnsi="Times New Roman" w:eastAsia="Times New Roman" w:cs="Times New Roman"/>
                <w:spacing w:val="6"/>
                <w:sz w:val="20"/>
                <w:szCs w:val="20"/>
              </w:rPr>
              <w:t>t/a</w:t>
            </w:r>
            <w:r>
              <w:rPr>
                <w:rFonts w:ascii="宋体" w:hAnsi="宋体" w:eastAsia="宋体" w:cs="宋体"/>
                <w:spacing w:val="6"/>
                <w:sz w:val="20"/>
                <w:szCs w:val="20"/>
              </w:rPr>
              <w:t>）</w:t>
            </w:r>
          </w:p>
        </w:tc>
        <w:tc>
          <w:tcPr>
            <w:tcW w:w="1828" w:type="dxa"/>
            <w:vAlign w:val="top"/>
          </w:tcPr>
          <w:p w14:paraId="21966013">
            <w:pPr>
              <w:spacing w:before="75" w:line="195" w:lineRule="auto"/>
              <w:ind w:left="86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58" w:type="dxa"/>
            <w:vAlign w:val="top"/>
          </w:tcPr>
          <w:p w14:paraId="69A87FFB">
            <w:pPr>
              <w:spacing w:before="75"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456F5DBC">
            <w:pPr>
              <w:spacing w:before="75"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7BC8B91E">
            <w:pPr>
              <w:spacing w:before="75"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vAlign w:val="top"/>
          </w:tcPr>
          <w:p w14:paraId="359F039E">
            <w:pPr>
              <w:spacing w:before="75"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50C1D96D">
            <w:pPr>
              <w:spacing w:before="75" w:line="195" w:lineRule="auto"/>
              <w:ind w:left="8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0" w:type="dxa"/>
            <w:tcBorders>
              <w:right w:val="single" w:color="000000" w:sz="6" w:space="0"/>
            </w:tcBorders>
            <w:vAlign w:val="top"/>
          </w:tcPr>
          <w:p w14:paraId="79CB2303">
            <w:pPr>
              <w:spacing w:before="75"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966F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26" w:type="dxa"/>
            <w:vMerge w:val="continue"/>
            <w:tcBorders>
              <w:top w:val="nil"/>
              <w:left w:val="single" w:color="000000" w:sz="6" w:space="0"/>
            </w:tcBorders>
            <w:vAlign w:val="top"/>
          </w:tcPr>
          <w:p w14:paraId="74E38D55">
            <w:pPr>
              <w:rPr>
                <w:rFonts w:ascii="Arial"/>
                <w:sz w:val="21"/>
              </w:rPr>
            </w:pPr>
          </w:p>
        </w:tc>
        <w:tc>
          <w:tcPr>
            <w:tcW w:w="2511" w:type="dxa"/>
            <w:vAlign w:val="top"/>
          </w:tcPr>
          <w:p w14:paraId="147B9A73">
            <w:pPr>
              <w:spacing w:before="35"/>
              <w:ind w:left="815"/>
              <w:rPr>
                <w:rFonts w:ascii="宋体" w:hAnsi="宋体" w:eastAsia="宋体" w:cs="宋体"/>
                <w:sz w:val="20"/>
                <w:szCs w:val="20"/>
              </w:rPr>
            </w:pPr>
            <w:r>
              <w:rPr>
                <w:rFonts w:ascii="Times New Roman" w:hAnsi="Times New Roman" w:eastAsia="Times New Roman" w:cs="Times New Roman"/>
                <w:sz w:val="20"/>
                <w:szCs w:val="20"/>
              </w:rPr>
              <w:t>TP</w:t>
            </w:r>
            <w:r>
              <w:rPr>
                <w:rFonts w:ascii="宋体" w:hAnsi="宋体" w:eastAsia="宋体" w:cs="宋体"/>
                <w:spacing w:val="4"/>
                <w:sz w:val="20"/>
                <w:szCs w:val="20"/>
              </w:rPr>
              <w:t>（</w:t>
            </w:r>
            <w:r>
              <w:rPr>
                <w:rFonts w:ascii="Times New Roman" w:hAnsi="Times New Roman" w:eastAsia="Times New Roman" w:cs="Times New Roman"/>
                <w:spacing w:val="4"/>
                <w:sz w:val="20"/>
                <w:szCs w:val="20"/>
              </w:rPr>
              <w:t>t/a</w:t>
            </w:r>
            <w:r>
              <w:rPr>
                <w:rFonts w:ascii="宋体" w:hAnsi="宋体" w:eastAsia="宋体" w:cs="宋体"/>
                <w:spacing w:val="4"/>
                <w:sz w:val="20"/>
                <w:szCs w:val="20"/>
              </w:rPr>
              <w:t>）</w:t>
            </w:r>
          </w:p>
        </w:tc>
        <w:tc>
          <w:tcPr>
            <w:tcW w:w="1828" w:type="dxa"/>
            <w:vAlign w:val="top"/>
          </w:tcPr>
          <w:p w14:paraId="45D6B804">
            <w:pPr>
              <w:spacing w:before="78" w:line="195" w:lineRule="auto"/>
              <w:ind w:left="86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58" w:type="dxa"/>
            <w:vAlign w:val="top"/>
          </w:tcPr>
          <w:p w14:paraId="674EB229">
            <w:pPr>
              <w:spacing w:before="78"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0B58F7B0">
            <w:pPr>
              <w:spacing w:before="78"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7B94D6D6">
            <w:pPr>
              <w:spacing w:before="78"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vAlign w:val="top"/>
          </w:tcPr>
          <w:p w14:paraId="0057A211">
            <w:pPr>
              <w:spacing w:before="78"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7C31C261">
            <w:pPr>
              <w:spacing w:before="78" w:line="195" w:lineRule="auto"/>
              <w:ind w:left="8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0" w:type="dxa"/>
            <w:tcBorders>
              <w:right w:val="single" w:color="000000" w:sz="6" w:space="0"/>
            </w:tcBorders>
            <w:vAlign w:val="top"/>
          </w:tcPr>
          <w:p w14:paraId="5ACDBA5F">
            <w:pPr>
              <w:spacing w:before="78"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3795C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26" w:type="dxa"/>
            <w:vMerge w:val="restart"/>
            <w:tcBorders>
              <w:left w:val="single" w:color="000000" w:sz="6" w:space="0"/>
              <w:bottom w:val="nil"/>
            </w:tcBorders>
            <w:vAlign w:val="top"/>
          </w:tcPr>
          <w:p w14:paraId="08C2B2F9">
            <w:pPr>
              <w:spacing w:before="40" w:line="228" w:lineRule="auto"/>
              <w:ind w:left="152"/>
              <w:rPr>
                <w:rFonts w:ascii="宋体" w:hAnsi="宋体" w:eastAsia="宋体" w:cs="宋体"/>
                <w:sz w:val="20"/>
                <w:szCs w:val="20"/>
              </w:rPr>
            </w:pPr>
            <w:r>
              <w:rPr>
                <w:rFonts w:ascii="宋体" w:hAnsi="宋体" w:eastAsia="宋体" w:cs="宋体"/>
                <w:spacing w:val="3"/>
                <w:sz w:val="20"/>
                <w:szCs w:val="20"/>
              </w:rPr>
              <w:t>生活</w:t>
            </w:r>
          </w:p>
          <w:p w14:paraId="50C07A5B">
            <w:pPr>
              <w:spacing w:before="160" w:line="192" w:lineRule="auto"/>
              <w:ind w:left="168"/>
              <w:rPr>
                <w:rFonts w:ascii="微软雅黑" w:hAnsi="微软雅黑" w:eastAsia="微软雅黑" w:cs="微软雅黑"/>
                <w:sz w:val="20"/>
                <w:szCs w:val="20"/>
              </w:rPr>
            </w:pPr>
            <w:r>
              <w:rPr>
                <w:rFonts w:ascii="宋体" w:hAnsi="宋体" w:eastAsia="宋体" w:cs="宋体"/>
                <w:spacing w:val="-5"/>
                <w:sz w:val="20"/>
                <w:szCs w:val="20"/>
              </w:rPr>
              <w:t>固</w:t>
            </w:r>
            <w:r>
              <w:rPr>
                <w:rFonts w:ascii="微软雅黑" w:hAnsi="微软雅黑" w:eastAsia="微软雅黑" w:cs="微软雅黑"/>
                <w:spacing w:val="-5"/>
                <w:sz w:val="20"/>
                <w:szCs w:val="20"/>
              </w:rPr>
              <w:t>废</w:t>
            </w:r>
          </w:p>
        </w:tc>
        <w:tc>
          <w:tcPr>
            <w:tcW w:w="2511" w:type="dxa"/>
            <w:vAlign w:val="top"/>
          </w:tcPr>
          <w:p w14:paraId="244F136A">
            <w:pPr>
              <w:spacing w:before="35" w:line="228" w:lineRule="auto"/>
              <w:ind w:left="521"/>
              <w:rPr>
                <w:rFonts w:ascii="宋体" w:hAnsi="宋体" w:eastAsia="宋体" w:cs="宋体"/>
                <w:sz w:val="20"/>
                <w:szCs w:val="20"/>
              </w:rPr>
            </w:pPr>
            <w:r>
              <w:rPr>
                <w:rFonts w:ascii="宋体" w:hAnsi="宋体" w:eastAsia="宋体" w:cs="宋体"/>
                <w:spacing w:val="5"/>
                <w:sz w:val="20"/>
                <w:szCs w:val="20"/>
              </w:rPr>
              <w:t>生活垃圾（</w:t>
            </w:r>
            <w:r>
              <w:rPr>
                <w:rFonts w:ascii="Times New Roman" w:hAnsi="Times New Roman" w:eastAsia="Times New Roman" w:cs="Times New Roman"/>
                <w:spacing w:val="5"/>
                <w:sz w:val="20"/>
                <w:szCs w:val="20"/>
              </w:rPr>
              <w:t>t/a</w:t>
            </w:r>
            <w:r>
              <w:rPr>
                <w:rFonts w:ascii="宋体" w:hAnsi="宋体" w:eastAsia="宋体" w:cs="宋体"/>
                <w:spacing w:val="5"/>
                <w:sz w:val="20"/>
                <w:szCs w:val="20"/>
              </w:rPr>
              <w:t>）</w:t>
            </w:r>
          </w:p>
        </w:tc>
        <w:tc>
          <w:tcPr>
            <w:tcW w:w="1828" w:type="dxa"/>
            <w:vAlign w:val="top"/>
          </w:tcPr>
          <w:p w14:paraId="6CB6E5D0">
            <w:pPr>
              <w:spacing w:before="77" w:line="195" w:lineRule="auto"/>
              <w:ind w:left="789"/>
              <w:rPr>
                <w:rFonts w:ascii="Times New Roman" w:hAnsi="Times New Roman" w:eastAsia="Times New Roman" w:cs="Times New Roman"/>
                <w:sz w:val="20"/>
                <w:szCs w:val="20"/>
              </w:rPr>
            </w:pPr>
            <w:r>
              <w:rPr>
                <w:rFonts w:ascii="Times New Roman" w:hAnsi="Times New Roman" w:eastAsia="Times New Roman" w:cs="Times New Roman"/>
                <w:sz w:val="20"/>
                <w:szCs w:val="20"/>
              </w:rPr>
              <w:t>8.7</w:t>
            </w:r>
          </w:p>
        </w:tc>
        <w:tc>
          <w:tcPr>
            <w:tcW w:w="658" w:type="dxa"/>
            <w:vAlign w:val="top"/>
          </w:tcPr>
          <w:p w14:paraId="4E901A6F">
            <w:pPr>
              <w:spacing w:before="77"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71BC8CB7">
            <w:pPr>
              <w:spacing w:before="77"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259934A2">
            <w:pPr>
              <w:spacing w:before="77" w:line="195" w:lineRule="auto"/>
              <w:ind w:left="736"/>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0.75</w:t>
            </w:r>
          </w:p>
        </w:tc>
        <w:tc>
          <w:tcPr>
            <w:tcW w:w="1259" w:type="dxa"/>
            <w:vAlign w:val="top"/>
          </w:tcPr>
          <w:p w14:paraId="6F3BE638">
            <w:pPr>
              <w:spacing w:before="77"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5E3A4685">
            <w:pPr>
              <w:spacing w:before="77" w:line="195" w:lineRule="auto"/>
              <w:ind w:left="76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9.45</w:t>
            </w:r>
          </w:p>
        </w:tc>
        <w:tc>
          <w:tcPr>
            <w:tcW w:w="1550" w:type="dxa"/>
            <w:tcBorders>
              <w:right w:val="single" w:color="000000" w:sz="6" w:space="0"/>
            </w:tcBorders>
            <w:vAlign w:val="top"/>
          </w:tcPr>
          <w:p w14:paraId="31CFF86E">
            <w:pPr>
              <w:spacing w:before="77" w:line="195" w:lineRule="auto"/>
              <w:ind w:left="535"/>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+0.75</w:t>
            </w:r>
          </w:p>
        </w:tc>
      </w:tr>
      <w:tr w14:paraId="4FEF6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26" w:type="dxa"/>
            <w:vMerge w:val="continue"/>
            <w:tcBorders>
              <w:top w:val="nil"/>
              <w:left w:val="single" w:color="000000" w:sz="6" w:space="0"/>
            </w:tcBorders>
            <w:vAlign w:val="top"/>
          </w:tcPr>
          <w:p w14:paraId="12DBA8FF">
            <w:pPr>
              <w:rPr>
                <w:rFonts w:ascii="Arial"/>
                <w:sz w:val="21"/>
              </w:rPr>
            </w:pPr>
          </w:p>
        </w:tc>
        <w:tc>
          <w:tcPr>
            <w:tcW w:w="2511" w:type="dxa"/>
            <w:vAlign w:val="top"/>
          </w:tcPr>
          <w:p w14:paraId="376B534F">
            <w:pPr>
              <w:spacing w:before="37" w:line="228" w:lineRule="auto"/>
              <w:ind w:left="417"/>
              <w:rPr>
                <w:rFonts w:ascii="宋体" w:hAnsi="宋体" w:eastAsia="宋体" w:cs="宋体"/>
                <w:sz w:val="20"/>
                <w:szCs w:val="20"/>
              </w:rPr>
            </w:pPr>
            <w:r>
              <w:rPr>
                <w:rFonts w:ascii="宋体" w:hAnsi="宋体" w:eastAsia="宋体" w:cs="宋体"/>
                <w:spacing w:val="5"/>
                <w:sz w:val="20"/>
                <w:szCs w:val="20"/>
              </w:rPr>
              <w:t>化粪池污泥（</w:t>
            </w:r>
            <w:r>
              <w:rPr>
                <w:rFonts w:ascii="Times New Roman" w:hAnsi="Times New Roman" w:eastAsia="Times New Roman" w:cs="Times New Roman"/>
                <w:spacing w:val="5"/>
                <w:sz w:val="20"/>
                <w:szCs w:val="20"/>
              </w:rPr>
              <w:t>t/a</w:t>
            </w:r>
            <w:r>
              <w:rPr>
                <w:rFonts w:ascii="宋体" w:hAnsi="宋体" w:eastAsia="宋体" w:cs="宋体"/>
                <w:spacing w:val="5"/>
                <w:sz w:val="20"/>
                <w:szCs w:val="20"/>
              </w:rPr>
              <w:t>）</w:t>
            </w:r>
          </w:p>
        </w:tc>
        <w:tc>
          <w:tcPr>
            <w:tcW w:w="1828" w:type="dxa"/>
            <w:vAlign w:val="top"/>
          </w:tcPr>
          <w:p w14:paraId="1B6513DC">
            <w:pPr>
              <w:spacing w:before="80" w:line="195" w:lineRule="auto"/>
              <w:ind w:left="69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15.45</w:t>
            </w:r>
          </w:p>
        </w:tc>
        <w:tc>
          <w:tcPr>
            <w:tcW w:w="658" w:type="dxa"/>
            <w:vAlign w:val="top"/>
          </w:tcPr>
          <w:p w14:paraId="41B92111">
            <w:pPr>
              <w:spacing w:before="80"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524803D0">
            <w:pPr>
              <w:spacing w:before="80"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5CB302B8">
            <w:pPr>
              <w:spacing w:before="80"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vAlign w:val="top"/>
          </w:tcPr>
          <w:p w14:paraId="66B6C69E">
            <w:pPr>
              <w:spacing w:before="80"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42F3CEFE">
            <w:pPr>
              <w:spacing w:before="80" w:line="195" w:lineRule="auto"/>
              <w:ind w:left="89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550" w:type="dxa"/>
            <w:tcBorders>
              <w:right w:val="single" w:color="000000" w:sz="6" w:space="0"/>
            </w:tcBorders>
            <w:vAlign w:val="top"/>
          </w:tcPr>
          <w:p w14:paraId="53EC5336">
            <w:pPr>
              <w:spacing w:before="80"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4B200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726" w:type="dxa"/>
            <w:vMerge w:val="restart"/>
            <w:tcBorders>
              <w:left w:val="single" w:color="000000" w:sz="6" w:space="0"/>
              <w:bottom w:val="nil"/>
            </w:tcBorders>
            <w:vAlign w:val="top"/>
          </w:tcPr>
          <w:p w14:paraId="15BB7E69">
            <w:pPr>
              <w:spacing w:before="37" w:line="229" w:lineRule="auto"/>
              <w:ind w:left="154"/>
              <w:rPr>
                <w:rFonts w:ascii="宋体" w:hAnsi="宋体" w:eastAsia="宋体" w:cs="宋体"/>
                <w:sz w:val="20"/>
                <w:szCs w:val="20"/>
              </w:rPr>
            </w:pPr>
            <w:r>
              <w:rPr>
                <w:rFonts w:ascii="宋体" w:hAnsi="宋体" w:eastAsia="宋体" w:cs="宋体"/>
                <w:spacing w:val="3"/>
                <w:sz w:val="20"/>
                <w:szCs w:val="20"/>
              </w:rPr>
              <w:t>一般</w:t>
            </w:r>
          </w:p>
          <w:p w14:paraId="7807F714">
            <w:pPr>
              <w:spacing w:before="159"/>
              <w:ind w:left="153"/>
              <w:rPr>
                <w:rFonts w:ascii="宋体" w:hAnsi="宋体" w:eastAsia="宋体" w:cs="宋体"/>
                <w:sz w:val="20"/>
                <w:szCs w:val="20"/>
              </w:rPr>
            </w:pPr>
            <w:r>
              <w:rPr>
                <w:rFonts w:ascii="宋体" w:hAnsi="宋体" w:eastAsia="宋体" w:cs="宋体"/>
                <w:spacing w:val="3"/>
                <w:sz w:val="20"/>
                <w:szCs w:val="20"/>
              </w:rPr>
              <w:t>工业</w:t>
            </w:r>
          </w:p>
          <w:p w14:paraId="1B89C307">
            <w:pPr>
              <w:spacing w:before="148" w:line="228" w:lineRule="auto"/>
              <w:ind w:left="168"/>
              <w:rPr>
                <w:rFonts w:ascii="宋体" w:hAnsi="宋体" w:eastAsia="宋体" w:cs="宋体"/>
                <w:sz w:val="20"/>
                <w:szCs w:val="20"/>
              </w:rPr>
            </w:pPr>
            <w:r>
              <w:rPr>
                <w:rFonts w:ascii="宋体" w:hAnsi="宋体" w:eastAsia="宋体" w:cs="宋体"/>
                <w:spacing w:val="-5"/>
                <w:sz w:val="20"/>
                <w:szCs w:val="20"/>
              </w:rPr>
              <w:t>固体</w:t>
            </w:r>
          </w:p>
          <w:p w14:paraId="2E46C599">
            <w:pPr>
              <w:spacing w:before="161" w:line="191" w:lineRule="auto"/>
              <w:ind w:left="149"/>
              <w:rPr>
                <w:rFonts w:ascii="微软雅黑" w:hAnsi="微软雅黑" w:eastAsia="微软雅黑" w:cs="微软雅黑"/>
                <w:sz w:val="20"/>
                <w:szCs w:val="20"/>
              </w:rPr>
            </w:pPr>
            <w:r>
              <w:rPr>
                <w:rFonts w:ascii="微软雅黑" w:hAnsi="微软雅黑" w:eastAsia="微软雅黑" w:cs="微软雅黑"/>
                <w:spacing w:val="5"/>
                <w:sz w:val="20"/>
                <w:szCs w:val="20"/>
              </w:rPr>
              <w:t>废物</w:t>
            </w:r>
          </w:p>
        </w:tc>
        <w:tc>
          <w:tcPr>
            <w:tcW w:w="2511" w:type="dxa"/>
            <w:vAlign w:val="top"/>
          </w:tcPr>
          <w:p w14:paraId="765C4F2C">
            <w:pPr>
              <w:spacing w:before="37" w:line="192" w:lineRule="auto"/>
              <w:ind w:left="203"/>
              <w:rPr>
                <w:rFonts w:ascii="宋体" w:hAnsi="宋体" w:eastAsia="宋体" w:cs="宋体"/>
                <w:sz w:val="20"/>
                <w:szCs w:val="20"/>
              </w:rPr>
            </w:pPr>
            <w:r>
              <w:rPr>
                <w:rFonts w:ascii="微软雅黑" w:hAnsi="微软雅黑" w:eastAsia="微软雅黑" w:cs="微软雅黑"/>
                <w:spacing w:val="9"/>
                <w:sz w:val="20"/>
                <w:szCs w:val="20"/>
              </w:rPr>
              <w:t>废</w:t>
            </w:r>
            <w:r>
              <w:rPr>
                <w:rFonts w:ascii="宋体" w:hAnsi="宋体" w:eastAsia="宋体" w:cs="宋体"/>
                <w:spacing w:val="9"/>
                <w:sz w:val="20"/>
                <w:szCs w:val="20"/>
              </w:rPr>
              <w:t>料、木屑、</w:t>
            </w:r>
            <w:r>
              <w:rPr>
                <w:rFonts w:ascii="微软雅黑" w:hAnsi="微软雅黑" w:eastAsia="微软雅黑" w:cs="微软雅黑"/>
                <w:spacing w:val="9"/>
                <w:sz w:val="20"/>
                <w:szCs w:val="20"/>
              </w:rPr>
              <w:t>废</w:t>
            </w:r>
            <w:r>
              <w:rPr>
                <w:rFonts w:ascii="宋体" w:hAnsi="宋体" w:eastAsia="宋体" w:cs="宋体"/>
                <w:spacing w:val="9"/>
                <w:sz w:val="20"/>
                <w:szCs w:val="20"/>
              </w:rPr>
              <w:t>边角料</w:t>
            </w:r>
          </w:p>
          <w:p w14:paraId="665F9519">
            <w:pPr>
              <w:spacing w:before="133"/>
              <w:ind w:left="949"/>
              <w:rPr>
                <w:rFonts w:ascii="宋体" w:hAnsi="宋体" w:eastAsia="宋体" w:cs="宋体"/>
                <w:sz w:val="20"/>
                <w:szCs w:val="20"/>
              </w:rPr>
            </w:pPr>
            <w:r>
              <w:rPr>
                <w:rFonts w:ascii="宋体" w:hAnsi="宋体" w:eastAsia="宋体" w:cs="宋体"/>
                <w:sz w:val="20"/>
                <w:szCs w:val="20"/>
              </w:rPr>
              <w:t>（</w:t>
            </w:r>
            <w:r>
              <w:rPr>
                <w:rFonts w:ascii="Times New Roman" w:hAnsi="Times New Roman" w:eastAsia="Times New Roman" w:cs="Times New Roman"/>
                <w:sz w:val="20"/>
                <w:szCs w:val="20"/>
              </w:rPr>
              <w:t>t/a</w:t>
            </w:r>
            <w:r>
              <w:rPr>
                <w:rFonts w:ascii="宋体" w:hAnsi="宋体" w:eastAsia="宋体" w:cs="宋体"/>
                <w:sz w:val="20"/>
                <w:szCs w:val="20"/>
              </w:rPr>
              <w:t>）</w:t>
            </w:r>
          </w:p>
        </w:tc>
        <w:tc>
          <w:tcPr>
            <w:tcW w:w="1828" w:type="dxa"/>
            <w:vAlign w:val="top"/>
          </w:tcPr>
          <w:p w14:paraId="07AFAA4B">
            <w:pPr>
              <w:spacing w:before="284" w:line="195" w:lineRule="auto"/>
              <w:ind w:left="72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20.5</w:t>
            </w:r>
          </w:p>
        </w:tc>
        <w:tc>
          <w:tcPr>
            <w:tcW w:w="658" w:type="dxa"/>
            <w:vAlign w:val="top"/>
          </w:tcPr>
          <w:p w14:paraId="1B7F0A76">
            <w:pPr>
              <w:spacing w:before="284"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1CE6A3E7">
            <w:pPr>
              <w:spacing w:before="284"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18FE8357">
            <w:pPr>
              <w:spacing w:before="284" w:line="195" w:lineRule="auto"/>
              <w:ind w:left="78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2.3</w:t>
            </w:r>
          </w:p>
        </w:tc>
        <w:tc>
          <w:tcPr>
            <w:tcW w:w="1259" w:type="dxa"/>
            <w:vAlign w:val="top"/>
          </w:tcPr>
          <w:p w14:paraId="26184510">
            <w:pPr>
              <w:spacing w:before="284"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72687EC5">
            <w:pPr>
              <w:spacing w:before="284" w:line="195" w:lineRule="auto"/>
              <w:ind w:left="7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22.8</w:t>
            </w:r>
          </w:p>
        </w:tc>
        <w:tc>
          <w:tcPr>
            <w:tcW w:w="1550" w:type="dxa"/>
            <w:tcBorders>
              <w:right w:val="single" w:color="000000" w:sz="6" w:space="0"/>
            </w:tcBorders>
            <w:vAlign w:val="top"/>
          </w:tcPr>
          <w:p w14:paraId="5C4804CB">
            <w:pPr>
              <w:spacing w:before="284" w:line="195" w:lineRule="auto"/>
              <w:ind w:left="5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+3.3</w:t>
            </w:r>
          </w:p>
        </w:tc>
      </w:tr>
      <w:tr w14:paraId="19587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726" w:type="dxa"/>
            <w:vMerge w:val="continue"/>
            <w:tcBorders>
              <w:top w:val="nil"/>
              <w:left w:val="single" w:color="000000" w:sz="6" w:space="0"/>
            </w:tcBorders>
            <w:vAlign w:val="top"/>
          </w:tcPr>
          <w:p w14:paraId="37AAF8D0">
            <w:pPr>
              <w:rPr>
                <w:rFonts w:ascii="Arial"/>
                <w:sz w:val="21"/>
              </w:rPr>
            </w:pPr>
          </w:p>
        </w:tc>
        <w:tc>
          <w:tcPr>
            <w:tcW w:w="2511" w:type="dxa"/>
            <w:vAlign w:val="top"/>
          </w:tcPr>
          <w:p w14:paraId="4E3417ED">
            <w:pPr>
              <w:spacing w:before="237" w:line="192" w:lineRule="auto"/>
              <w:ind w:left="414"/>
              <w:rPr>
                <w:rFonts w:ascii="宋体" w:hAnsi="宋体" w:eastAsia="宋体" w:cs="宋体"/>
                <w:sz w:val="20"/>
                <w:szCs w:val="20"/>
              </w:rPr>
            </w:pPr>
            <w:r>
              <w:rPr>
                <w:rFonts w:ascii="微软雅黑" w:hAnsi="微软雅黑" w:eastAsia="微软雅黑" w:cs="微软雅黑"/>
                <w:spacing w:val="6"/>
                <w:sz w:val="20"/>
                <w:szCs w:val="20"/>
              </w:rPr>
              <w:t>废</w:t>
            </w:r>
            <w:r>
              <w:rPr>
                <w:rFonts w:ascii="宋体" w:hAnsi="宋体" w:eastAsia="宋体" w:cs="宋体"/>
                <w:spacing w:val="6"/>
                <w:sz w:val="20"/>
                <w:szCs w:val="20"/>
              </w:rPr>
              <w:t>包装材料（</w:t>
            </w:r>
            <w:r>
              <w:rPr>
                <w:rFonts w:ascii="Times New Roman" w:hAnsi="Times New Roman" w:eastAsia="Times New Roman" w:cs="Times New Roman"/>
                <w:spacing w:val="6"/>
                <w:sz w:val="20"/>
                <w:szCs w:val="20"/>
              </w:rPr>
              <w:t>t/a</w:t>
            </w:r>
            <w:r>
              <w:rPr>
                <w:rFonts w:ascii="宋体" w:hAnsi="宋体" w:eastAsia="宋体" w:cs="宋体"/>
                <w:spacing w:val="6"/>
                <w:sz w:val="20"/>
                <w:szCs w:val="20"/>
              </w:rPr>
              <w:t>）</w:t>
            </w:r>
          </w:p>
        </w:tc>
        <w:tc>
          <w:tcPr>
            <w:tcW w:w="1828" w:type="dxa"/>
            <w:vAlign w:val="top"/>
          </w:tcPr>
          <w:p w14:paraId="0D2B559C">
            <w:pPr>
              <w:spacing w:before="282" w:line="195" w:lineRule="auto"/>
              <w:ind w:left="787"/>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658" w:type="dxa"/>
            <w:vAlign w:val="top"/>
          </w:tcPr>
          <w:p w14:paraId="1B8C92A1">
            <w:pPr>
              <w:spacing w:before="282"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3D11958B">
            <w:pPr>
              <w:spacing w:before="282"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4A86A92B">
            <w:pPr>
              <w:spacing w:before="282" w:line="195" w:lineRule="auto"/>
              <w:ind w:left="88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259" w:type="dxa"/>
            <w:vAlign w:val="top"/>
          </w:tcPr>
          <w:p w14:paraId="3D3E7403">
            <w:pPr>
              <w:spacing w:before="282"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25E38107">
            <w:pPr>
              <w:spacing w:before="282" w:line="195" w:lineRule="auto"/>
              <w:ind w:left="81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6.4</w:t>
            </w:r>
          </w:p>
        </w:tc>
        <w:tc>
          <w:tcPr>
            <w:tcW w:w="1550" w:type="dxa"/>
            <w:tcBorders>
              <w:right w:val="single" w:color="000000" w:sz="6" w:space="0"/>
            </w:tcBorders>
            <w:vAlign w:val="top"/>
          </w:tcPr>
          <w:p w14:paraId="13A3EBCC">
            <w:pPr>
              <w:spacing w:before="282" w:line="195" w:lineRule="auto"/>
              <w:ind w:left="5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w:t>
            </w:r>
          </w:p>
        </w:tc>
      </w:tr>
      <w:tr w14:paraId="18FB6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26" w:type="dxa"/>
            <w:vMerge w:val="restart"/>
            <w:tcBorders>
              <w:left w:val="single" w:color="000000" w:sz="6" w:space="0"/>
              <w:bottom w:val="nil"/>
            </w:tcBorders>
            <w:vAlign w:val="top"/>
          </w:tcPr>
          <w:p w14:paraId="3B6B31F8">
            <w:pPr>
              <w:spacing w:line="396" w:lineRule="auto"/>
              <w:rPr>
                <w:rFonts w:ascii="Arial"/>
                <w:sz w:val="21"/>
              </w:rPr>
            </w:pPr>
          </w:p>
          <w:p w14:paraId="793B0E24">
            <w:pPr>
              <w:spacing w:before="65" w:line="337" w:lineRule="auto"/>
              <w:ind w:left="149" w:right="155" w:firstLine="4"/>
              <w:rPr>
                <w:rFonts w:ascii="微软雅黑" w:hAnsi="微软雅黑" w:eastAsia="微软雅黑" w:cs="微软雅黑"/>
                <w:sz w:val="20"/>
                <w:szCs w:val="20"/>
              </w:rPr>
            </w:pPr>
            <w:r>
              <w:rPr>
                <w:rFonts w:ascii="宋体" w:hAnsi="宋体" w:eastAsia="宋体" w:cs="宋体"/>
                <w:spacing w:val="3"/>
                <w:sz w:val="20"/>
                <w:szCs w:val="20"/>
              </w:rPr>
              <w:t>危险</w:t>
            </w:r>
            <w:r>
              <w:rPr>
                <w:rFonts w:ascii="微软雅黑" w:hAnsi="微软雅黑" w:eastAsia="微软雅黑" w:cs="微软雅黑"/>
                <w:spacing w:val="5"/>
                <w:sz w:val="20"/>
                <w:szCs w:val="20"/>
              </w:rPr>
              <w:t>废物</w:t>
            </w:r>
          </w:p>
        </w:tc>
        <w:tc>
          <w:tcPr>
            <w:tcW w:w="2511" w:type="dxa"/>
            <w:vAlign w:val="top"/>
          </w:tcPr>
          <w:p w14:paraId="60956DEF">
            <w:pPr>
              <w:spacing w:before="41" w:line="192" w:lineRule="auto"/>
              <w:ind w:left="517"/>
              <w:rPr>
                <w:rFonts w:ascii="宋体" w:hAnsi="宋体" w:eastAsia="宋体" w:cs="宋体"/>
                <w:sz w:val="20"/>
                <w:szCs w:val="20"/>
              </w:rPr>
            </w:pPr>
            <w:r>
              <w:rPr>
                <w:rFonts w:ascii="微软雅黑" w:hAnsi="微软雅黑" w:eastAsia="微软雅黑" w:cs="微软雅黑"/>
                <w:spacing w:val="5"/>
                <w:sz w:val="20"/>
                <w:szCs w:val="20"/>
              </w:rPr>
              <w:t>废</w:t>
            </w:r>
            <w:r>
              <w:rPr>
                <w:rFonts w:ascii="宋体" w:hAnsi="宋体" w:eastAsia="宋体" w:cs="宋体"/>
                <w:spacing w:val="5"/>
                <w:sz w:val="20"/>
                <w:szCs w:val="20"/>
              </w:rPr>
              <w:t>润滑油（</w:t>
            </w:r>
            <w:r>
              <w:rPr>
                <w:rFonts w:ascii="Times New Roman" w:hAnsi="Times New Roman" w:eastAsia="Times New Roman" w:cs="Times New Roman"/>
                <w:spacing w:val="5"/>
                <w:sz w:val="20"/>
                <w:szCs w:val="20"/>
              </w:rPr>
              <w:t>t/a</w:t>
            </w:r>
            <w:r>
              <w:rPr>
                <w:rFonts w:ascii="宋体" w:hAnsi="宋体" w:eastAsia="宋体" w:cs="宋体"/>
                <w:spacing w:val="5"/>
                <w:sz w:val="20"/>
                <w:szCs w:val="20"/>
              </w:rPr>
              <w:t>）</w:t>
            </w:r>
          </w:p>
        </w:tc>
        <w:tc>
          <w:tcPr>
            <w:tcW w:w="1828" w:type="dxa"/>
            <w:vAlign w:val="top"/>
          </w:tcPr>
          <w:p w14:paraId="7C576FAC">
            <w:pPr>
              <w:spacing w:before="84" w:line="195" w:lineRule="auto"/>
              <w:ind w:left="78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658" w:type="dxa"/>
            <w:vAlign w:val="top"/>
          </w:tcPr>
          <w:p w14:paraId="2FDF2918">
            <w:pPr>
              <w:spacing w:before="84"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59593035">
            <w:pPr>
              <w:spacing w:before="84"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403D426F">
            <w:pPr>
              <w:spacing w:before="84" w:line="195" w:lineRule="auto"/>
              <w:ind w:left="7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1259" w:type="dxa"/>
            <w:vAlign w:val="top"/>
          </w:tcPr>
          <w:p w14:paraId="3458C830">
            <w:pPr>
              <w:spacing w:before="84"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259E47FE">
            <w:pPr>
              <w:spacing w:before="84" w:line="195" w:lineRule="auto"/>
              <w:ind w:left="75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0.21</w:t>
            </w:r>
          </w:p>
        </w:tc>
        <w:tc>
          <w:tcPr>
            <w:tcW w:w="1550" w:type="dxa"/>
            <w:tcBorders>
              <w:right w:val="single" w:color="000000" w:sz="6" w:space="0"/>
            </w:tcBorders>
            <w:vAlign w:val="top"/>
          </w:tcPr>
          <w:p w14:paraId="0503F5B9">
            <w:pPr>
              <w:spacing w:before="84" w:line="195" w:lineRule="auto"/>
              <w:ind w:left="53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w:t>
            </w:r>
          </w:p>
        </w:tc>
      </w:tr>
      <w:tr w14:paraId="0ED88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26" w:type="dxa"/>
            <w:vMerge w:val="continue"/>
            <w:tcBorders>
              <w:top w:val="nil"/>
              <w:left w:val="single" w:color="000000" w:sz="6" w:space="0"/>
              <w:bottom w:val="nil"/>
            </w:tcBorders>
            <w:vAlign w:val="top"/>
          </w:tcPr>
          <w:p w14:paraId="1F4DC51F">
            <w:pPr>
              <w:rPr>
                <w:rFonts w:ascii="Arial"/>
                <w:sz w:val="21"/>
              </w:rPr>
            </w:pPr>
          </w:p>
        </w:tc>
        <w:tc>
          <w:tcPr>
            <w:tcW w:w="2511" w:type="dxa"/>
            <w:vAlign w:val="top"/>
          </w:tcPr>
          <w:p w14:paraId="6B4E9AAE">
            <w:pPr>
              <w:spacing w:before="44" w:line="192" w:lineRule="auto"/>
              <w:ind w:left="517"/>
              <w:rPr>
                <w:rFonts w:ascii="宋体" w:hAnsi="宋体" w:eastAsia="宋体" w:cs="宋体"/>
                <w:sz w:val="20"/>
                <w:szCs w:val="20"/>
              </w:rPr>
            </w:pPr>
            <w:r>
              <w:rPr>
                <w:rFonts w:ascii="微软雅黑" w:hAnsi="微软雅黑" w:eastAsia="微软雅黑" w:cs="微软雅黑"/>
                <w:spacing w:val="5"/>
                <w:sz w:val="20"/>
                <w:szCs w:val="20"/>
              </w:rPr>
              <w:t>废</w:t>
            </w:r>
            <w:r>
              <w:rPr>
                <w:rFonts w:ascii="宋体" w:hAnsi="宋体" w:eastAsia="宋体" w:cs="宋体"/>
                <w:spacing w:val="5"/>
                <w:sz w:val="20"/>
                <w:szCs w:val="20"/>
              </w:rPr>
              <w:t>活性炭（</w:t>
            </w:r>
            <w:r>
              <w:rPr>
                <w:rFonts w:ascii="Times New Roman" w:hAnsi="Times New Roman" w:eastAsia="Times New Roman" w:cs="Times New Roman"/>
                <w:spacing w:val="5"/>
                <w:sz w:val="20"/>
                <w:szCs w:val="20"/>
              </w:rPr>
              <w:t>t/a</w:t>
            </w:r>
            <w:r>
              <w:rPr>
                <w:rFonts w:ascii="宋体" w:hAnsi="宋体" w:eastAsia="宋体" w:cs="宋体"/>
                <w:spacing w:val="5"/>
                <w:sz w:val="20"/>
                <w:szCs w:val="20"/>
              </w:rPr>
              <w:t>）</w:t>
            </w:r>
          </w:p>
        </w:tc>
        <w:tc>
          <w:tcPr>
            <w:tcW w:w="1828" w:type="dxa"/>
            <w:vAlign w:val="top"/>
          </w:tcPr>
          <w:p w14:paraId="376F85E1">
            <w:pPr>
              <w:spacing w:before="85" w:line="195" w:lineRule="auto"/>
              <w:ind w:left="74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12.5</w:t>
            </w:r>
          </w:p>
        </w:tc>
        <w:tc>
          <w:tcPr>
            <w:tcW w:w="658" w:type="dxa"/>
            <w:vAlign w:val="top"/>
          </w:tcPr>
          <w:p w14:paraId="7C6D50EA">
            <w:pPr>
              <w:spacing w:before="85"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010717D7">
            <w:pPr>
              <w:spacing w:before="85"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55443C4D">
            <w:pPr>
              <w:spacing w:before="85" w:line="195" w:lineRule="auto"/>
              <w:ind w:left="649"/>
              <w:rPr>
                <w:rFonts w:ascii="Times New Roman" w:hAnsi="Times New Roman" w:eastAsia="Times New Roman" w:cs="Times New Roman"/>
                <w:sz w:val="20"/>
                <w:szCs w:val="20"/>
              </w:rPr>
            </w:pPr>
            <w:r>
              <w:rPr>
                <w:rFonts w:ascii="Times New Roman" w:hAnsi="Times New Roman" w:eastAsia="Times New Roman" w:cs="Times New Roman"/>
                <w:sz w:val="20"/>
                <w:szCs w:val="20"/>
              </w:rPr>
              <w:t>16.146</w:t>
            </w:r>
          </w:p>
        </w:tc>
        <w:tc>
          <w:tcPr>
            <w:tcW w:w="1259" w:type="dxa"/>
            <w:vAlign w:val="top"/>
          </w:tcPr>
          <w:p w14:paraId="04BCACB0">
            <w:pPr>
              <w:spacing w:before="85"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4ADCEC6E">
            <w:pPr>
              <w:spacing w:before="85" w:line="195" w:lineRule="auto"/>
              <w:ind w:left="6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28.646</w:t>
            </w:r>
          </w:p>
        </w:tc>
        <w:tc>
          <w:tcPr>
            <w:tcW w:w="1550" w:type="dxa"/>
            <w:tcBorders>
              <w:right w:val="single" w:color="000000" w:sz="6" w:space="0"/>
            </w:tcBorders>
            <w:vAlign w:val="top"/>
          </w:tcPr>
          <w:p w14:paraId="64FE6F91">
            <w:pPr>
              <w:spacing w:before="85" w:line="195" w:lineRule="auto"/>
              <w:ind w:left="42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+16.146</w:t>
            </w:r>
          </w:p>
        </w:tc>
      </w:tr>
      <w:tr w14:paraId="1B88D9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26" w:type="dxa"/>
            <w:vMerge w:val="continue"/>
            <w:tcBorders>
              <w:top w:val="nil"/>
              <w:left w:val="single" w:color="000000" w:sz="6" w:space="0"/>
              <w:bottom w:val="nil"/>
            </w:tcBorders>
            <w:vAlign w:val="top"/>
          </w:tcPr>
          <w:p w14:paraId="4118365D">
            <w:pPr>
              <w:rPr>
                <w:rFonts w:ascii="Arial"/>
                <w:sz w:val="21"/>
              </w:rPr>
            </w:pPr>
          </w:p>
        </w:tc>
        <w:tc>
          <w:tcPr>
            <w:tcW w:w="2511" w:type="dxa"/>
            <w:vAlign w:val="top"/>
          </w:tcPr>
          <w:p w14:paraId="5BA507A6">
            <w:pPr>
              <w:spacing w:before="44" w:line="192" w:lineRule="auto"/>
              <w:ind w:left="517"/>
              <w:rPr>
                <w:rFonts w:ascii="宋体" w:hAnsi="宋体" w:eastAsia="宋体" w:cs="宋体"/>
                <w:sz w:val="20"/>
                <w:szCs w:val="20"/>
              </w:rPr>
            </w:pPr>
            <w:r>
              <w:rPr>
                <w:rFonts w:ascii="微软雅黑" w:hAnsi="微软雅黑" w:eastAsia="微软雅黑" w:cs="微软雅黑"/>
                <w:spacing w:val="5"/>
                <w:sz w:val="20"/>
                <w:szCs w:val="20"/>
              </w:rPr>
              <w:t>废</w:t>
            </w:r>
            <w:r>
              <w:rPr>
                <w:rFonts w:ascii="宋体" w:hAnsi="宋体" w:eastAsia="宋体" w:cs="宋体"/>
                <w:spacing w:val="5"/>
                <w:sz w:val="20"/>
                <w:szCs w:val="20"/>
              </w:rPr>
              <w:t>油漆桶（</w:t>
            </w:r>
            <w:r>
              <w:rPr>
                <w:rFonts w:ascii="Times New Roman" w:hAnsi="Times New Roman" w:eastAsia="Times New Roman" w:cs="Times New Roman"/>
                <w:spacing w:val="5"/>
                <w:sz w:val="20"/>
                <w:szCs w:val="20"/>
              </w:rPr>
              <w:t>t/a</w:t>
            </w:r>
            <w:r>
              <w:rPr>
                <w:rFonts w:ascii="宋体" w:hAnsi="宋体" w:eastAsia="宋体" w:cs="宋体"/>
                <w:spacing w:val="5"/>
                <w:sz w:val="20"/>
                <w:szCs w:val="20"/>
              </w:rPr>
              <w:t>）</w:t>
            </w:r>
          </w:p>
        </w:tc>
        <w:tc>
          <w:tcPr>
            <w:tcW w:w="1828" w:type="dxa"/>
            <w:vAlign w:val="top"/>
          </w:tcPr>
          <w:p w14:paraId="1A0543A3">
            <w:pPr>
              <w:spacing w:before="87" w:line="195" w:lineRule="auto"/>
              <w:ind w:left="78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658" w:type="dxa"/>
            <w:vAlign w:val="top"/>
          </w:tcPr>
          <w:p w14:paraId="480B90DC">
            <w:pPr>
              <w:spacing w:before="87"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vAlign w:val="top"/>
          </w:tcPr>
          <w:p w14:paraId="605557CB">
            <w:pPr>
              <w:spacing w:before="87"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vAlign w:val="top"/>
          </w:tcPr>
          <w:p w14:paraId="18F34944">
            <w:pPr>
              <w:spacing w:before="87"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vAlign w:val="top"/>
          </w:tcPr>
          <w:p w14:paraId="0A16E2A1">
            <w:pPr>
              <w:spacing w:before="87"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vAlign w:val="top"/>
          </w:tcPr>
          <w:p w14:paraId="64DD9718">
            <w:pPr>
              <w:spacing w:before="87" w:line="195" w:lineRule="auto"/>
              <w:ind w:left="81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1550" w:type="dxa"/>
            <w:tcBorders>
              <w:right w:val="single" w:color="000000" w:sz="6" w:space="0"/>
            </w:tcBorders>
            <w:vAlign w:val="top"/>
          </w:tcPr>
          <w:p w14:paraId="2EE5A5C3">
            <w:pPr>
              <w:spacing w:before="87"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78514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26" w:type="dxa"/>
            <w:vMerge w:val="continue"/>
            <w:tcBorders>
              <w:top w:val="nil"/>
              <w:left w:val="single" w:color="000000" w:sz="6" w:space="0"/>
              <w:bottom w:val="single" w:color="000000" w:sz="6" w:space="0"/>
            </w:tcBorders>
            <w:vAlign w:val="top"/>
          </w:tcPr>
          <w:p w14:paraId="5937BC8D">
            <w:pPr>
              <w:rPr>
                <w:rFonts w:ascii="Arial"/>
                <w:sz w:val="21"/>
              </w:rPr>
            </w:pPr>
          </w:p>
        </w:tc>
        <w:tc>
          <w:tcPr>
            <w:tcW w:w="2511" w:type="dxa"/>
            <w:tcBorders>
              <w:bottom w:val="single" w:color="000000" w:sz="6" w:space="0"/>
            </w:tcBorders>
            <w:vAlign w:val="top"/>
          </w:tcPr>
          <w:p w14:paraId="0DBCBF64">
            <w:pPr>
              <w:spacing w:before="44" w:line="229" w:lineRule="auto"/>
              <w:ind w:left="809"/>
              <w:rPr>
                <w:rFonts w:ascii="宋体" w:hAnsi="宋体" w:eastAsia="宋体" w:cs="宋体"/>
                <w:sz w:val="20"/>
                <w:szCs w:val="20"/>
              </w:rPr>
            </w:pPr>
            <w:r>
              <w:rPr>
                <w:rFonts w:ascii="宋体" w:hAnsi="宋体" w:eastAsia="宋体" w:cs="宋体"/>
                <w:spacing w:val="2"/>
                <w:sz w:val="20"/>
                <w:szCs w:val="20"/>
              </w:rPr>
              <w:t>漆渣</w:t>
            </w:r>
            <w:r>
              <w:rPr>
                <w:rFonts w:ascii="宋体" w:hAnsi="宋体" w:eastAsia="宋体" w:cs="宋体"/>
                <w:spacing w:val="-41"/>
                <w:sz w:val="20"/>
                <w:szCs w:val="20"/>
              </w:rPr>
              <w:t xml:space="preserve"> </w:t>
            </w:r>
            <w:r>
              <w:rPr>
                <w:rFonts w:ascii="Times New Roman" w:hAnsi="Times New Roman" w:eastAsia="Times New Roman" w:cs="Times New Roman"/>
                <w:spacing w:val="2"/>
                <w:sz w:val="20"/>
                <w:szCs w:val="20"/>
              </w:rPr>
              <w:t>t/a</w:t>
            </w:r>
            <w:r>
              <w:rPr>
                <w:rFonts w:ascii="宋体" w:hAnsi="宋体" w:eastAsia="宋体" w:cs="宋体"/>
                <w:spacing w:val="2"/>
                <w:sz w:val="20"/>
                <w:szCs w:val="20"/>
              </w:rPr>
              <w:t>）</w:t>
            </w:r>
          </w:p>
        </w:tc>
        <w:tc>
          <w:tcPr>
            <w:tcW w:w="1828" w:type="dxa"/>
            <w:tcBorders>
              <w:bottom w:val="single" w:color="000000" w:sz="6" w:space="0"/>
            </w:tcBorders>
            <w:vAlign w:val="top"/>
          </w:tcPr>
          <w:p w14:paraId="06ACFC48">
            <w:pPr>
              <w:spacing w:before="87" w:line="195" w:lineRule="auto"/>
              <w:ind w:left="78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658" w:type="dxa"/>
            <w:tcBorders>
              <w:bottom w:val="single" w:color="000000" w:sz="6" w:space="0"/>
            </w:tcBorders>
            <w:vAlign w:val="top"/>
          </w:tcPr>
          <w:p w14:paraId="2C377FBA">
            <w:pPr>
              <w:spacing w:before="87" w:line="195" w:lineRule="auto"/>
              <w:ind w:left="27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609" w:type="dxa"/>
            <w:tcBorders>
              <w:bottom w:val="single" w:color="000000" w:sz="6" w:space="0"/>
            </w:tcBorders>
            <w:vAlign w:val="top"/>
          </w:tcPr>
          <w:p w14:paraId="45899182">
            <w:pPr>
              <w:spacing w:before="87" w:line="195" w:lineRule="auto"/>
              <w:ind w:left="7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28" w:type="dxa"/>
            <w:tcBorders>
              <w:bottom w:val="single" w:color="000000" w:sz="6" w:space="0"/>
            </w:tcBorders>
            <w:vAlign w:val="top"/>
          </w:tcPr>
          <w:p w14:paraId="64381726">
            <w:pPr>
              <w:spacing w:before="87"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59" w:type="dxa"/>
            <w:tcBorders>
              <w:bottom w:val="single" w:color="000000" w:sz="6" w:space="0"/>
            </w:tcBorders>
            <w:vAlign w:val="top"/>
          </w:tcPr>
          <w:p w14:paraId="57F3D60B">
            <w:pPr>
              <w:spacing w:before="87"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867" w:type="dxa"/>
            <w:tcBorders>
              <w:bottom w:val="single" w:color="000000" w:sz="6" w:space="0"/>
            </w:tcBorders>
            <w:vAlign w:val="top"/>
          </w:tcPr>
          <w:p w14:paraId="36785CFB">
            <w:pPr>
              <w:spacing w:before="87" w:line="195" w:lineRule="auto"/>
              <w:ind w:left="81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1550" w:type="dxa"/>
            <w:tcBorders>
              <w:bottom w:val="single" w:color="000000" w:sz="6" w:space="0"/>
              <w:right w:val="single" w:color="000000" w:sz="6" w:space="0"/>
            </w:tcBorders>
            <w:vAlign w:val="top"/>
          </w:tcPr>
          <w:p w14:paraId="54EA76B5">
            <w:pPr>
              <w:spacing w:before="87" w:line="195" w:lineRule="auto"/>
              <w:ind w:left="72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bl>
    <w:p w14:paraId="1CAFC5E3">
      <w:pPr>
        <w:spacing w:before="186" w:line="281" w:lineRule="exact"/>
        <w:ind w:left="45"/>
        <w:rPr>
          <w:rFonts w:ascii="宋体" w:hAnsi="宋体" w:eastAsia="宋体" w:cs="宋体"/>
          <w:sz w:val="20"/>
          <w:szCs w:val="20"/>
        </w:rPr>
        <w:sectPr>
          <w:footerReference r:id="rId120" w:type="default"/>
          <w:pgSz w:w="16839" w:h="11906"/>
          <w:pgMar w:top="400" w:right="1493" w:bottom="1097" w:left="1493" w:header="0" w:footer="753" w:gutter="0"/>
          <w:cols w:space="720" w:num="1"/>
        </w:sectPr>
      </w:pPr>
      <w:r>
        <w:rPr>
          <w:rFonts w:ascii="宋体" w:hAnsi="宋体" w:eastAsia="宋体" w:cs="宋体"/>
          <w:spacing w:val="1"/>
          <w:position w:val="1"/>
          <w:sz w:val="20"/>
          <w:szCs w:val="20"/>
        </w:rPr>
        <w:t>注：⑥</w:t>
      </w:r>
      <w:r>
        <w:rPr>
          <w:rFonts w:ascii="Times New Roman" w:hAnsi="Times New Roman" w:eastAsia="Times New Roman" w:cs="Times New Roman"/>
          <w:spacing w:val="1"/>
          <w:position w:val="1"/>
          <w:sz w:val="20"/>
          <w:szCs w:val="20"/>
        </w:rPr>
        <w:t>=</w:t>
      </w:r>
      <w:r>
        <w:rPr>
          <w:rFonts w:ascii="宋体" w:hAnsi="宋体" w:eastAsia="宋体" w:cs="宋体"/>
          <w:spacing w:val="1"/>
          <w:position w:val="1"/>
          <w:sz w:val="20"/>
          <w:szCs w:val="20"/>
        </w:rPr>
        <w:t>①</w:t>
      </w:r>
      <w:r>
        <w:rPr>
          <w:rFonts w:ascii="Times New Roman" w:hAnsi="Times New Roman" w:eastAsia="Times New Roman" w:cs="Times New Roman"/>
          <w:spacing w:val="1"/>
          <w:position w:val="1"/>
          <w:sz w:val="20"/>
          <w:szCs w:val="20"/>
        </w:rPr>
        <w:t>+</w:t>
      </w:r>
      <w:r>
        <w:rPr>
          <w:rFonts w:ascii="宋体" w:hAnsi="宋体" w:eastAsia="宋体" w:cs="宋体"/>
          <w:spacing w:val="1"/>
          <w:position w:val="1"/>
          <w:sz w:val="20"/>
          <w:szCs w:val="20"/>
        </w:rPr>
        <w:t>③</w:t>
      </w:r>
      <w:r>
        <w:rPr>
          <w:rFonts w:ascii="Times New Roman" w:hAnsi="Times New Roman" w:eastAsia="Times New Roman" w:cs="Times New Roman"/>
          <w:spacing w:val="1"/>
          <w:position w:val="1"/>
          <w:sz w:val="20"/>
          <w:szCs w:val="20"/>
        </w:rPr>
        <w:t>+</w:t>
      </w:r>
      <w:r>
        <w:rPr>
          <w:rFonts w:ascii="宋体" w:hAnsi="宋体" w:eastAsia="宋体" w:cs="宋体"/>
          <w:spacing w:val="1"/>
          <w:position w:val="1"/>
          <w:sz w:val="20"/>
          <w:szCs w:val="20"/>
        </w:rPr>
        <w:t>④</w:t>
      </w:r>
      <w:r>
        <w:rPr>
          <w:rFonts w:ascii="Times New Roman" w:hAnsi="Times New Roman" w:eastAsia="Times New Roman" w:cs="Times New Roman"/>
          <w:spacing w:val="1"/>
          <w:position w:val="1"/>
          <w:sz w:val="20"/>
          <w:szCs w:val="20"/>
        </w:rPr>
        <w:t>-</w:t>
      </w:r>
      <w:r>
        <w:rPr>
          <w:rFonts w:ascii="宋体" w:hAnsi="宋体" w:eastAsia="宋体" w:cs="宋体"/>
          <w:spacing w:val="1"/>
          <w:position w:val="1"/>
          <w:sz w:val="20"/>
          <w:szCs w:val="20"/>
        </w:rPr>
        <w:t>⑤;</w:t>
      </w:r>
      <w:r>
        <w:rPr>
          <w:rFonts w:ascii="宋体" w:hAnsi="宋体" w:eastAsia="宋体" w:cs="宋体"/>
          <w:spacing w:val="28"/>
          <w:position w:val="1"/>
          <w:sz w:val="20"/>
          <w:szCs w:val="20"/>
        </w:rPr>
        <w:t xml:space="preserve"> </w:t>
      </w:r>
      <w:r>
        <w:rPr>
          <w:rFonts w:ascii="宋体" w:hAnsi="宋体" w:eastAsia="宋体" w:cs="宋体"/>
          <w:spacing w:val="1"/>
          <w:position w:val="1"/>
          <w:sz w:val="20"/>
          <w:szCs w:val="20"/>
        </w:rPr>
        <w:t>⑦</w:t>
      </w:r>
    </w:p>
    <w:p w14:paraId="0A1EE78D">
      <w:pPr>
        <w:spacing w:line="6740" w:lineRule="exact"/>
      </w:pPr>
    </w:p>
    <w:sectPr>
      <w:headerReference r:id="rId121" w:type="default"/>
      <w:footerReference r:id="rId122" w:type="default"/>
      <w:pgSz w:w="11906" w:h="16838"/>
      <w:pgMar w:top="400" w:right="805" w:bottom="400" w:left="78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F015F13-8E4D-432C-A561-44DD43C966E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84CF58B1-1C32-4790-B954-7584BE578BB0}"/>
  </w:font>
  <w:font w:name="楷体_GB2312">
    <w:panose1 w:val="02010609030101010101"/>
    <w:charset w:val="86"/>
    <w:family w:val="modern"/>
    <w:pitch w:val="default"/>
    <w:sig w:usb0="00000001" w:usb1="080E0000" w:usb2="00000000" w:usb3="00000000" w:csb0="00040000" w:csb1="00000000"/>
    <w:embedRegular r:id="rId3" w:fontKey="{61B63524-6A3A-44BB-BC64-D7CFBBCBB968}"/>
  </w:font>
  <w:font w:name="仿宋">
    <w:panose1 w:val="02010609060101010101"/>
    <w:charset w:val="86"/>
    <w:family w:val="modern"/>
    <w:pitch w:val="default"/>
    <w:sig w:usb0="800002BF" w:usb1="38CF7CFA" w:usb2="00000016" w:usb3="00000000" w:csb0="00040001" w:csb1="00000000"/>
    <w:embedRegular r:id="rId4" w:fontKey="{B78FC305-4B47-4D3C-9475-2895ED59B290}"/>
  </w:font>
  <w:font w:name="仿宋_GB2312">
    <w:panose1 w:val="02010609030101010101"/>
    <w:charset w:val="86"/>
    <w:family w:val="modern"/>
    <w:pitch w:val="default"/>
    <w:sig w:usb0="00000001" w:usb1="080E0000" w:usb2="00000000" w:usb3="00000000" w:csb0="00040000" w:csb1="00000000"/>
    <w:embedRegular r:id="rId5" w:fontKey="{938E29B0-E0C0-4CDC-9D91-7AFB9CB9728D}"/>
  </w:font>
  <w:font w:name="MS Gothic">
    <w:panose1 w:val="020B0609070205080204"/>
    <w:charset w:val="86"/>
    <w:family w:val="auto"/>
    <w:pitch w:val="default"/>
    <w:sig w:usb0="E00002FF" w:usb1="6AC7FDFB" w:usb2="08000012" w:usb3="00000000" w:csb0="4002009F" w:csb1="DFD70000"/>
    <w:embedRegular r:id="rId6" w:fontKey="{581EFF85-15BB-4782-B433-A71708FF00D3}"/>
  </w:font>
  <w:font w:name="微软雅黑">
    <w:panose1 w:val="020B0503020204020204"/>
    <w:charset w:val="86"/>
    <w:family w:val="auto"/>
    <w:pitch w:val="default"/>
    <w:sig w:usb0="80000287" w:usb1="2ACF3C50" w:usb2="00000016" w:usb3="00000000" w:csb0="0004001F" w:csb1="00000000"/>
    <w:embedRegular r:id="rId7" w:fontKey="{A5C2B7EB-B422-49D3-AE49-CE5CD057DA4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544AF">
    <w:pPr>
      <w:pStyle w:val="7"/>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1C48E">
    <w:pPr>
      <w:tabs>
        <w:tab w:val="left" w:pos="4521"/>
      </w:tabs>
      <w:spacing w:line="179" w:lineRule="auto"/>
      <w:ind w:left="433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10"/>
        <w:sz w:val="24"/>
        <w:szCs w:val="24"/>
      </w:rPr>
      <w:t>9</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BF1BC">
    <w:pPr>
      <w:spacing w:line="206" w:lineRule="auto"/>
      <w:ind w:left="4587"/>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26"/>
        <w:sz w:val="28"/>
        <w:szCs w:val="28"/>
      </w:rPr>
      <w:t xml:space="preserve"> </w:t>
    </w:r>
    <w:r>
      <w:rPr>
        <w:rFonts w:ascii="宋体" w:hAnsi="宋体" w:eastAsia="宋体" w:cs="宋体"/>
        <w:spacing w:val="-7"/>
        <w:sz w:val="24"/>
        <w:szCs w:val="24"/>
      </w:rPr>
      <w:t>100</w:t>
    </w:r>
    <w:r>
      <w:rPr>
        <w:rFonts w:ascii="宋体" w:hAnsi="宋体" w:eastAsia="宋体" w:cs="宋体"/>
        <w:spacing w:val="27"/>
        <w:sz w:val="24"/>
        <w:szCs w:val="24"/>
      </w:rPr>
      <w:t xml:space="preserve"> </w:t>
    </w:r>
    <w:r>
      <w:rPr>
        <w:rFonts w:ascii="宋体" w:hAnsi="宋体" w:eastAsia="宋体" w:cs="宋体"/>
        <w:spacing w:val="-7"/>
        <w:sz w:val="28"/>
        <w:szCs w:val="28"/>
      </w:rPr>
      <w:t>—</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6C695">
    <w:pPr>
      <w:spacing w:line="206" w:lineRule="auto"/>
      <w:ind w:left="4587"/>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26"/>
        <w:sz w:val="28"/>
        <w:szCs w:val="28"/>
      </w:rPr>
      <w:t xml:space="preserve"> </w:t>
    </w:r>
    <w:r>
      <w:rPr>
        <w:rFonts w:ascii="宋体" w:hAnsi="宋体" w:eastAsia="宋体" w:cs="宋体"/>
        <w:spacing w:val="-7"/>
        <w:sz w:val="24"/>
        <w:szCs w:val="24"/>
      </w:rPr>
      <w:t>101</w:t>
    </w:r>
    <w:r>
      <w:rPr>
        <w:rFonts w:ascii="宋体" w:hAnsi="宋体" w:eastAsia="宋体" w:cs="宋体"/>
        <w:spacing w:val="27"/>
        <w:sz w:val="24"/>
        <w:szCs w:val="24"/>
      </w:rPr>
      <w:t xml:space="preserve"> </w:t>
    </w:r>
    <w:r>
      <w:rPr>
        <w:rFonts w:ascii="宋体" w:hAnsi="宋体" w:eastAsia="宋体" w:cs="宋体"/>
        <w:spacing w:val="-7"/>
        <w:sz w:val="28"/>
        <w:szCs w:val="28"/>
      </w:rPr>
      <w:t>—</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C288E">
    <w:pPr>
      <w:spacing w:line="206" w:lineRule="auto"/>
      <w:ind w:left="4587"/>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26"/>
        <w:sz w:val="28"/>
        <w:szCs w:val="28"/>
      </w:rPr>
      <w:t xml:space="preserve"> </w:t>
    </w:r>
    <w:r>
      <w:rPr>
        <w:rFonts w:ascii="宋体" w:hAnsi="宋体" w:eastAsia="宋体" w:cs="宋体"/>
        <w:spacing w:val="-7"/>
        <w:sz w:val="24"/>
        <w:szCs w:val="24"/>
      </w:rPr>
      <w:t>102</w:t>
    </w:r>
    <w:r>
      <w:rPr>
        <w:rFonts w:ascii="宋体" w:hAnsi="宋体" w:eastAsia="宋体" w:cs="宋体"/>
        <w:spacing w:val="27"/>
        <w:sz w:val="24"/>
        <w:szCs w:val="24"/>
      </w:rPr>
      <w:t xml:space="preserve"> </w:t>
    </w:r>
    <w:r>
      <w:rPr>
        <w:rFonts w:ascii="宋体" w:hAnsi="宋体" w:eastAsia="宋体" w:cs="宋体"/>
        <w:spacing w:val="-7"/>
        <w:sz w:val="28"/>
        <w:szCs w:val="28"/>
      </w:rPr>
      <w:t>—</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95B22">
    <w:pPr>
      <w:spacing w:line="206" w:lineRule="auto"/>
      <w:ind w:left="4587"/>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26"/>
        <w:sz w:val="28"/>
        <w:szCs w:val="28"/>
      </w:rPr>
      <w:t xml:space="preserve"> </w:t>
    </w:r>
    <w:r>
      <w:rPr>
        <w:rFonts w:ascii="宋体" w:hAnsi="宋体" w:eastAsia="宋体" w:cs="宋体"/>
        <w:spacing w:val="-7"/>
        <w:sz w:val="24"/>
        <w:szCs w:val="24"/>
      </w:rPr>
      <w:t>103</w:t>
    </w:r>
    <w:r>
      <w:rPr>
        <w:rFonts w:ascii="宋体" w:hAnsi="宋体" w:eastAsia="宋体" w:cs="宋体"/>
        <w:spacing w:val="27"/>
        <w:sz w:val="24"/>
        <w:szCs w:val="24"/>
      </w:rPr>
      <w:t xml:space="preserve"> </w:t>
    </w:r>
    <w:r>
      <w:rPr>
        <w:rFonts w:ascii="宋体" w:hAnsi="宋体" w:eastAsia="宋体" w:cs="宋体"/>
        <w:spacing w:val="-7"/>
        <w:sz w:val="28"/>
        <w:szCs w:val="28"/>
      </w:rPr>
      <w:t>—</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B6B52">
    <w:pPr>
      <w:spacing w:line="206" w:lineRule="auto"/>
      <w:ind w:left="4587"/>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26"/>
        <w:sz w:val="28"/>
        <w:szCs w:val="28"/>
      </w:rPr>
      <w:t xml:space="preserve"> </w:t>
    </w:r>
    <w:r>
      <w:rPr>
        <w:rFonts w:ascii="宋体" w:hAnsi="宋体" w:eastAsia="宋体" w:cs="宋体"/>
        <w:spacing w:val="-7"/>
        <w:sz w:val="24"/>
        <w:szCs w:val="24"/>
      </w:rPr>
      <w:t>104</w:t>
    </w:r>
    <w:r>
      <w:rPr>
        <w:rFonts w:ascii="宋体" w:hAnsi="宋体" w:eastAsia="宋体" w:cs="宋体"/>
        <w:spacing w:val="27"/>
        <w:sz w:val="24"/>
        <w:szCs w:val="24"/>
      </w:rPr>
      <w:t xml:space="preserve"> </w:t>
    </w:r>
    <w:r>
      <w:rPr>
        <w:rFonts w:ascii="宋体" w:hAnsi="宋体" w:eastAsia="宋体" w:cs="宋体"/>
        <w:spacing w:val="-7"/>
        <w:sz w:val="28"/>
        <w:szCs w:val="28"/>
      </w:rPr>
      <w:t>—</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B6144">
    <w:pPr>
      <w:spacing w:line="206" w:lineRule="auto"/>
      <w:ind w:left="4587"/>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26"/>
        <w:sz w:val="28"/>
        <w:szCs w:val="28"/>
      </w:rPr>
      <w:t xml:space="preserve"> </w:t>
    </w:r>
    <w:r>
      <w:rPr>
        <w:rFonts w:ascii="宋体" w:hAnsi="宋体" w:eastAsia="宋体" w:cs="宋体"/>
        <w:spacing w:val="-7"/>
        <w:sz w:val="24"/>
        <w:szCs w:val="24"/>
      </w:rPr>
      <w:t>105</w:t>
    </w:r>
    <w:r>
      <w:rPr>
        <w:rFonts w:ascii="宋体" w:hAnsi="宋体" w:eastAsia="宋体" w:cs="宋体"/>
        <w:spacing w:val="27"/>
        <w:sz w:val="24"/>
        <w:szCs w:val="24"/>
      </w:rPr>
      <w:t xml:space="preserve"> </w:t>
    </w:r>
    <w:r>
      <w:rPr>
        <w:rFonts w:ascii="宋体" w:hAnsi="宋体" w:eastAsia="宋体" w:cs="宋体"/>
        <w:spacing w:val="-7"/>
        <w:sz w:val="28"/>
        <w:szCs w:val="28"/>
      </w:rPr>
      <w:t>—</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B9AEF">
    <w:pPr>
      <w:spacing w:line="206" w:lineRule="auto"/>
      <w:ind w:left="4587"/>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26"/>
        <w:sz w:val="28"/>
        <w:szCs w:val="28"/>
      </w:rPr>
      <w:t xml:space="preserve"> </w:t>
    </w:r>
    <w:r>
      <w:rPr>
        <w:rFonts w:ascii="宋体" w:hAnsi="宋体" w:eastAsia="宋体" w:cs="宋体"/>
        <w:spacing w:val="-7"/>
        <w:sz w:val="24"/>
        <w:szCs w:val="24"/>
      </w:rPr>
      <w:t>106</w:t>
    </w:r>
    <w:r>
      <w:rPr>
        <w:rFonts w:ascii="宋体" w:hAnsi="宋体" w:eastAsia="宋体" w:cs="宋体"/>
        <w:spacing w:val="27"/>
        <w:sz w:val="24"/>
        <w:szCs w:val="24"/>
      </w:rPr>
      <w:t xml:space="preserve"> </w:t>
    </w:r>
    <w:r>
      <w:rPr>
        <w:rFonts w:ascii="宋体" w:hAnsi="宋体" w:eastAsia="宋体" w:cs="宋体"/>
        <w:spacing w:val="-7"/>
        <w:sz w:val="28"/>
        <w:szCs w:val="28"/>
      </w:rPr>
      <w:t>—</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90BB0">
    <w:pPr>
      <w:spacing w:line="206" w:lineRule="auto"/>
      <w:ind w:left="4587"/>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26"/>
        <w:sz w:val="28"/>
        <w:szCs w:val="28"/>
      </w:rPr>
      <w:t xml:space="preserve"> </w:t>
    </w:r>
    <w:r>
      <w:rPr>
        <w:rFonts w:ascii="宋体" w:hAnsi="宋体" w:eastAsia="宋体" w:cs="宋体"/>
        <w:spacing w:val="-7"/>
        <w:sz w:val="24"/>
        <w:szCs w:val="24"/>
      </w:rPr>
      <w:t>107</w:t>
    </w:r>
    <w:r>
      <w:rPr>
        <w:rFonts w:ascii="宋体" w:hAnsi="宋体" w:eastAsia="宋体" w:cs="宋体"/>
        <w:spacing w:val="27"/>
        <w:sz w:val="24"/>
        <w:szCs w:val="24"/>
      </w:rPr>
      <w:t xml:space="preserve"> </w:t>
    </w:r>
    <w:r>
      <w:rPr>
        <w:rFonts w:ascii="宋体" w:hAnsi="宋体" w:eastAsia="宋体" w:cs="宋体"/>
        <w:spacing w:val="-7"/>
        <w:sz w:val="28"/>
        <w:szCs w:val="28"/>
      </w:rPr>
      <w:t>—</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50ADF">
    <w:pPr>
      <w:spacing w:before="1" w:line="218" w:lineRule="auto"/>
      <w:ind w:left="4370"/>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88"/>
        <w:sz w:val="28"/>
        <w:szCs w:val="28"/>
      </w:rPr>
      <w:t xml:space="preserve"> </w:t>
    </w:r>
    <w:r>
      <w:rPr>
        <w:rFonts w:ascii="宋体" w:hAnsi="宋体" w:eastAsia="宋体" w:cs="宋体"/>
        <w:spacing w:val="-5"/>
        <w:sz w:val="25"/>
        <w:szCs w:val="25"/>
      </w:rPr>
      <w:t>108</w:t>
    </w:r>
    <w:r>
      <w:rPr>
        <w:rFonts w:ascii="宋体" w:hAnsi="宋体" w:eastAsia="宋体" w:cs="宋体"/>
        <w:spacing w:val="86"/>
        <w:sz w:val="25"/>
        <w:szCs w:val="25"/>
      </w:rPr>
      <w:t xml:space="preserve"> </w:t>
    </w:r>
    <w:r>
      <w:rPr>
        <w:rFonts w:ascii="宋体" w:hAnsi="宋体" w:eastAsia="宋体" w:cs="宋体"/>
        <w:spacing w:val="-5"/>
        <w:sz w:val="28"/>
        <w:szCs w:val="28"/>
      </w:rPr>
      <w:t>—</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B1D2B">
    <w:pPr>
      <w:spacing w:before="1" w:line="218" w:lineRule="auto"/>
      <w:ind w:left="4370"/>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88"/>
        <w:sz w:val="28"/>
        <w:szCs w:val="28"/>
      </w:rPr>
      <w:t xml:space="preserve"> </w:t>
    </w:r>
    <w:r>
      <w:rPr>
        <w:rFonts w:ascii="宋体" w:hAnsi="宋体" w:eastAsia="宋体" w:cs="宋体"/>
        <w:spacing w:val="-5"/>
        <w:sz w:val="25"/>
        <w:szCs w:val="25"/>
      </w:rPr>
      <w:t>109</w:t>
    </w:r>
    <w:r>
      <w:rPr>
        <w:rFonts w:ascii="宋体" w:hAnsi="宋体" w:eastAsia="宋体" w:cs="宋体"/>
        <w:spacing w:val="86"/>
        <w:sz w:val="25"/>
        <w:szCs w:val="25"/>
      </w:rPr>
      <w:t xml:space="preserve"> </w:t>
    </w:r>
    <w:r>
      <w:rPr>
        <w:rFonts w:ascii="宋体" w:hAnsi="宋体" w:eastAsia="宋体" w:cs="宋体"/>
        <w:spacing w:val="-5"/>
        <w:sz w:val="28"/>
        <w:szCs w:val="2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3C5FC">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15"/>
        <w:sz w:val="24"/>
        <w:szCs w:val="24"/>
      </w:rPr>
      <w:t>10</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DF5BE">
    <w:pPr>
      <w:spacing w:before="1" w:line="218" w:lineRule="auto"/>
      <w:ind w:left="4370"/>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88"/>
        <w:sz w:val="28"/>
        <w:szCs w:val="28"/>
      </w:rPr>
      <w:t xml:space="preserve"> </w:t>
    </w:r>
    <w:r>
      <w:rPr>
        <w:rFonts w:ascii="宋体" w:hAnsi="宋体" w:eastAsia="宋体" w:cs="宋体"/>
        <w:spacing w:val="-5"/>
        <w:sz w:val="25"/>
        <w:szCs w:val="25"/>
      </w:rPr>
      <w:t>110</w:t>
    </w:r>
    <w:r>
      <w:rPr>
        <w:rFonts w:ascii="宋体" w:hAnsi="宋体" w:eastAsia="宋体" w:cs="宋体"/>
        <w:spacing w:val="86"/>
        <w:sz w:val="25"/>
        <w:szCs w:val="25"/>
      </w:rPr>
      <w:t xml:space="preserve"> </w:t>
    </w:r>
    <w:r>
      <w:rPr>
        <w:rFonts w:ascii="宋体" w:hAnsi="宋体" w:eastAsia="宋体" w:cs="宋体"/>
        <w:spacing w:val="-5"/>
        <w:sz w:val="28"/>
        <w:szCs w:val="28"/>
      </w:rPr>
      <w:t>—</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9818B">
    <w:pPr>
      <w:spacing w:line="220" w:lineRule="auto"/>
      <w:ind w:left="4370"/>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88"/>
        <w:sz w:val="28"/>
        <w:szCs w:val="28"/>
      </w:rPr>
      <w:t xml:space="preserve"> </w:t>
    </w:r>
    <w:r>
      <w:rPr>
        <w:rFonts w:ascii="宋体" w:hAnsi="宋体" w:eastAsia="宋体" w:cs="宋体"/>
        <w:spacing w:val="-5"/>
        <w:sz w:val="25"/>
        <w:szCs w:val="25"/>
      </w:rPr>
      <w:t>111</w:t>
    </w:r>
    <w:r>
      <w:rPr>
        <w:rFonts w:ascii="宋体" w:hAnsi="宋体" w:eastAsia="宋体" w:cs="宋体"/>
        <w:spacing w:val="86"/>
        <w:sz w:val="25"/>
        <w:szCs w:val="25"/>
      </w:rPr>
      <w:t xml:space="preserve"> </w:t>
    </w:r>
    <w:r>
      <w:rPr>
        <w:rFonts w:ascii="宋体" w:hAnsi="宋体" w:eastAsia="宋体" w:cs="宋体"/>
        <w:spacing w:val="-5"/>
        <w:sz w:val="28"/>
        <w:szCs w:val="28"/>
      </w:rPr>
      <w:t>—</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C0B2D">
    <w:pPr>
      <w:spacing w:line="220" w:lineRule="auto"/>
      <w:ind w:left="4396"/>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88"/>
        <w:sz w:val="28"/>
        <w:szCs w:val="28"/>
      </w:rPr>
      <w:t xml:space="preserve"> </w:t>
    </w:r>
    <w:r>
      <w:rPr>
        <w:rFonts w:ascii="宋体" w:hAnsi="宋体" w:eastAsia="宋体" w:cs="宋体"/>
        <w:spacing w:val="-5"/>
        <w:sz w:val="25"/>
        <w:szCs w:val="25"/>
      </w:rPr>
      <w:t>112</w:t>
    </w:r>
    <w:r>
      <w:rPr>
        <w:rFonts w:ascii="宋体" w:hAnsi="宋体" w:eastAsia="宋体" w:cs="宋体"/>
        <w:spacing w:val="86"/>
        <w:sz w:val="25"/>
        <w:szCs w:val="25"/>
      </w:rPr>
      <w:t xml:space="preserve"> </w:t>
    </w:r>
    <w:r>
      <w:rPr>
        <w:rFonts w:ascii="宋体" w:hAnsi="宋体" w:eastAsia="宋体" w:cs="宋体"/>
        <w:spacing w:val="-5"/>
        <w:sz w:val="28"/>
        <w:szCs w:val="28"/>
      </w:rPr>
      <w:t>—</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69A26">
    <w:pPr>
      <w:spacing w:before="1" w:line="218" w:lineRule="auto"/>
      <w:ind w:left="6538"/>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88"/>
        <w:sz w:val="28"/>
        <w:szCs w:val="28"/>
      </w:rPr>
      <w:t xml:space="preserve"> </w:t>
    </w:r>
    <w:r>
      <w:rPr>
        <w:rFonts w:ascii="宋体" w:hAnsi="宋体" w:eastAsia="宋体" w:cs="宋体"/>
        <w:spacing w:val="-5"/>
        <w:sz w:val="25"/>
        <w:szCs w:val="25"/>
      </w:rPr>
      <w:t>113</w:t>
    </w:r>
    <w:r>
      <w:rPr>
        <w:rFonts w:ascii="宋体" w:hAnsi="宋体" w:eastAsia="宋体" w:cs="宋体"/>
        <w:spacing w:val="86"/>
        <w:sz w:val="25"/>
        <w:szCs w:val="25"/>
      </w:rPr>
      <w:t xml:space="preserve"> </w:t>
    </w:r>
    <w:r>
      <w:rPr>
        <w:rFonts w:ascii="宋体" w:hAnsi="宋体" w:eastAsia="宋体" w:cs="宋体"/>
        <w:spacing w:val="-5"/>
        <w:sz w:val="28"/>
        <w:szCs w:val="28"/>
      </w:rPr>
      <w:t>—</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8260B">
    <w:pPr>
      <w:spacing w:line="220" w:lineRule="auto"/>
      <w:ind w:left="6538"/>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88"/>
        <w:sz w:val="28"/>
        <w:szCs w:val="28"/>
      </w:rPr>
      <w:t xml:space="preserve"> </w:t>
    </w:r>
    <w:r>
      <w:rPr>
        <w:rFonts w:ascii="宋体" w:hAnsi="宋体" w:eastAsia="宋体" w:cs="宋体"/>
        <w:spacing w:val="-5"/>
        <w:sz w:val="25"/>
        <w:szCs w:val="25"/>
      </w:rPr>
      <w:t>114</w:t>
    </w:r>
    <w:r>
      <w:rPr>
        <w:rFonts w:ascii="宋体" w:hAnsi="宋体" w:eastAsia="宋体" w:cs="宋体"/>
        <w:spacing w:val="86"/>
        <w:sz w:val="25"/>
        <w:szCs w:val="25"/>
      </w:rPr>
      <w:t xml:space="preserve"> </w:t>
    </w:r>
    <w:r>
      <w:rPr>
        <w:rFonts w:ascii="宋体" w:hAnsi="宋体" w:eastAsia="宋体" w:cs="宋体"/>
        <w:spacing w:val="-5"/>
        <w:sz w:val="28"/>
        <w:szCs w:val="28"/>
      </w:rPr>
      <w:t>—</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A241A">
    <w:pPr>
      <w:pStyle w:val="2"/>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3439D">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15"/>
        <w:sz w:val="24"/>
        <w:szCs w:val="24"/>
      </w:rPr>
      <w:t>11</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4FB95">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15"/>
        <w:sz w:val="24"/>
        <w:szCs w:val="24"/>
      </w:rPr>
      <w:t>12</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0BFD4">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15"/>
        <w:sz w:val="24"/>
        <w:szCs w:val="24"/>
      </w:rPr>
      <w:t>13</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217D5">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15"/>
        <w:sz w:val="24"/>
        <w:szCs w:val="24"/>
      </w:rPr>
      <w:t>14</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E7280">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15"/>
        <w:sz w:val="24"/>
        <w:szCs w:val="24"/>
      </w:rPr>
      <w:t>15</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9BA75">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15"/>
        <w:sz w:val="24"/>
        <w:szCs w:val="24"/>
      </w:rPr>
      <w:t>16</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5EE3B">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15"/>
        <w:sz w:val="24"/>
        <w:szCs w:val="24"/>
      </w:rPr>
      <w:t>17</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76FBB">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15"/>
        <w:sz w:val="24"/>
        <w:szCs w:val="24"/>
      </w:rPr>
      <w:t>18</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5930F">
    <w:pPr>
      <w:tabs>
        <w:tab w:val="left" w:pos="4521"/>
      </w:tabs>
      <w:spacing w:line="179" w:lineRule="auto"/>
      <w:ind w:left="433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29"/>
        <w:sz w:val="24"/>
        <w:szCs w:val="24"/>
      </w:rPr>
      <w:t>1</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00857">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15"/>
        <w:sz w:val="24"/>
        <w:szCs w:val="24"/>
      </w:rPr>
      <w:t>19</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0CB29">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3"/>
        <w:sz w:val="24"/>
        <w:szCs w:val="24"/>
      </w:rPr>
      <w:t>20</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6A941">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3"/>
        <w:sz w:val="24"/>
        <w:szCs w:val="24"/>
      </w:rPr>
      <w:t>21</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18898">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3"/>
        <w:sz w:val="24"/>
        <w:szCs w:val="24"/>
      </w:rPr>
      <w:t>22</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D0D60">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3"/>
        <w:sz w:val="24"/>
        <w:szCs w:val="24"/>
      </w:rPr>
      <w:t>23</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97374">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3"/>
        <w:sz w:val="24"/>
        <w:szCs w:val="24"/>
      </w:rPr>
      <w:t>24</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F6DDB">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3"/>
        <w:sz w:val="24"/>
        <w:szCs w:val="24"/>
      </w:rPr>
      <w:t>25</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62206">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3"/>
        <w:sz w:val="24"/>
        <w:szCs w:val="24"/>
      </w:rPr>
      <w:t>27</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EEF52">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3"/>
        <w:sz w:val="24"/>
        <w:szCs w:val="24"/>
      </w:rPr>
      <w:t>28</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B75C2">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3"/>
        <w:sz w:val="24"/>
        <w:szCs w:val="24"/>
      </w:rPr>
      <w:t>29</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A4EDE">
    <w:pPr>
      <w:tabs>
        <w:tab w:val="left" w:pos="4521"/>
      </w:tabs>
      <w:spacing w:line="179" w:lineRule="auto"/>
      <w:ind w:left="433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6"/>
        <w:sz w:val="24"/>
        <w:szCs w:val="24"/>
      </w:rPr>
      <w:t>2</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BFD2F">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5"/>
        <w:sz w:val="24"/>
        <w:szCs w:val="24"/>
      </w:rPr>
      <w:t>30</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3F095">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5"/>
        <w:sz w:val="24"/>
        <w:szCs w:val="24"/>
      </w:rPr>
      <w:t>31</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7F91E">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5"/>
        <w:sz w:val="24"/>
        <w:szCs w:val="24"/>
      </w:rPr>
      <w:t>32</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7A665">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5"/>
        <w:sz w:val="24"/>
        <w:szCs w:val="24"/>
      </w:rPr>
      <w:t>33</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C6E96">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5"/>
        <w:sz w:val="24"/>
        <w:szCs w:val="24"/>
      </w:rPr>
      <w:t>34</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9D92C">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5"/>
        <w:sz w:val="24"/>
        <w:szCs w:val="24"/>
      </w:rPr>
      <w:t>35</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ECE24">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5"/>
        <w:sz w:val="24"/>
        <w:szCs w:val="24"/>
      </w:rPr>
      <w:t>36</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4CF87">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5"/>
        <w:sz w:val="24"/>
        <w:szCs w:val="24"/>
      </w:rPr>
      <w:t>37</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5BDE1">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5"/>
        <w:sz w:val="24"/>
        <w:szCs w:val="24"/>
      </w:rPr>
      <w:t>38</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36BB3">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5"/>
        <w:sz w:val="24"/>
        <w:szCs w:val="24"/>
      </w:rPr>
      <w:t>39</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48DD0">
    <w:pPr>
      <w:tabs>
        <w:tab w:val="left" w:pos="4521"/>
      </w:tabs>
      <w:spacing w:line="179" w:lineRule="auto"/>
      <w:ind w:left="433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10"/>
        <w:sz w:val="24"/>
        <w:szCs w:val="24"/>
      </w:rPr>
      <w:t>3</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42864">
    <w:pPr>
      <w:tabs>
        <w:tab w:val="left" w:pos="4461"/>
      </w:tabs>
      <w:spacing w:line="179" w:lineRule="auto"/>
      <w:ind w:left="427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2"/>
        <w:sz w:val="24"/>
        <w:szCs w:val="24"/>
      </w:rPr>
      <w:t>40</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1BA87">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2"/>
        <w:sz w:val="24"/>
        <w:szCs w:val="24"/>
      </w:rPr>
      <w:t>41</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1DD43">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2"/>
        <w:sz w:val="24"/>
        <w:szCs w:val="24"/>
      </w:rPr>
      <w:t>42</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B2CD4">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2"/>
        <w:sz w:val="24"/>
        <w:szCs w:val="24"/>
      </w:rPr>
      <w:t>43</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8D79A">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2"/>
        <w:sz w:val="24"/>
        <w:szCs w:val="24"/>
      </w:rPr>
      <w:t>44</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9F1BB">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2"/>
        <w:sz w:val="24"/>
        <w:szCs w:val="24"/>
      </w:rPr>
      <w:t>45</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AA707">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2"/>
        <w:sz w:val="24"/>
        <w:szCs w:val="24"/>
      </w:rPr>
      <w:t>46</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5F122">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2"/>
        <w:sz w:val="24"/>
        <w:szCs w:val="24"/>
      </w:rPr>
      <w:t>47</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D8139">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2"/>
        <w:sz w:val="24"/>
        <w:szCs w:val="24"/>
      </w:rPr>
      <w:t>48</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F3699">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2"/>
        <w:sz w:val="24"/>
        <w:szCs w:val="24"/>
      </w:rPr>
      <w:t>49</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92427">
    <w:pPr>
      <w:tabs>
        <w:tab w:val="left" w:pos="4521"/>
      </w:tabs>
      <w:spacing w:line="179" w:lineRule="auto"/>
      <w:ind w:left="433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4"/>
        <w:sz w:val="24"/>
        <w:szCs w:val="24"/>
      </w:rPr>
      <w:t>4</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CA38E">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6"/>
        <w:sz w:val="24"/>
        <w:szCs w:val="24"/>
      </w:rPr>
      <w:t>50</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385E7">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6"/>
        <w:sz w:val="24"/>
        <w:szCs w:val="24"/>
      </w:rPr>
      <w:t>51</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C6FD5">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6"/>
        <w:sz w:val="24"/>
        <w:szCs w:val="24"/>
      </w:rPr>
      <w:t>52</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E29B5">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6"/>
        <w:sz w:val="24"/>
        <w:szCs w:val="24"/>
      </w:rPr>
      <w:t>53</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26576">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6"/>
        <w:sz w:val="24"/>
        <w:szCs w:val="24"/>
      </w:rPr>
      <w:t>54</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5A8AB">
    <w:pPr>
      <w:tabs>
        <w:tab w:val="left" w:pos="4557"/>
      </w:tabs>
      <w:spacing w:line="176"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6"/>
        <w:sz w:val="24"/>
        <w:szCs w:val="24"/>
      </w:rPr>
      <w:t>55</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98318">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6"/>
        <w:sz w:val="24"/>
        <w:szCs w:val="24"/>
      </w:rPr>
      <w:t>56</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58284">
    <w:pPr>
      <w:tabs>
        <w:tab w:val="left" w:pos="4557"/>
      </w:tabs>
      <w:spacing w:line="176"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6"/>
        <w:sz w:val="24"/>
        <w:szCs w:val="24"/>
      </w:rPr>
      <w:t>57</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2E041">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6"/>
        <w:sz w:val="24"/>
        <w:szCs w:val="24"/>
      </w:rPr>
      <w:t>58</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14719">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6"/>
        <w:sz w:val="24"/>
        <w:szCs w:val="24"/>
      </w:rPr>
      <w:t>59</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FCF0F">
    <w:pPr>
      <w:tabs>
        <w:tab w:val="left" w:pos="4521"/>
      </w:tabs>
      <w:spacing w:line="176" w:lineRule="auto"/>
      <w:ind w:left="433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12"/>
        <w:sz w:val="24"/>
        <w:szCs w:val="24"/>
      </w:rPr>
      <w:t>5</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A5908">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6"/>
        <w:sz w:val="24"/>
        <w:szCs w:val="24"/>
      </w:rPr>
      <w:t>60</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4086">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6"/>
        <w:sz w:val="24"/>
        <w:szCs w:val="24"/>
      </w:rPr>
      <w:t>61</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EF146">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6"/>
        <w:sz w:val="24"/>
        <w:szCs w:val="24"/>
      </w:rPr>
      <w:t>62</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B3D00">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6"/>
        <w:sz w:val="24"/>
        <w:szCs w:val="24"/>
      </w:rPr>
      <w:t>63</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A2825">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6"/>
        <w:sz w:val="24"/>
        <w:szCs w:val="24"/>
      </w:rPr>
      <w:t>64</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93013">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6"/>
        <w:sz w:val="24"/>
        <w:szCs w:val="24"/>
      </w:rPr>
      <w:t>65</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F0AFF">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6"/>
        <w:sz w:val="24"/>
        <w:szCs w:val="24"/>
      </w:rPr>
      <w:t>66</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B9487">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6"/>
        <w:sz w:val="24"/>
        <w:szCs w:val="24"/>
      </w:rPr>
      <w:t>67</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31F5C">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6"/>
        <w:sz w:val="24"/>
        <w:szCs w:val="24"/>
      </w:rPr>
      <w:t>68</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F6420">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6"/>
        <w:sz w:val="24"/>
        <w:szCs w:val="24"/>
      </w:rPr>
      <w:t>69</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DE58C">
    <w:pPr>
      <w:tabs>
        <w:tab w:val="left" w:pos="4521"/>
      </w:tabs>
      <w:spacing w:line="179" w:lineRule="auto"/>
      <w:ind w:left="433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11"/>
        <w:sz w:val="24"/>
        <w:szCs w:val="24"/>
      </w:rPr>
      <w:t>6</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91BF2">
    <w:pPr>
      <w:tabs>
        <w:tab w:val="left" w:pos="4557"/>
      </w:tabs>
      <w:spacing w:line="179" w:lineRule="auto"/>
      <w:ind w:left="4373"/>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5"/>
        <w:sz w:val="24"/>
        <w:szCs w:val="24"/>
      </w:rPr>
      <w:t>70</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56245">
    <w:pPr>
      <w:tabs>
        <w:tab w:val="left" w:pos="4548"/>
      </w:tabs>
      <w:spacing w:line="179" w:lineRule="auto"/>
      <w:ind w:left="4366"/>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4"/>
        <w:sz w:val="24"/>
        <w:szCs w:val="24"/>
      </w:rPr>
      <w:t xml:space="preserve">71 </w:t>
    </w:r>
    <w:r>
      <w:rPr>
        <w:rFonts w:ascii="Times New Roman" w:hAnsi="Times New Roman" w:eastAsia="Times New Roman" w:cs="Times New Roman"/>
        <w:sz w:val="24"/>
        <w:szCs w:val="24"/>
        <w:u w:val="single" w:color="auto"/>
      </w:rPr>
      <w:t xml:space="preserve">    </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F3380">
    <w:pPr>
      <w:tabs>
        <w:tab w:val="left" w:pos="4548"/>
      </w:tabs>
      <w:spacing w:line="179" w:lineRule="auto"/>
      <w:ind w:left="4366"/>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4"/>
        <w:sz w:val="24"/>
        <w:szCs w:val="24"/>
      </w:rPr>
      <w:t xml:space="preserve">72 </w:t>
    </w:r>
    <w:r>
      <w:rPr>
        <w:rFonts w:ascii="Times New Roman" w:hAnsi="Times New Roman" w:eastAsia="Times New Roman" w:cs="Times New Roman"/>
        <w:sz w:val="24"/>
        <w:szCs w:val="24"/>
        <w:u w:val="single" w:color="auto"/>
      </w:rPr>
      <w:t xml:space="preserve">    </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0D80A">
    <w:pPr>
      <w:tabs>
        <w:tab w:val="left" w:pos="4548"/>
      </w:tabs>
      <w:spacing w:line="179" w:lineRule="auto"/>
      <w:ind w:left="4366"/>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4"/>
        <w:sz w:val="24"/>
        <w:szCs w:val="24"/>
      </w:rPr>
      <w:t xml:space="preserve">73 </w:t>
    </w:r>
    <w:r>
      <w:rPr>
        <w:rFonts w:ascii="Times New Roman" w:hAnsi="Times New Roman" w:eastAsia="Times New Roman" w:cs="Times New Roman"/>
        <w:sz w:val="24"/>
        <w:szCs w:val="24"/>
        <w:u w:val="single" w:color="auto"/>
      </w:rPr>
      <w:t xml:space="preserve">    </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FB248">
    <w:pPr>
      <w:tabs>
        <w:tab w:val="left" w:pos="4548"/>
      </w:tabs>
      <w:spacing w:line="179" w:lineRule="auto"/>
      <w:ind w:left="4366"/>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4"/>
        <w:sz w:val="24"/>
        <w:szCs w:val="24"/>
      </w:rPr>
      <w:t xml:space="preserve">74 </w:t>
    </w:r>
    <w:r>
      <w:rPr>
        <w:rFonts w:ascii="Times New Roman" w:hAnsi="Times New Roman" w:eastAsia="Times New Roman" w:cs="Times New Roman"/>
        <w:sz w:val="24"/>
        <w:szCs w:val="24"/>
        <w:u w:val="single" w:color="auto"/>
      </w:rPr>
      <w:t xml:space="preserve">    </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DBED5">
    <w:pPr>
      <w:tabs>
        <w:tab w:val="left" w:pos="4548"/>
      </w:tabs>
      <w:spacing w:line="176" w:lineRule="auto"/>
      <w:ind w:left="4366"/>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4"/>
        <w:sz w:val="24"/>
        <w:szCs w:val="24"/>
      </w:rPr>
      <w:t xml:space="preserve">75 </w:t>
    </w:r>
    <w:r>
      <w:rPr>
        <w:rFonts w:ascii="Times New Roman" w:hAnsi="Times New Roman" w:eastAsia="Times New Roman" w:cs="Times New Roman"/>
        <w:sz w:val="24"/>
        <w:szCs w:val="24"/>
        <w:u w:val="single" w:color="auto"/>
      </w:rPr>
      <w:t xml:space="preserve">    </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B38C1">
    <w:pPr>
      <w:tabs>
        <w:tab w:val="left" w:pos="4548"/>
      </w:tabs>
      <w:spacing w:line="179" w:lineRule="auto"/>
      <w:ind w:left="4366"/>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4"/>
        <w:sz w:val="24"/>
        <w:szCs w:val="24"/>
      </w:rPr>
      <w:t xml:space="preserve">76 </w:t>
    </w:r>
    <w:r>
      <w:rPr>
        <w:rFonts w:ascii="Times New Roman" w:hAnsi="Times New Roman" w:eastAsia="Times New Roman" w:cs="Times New Roman"/>
        <w:sz w:val="24"/>
        <w:szCs w:val="24"/>
        <w:u w:val="single" w:color="auto"/>
      </w:rPr>
      <w:t xml:space="preserve">    </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757F7">
    <w:pPr>
      <w:tabs>
        <w:tab w:val="left" w:pos="4548"/>
      </w:tabs>
      <w:spacing w:line="176" w:lineRule="auto"/>
      <w:ind w:left="4366"/>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4"/>
        <w:sz w:val="24"/>
        <w:szCs w:val="24"/>
      </w:rPr>
      <w:t xml:space="preserve">77 </w:t>
    </w:r>
    <w:r>
      <w:rPr>
        <w:rFonts w:ascii="Times New Roman" w:hAnsi="Times New Roman" w:eastAsia="Times New Roman" w:cs="Times New Roman"/>
        <w:sz w:val="24"/>
        <w:szCs w:val="24"/>
        <w:u w:val="single" w:color="auto"/>
      </w:rPr>
      <w:t xml:space="preserve">    </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A74D0">
    <w:pPr>
      <w:tabs>
        <w:tab w:val="left" w:pos="4548"/>
      </w:tabs>
      <w:spacing w:line="179" w:lineRule="auto"/>
      <w:ind w:left="4366"/>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4"/>
        <w:sz w:val="24"/>
        <w:szCs w:val="24"/>
      </w:rPr>
      <w:t xml:space="preserve">78 </w:t>
    </w:r>
    <w:r>
      <w:rPr>
        <w:rFonts w:ascii="Times New Roman" w:hAnsi="Times New Roman" w:eastAsia="Times New Roman" w:cs="Times New Roman"/>
        <w:sz w:val="24"/>
        <w:szCs w:val="24"/>
        <w:u w:val="single" w:color="auto"/>
      </w:rPr>
      <w:t xml:space="preserve">    </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9EC65">
    <w:pPr>
      <w:tabs>
        <w:tab w:val="left" w:pos="4548"/>
      </w:tabs>
      <w:spacing w:line="179" w:lineRule="auto"/>
      <w:ind w:left="4366"/>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4"/>
        <w:sz w:val="24"/>
        <w:szCs w:val="24"/>
      </w:rPr>
      <w:t xml:space="preserve">79 </w:t>
    </w:r>
    <w:r>
      <w:rPr>
        <w:rFonts w:ascii="Times New Roman" w:hAnsi="Times New Roman" w:eastAsia="Times New Roman" w:cs="Times New Roman"/>
        <w:sz w:val="24"/>
        <w:szCs w:val="24"/>
        <w:u w:val="single" w:color="auto"/>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D9A54">
    <w:pPr>
      <w:tabs>
        <w:tab w:val="left" w:pos="4521"/>
      </w:tabs>
      <w:spacing w:line="176" w:lineRule="auto"/>
      <w:ind w:left="433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9"/>
        <w:sz w:val="24"/>
        <w:szCs w:val="24"/>
      </w:rPr>
      <w:t>7</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E3BD6">
    <w:pPr>
      <w:tabs>
        <w:tab w:val="left" w:pos="4508"/>
      </w:tabs>
      <w:spacing w:line="179" w:lineRule="auto"/>
      <w:ind w:left="4326"/>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6"/>
        <w:sz w:val="24"/>
        <w:szCs w:val="24"/>
      </w:rPr>
      <w:t xml:space="preserve">80 </w:t>
    </w:r>
    <w:r>
      <w:rPr>
        <w:rFonts w:ascii="Times New Roman" w:hAnsi="Times New Roman" w:eastAsia="Times New Roman" w:cs="Times New Roman"/>
        <w:sz w:val="24"/>
        <w:szCs w:val="24"/>
        <w:u w:val="single" w:color="auto"/>
      </w:rPr>
      <w:t xml:space="preserve">    </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FEBB6">
    <w:pPr>
      <w:tabs>
        <w:tab w:val="left" w:pos="4508"/>
      </w:tabs>
      <w:spacing w:line="179" w:lineRule="auto"/>
      <w:ind w:left="4326"/>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6"/>
        <w:sz w:val="24"/>
        <w:szCs w:val="24"/>
      </w:rPr>
      <w:t xml:space="preserve">81 </w:t>
    </w:r>
    <w:r>
      <w:rPr>
        <w:rFonts w:ascii="Times New Roman" w:hAnsi="Times New Roman" w:eastAsia="Times New Roman" w:cs="Times New Roman"/>
        <w:sz w:val="24"/>
        <w:szCs w:val="24"/>
        <w:u w:val="single" w:color="auto"/>
      </w:rPr>
      <w:t xml:space="preserve">    </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F7375">
    <w:pPr>
      <w:tabs>
        <w:tab w:val="left" w:pos="4508"/>
      </w:tabs>
      <w:spacing w:line="179" w:lineRule="auto"/>
      <w:ind w:left="4326"/>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6"/>
        <w:sz w:val="24"/>
        <w:szCs w:val="24"/>
      </w:rPr>
      <w:t xml:space="preserve">82 </w:t>
    </w:r>
    <w:r>
      <w:rPr>
        <w:rFonts w:ascii="Times New Roman" w:hAnsi="Times New Roman" w:eastAsia="Times New Roman" w:cs="Times New Roman"/>
        <w:sz w:val="24"/>
        <w:szCs w:val="24"/>
        <w:u w:val="single" w:color="auto"/>
      </w:rPr>
      <w:t xml:space="preserve">    </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E05B6">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83</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72675">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84</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DAA15">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85</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11820">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86</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DB76D">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87</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0B187">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88</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D8213">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89</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3EEEE">
    <w:pPr>
      <w:tabs>
        <w:tab w:val="left" w:pos="4521"/>
      </w:tabs>
      <w:spacing w:line="179" w:lineRule="auto"/>
      <w:ind w:left="4337"/>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5"/>
        <w:sz w:val="24"/>
        <w:szCs w:val="24"/>
      </w:rPr>
      <w:t>8</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z w:val="24"/>
        <w:szCs w:val="24"/>
        <w:u w:val="single" w:color="auto"/>
      </w:rPr>
      <w:t xml:space="preserve">    </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1E2F5">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90</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B130C">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91</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93CA6">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92</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3FEBC">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93</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904DD">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94</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4B6FF">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95</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9FCCE">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96</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8F532">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97</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42F2A">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98</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9E9E1">
    <w:pPr>
      <w:spacing w:line="206" w:lineRule="auto"/>
      <w:ind w:left="4647"/>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4"/>
        <w:szCs w:val="24"/>
      </w:rPr>
      <w:t>99</w:t>
    </w:r>
    <w:r>
      <w:rPr>
        <w:rFonts w:ascii="宋体" w:hAnsi="宋体" w:eastAsia="宋体" w:cs="宋体"/>
        <w:spacing w:val="28"/>
        <w:sz w:val="24"/>
        <w:szCs w:val="24"/>
      </w:rPr>
      <w:t xml:space="preserve"> </w:t>
    </w:r>
    <w:r>
      <w:rPr>
        <w:rFonts w:ascii="宋体" w:hAnsi="宋体" w:eastAsia="宋体" w:cs="宋体"/>
        <w:spacing w:val="-5"/>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4028E">
    <w:pPr>
      <w:ind w:firstLine="480"/>
    </w:pPr>
  </w:p>
  <w:p w14:paraId="0DCD36D5">
    <w:pPr>
      <w:pStyle w:val="4"/>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000F8">
    <w:pPr>
      <w:pStyle w:val="2"/>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74B05">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02B5709"/>
    <w:rsid w:val="2771369E"/>
    <w:rsid w:val="44091232"/>
    <w:rsid w:val="45B43BFC"/>
    <w:rsid w:val="585D5072"/>
    <w:rsid w:val="6D1909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Arial" w:hAnsi="Arial" w:eastAsia="Arial" w:cs="Arial"/>
      <w:sz w:val="21"/>
      <w:szCs w:val="21"/>
      <w:lang w:val="en-US" w:eastAsia="en-US" w:bidi="ar-SA"/>
    </w:rPr>
  </w:style>
  <w:style w:type="paragraph" w:customStyle="1" w:styleId="3">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4">
    <w:name w:val="Plain Text"/>
    <w:basedOn w:val="1"/>
    <w:next w:val="5"/>
    <w:qFormat/>
    <w:uiPriority w:val="0"/>
    <w:rPr>
      <w:rFonts w:ascii="宋体" w:hAnsi="Courier New"/>
      <w:szCs w:val="21"/>
    </w:rPr>
  </w:style>
  <w:style w:type="paragraph" w:customStyle="1" w:styleId="5">
    <w:name w:val="Default"/>
    <w:basedOn w:val="6"/>
    <w:qFormat/>
    <w:uiPriority w:val="0"/>
    <w:pPr>
      <w:autoSpaceDE w:val="0"/>
      <w:autoSpaceDN w:val="0"/>
      <w:adjustRightInd w:val="0"/>
    </w:pPr>
    <w:rPr>
      <w:rFonts w:ascii="宋体" w:cs="宋体"/>
      <w:sz w:val="24"/>
    </w:rPr>
  </w:style>
  <w:style w:type="paragraph" w:customStyle="1" w:styleId="6">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7">
    <w:name w:val="footer"/>
    <w:basedOn w:val="1"/>
    <w:qFormat/>
    <w:uiPriority w:val="99"/>
    <w:pPr>
      <w:tabs>
        <w:tab w:val="center" w:pos="4153"/>
        <w:tab w:val="right" w:pos="8306"/>
      </w:tabs>
      <w:snapToGrid w:val="0"/>
      <w:jc w:val="left"/>
    </w:pPr>
    <w:rPr>
      <w:kern w:val="0"/>
      <w:sz w:val="18"/>
      <w:szCs w:val="20"/>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黑体" w:hAnsi="黑体" w:eastAsia="黑体" w:cs="黑体"/>
      <w:sz w:val="16"/>
      <w:szCs w:val="16"/>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3.xml"/><Relationship Id="rId98" Type="http://schemas.openxmlformats.org/officeDocument/2006/relationships/footer" Target="footer92.xml"/><Relationship Id="rId97" Type="http://schemas.openxmlformats.org/officeDocument/2006/relationships/footer" Target="footer91.xml"/><Relationship Id="rId96" Type="http://schemas.openxmlformats.org/officeDocument/2006/relationships/footer" Target="footer90.xml"/><Relationship Id="rId95" Type="http://schemas.openxmlformats.org/officeDocument/2006/relationships/footer" Target="footer89.xml"/><Relationship Id="rId94" Type="http://schemas.openxmlformats.org/officeDocument/2006/relationships/footer" Target="footer88.xml"/><Relationship Id="rId93" Type="http://schemas.openxmlformats.org/officeDocument/2006/relationships/footer" Target="footer87.xml"/><Relationship Id="rId92" Type="http://schemas.openxmlformats.org/officeDocument/2006/relationships/footer" Target="footer86.xml"/><Relationship Id="rId91" Type="http://schemas.openxmlformats.org/officeDocument/2006/relationships/footer" Target="footer85.xml"/><Relationship Id="rId90" Type="http://schemas.openxmlformats.org/officeDocument/2006/relationships/footer" Target="footer84.xml"/><Relationship Id="rId9" Type="http://schemas.openxmlformats.org/officeDocument/2006/relationships/footer" Target="footer3.xml"/><Relationship Id="rId89" Type="http://schemas.openxmlformats.org/officeDocument/2006/relationships/footer" Target="footer83.xml"/><Relationship Id="rId88" Type="http://schemas.openxmlformats.org/officeDocument/2006/relationships/footer" Target="footer82.xml"/><Relationship Id="rId87" Type="http://schemas.openxmlformats.org/officeDocument/2006/relationships/footer" Target="footer81.xml"/><Relationship Id="rId86" Type="http://schemas.openxmlformats.org/officeDocument/2006/relationships/footer" Target="footer80.xml"/><Relationship Id="rId85" Type="http://schemas.openxmlformats.org/officeDocument/2006/relationships/footer" Target="footer79.xml"/><Relationship Id="rId84" Type="http://schemas.openxmlformats.org/officeDocument/2006/relationships/footer" Target="footer78.xml"/><Relationship Id="rId83" Type="http://schemas.openxmlformats.org/officeDocument/2006/relationships/footer" Target="footer77.xml"/><Relationship Id="rId82" Type="http://schemas.openxmlformats.org/officeDocument/2006/relationships/footer" Target="footer76.xml"/><Relationship Id="rId81" Type="http://schemas.openxmlformats.org/officeDocument/2006/relationships/footer" Target="footer75.xml"/><Relationship Id="rId80" Type="http://schemas.openxmlformats.org/officeDocument/2006/relationships/footer" Target="footer74.xml"/><Relationship Id="rId8" Type="http://schemas.openxmlformats.org/officeDocument/2006/relationships/footer" Target="footer2.xml"/><Relationship Id="rId79" Type="http://schemas.openxmlformats.org/officeDocument/2006/relationships/footer" Target="footer73.xml"/><Relationship Id="rId78" Type="http://schemas.openxmlformats.org/officeDocument/2006/relationships/footer" Target="footer72.xml"/><Relationship Id="rId77" Type="http://schemas.openxmlformats.org/officeDocument/2006/relationships/footer" Target="footer71.xml"/><Relationship Id="rId76" Type="http://schemas.openxmlformats.org/officeDocument/2006/relationships/footer" Target="footer70.xml"/><Relationship Id="rId75" Type="http://schemas.openxmlformats.org/officeDocument/2006/relationships/footer" Target="footer69.xml"/><Relationship Id="rId74" Type="http://schemas.openxmlformats.org/officeDocument/2006/relationships/footer" Target="footer68.xml"/><Relationship Id="rId73" Type="http://schemas.openxmlformats.org/officeDocument/2006/relationships/footer" Target="footer67.xml"/><Relationship Id="rId72" Type="http://schemas.openxmlformats.org/officeDocument/2006/relationships/footer" Target="footer66.xml"/><Relationship Id="rId71" Type="http://schemas.openxmlformats.org/officeDocument/2006/relationships/footer" Target="footer65.xml"/><Relationship Id="rId70" Type="http://schemas.openxmlformats.org/officeDocument/2006/relationships/footer" Target="footer64.xml"/><Relationship Id="rId7" Type="http://schemas.openxmlformats.org/officeDocument/2006/relationships/header" Target="header2.xml"/><Relationship Id="rId69" Type="http://schemas.openxmlformats.org/officeDocument/2006/relationships/footer" Target="footer63.xml"/><Relationship Id="rId68" Type="http://schemas.openxmlformats.org/officeDocument/2006/relationships/footer" Target="footer62.xml"/><Relationship Id="rId67" Type="http://schemas.openxmlformats.org/officeDocument/2006/relationships/footer" Target="footer61.xml"/><Relationship Id="rId66" Type="http://schemas.openxmlformats.org/officeDocument/2006/relationships/footer" Target="footer60.xml"/><Relationship Id="rId65" Type="http://schemas.openxmlformats.org/officeDocument/2006/relationships/footer" Target="footer59.xml"/><Relationship Id="rId64" Type="http://schemas.openxmlformats.org/officeDocument/2006/relationships/footer" Target="footer58.xml"/><Relationship Id="rId63" Type="http://schemas.openxmlformats.org/officeDocument/2006/relationships/footer" Target="footer57.xml"/><Relationship Id="rId62" Type="http://schemas.openxmlformats.org/officeDocument/2006/relationships/footer" Target="footer56.xml"/><Relationship Id="rId61" Type="http://schemas.openxmlformats.org/officeDocument/2006/relationships/footer" Target="footer55.xml"/><Relationship Id="rId60" Type="http://schemas.openxmlformats.org/officeDocument/2006/relationships/footer" Target="footer54.xml"/><Relationship Id="rId6" Type="http://schemas.openxmlformats.org/officeDocument/2006/relationships/footer" Target="footer1.xml"/><Relationship Id="rId59" Type="http://schemas.openxmlformats.org/officeDocument/2006/relationships/footer" Target="footer53.xml"/><Relationship Id="rId58" Type="http://schemas.openxmlformats.org/officeDocument/2006/relationships/footer" Target="footer52.xml"/><Relationship Id="rId57" Type="http://schemas.openxmlformats.org/officeDocument/2006/relationships/footer" Target="footer51.xml"/><Relationship Id="rId56" Type="http://schemas.openxmlformats.org/officeDocument/2006/relationships/footer" Target="footer50.xml"/><Relationship Id="rId55" Type="http://schemas.openxmlformats.org/officeDocument/2006/relationships/footer" Target="footer49.xml"/><Relationship Id="rId54" Type="http://schemas.openxmlformats.org/officeDocument/2006/relationships/footer" Target="footer48.xml"/><Relationship Id="rId53" Type="http://schemas.openxmlformats.org/officeDocument/2006/relationships/footer" Target="footer47.xml"/><Relationship Id="rId52" Type="http://schemas.openxmlformats.org/officeDocument/2006/relationships/footer" Target="footer46.xml"/><Relationship Id="rId51" Type="http://schemas.openxmlformats.org/officeDocument/2006/relationships/footer" Target="footer45.xml"/><Relationship Id="rId50" Type="http://schemas.openxmlformats.org/officeDocument/2006/relationships/footer" Target="footer44.xml"/><Relationship Id="rId5" Type="http://schemas.openxmlformats.org/officeDocument/2006/relationships/header" Target="header1.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footer" Target="footer37.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openxmlformats.org/officeDocument/2006/relationships/endnotes" Target="endnotes.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2" Type="http://schemas.openxmlformats.org/officeDocument/2006/relationships/fontTable" Target="fontTable.xml"/><Relationship Id="rId141" Type="http://schemas.openxmlformats.org/officeDocument/2006/relationships/customXml" Target="../customXml/item2.xml"/><Relationship Id="rId140" Type="http://schemas.openxmlformats.org/officeDocument/2006/relationships/customXml" Target="../customXml/item1.xml"/><Relationship Id="rId14" Type="http://schemas.openxmlformats.org/officeDocument/2006/relationships/footer" Target="footer8.xml"/><Relationship Id="rId139" Type="http://schemas.openxmlformats.org/officeDocument/2006/relationships/image" Target="media/image16.jpeg"/><Relationship Id="rId138" Type="http://schemas.openxmlformats.org/officeDocument/2006/relationships/image" Target="media/image15.jpeg"/><Relationship Id="rId137" Type="http://schemas.openxmlformats.org/officeDocument/2006/relationships/image" Target="media/image14.jpeg"/><Relationship Id="rId136" Type="http://schemas.openxmlformats.org/officeDocument/2006/relationships/image" Target="media/image13.jpeg"/><Relationship Id="rId135" Type="http://schemas.openxmlformats.org/officeDocument/2006/relationships/image" Target="media/image12.jpeg"/><Relationship Id="rId134" Type="http://schemas.openxmlformats.org/officeDocument/2006/relationships/image" Target="media/image11.png"/><Relationship Id="rId133" Type="http://schemas.openxmlformats.org/officeDocument/2006/relationships/image" Target="media/image10.jpeg"/><Relationship Id="rId132" Type="http://schemas.openxmlformats.org/officeDocument/2006/relationships/image" Target="media/image9.jpeg"/><Relationship Id="rId131" Type="http://schemas.openxmlformats.org/officeDocument/2006/relationships/image" Target="media/image8.png"/><Relationship Id="rId130" Type="http://schemas.openxmlformats.org/officeDocument/2006/relationships/image" Target="media/image7.jpeg"/><Relationship Id="rId13" Type="http://schemas.openxmlformats.org/officeDocument/2006/relationships/footer" Target="footer7.xml"/><Relationship Id="rId129" Type="http://schemas.openxmlformats.org/officeDocument/2006/relationships/image" Target="media/image6.jpeg"/><Relationship Id="rId128" Type="http://schemas.openxmlformats.org/officeDocument/2006/relationships/image" Target="media/image5.jpeg"/><Relationship Id="rId127" Type="http://schemas.openxmlformats.org/officeDocument/2006/relationships/image" Target="media/image4.jpeg"/><Relationship Id="rId126" Type="http://schemas.openxmlformats.org/officeDocument/2006/relationships/image" Target="media/image3.png"/><Relationship Id="rId125" Type="http://schemas.openxmlformats.org/officeDocument/2006/relationships/image" Target="media/image2.png"/><Relationship Id="rId124" Type="http://schemas.openxmlformats.org/officeDocument/2006/relationships/image" Target="media/image1.jpeg"/><Relationship Id="rId123" Type="http://schemas.openxmlformats.org/officeDocument/2006/relationships/theme" Target="theme/theme1.xml"/><Relationship Id="rId122" Type="http://schemas.openxmlformats.org/officeDocument/2006/relationships/footer" Target="footer115.xml"/><Relationship Id="rId121" Type="http://schemas.openxmlformats.org/officeDocument/2006/relationships/header" Target="header3.xml"/><Relationship Id="rId120" Type="http://schemas.openxmlformats.org/officeDocument/2006/relationships/footer" Target="footer114.xml"/><Relationship Id="rId12" Type="http://schemas.openxmlformats.org/officeDocument/2006/relationships/footer" Target="footer6.xml"/><Relationship Id="rId119" Type="http://schemas.openxmlformats.org/officeDocument/2006/relationships/footer" Target="footer113.xml"/><Relationship Id="rId118" Type="http://schemas.openxmlformats.org/officeDocument/2006/relationships/footer" Target="footer112.xml"/><Relationship Id="rId117" Type="http://schemas.openxmlformats.org/officeDocument/2006/relationships/footer" Target="footer111.xml"/><Relationship Id="rId116" Type="http://schemas.openxmlformats.org/officeDocument/2006/relationships/footer" Target="footer110.xml"/><Relationship Id="rId115" Type="http://schemas.openxmlformats.org/officeDocument/2006/relationships/footer" Target="footer109.xml"/><Relationship Id="rId114" Type="http://schemas.openxmlformats.org/officeDocument/2006/relationships/footer" Target="footer108.xml"/><Relationship Id="rId113" Type="http://schemas.openxmlformats.org/officeDocument/2006/relationships/footer" Target="footer107.xml"/><Relationship Id="rId112" Type="http://schemas.openxmlformats.org/officeDocument/2006/relationships/footer" Target="footer106.xml"/><Relationship Id="rId111" Type="http://schemas.openxmlformats.org/officeDocument/2006/relationships/footer" Target="footer105.xml"/><Relationship Id="rId110" Type="http://schemas.openxmlformats.org/officeDocument/2006/relationships/footer" Target="footer104.xml"/><Relationship Id="rId11" Type="http://schemas.openxmlformats.org/officeDocument/2006/relationships/footer" Target="footer5.xml"/><Relationship Id="rId109" Type="http://schemas.openxmlformats.org/officeDocument/2006/relationships/footer" Target="footer103.xml"/><Relationship Id="rId108" Type="http://schemas.openxmlformats.org/officeDocument/2006/relationships/footer" Target="footer102.xml"/><Relationship Id="rId107" Type="http://schemas.openxmlformats.org/officeDocument/2006/relationships/footer" Target="footer101.xml"/><Relationship Id="rId106" Type="http://schemas.openxmlformats.org/officeDocument/2006/relationships/footer" Target="footer100.xml"/><Relationship Id="rId105" Type="http://schemas.openxmlformats.org/officeDocument/2006/relationships/footer" Target="footer99.xml"/><Relationship Id="rId104" Type="http://schemas.openxmlformats.org/officeDocument/2006/relationships/footer" Target="footer98.xml"/><Relationship Id="rId103" Type="http://schemas.openxmlformats.org/officeDocument/2006/relationships/footer" Target="footer97.xml"/><Relationship Id="rId102" Type="http://schemas.openxmlformats.org/officeDocument/2006/relationships/footer" Target="footer96.xml"/><Relationship Id="rId101" Type="http://schemas.openxmlformats.org/officeDocument/2006/relationships/footer" Target="footer95.xml"/><Relationship Id="rId100" Type="http://schemas.openxmlformats.org/officeDocument/2006/relationships/footer" Target="footer94.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Exts>
</s:customData>
</file>

<file path=customXml/item2.xml><?xml version="1.0" encoding="utf-8"?>
<contractReview xmlns="http://schemas.wps.cn/vas-ai-hub/contract-review">
  <reviewItems>
    <reviewItem>
      <errorID>0d52e92d-4805-4297-a3b2-bb043cf8a7b0</errorID>
      <errorWord>(</errorWord>
      <group>L1_Format</group>
      <groupName>格式问题</groupName>
      <ability>L2_HalfPunc_CN</ability>
      <abilityName>全半角问题</abilityName>
      <candidateList>
        <item>（</item>
      </candidateList>
      <explain>文本全半角错误。</explain>
      <paraID>5941A89B</paraID>
      <start>0</start>
      <end>1</end>
      <status>unmodified</status>
      <modifiedWord/>
      <trackRevisions>false</trackRevisions>
    </reviewItem>
    <reviewItem>
      <errorID>18172a60-6ff1-46e4-bcb5-d6506303cb3f</errorID>
      <errorWord>)</errorWord>
      <group>L1_Format</group>
      <groupName>格式问题</groupName>
      <ability>L2_HalfPunc_CN</ability>
      <abilityName>全半角问题</abilityName>
      <candidateList>
        <item>）</item>
      </candidateList>
      <explain>文本全半角错误。</explain>
      <paraID>5941A89B</paraID>
      <start>6</start>
      <end>7</end>
      <status>unmodified</status>
      <modifiedWord/>
      <trackRevisions>false</trackRevisions>
    </reviewItem>
    <reviewItem>
      <errorID>0b1ec1b1-e842-40f7-8e85-fe952edfd26a</errorID>
      <errorWord>(</errorWord>
      <group>L1_Format</group>
      <groupName>格式问题</groupName>
      <ability>L2_HalfPunc_CN</ability>
      <abilityName>全半角问题</abilityName>
      <candidateList>
        <item>（</item>
      </candidateList>
      <explain>文本全半角错误。</explain>
      <paraID>4AEF5B4B</paraID>
      <start>0</start>
      <end>1</end>
      <status>unmodified</status>
      <modifiedWord/>
      <trackRevisions>false</trackRevisions>
    </reviewItem>
    <reviewItem>
      <errorID>2a6521c6-79d5-4e1e-bf89-f909a73adacc</errorID>
      <errorWord>)</errorWord>
      <group>L1_Format</group>
      <groupName>格式问题</groupName>
      <ability>L2_HalfPunc_CN</ability>
      <abilityName>全半角问题</abilityName>
      <candidateList>
        <item>）</item>
      </candidateList>
      <explain>文本全半角错误。</explain>
      <paraID>4AEF5B4B</paraID>
      <start>4</start>
      <end>5</end>
      <status>unmodified</status>
      <modifiedWord/>
      <trackRevisions>false</trackRevisions>
    </reviewItem>
    <reviewItem>
      <errorID>6c82dac0-1091-41d5-b98f-0595f8f11b74</errorID>
      <errorWord>劃</errorWord>
      <group>L1_Word</group>
      <groupName>字词问题</groupName>
      <ability>L2_Fanti</ability>
      <abilityName>繁转简</abilityName>
      <candidateList>
        <item>划</item>
      </candidateList>
      <explain/>
      <paraID>5BE2DF34</paraID>
      <start>11</start>
      <end>12</end>
      <status>unmodified</status>
      <modifiedWord/>
      <trackRevisions>false</trackRevisions>
    </reviewItem>
    <reviewItem>
      <errorID>bba4f05c-8767-47b6-b21c-77c1f9810503</errorID>
      <errorWord>區</errorWord>
      <group>L1_Word</group>
      <groupName>字词问题</groupName>
      <ability>L2_Fanti</ability>
      <abilityName>繁转简</abilityName>
      <candidateList>
        <item>区</item>
      </candidateList>
      <explain/>
      <paraID>5BE2DF34</paraID>
      <start>14</start>
      <end>15</end>
      <status>unmodified</status>
      <modifiedWord/>
      <trackRevisions>false</trackRevisions>
    </reviewItem>
    <reviewItem>
      <errorID>6d568578-f0ed-4fe7-a1ec-cb931248457f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5BE2DF34</paraID>
      <start>19</start>
      <end>20</end>
      <status>unmodified</status>
      <modifiedWord/>
      <trackRevisions>false</trackRevisions>
    </reviewItem>
    <reviewItem>
      <errorID>77b11ec9-2ad7-4320-99f6-afd6c5546695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6EEE05D2</paraID>
      <start>9</start>
      <end>10</end>
      <status>unmodified</status>
      <modifiedWord/>
      <trackRevisions>false</trackRevisions>
    </reviewItem>
    <reviewItem>
      <errorID>f991a3e6-2602-461e-b9c1-cca8024ff8fa</errorID>
      <errorWord>詛</errorWord>
      <group>L1_Word</group>
      <groupName>字词问题</groupName>
      <ability>L2_Fanti</ability>
      <abilityName>繁转简</abilityName>
      <candidateList>
        <item>诅</item>
      </candidateList>
      <explain/>
      <paraID>6EEE05D2</paraID>
      <start>20</start>
      <end>21</end>
      <status>unmodified</status>
      <modifiedWord/>
      <trackRevisions>false</trackRevisions>
    </reviewItem>
    <reviewItem>
      <errorID>cb6ff98c-68a0-42b1-9913-ebebd9b5bf0e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BFDF567</paraID>
      <start>29</start>
      <end>30</end>
      <status>unmodified</status>
      <modifiedWord/>
      <trackRevisions>false</trackRevisions>
    </reviewItem>
    <reviewItem>
      <errorID>a2c21320-1e1e-457f-9515-85a64f17f222</errorID>
      <errorWord>1995年01月</errorWord>
      <group>L1_Knowledge</group>
      <groupName>知识性问题</groupName>
      <ability>L2_Time</ability>
      <abilityName>日期时间</abilityName>
      <candidateList>
        <item>1995年1月</item>
      </candidateList>
      <explain>根据日常书写习惯，月份一般会省略前导零。</explain>
      <paraID>49BE6D0A</paraID>
      <start>0</start>
      <end>8</end>
      <status>unmodified</status>
      <modifiedWord/>
      <trackRevisions>false</trackRevisions>
    </reviewItem>
    <reviewItem>
      <errorID>b450e3ea-c3ba-4e21-8ed8-81cef46bdadb</errorID>
      <errorWord>-</errorWord>
      <group>L1_Format</group>
      <groupName>格式问题</groupName>
      <ability>L2_HalfPunc_CN</ability>
      <abilityName>全半角问题</abilityName>
      <candidateList>
        <item>－</item>
      </candidateList>
      <explain>文本全半角错误。</explain>
      <paraID>49BE6D0A</paraID>
      <start>9</start>
      <end>10</end>
      <status>unmodified</status>
      <modifiedWord/>
      <trackRevisions>false</trackRevisions>
    </reviewItem>
    <reviewItem>
      <errorID>717f6907-9f25-4fb6-b737-d07eae8050ef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24F459A5</paraID>
      <start>0</start>
      <end>2</end>
      <status>unmodified</status>
      <modifiedWord/>
      <trackRevisions>false</trackRevisions>
    </reviewItem>
    <reviewItem>
      <errorID>e86856aa-d9b9-4a8c-bbdc-151bd033669a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20C32EAA</paraID>
      <start>0</start>
      <end>2</end>
      <status>unmodified</status>
      <modifiedWord/>
      <trackRevisions>false</trackRevisions>
    </reviewItem>
    <reviewItem>
      <errorID>b8c37606-b64e-4647-b879-494f5488bb57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83A81B2</paraID>
      <start>0</start>
      <end>2</end>
      <status>unmodified</status>
      <modifiedWord/>
      <trackRevisions>false</trackRevisions>
    </reviewItem>
    <reviewItem>
      <errorID>7f9625b8-e5a9-4ff8-b946-207cdda9753b</errorID>
      <errorWord>2026年08月19日</errorWord>
      <group>L1_Knowledge</group>
      <groupName>知识性问题</groupName>
      <ability>L2_Time</ability>
      <abilityName>日期时间</abilityName>
      <candidateList>
        <item>2026年8月19日</item>
      </candidateList>
      <explain>根据日常书写习惯，月份一般会省略前导零。</explain>
      <paraID>1C549A3D</paraID>
      <start>64</start>
      <end>75</end>
      <status>unmodified</status>
      <modifiedWord/>
      <trackRevisions>false</trackRevisions>
    </reviewItem>
    <reviewItem>
      <errorID>a840ab23-9af8-4cee-8b1a-0c25e59c4e04</errorID>
      <errorWord>-</errorWord>
      <group>L1_Format</group>
      <groupName>格式问题</groupName>
      <ability>L2_HalfPunc_CN</ability>
      <abilityName>全半角问题</abilityName>
      <candidateList>
        <item>－</item>
      </candidateList>
      <explain>文本全半角错误。</explain>
      <paraID>7541AC38</paraID>
      <start>9</start>
      <end>10</end>
      <status>unmodified</status>
      <modifiedWord/>
      <trackRevisions>false</trackRevisions>
    </reviewItem>
    <reviewItem>
      <errorID>d04f648c-ac98-4207-bdc7-fb6351bce7ee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7B63F367</paraID>
      <start>0</start>
      <end>2</end>
      <status>unmodified</status>
      <modifiedWord/>
      <trackRevisions>false</trackRevisions>
    </reviewItem>
    <reviewItem>
      <errorID>eab2aac1-cde5-42fd-85d2-f19274b46164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2DFFF6C7</paraID>
      <start>0</start>
      <end>2</end>
      <status>unmodified</status>
      <modifiedWord/>
      <trackRevisions>false</trackRevisions>
    </reviewItem>
    <reviewItem>
      <errorID>6f4eb6a9-c8bd-4461-948e-98142838f282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40B598A</paraID>
      <start>0</start>
      <end>2</end>
      <status>unmodified</status>
      <modifiedWord/>
      <trackRevisions>false</trackRevisions>
    </reviewItem>
    <reviewItem>
      <errorID>79c72411-ac17-4f5e-bde5-0439474ef580</errorID>
      <errorWord>2026年08月19日</errorWord>
      <group>L1_Knowledge</group>
      <groupName>知识性问题</groupName>
      <ability>L2_Time</ability>
      <abilityName>日期时间</abilityName>
      <candidateList>
        <item>2026年8月19日</item>
      </candidateList>
      <explain>根据日常书写习惯，月份一般会省略前导零。</explain>
      <paraID>52D7DFE8</paraID>
      <start>64</start>
      <end>75</end>
      <status>unmodified</status>
      <modifiedWord/>
      <trackRevisions>false</trackRevisions>
    </reviewItem>
    <reviewItem>
      <errorID>c8b2b715-0d8b-49a5-8de1-d3b9d9db9aec</errorID>
      <errorWord>[2023]</errorWord>
      <group>L1_Punc</group>
      <groupName>标点问题</groupName>
      <ability>L2_Punc_CN</ability>
      <abilityName>标点符号问题</abilityName>
      <candidateList>
        <item>〔2023〕</item>
      </candidateList>
      <explain/>
      <paraID>1D396DF1</paraID>
      <start>57</start>
      <end>92</end>
      <status>unmodified</status>
      <modifiedWord/>
      <trackRevisions>false</trackRevisions>
    </reviewItem>
    <reviewItem>
      <errorID>419657b2-b488-4e75-b5b4-c8d23ad58e08</errorID>
      <errorWord>-</errorWord>
      <group>L1_Format</group>
      <groupName>格式问题</groupName>
      <ability>L2_HalfPunc_CN</ability>
      <abilityName>全半角问题</abilityName>
      <candidateList>
        <item>－</item>
      </candidateList>
      <explain>文本全半角错误。</explain>
      <paraID>18FBF6EF</paraID>
      <start>15</start>
      <end>16</end>
      <status>unmodified</status>
      <modifiedWord/>
      <trackRevisions>false</trackRevisions>
    </reviewItem>
    <reviewItem>
      <errorID>cacbf321-3387-4e6f-8e08-a07c030c081b</errorID>
      <errorWord>项</errorWord>
      <group>L1_Word</group>
      <groupName>字词问题</groupName>
      <ability>L2_Typo</ability>
      <abilityName>字词错误</abilityName>
      <candidateList>
        <item>项目</item>
      </candidateList>
      <explain/>
      <paraID>4152F02C</paraID>
      <start>12</start>
      <end>13</end>
      <status>unmodified</status>
      <modifiedWord/>
      <trackRevisions>false</trackRevisions>
    </reviewItem>
    <reviewItem>
      <errorID>0272aaeb-6513-40fa-a16e-5a97cb82893c</errorID>
      <errorWord>(</errorWord>
      <group>L1_Format</group>
      <groupName>格式问题</groupName>
      <ability>L2_HalfPunc_CN</ability>
      <abilityName>全半角问题</abilityName>
      <candidateList>
        <item>（</item>
      </candidateList>
      <explain>文本全半角错误。</explain>
      <paraID>439C8CF4</paraID>
      <start>86</start>
      <end>87</end>
      <status>unmodified</status>
      <modifiedWord/>
      <trackRevisions>false</trackRevisions>
    </reviewItem>
    <reviewItem>
      <errorID>e938940b-aff9-4e93-b7ac-2980c0bdc9d5</errorID>
      <errorWord>)</errorWord>
      <group>L1_Format</group>
      <groupName>格式问题</groupName>
      <ability>L2_HalfPunc_CN</ability>
      <abilityName>全半角问题</abilityName>
      <candidateList>
        <item>）</item>
      </candidateList>
      <explain>文本全半角错误。</explain>
      <paraID>439C8CF4</paraID>
      <start>98</start>
      <end>99</end>
      <status>unmodified</status>
      <modifiedWord/>
      <trackRevisions>false</trackRevisions>
    </reviewItem>
    <reviewItem>
      <errorID>664da4b5-8522-480a-b019-28c18ae97c59</errorID>
      <errorWord>(</errorWord>
      <group>L1_Format</group>
      <groupName>格式问题</groupName>
      <ability>L2_HalfPunc_CN</ability>
      <abilityName>全半角问题</abilityName>
      <candidateList>
        <item>（</item>
      </candidateList>
      <explain>文本全半角错误。</explain>
      <paraID>439C8CF4</paraID>
      <start>109</start>
      <end>110</end>
      <status>unmodified</status>
      <modifiedWord/>
      <trackRevisions>false</trackRevisions>
    </reviewItem>
    <reviewItem>
      <errorID>2228a287-bf46-4344-af2b-3cfe07c63f3a</errorID>
      <errorWord>)</errorWord>
      <group>L1_Format</group>
      <groupName>格式问题</groupName>
      <ability>L2_HalfPunc_CN</ability>
      <abilityName>全半角问题</abilityName>
      <candidateList>
        <item>）</item>
      </candidateList>
      <explain>文本全半角错误。</explain>
      <paraID>439C8CF4</paraID>
      <start>114</start>
      <end>115</end>
      <status>unmodified</status>
      <modifiedWord/>
      <trackRevisions>false</trackRevisions>
    </reviewItem>
    <reviewItem>
      <errorID>35008647-f9e7-4467-9431-ff3b08aa058c</errorID>
      <errorWord>(</errorWord>
      <group>L1_Format</group>
      <groupName>格式问题</groupName>
      <ability>L2_HalfPunc_CN</ability>
      <abilityName>全半角问题</abilityName>
      <candidateList>
        <item>（</item>
      </candidateList>
      <explain>文本全半角错误。</explain>
      <paraID>439C8CF4</paraID>
      <start>185</start>
      <end>186</end>
      <status>unmodified</status>
      <modifiedWord/>
      <trackRevisions>false</trackRevisions>
    </reviewItem>
    <reviewItem>
      <errorID>13b1db4e-8404-40d0-8db0-cecf12d4ecb1</errorID>
      <errorWord>)</errorWord>
      <group>L1_Format</group>
      <groupName>格式问题</groupName>
      <ability>L2_HalfPunc_CN</ability>
      <abilityName>全半角问题</abilityName>
      <candidateList>
        <item>）</item>
      </candidateList>
      <explain>文本全半角错误。</explain>
      <paraID>439C8CF4</paraID>
      <start>191</start>
      <end>192</end>
      <status>unmodified</status>
      <modifiedWord/>
      <trackRevisions>false</trackRevisions>
    </reviewItem>
    <reviewItem>
      <errorID>c6bca16d-a3c5-4c9d-aa9c-f0239a73b669</errorID>
      <errorWord>根据与</errorWord>
      <group>L1_Word</group>
      <groupName>字词问题</groupName>
      <ability>L2_Typo</ability>
      <abilityName>字词错误</abilityName>
      <candidateList>
        <item>根据</item>
      </candidateList>
      <explain/>
      <paraID>13993B2C</paraID>
      <start>18</start>
      <end>21</end>
      <status>unmodified</status>
      <modifiedWord/>
      <trackRevisions>false</trackRevisions>
    </reviewItem>
    <reviewItem>
      <errorID>95b7e3e6-275b-4236-a6a4-91e0636021b7</errorID>
      <errorWord>减小</errorWord>
      <group>L1_Word</group>
      <groupName>字词问题</groupName>
      <ability>L2_Typo</ability>
      <abilityName>字词错误</abilityName>
      <candidateList>
        <item>减少</item>
      </candidateList>
      <explain>存在字形相近字词的误用。</explain>
      <paraID>5CC3C028</paraID>
      <start>144</start>
      <end>146</end>
      <status>unmodified</status>
      <modifiedWord/>
      <trackRevisions>false</trackRevisions>
    </reviewItem>
    <reviewItem>
      <errorID>4214ab2e-e4d7-4f63-b62a-b2eeb39a9b92</errorID>
      <errorWord>~</errorWord>
      <group>L1_Format</group>
      <groupName>格式问题</groupName>
      <ability>L2_HalfPunc_CN</ability>
      <abilityName>全半角问题</abilityName>
      <candidateList>
        <item>～</item>
      </candidateList>
      <explain>文本全半角错误。</explain>
      <paraID>1FF8A265</paraID>
      <start>37</start>
      <end>38</end>
      <status>unmodified</status>
      <modifiedWord/>
      <trackRevisions>false</trackRevisions>
    </reviewItem>
    <reviewItem>
      <errorID>357823a7-b758-4df3-9307-e71eb77fd7c5</errorID>
      <errorWord>(</errorWord>
      <group>L1_Format</group>
      <groupName>格式问题</groupName>
      <ability>L2_HalfPunc_CN</ability>
      <abilityName>全半角问题</abilityName>
      <candidateList>
        <item>（</item>
      </candidateList>
      <explain>文本全半角错误。</explain>
      <paraID>289E1AF8</paraID>
      <start>36</start>
      <end>37</end>
      <status>unmodified</status>
      <modifiedWord/>
      <trackRevisions>false</trackRevisions>
    </reviewItem>
    <reviewItem>
      <errorID>679c4cd2-3700-4520-83b7-5fe6e65309f4</errorID>
      <errorWord>)</errorWord>
      <group>L1_Format</group>
      <groupName>格式问题</groupName>
      <ability>L2_HalfPunc_CN</ability>
      <abilityName>全半角问题</abilityName>
      <candidateList>
        <item>）</item>
      </candidateList>
      <explain>文本全半角错误。</explain>
      <paraID>289E1AF8</paraID>
      <start>43</start>
      <end>44</end>
      <status>unmodified</status>
      <modifiedWord/>
      <trackRevisions>false</trackRevisions>
    </reviewItem>
    <reviewItem>
      <errorID>6592b5e0-f30f-47ab-a72e-5e9764a8fa8c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71485003</paraID>
      <start>7</start>
      <end>8</end>
      <status>unmodified</status>
      <modifiedWord/>
      <trackRevisions>false</trackRevisions>
    </reviewItem>
    <reviewItem>
      <errorID>0aa3c483-fafd-45f4-b5d3-0ff496190190</errorID>
      <errorWord>(</errorWord>
      <group>L1_Format</group>
      <groupName>格式问题</groupName>
      <ability>L2_HalfPunc_CN</ability>
      <abilityName>全半角问题</abilityName>
      <candidateList>
        <item>（</item>
      </candidateList>
      <explain>文本全半角错误。</explain>
      <paraID>2D34284E</paraID>
      <start>67</start>
      <end>68</end>
      <status>unmodified</status>
      <modifiedWord/>
      <trackRevisions>false</trackRevisions>
    </reviewItem>
    <reviewItem>
      <errorID>ada489dd-09cf-45a5-8242-169fde2d4492</errorID>
      <errorWord>)</errorWord>
      <group>L1_Format</group>
      <groupName>格式问题</groupName>
      <ability>L2_HalfPunc_CN</ability>
      <abilityName>全半角问题</abilityName>
      <candidateList>
        <item>）</item>
      </candidateList>
      <explain>文本全半角错误。</explain>
      <paraID>2D34284E</paraID>
      <start>78</start>
      <end>79</end>
      <status>unmodified</status>
      <modifiedWord/>
      <trackRevisions>false</trackRevisions>
    </reviewItem>
    <reviewItem>
      <errorID>b76dcbb0-2088-4956-8bed-9764591f6607</errorID>
      <errorWord>的</errorWord>
      <group>L1_Word</group>
      <groupName>字词问题</groupName>
      <ability>L2_DDD</ability>
      <abilityName>的地得用法</abilityName>
      <candidateList>
        <item>得</item>
      </candidateList>
      <explain/>
      <paraID>204A8237</paraID>
      <start>41</start>
      <end>42</end>
      <status>unmodified</status>
      <modifiedWord/>
      <trackRevisions>false</trackRevisions>
    </reviewItem>
    <reviewItem>
      <errorID>c359d288-4f32-4a53-8dbe-29f55515eb8f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5BE6323D</paraID>
      <start>5</start>
      <end>6</end>
      <status>unmodified</status>
      <modifiedWord/>
      <trackRevisions>false</trackRevisions>
    </reviewItem>
    <reviewItem>
      <errorID>9a2c937a-9ec8-40ff-9743-458343528fb4</errorID>
      <errorWord>尽最</errorWord>
      <group>L1_Word</group>
      <groupName>字词问题</groupName>
      <ability>L2_Typo</ability>
      <abilityName>字词错误</abilityName>
      <candidateList>
        <item>尽量</item>
      </candidateList>
      <explain/>
      <paraID>3D1E41CD</paraID>
      <start>45</start>
      <end>47</end>
      <status>unmodified</status>
      <modifiedWord/>
      <trackRevisions>false</trackRevisions>
    </reviewItem>
    <reviewItem>
      <errorID>db1974d2-1ad4-4828-894e-9c6062d55635</errorID>
      <errorWord>（</errorWord>
      <group>L1_Format</group>
      <groupName>格式问题</groupName>
      <ability>L2_HalfPunc_CN</ability>
      <abilityName>全半角问题</abilityName>
      <candidateList>
        <item>(</item>
      </candidateList>
      <explain>文本全半角错误。</explain>
      <paraID>64F7D5C6</paraID>
      <start>0</start>
      <end>1</end>
      <status>unmodified</status>
      <modifiedWord/>
      <trackRevisions>false</trackRevisions>
    </reviewItem>
    <reviewItem>
      <errorID>0322b1b7-b21d-485d-9c27-ce053595e658</errorID>
      <errorWord>）</errorWord>
      <group>L1_Format</group>
      <groupName>格式问题</groupName>
      <ability>L2_HalfPunc_CN</ability>
      <abilityName>全半角问题</abilityName>
      <candidateList>
        <item>)</item>
      </candidateList>
      <explain>文本全半角错误。</explain>
      <paraID>64F7D5C6</paraID>
      <start>13</start>
      <end>14</end>
      <status>unmodified</status>
      <modifiedWord/>
      <trackRevisions>false</trackRevisions>
    </reviewItem>
    <reviewItem>
      <errorID>2c367e1d-d0c2-49f3-89a2-fa4d77a0a02b</errorID>
      <errorWord>(</errorWord>
      <group>L1_Format</group>
      <groupName>格式问题</groupName>
      <ability>L2_HalfPunc_CN</ability>
      <abilityName>全半角问题</abilityName>
      <candidateList>
        <item>（</item>
      </candidateList>
      <explain>文本全半角错误。</explain>
      <paraID>325D48FB</paraID>
      <start>2</start>
      <end>3</end>
      <status>unmodified</status>
      <modifiedWord/>
      <trackRevisions>false</trackRevisions>
    </reviewItem>
    <reviewItem>
      <errorID>fef9ac51-7af6-499c-892b-7b17a751658e</errorID>
      <errorWord>)</errorWord>
      <group>L1_Format</group>
      <groupName>格式问题</groupName>
      <ability>L2_HalfPunc_CN</ability>
      <abilityName>全半角问题</abilityName>
      <candidateList>
        <item>）</item>
      </candidateList>
      <explain>文本全半角错误。</explain>
      <paraID>325D48FB</paraID>
      <start>15</start>
      <end>16</end>
      <status>unmodified</status>
      <modifiedWord/>
      <trackRevisions>false</trackRevisions>
    </reviewItem>
    <reviewItem>
      <errorID>207b142e-b1f8-47bd-845c-e4cbdcc3c94c</errorID>
      <errorWord>。</errorWord>
      <group>L1_Format</group>
      <groupName>格式问题</groupName>
      <ability>L2_HalfPunc_CN</ability>
      <abilityName>全半角问题</abilityName>
      <candidateList>
        <item>.</item>
      </candidateList>
      <explain>文本全半角错误。</explain>
      <paraID>5BB5C4D0</paraID>
      <start>4</start>
      <end>5</end>
      <status>unmodified</status>
      <modifiedWord/>
      <trackRevisions>false</trackRevisions>
    </reviewItem>
    <reviewItem>
      <errorID>2eaca8ec-e720-4894-b19e-01a548e91810</errorID>
      <errorWord>(</errorWord>
      <group>L1_Format</group>
      <groupName>格式问题</groupName>
      <ability>L2_HalfPunc_CN</ability>
      <abilityName>全半角问题</abilityName>
      <candidateList>
        <item>（</item>
      </candidateList>
      <explain>文本全半角错误。</explain>
      <paraID>4BCC83BE</paraID>
      <start>25</start>
      <end>26</end>
      <status>unmodified</status>
      <modifiedWord/>
      <trackRevisions>false</trackRevisions>
    </reviewItem>
    <reviewItem>
      <errorID>1f98b025-9b29-438e-aab6-3715775628b8</errorID>
      <errorWord>)</errorWord>
      <group>L1_Format</group>
      <groupName>格式问题</groupName>
      <ability>L2_HalfPunc_CN</ability>
      <abilityName>全半角问题</abilityName>
      <candidateList>
        <item>）</item>
      </candidateList>
      <explain>文本全半角错误。</explain>
      <paraID>4BCC83BE</paraID>
      <start>38</start>
      <end>39</end>
      <status>unmodified</status>
      <modifiedWord/>
      <trackRevisions>false</trackRevisions>
    </reviewItem>
    <reviewItem>
      <errorID>dfc2fa1e-2bd6-4a97-8e43-92ed62ebb881</errorID>
      <errorWord>基础施</errorWord>
      <group>L1_Word</group>
      <groupName>字词问题</groupName>
      <ability>L2_Typo</ability>
      <abilityName>字词错误</abilityName>
      <candidateList>
        <item>基础设施</item>
      </candidateList>
      <explain/>
      <paraID>70AB9FE0</paraID>
      <start>7</start>
      <end>10</end>
      <status>unmodified</status>
      <modifiedWord/>
      <trackRevisions>false</trackRevisions>
    </reviewItem>
    <reviewItem>
      <errorID>74a83399-4276-4706-b6a7-1db3d86f8afa</errorID>
      <errorWord>(</errorWord>
      <group>L1_Format</group>
      <groupName>格式问题</groupName>
      <ability>L2_HalfPunc_CN</ability>
      <abilityName>全半角问题</abilityName>
      <candidateList>
        <item>（</item>
      </candidateList>
      <explain>文本全半角错误。</explain>
      <paraID>27838483</paraID>
      <start>151</start>
      <end>152</end>
      <status>unmodified</status>
      <modifiedWord/>
      <trackRevisions>false</trackRevisions>
    </reviewItem>
    <reviewItem>
      <errorID>8321afca-96d1-4106-a1bc-7413bf9402d8</errorID>
      <errorWord>)</errorWord>
      <group>L1_Format</group>
      <groupName>格式问题</groupName>
      <ability>L2_HalfPunc_CN</ability>
      <abilityName>全半角问题</abilityName>
      <candidateList>
        <item>）</item>
      </candidateList>
      <explain>文本全半角错误。</explain>
      <paraID>27838483</paraID>
      <start>153</start>
      <end>154</end>
      <status>unmodified</status>
      <modifiedWord/>
      <trackRevisions>false</trackRevisions>
    </reviewItem>
    <reviewItem>
      <errorID>3ea233e3-c477-4716-a268-c139de3ef53d</errorID>
      <errorWord>(</errorWord>
      <group>L1_Format</group>
      <groupName>格式问题</groupName>
      <ability>L2_HalfPunc_CN</ability>
      <abilityName>全半角问题</abilityName>
      <candidateList>
        <item>（</item>
      </candidateList>
      <explain>文本全半角错误。</explain>
      <paraID>27838483</paraID>
      <start>165</start>
      <end>166</end>
      <status>unmodified</status>
      <modifiedWord/>
      <trackRevisions>false</trackRevisions>
    </reviewItem>
    <reviewItem>
      <errorID>051358d1-b721-40ce-a6b2-f00802239307</errorID>
      <errorWord>)</errorWord>
      <group>L1_Format</group>
      <groupName>格式问题</groupName>
      <ability>L2_HalfPunc_CN</ability>
      <abilityName>全半角问题</abilityName>
      <candidateList>
        <item>）</item>
      </candidateList>
      <explain>文本全半角错误。</explain>
      <paraID>27838483</paraID>
      <start>167</start>
      <end>168</end>
      <status>unmodified</status>
      <modifiedWord/>
      <trackRevisions>false</trackRevisions>
    </reviewItem>
    <reviewItem>
      <errorID>42331e2a-c6ea-4f6f-a090-48a544daba97</errorID>
      <errorWord>(</errorWord>
      <group>L1_Format</group>
      <groupName>格式问题</groupName>
      <ability>L2_HalfPunc_CN</ability>
      <abilityName>全半角问题</abilityName>
      <candidateList>
        <item>（</item>
      </candidateList>
      <explain>文本全半角错误。</explain>
      <paraID> 11EC161</paraID>
      <start>63</start>
      <end>64</end>
      <status>unmodified</status>
      <modifiedWord/>
      <trackRevisions>false</trackRevisions>
    </reviewItem>
    <reviewItem>
      <errorID>a525cb3e-79a4-480e-919e-10d5ad464988</errorID>
      <errorWord>)</errorWord>
      <group>L1_Format</group>
      <groupName>格式问题</groupName>
      <ability>L2_HalfPunc_CN</ability>
      <abilityName>全半角问题</abilityName>
      <candidateList>
        <item>）</item>
      </candidateList>
      <explain>文本全半角错误。</explain>
      <paraID> 11EC161</paraID>
      <start>66</start>
      <end>67</end>
      <status>unmodified</status>
      <modifiedWord/>
      <trackRevisions>false</trackRevisions>
    </reviewItem>
    <reviewItem>
      <errorID>013eb255-509d-40de-b85e-851d8311183e</errorID>
      <errorWord>(</errorWord>
      <group>L1_Format</group>
      <groupName>格式问题</groupName>
      <ability>L2_HalfPunc_CN</ability>
      <abilityName>全半角问题</abilityName>
      <candidateList>
        <item>（</item>
      </candidateList>
      <explain>文本全半角错误。</explain>
      <paraID>790B628B</paraID>
      <start>25</start>
      <end>26</end>
      <status>unmodified</status>
      <modifiedWord/>
      <trackRevisions>false</trackRevisions>
    </reviewItem>
    <reviewItem>
      <errorID>2d3b7a72-e324-427a-8f62-a15ca28580de</errorID>
      <errorWord>)</errorWord>
      <group>L1_Format</group>
      <groupName>格式问题</groupName>
      <ability>L2_HalfPunc_CN</ability>
      <abilityName>全半角问题</abilityName>
      <candidateList>
        <item>）</item>
      </candidateList>
      <explain>文本全半角错误。</explain>
      <paraID>790B628B</paraID>
      <start>33</start>
      <end>34</end>
      <status>unmodified</status>
      <modifiedWord/>
      <trackRevisions>false</trackRevisions>
    </reviewItem>
    <reviewItem>
      <errorID>6b888af5-577f-46a6-be40-b07b57c00b8c</errorID>
      <errorWord>(</errorWord>
      <group>L1_Format</group>
      <groupName>格式问题</groupName>
      <ability>L2_HalfPunc_CN</ability>
      <abilityName>全半角问题</abilityName>
      <candidateList>
        <item>（</item>
      </candidateList>
      <explain>文本全半角错误。</explain>
      <paraID>646875DA</paraID>
      <start>39</start>
      <end>40</end>
      <status>unmodified</status>
      <modifiedWord/>
      <trackRevisions>false</trackRevisions>
    </reviewItem>
    <reviewItem>
      <errorID>a2c60958-82cb-4cca-a32f-df3c31518619</errorID>
      <errorWord>(</errorWord>
      <group>L1_Format</group>
      <groupName>格式问题</groupName>
      <ability>L2_HalfPunc_CN</ability>
      <abilityName>全半角问题</abilityName>
      <candidateList>
        <item>（</item>
      </candidateList>
      <explain>文本全半角错误。</explain>
      <paraID> A888E16</paraID>
      <start>33</start>
      <end>34</end>
      <status>unmodified</status>
      <modifiedWord/>
      <trackRevisions>false</trackRevisions>
    </reviewItem>
    <reviewItem>
      <errorID>d549c8ed-bf58-4a2c-a2a5-f69616d6c828</errorID>
      <errorWord>)</errorWord>
      <group>L1_Format</group>
      <groupName>格式问题</groupName>
      <ability>L2_HalfPunc_CN</ability>
      <abilityName>全半角问题</abilityName>
      <candidateList>
        <item>）</item>
      </candidateList>
      <explain>文本全半角错误。</explain>
      <paraID> A888E16</paraID>
      <start>40</start>
      <end>41</end>
      <status>unmodified</status>
      <modifiedWord/>
      <trackRevisions>false</trackRevisions>
    </reviewItem>
    <reviewItem>
      <errorID>2f8791f6-2f28-48ea-993a-986814f18fe6</errorID>
      <errorWord>为为</errorWord>
      <group>L1_Word</group>
      <groupName>字词问题</groupName>
      <ability>L2_Typo</ability>
      <abilityName>字词错误</abilityName>
      <candidateList>
        <item>为</item>
      </candidateList>
      <explain/>
      <paraID>41DAD81A</paraID>
      <start>3</start>
      <end>5</end>
      <status>unmodified</status>
      <modifiedWord/>
      <trackRevisions>false</trackRevisions>
    </reviewItem>
    <reviewItem>
      <errorID>4d1fa196-de3d-40d5-b9d2-bb8579fe2a77</errorID>
      <errorWord>.</errorWord>
      <group>L1_Format</group>
      <groupName>格式问题</groupName>
      <ability>L2_HalfPunc_CN</ability>
      <abilityName>全半角问题</abilityName>
      <candidateList>
        <item>。</item>
      </candidateList>
      <explain>文本全半角错误。</explain>
      <paraID>52CBADF0</paraID>
      <start>34</start>
      <end>35</end>
      <status>unmodified</status>
      <modifiedWord/>
      <trackRevisions>false</trackRevisions>
    </reviewItem>
    <reviewItem>
      <errorID>59e5fcb2-9934-4ecb-b949-7904308c2f04</errorID>
      <errorWord>:</errorWord>
      <group>L1_Format</group>
      <groupName>格式问题</groupName>
      <ability>L2_HalfPunc_CN</ability>
      <abilityName>全半角问题</abilityName>
      <candidateList>
        <item>：</item>
      </candidateList>
      <explain>文本全半角错误。</explain>
      <paraID>66679D0F</paraID>
      <start>8</start>
      <end>9</end>
      <status>unmodified</status>
      <modifiedWord/>
      <trackRevisions>false</trackRevisions>
    </reviewItem>
    <reviewItem>
      <errorID>254d1782-4428-485a-9393-b7f62892605a</errorID>
      <errorWord>对性</errorWord>
      <group>L1_Word</group>
      <groupName>字词问题</groupName>
      <ability>L2_Typo</ability>
      <abilityName>字词错误</abilityName>
      <candidateList>
        <item>对</item>
      </candidateList>
      <explain/>
      <paraID>5CEF4895</paraID>
      <start>0</start>
      <end>2</end>
      <status>unmodified</status>
      <modifiedWord/>
      <trackRevisions>false</trackRevisions>
    </reviewItem>
    <reviewItem>
      <errorID>2882af52-0332-4305-b63d-8f1235819205</errorID>
      <errorWord>措</errorWord>
      <group>L1_Word</group>
      <groupName>字词问题</groupName>
      <ability>L2_Typo</ability>
      <abilityName>字词错误</abilityName>
      <candidateList>
        <item>措施</item>
      </candidateList>
      <explain/>
      <paraID>73FB094B</paraID>
      <start>12</start>
      <end>13</end>
      <status>unmodified</status>
      <modifiedWord/>
      <trackRevisions>false</trackRevisions>
    </reviewItem>
    <reviewItem>
      <errorID>d07fb804-1d7a-48bb-9295-3617ea205400</errorID>
      <errorWord>风</errorWord>
      <group>L1_Word</group>
      <groupName>字词问题</groupName>
      <ability>L2_Typo</ability>
      <abilityName>字词错误</abilityName>
      <candidateList>
        <item>风险</item>
      </candidateList>
      <explain/>
      <paraID>30C8F688</paraID>
      <start>169</start>
      <end>170</end>
      <status>unmodified</status>
      <modifiedWord/>
      <trackRevisions>false</trackRevisions>
    </reviewItem>
    <reviewItem>
      <errorID>3d15e4f3-dfd8-40ee-8a87-bbae63830a30</errorID>
      <errorWord>企</errorWord>
      <group>L1_Word</group>
      <groupName>字词问题</groupName>
      <ability>L2_Typo</ability>
      <abilityName>字词错误</abilityName>
      <candidateList>
        <item>企业</item>
      </candidateList>
      <explain/>
      <paraID>3E0782C4</paraID>
      <start>12</start>
      <end>13</end>
      <status>unmodified</status>
      <modifiedWord/>
      <trackRevisions>false</trackRevisions>
    </reviewItem>
    <reviewItem>
      <errorID>d255cbdf-3ea2-4fb0-ba7f-60d5fb720a4a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2C9CFB27</paraID>
      <start>12</start>
      <end>13</end>
      <status>unmodified</status>
      <modifiedWord/>
      <trackRevisions>false</trackRevisions>
    </reviewItem>
    <reviewItem>
      <errorID>f13daa83-050d-4a49-b80e-c8c62603b6af</errorID>
      <errorWord>相关措</errorWord>
      <group>L1_Word</group>
      <groupName>字词问题</groupName>
      <ability>L2_Typo</ability>
      <abilityName>字词错误</abilityName>
      <candidateList>
        <item>相关措施</item>
      </candidateList>
      <explain/>
      <paraID>4CE8D804</paraID>
      <start>10</start>
      <end>13</end>
      <status>unmodified</status>
      <modifiedWord/>
      <trackRevisions>false</trackRevisions>
    </reviewItem>
    <reviewItem>
      <errorID>4e4ead92-a2ac-4a48-b433-bd712ab297ae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285CED61</paraID>
      <start>129</start>
      <end>130</end>
      <status>unmodified</status>
      <modifiedWord/>
      <trackRevisions>false</trackRevisions>
    </reviewItem>
    <reviewItem>
      <errorID>4388b0d6-5e52-426a-92b1-151f38878c73</errorID>
      <errorWord>合</errorWord>
      <group>L1_Word</group>
      <groupName>字词问题</groupName>
      <ability>L2_Typo</ability>
      <abilityName>字词错误</abilityName>
      <candidateList>
        <item>合理</item>
      </candidateList>
      <explain/>
      <paraID>3D3E3894</paraID>
      <start>0</start>
      <end>1</end>
      <status>unmodified</status>
      <modifiedWord/>
      <trackRevisions>false</trackRevisions>
    </reviewItem>
    <reviewItem>
      <errorID>dcbf18c1-7bc0-4fb6-af68-a155270e0d9d</errorID>
      <errorWord>。，</errorWord>
      <group>L1_Punc</group>
      <groupName>标点问题</groupName>
      <ability>L2_Punc_CN</ability>
      <abilityName>标点符号问题</abilityName>
      <candidateList>
        <item>。</item>
      </candidateList>
      <explain/>
      <paraID>6BA051A7</paraID>
      <start>84</start>
      <end>86</end>
      <status>unmodified</status>
      <modifiedWord/>
      <trackRevisions>false</trackRevisions>
    </reviewItem>
    <reviewItem>
      <errorID>ba2ddf19-5fd4-46da-a6bf-5d7f3eab18cd</errorID>
      <errorWord>染</errorWord>
      <group>L1_Word</group>
      <groupName>字词问题</groupName>
      <ability>L2_Typo</ability>
      <abilityName>字词错误</abilityName>
      <candidateList>
        <item>让</item>
      </candidateList>
      <explain>存在发音相近字词的误用。</explain>
      <paraID>62A328FD</paraID>
      <start>0</start>
      <end>1</end>
      <status>unmodified</status>
      <modifiedWord/>
      <trackRevisions>false</trackRevisions>
    </reviewItem>
    <reviewItem>
      <errorID>275237c8-8515-4ac3-ab41-4495ed8fcfde</errorID>
      <errorWord>上线</errorWord>
      <group>L1_Word</group>
      <groupName>字词问题</groupName>
      <ability>L2_Typo</ability>
      <abilityName>字词错误</abilityName>
      <candidateList>
        <item>上限</item>
      </candidateList>
      <explain/>
      <paraID>63904799</paraID>
      <start>78</start>
      <end>80</end>
      <status>unmodified</status>
      <modifiedWord/>
      <trackRevisions>false</trackRevisions>
    </reviewItem>
    <reviewItem>
      <errorID>11e15a1e-b813-48d9-b81c-e9905bced11a</errorID>
      <errorWord>及</errorWord>
      <group>L1_Word</group>
      <groupName>字词问题</groupName>
      <ability>L2_Typo</ability>
      <abilityName>字词错误</abilityName>
      <candidateList>
        <item>及项</item>
      </candidateList>
      <explain/>
      <paraID>5B1BAD0E</paraID>
      <start>7</start>
      <end>8</end>
      <status>unmodified</status>
      <modifiedWord/>
      <trackRevisions>false</trackRevisions>
    </reviewItem>
    <reviewItem>
      <errorID>143cda8b-7180-41fa-b533-5d26d33393d7</errorID>
      <errorWord>处</errorWord>
      <group>L1_Word</group>
      <groupName>字词问题</groupName>
      <ability>L2_Typo</ability>
      <abilityName>字词错误</abilityName>
      <candidateList>
        <item>处理</item>
      </candidateList>
      <explain/>
      <paraID>7B53B925</paraID>
      <start>8</start>
      <end>9</end>
      <status>unmodified</status>
      <modifiedWord/>
      <trackRevisions>false</trackRevisions>
    </reviewItem>
    <reviewItem>
      <errorID>77f552a8-049d-447c-b190-cd005137bf28</errorID>
      <errorWord>》</errorWord>
      <group>L1_Word</group>
      <groupName>字词问题</groupName>
      <ability>L2_Typo</ability>
      <abilityName>字词错误</abilityName>
      <candidateList>
        <item>》将</item>
      </candidateList>
      <explain/>
      <paraID>472D7B67</paraID>
      <start>13</start>
      <end>14</end>
      <status>unmodified</status>
      <modifiedWord/>
      <trackRevisions>false</trackRevisions>
    </reviewItem>
    <reviewItem>
      <errorID>244c9fb3-5dd2-4271-a1e0-1246dc89a636</errorID>
      <errorWord>》中</errorWord>
      <group>L1_Word</group>
      <groupName>字词问题</groupName>
      <ability>L2_Typo</ability>
      <abilityName>字词错误</abilityName>
      <candidateList>
        <item>》</item>
      </candidateList>
      <explain/>
      <paraID>3AAC60A5</paraID>
      <start>95</start>
      <end>97</end>
      <status>unmodified</status>
      <modifiedWord/>
      <trackRevisions>false</trackRevisions>
    </reviewItem>
    <reviewItem>
      <errorID>f3229a8b-d38c-495c-ab1d-46192576db45</errorID>
      <errorWord>、</errorWord>
      <group>L1_Word</group>
      <groupName>字词问题</groupName>
      <ability>L2_Typo</ability>
      <abilityName>字词错误</abilityName>
      <candidateList>
        <item>、第</item>
      </candidateList>
      <explain/>
      <paraID>3AAC60A5</paraID>
      <start>101</start>
      <end>102</end>
      <status>unmodified</status>
      <modifiedWord/>
      <trackRevisions>false</trackRevisions>
    </reviewItem>
    <reviewItem>
      <errorID>cd5e75a3-7c56-49f7-855d-104dd6e4cb90</errorID>
      <errorWord>条中</errorWord>
      <group>L1_Word</group>
      <groupName>字词问题</groupName>
      <ability>L2_Typo</ability>
      <abilityName>字词错误</abilityName>
      <candidateList>
        <item>条</item>
      </candidateList>
      <explain/>
      <paraID>3AAC60A5</paraID>
      <start>105</start>
      <end>107</end>
      <status>unmodified</status>
      <modifiedWord/>
      <trackRevisions>false</trackRevisions>
    </reviewItem>
    <reviewItem>
      <errorID>a555c839-4c94-4354-b20d-a8c062d8f014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55F4E8E8</paraID>
      <start>0</start>
      <end>2</end>
      <status>unmodified</status>
      <modifiedWord/>
      <trackRevisions>false</trackRevisions>
    </reviewItem>
    <reviewItem>
      <errorID>9a376895-a679-4118-b0a3-20ce74e1e4d4</errorID>
      <errorWord>。</errorWord>
      <group>L1_Format</group>
      <groupName>格式问题</groupName>
      <ability>L2_HalfPunc_CN</ability>
      <abilityName>全半角问题</abilityName>
      <candidateList>
        <item>.</item>
      </candidateList>
      <explain>文本全半角错误。</explain>
      <paraID> 59C94C5</paraID>
      <start>4</start>
      <end>5</end>
      <status>unmodified</status>
      <modifiedWord/>
      <trackRevisions>false</trackRevisions>
    </reviewItem>
    <reviewItem>
      <errorID>9ce54ffa-a0d4-4f9d-904d-04364ea7c8c8</errorID>
      <errorWord>务院</errorWord>
      <group>L1_Knowledge</group>
      <groupName>知识性问题</groupName>
      <ability>L2_Knowledge</ability>
      <abilityName>其他知识</abilityName>
      <candidateList>
        <item>国务院</item>
      </candidateList>
      <explain/>
      <paraID>1FBBA1A5</paraID>
      <start>0</start>
      <end>2</end>
      <status>unmodified</status>
      <modifiedWord/>
      <trackRevisions>false</trackRevisions>
    </reviewItem>
    <reviewItem>
      <errorID>6aa42372-aca7-4457-82ba-5b3bb8047743</errorID>
      <errorWord>却</errorWord>
      <group>L1_Word</group>
      <groupName>字词问题</groupName>
      <ability>L2_Typo</ability>
      <abilityName>字词错误</abilityName>
      <candidateList>
        <item>且</item>
      </candidateList>
      <explain>存在发音相近字词的误用。</explain>
      <paraID>38375F1A</paraID>
      <start>0</start>
      <end>1</end>
      <status>unmodified</status>
      <modifiedWord/>
      <trackRevisions>false</trackRevisions>
    </reviewItem>
    <reviewItem>
      <errorID>87814cbb-d709-495c-9e64-f2828c4a7661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78224975</paraID>
      <start>34</start>
      <end>35</end>
      <status>unmodified</status>
      <modifiedWord/>
      <trackRevisions>false</trackRevisions>
    </reviewItem>
    <reviewItem>
      <errorID>8ce29450-5af2-4a39-a5a1-f956630548bf</errorID>
      <errorWord>项</errorWord>
      <group>L1_Word</group>
      <groupName>字词问题</groupName>
      <ability>L2_Typo</ability>
      <abilityName>字词错误</abilityName>
      <candidateList>
        <item>项目</item>
      </candidateList>
      <explain/>
      <paraID>45F1D969</paraID>
      <start>17</start>
      <end>18</end>
      <status>unmodified</status>
      <modifiedWord/>
      <trackRevisions>false</trackRevisions>
    </reviewItem>
    <reviewItem>
      <errorID>346c93c8-3715-41a2-a96a-ec194b5cc6f6</errorID>
      <errorWord>属于在</errorWord>
      <group>L1_Word</group>
      <groupName>字词问题</groupName>
      <ability>L2_Typo</ability>
      <abilityName>字词错误</abilityName>
      <candidateList>
        <item>属于</item>
      </candidateList>
      <explain/>
      <paraID>7B5EC7FE</paraID>
      <start>3</start>
      <end>6</end>
      <status>unmodified</status>
      <modifiedWord/>
      <trackRevisions>false</trackRevisions>
    </reviewItem>
    <reviewItem>
      <errorID>0fa89e77-6cfc-4c54-8d93-b3437068c7fe</errorID>
      <errorWord>风景名</errorWord>
      <group>L1_Word</group>
      <groupName>字词问题</groupName>
      <ability>L2_Typo</ability>
      <abilityName>字词错误</abilityName>
      <candidateList>
        <item>风景名胜</item>
      </candidateList>
      <explain/>
      <paraID>5B83EBC8</paraID>
      <start>7</start>
      <end>10</end>
      <status>unmodified</status>
      <modifiedWord/>
      <trackRevisions>false</trackRevisions>
    </reviewItem>
    <reviewItem>
      <errorID>02daf4eb-edb8-4b60-aea4-94f2bf47ebb2</errorID>
      <errorWord>国家投资主管部门</errorWord>
      <group>L1_Political</group>
      <groupName>政治性问题</groupName>
      <ability>L2_Keyword</ability>
      <abilityName>固定表述</abilityName>
      <candidateList>
        <item>国务院投资主管部门</item>
      </candidateList>
      <explain>词汇“国务院投资主管部门”在特定场景下为固定表述形式，请确认此处的“国家投资主管部门”是否存在不当。</explain>
      <paraID>28C765FF</paraID>
      <start>6</start>
      <end>14</end>
      <status>unmodified</status>
      <modifiedWord/>
      <trackRevisions>false</trackRevisions>
    </reviewItem>
    <reviewItem>
      <errorID>d2390919-d4c6-409f-a158-2a468fbcb653</errorID>
      <errorWord>谓所</errorWord>
      <group>L1_Word</group>
      <groupName>字词问题</groupName>
      <ability>L2_Typo</ability>
      <abilityName>字词错误</abilityName>
      <candidateList>
        <item>所谓</item>
      </candidateList>
      <explain/>
      <paraID>25823F0A</paraID>
      <start>11</start>
      <end>13</end>
      <status>unmodified</status>
      <modifiedWord/>
      <trackRevisions>false</trackRevisions>
    </reviewItem>
    <reviewItem>
      <errorID>0fc748f1-5516-44b4-95e6-03023a04ec92</errorID>
      <errorWord>行</errorWord>
      <group>L1_Word</group>
      <groupName>字词问题</groupName>
      <ability>L2_Typo</ability>
      <abilityName>字词错误</abilityName>
      <candidateList>
        <item>行为</item>
      </candidateList>
      <explain/>
      <paraID>590D7067</paraID>
      <start>83</start>
      <end>84</end>
      <status>unmodified</status>
      <modifiedWord/>
      <trackRevisions>false</trackRevisions>
    </reviewItem>
    <reviewItem>
      <errorID>e0f5e422-9857-4c6f-b527-44bfcbbcc6e7</errorID>
      <errorWord>胶粘剂</errorWord>
      <group>L1_Word</group>
      <groupName>字词问题</groupName>
      <ability>L2_Typo</ability>
      <abilityName>字词错误</abilityName>
      <candidateList>
        <item>胶黏剂</item>
      </candidateList>
      <explain/>
      <paraID>1F6613CD</paraID>
      <start>24</start>
      <end>27</end>
      <status>unmodified</status>
      <modifiedWord/>
      <trackRevisions>false</trackRevisions>
    </reviewItem>
    <reviewItem>
      <errorID>eba07d85-8492-4db1-a216-5536784fdb2a</errorID>
      <errorWord>本</errorWord>
      <group>L1_Word</group>
      <groupName>字词问题</groupName>
      <ability>L2_Typo</ability>
      <abilityName>字词错误</abilityName>
      <candidateList>
        <item>本次</item>
      </candidateList>
      <explain/>
      <paraID>64975ACE</paraID>
      <start>0</start>
      <end>1</end>
      <status>unmodified</status>
      <modifiedWord/>
      <trackRevisions>false</trackRevisions>
    </reviewItem>
    <reviewItem>
      <errorID>1643f8f5-6870-44b3-b354-92f74bb763fe</errorID>
      <errorWord>胶粘剂</errorWord>
      <group>L1_Word</group>
      <groupName>字词问题</groupName>
      <ability>L2_Typo</ability>
      <abilityName>字词错误</abilityName>
      <candidateList>
        <item>胶黏剂</item>
      </candidateList>
      <explain/>
      <paraID>64975ACE</paraID>
      <start>12</start>
      <end>15</end>
      <status>unmodified</status>
      <modifiedWord/>
      <trackRevisions>false</trackRevisions>
    </reviewItem>
    <reviewItem>
      <errorID>7b6d8762-2caa-4fee-b62a-f947c9850d9d</errorID>
      <errorWord>紫外光</errorWord>
      <group>L1_Word</group>
      <groupName>字词问题</groupName>
      <ability>L2_Typo</ability>
      <abilityName>字词错误</abilityName>
      <candidateList>
        <item>紫外线</item>
      </candidateList>
      <explain/>
      <paraID>58777A5F</paraID>
      <start>30</start>
      <end>33</end>
      <status>unmodified</status>
      <modifiedWord/>
      <trackRevisions>false</trackRevisions>
    </reviewItem>
    <reviewItem>
      <errorID>a7246f8a-a5b5-4047-8291-53146f497e94</errorID>
      <errorWord>紫外光</errorWord>
      <group>L1_Word</group>
      <groupName>字词问题</groupName>
      <ability>L2_Typo</ability>
      <abilityName>字词错误</abilityName>
      <candidateList>
        <item>紫外线</item>
      </candidateList>
      <explain/>
      <paraID> FB66E2F</paraID>
      <start>8</start>
      <end>11</end>
      <status>unmodified</status>
      <modifiedWord/>
      <trackRevisions>false</trackRevisions>
    </reviewItem>
    <reviewItem>
      <errorID>99a0e542-3561-447e-81a3-2c0e7c38d0af</errorID>
      <errorWord>项</errorWord>
      <group>L1_Word</group>
      <groupName>字词问题</groupName>
      <ability>L2_Typo</ability>
      <abilityName>字词错误</abilityName>
      <candidateList>
        <item>项目</item>
      </candidateList>
      <explain/>
      <paraID>40334726</paraID>
      <start>7</start>
      <end>8</end>
      <status>unmodified</status>
      <modifiedWord/>
      <trackRevisions>false</trackRevisions>
    </reviewItem>
    <reviewItem>
      <errorID>51621f2b-8c9e-47f4-bfaf-4122207a251a</errorID>
      <errorWord>、和</errorWord>
      <group>L1_Word</group>
      <groupName>字词问题</groupName>
      <ability>L2_Typo</ability>
      <abilityName>字词错误</abilityName>
      <candidateList>
        <item>、</item>
      </candidateList>
      <explain/>
      <paraID>4D249B6E</paraID>
      <start>23</start>
      <end>25</end>
      <status>unmodified</status>
      <modifiedWord/>
      <trackRevisions>false</trackRevisions>
    </reviewItem>
    <reviewItem>
      <errorID>eecd9cca-8e43-47dd-938a-aaeeefea8f90</errorID>
      <errorWord>的的</errorWord>
      <group>L1_Word</group>
      <groupName>字词问题</groupName>
      <ability>L2_Typo</ability>
      <abilityName>字词错误</abilityName>
      <candidateList>
        <item>的</item>
      </candidateList>
      <explain/>
      <paraID>4D249B6E</paraID>
      <start>45</start>
      <end>47</end>
      <status>unmodified</status>
      <modifiedWord/>
      <trackRevisions>false</trackRevisions>
    </reviewItem>
    <reviewItem>
      <errorID>0bb420f9-3db9-493a-af07-bd1433d61a84</errorID>
      <errorWord>项</errorWord>
      <group>L1_Word</group>
      <groupName>字词问题</groupName>
      <ability>L2_Typo</ability>
      <abilityName>字词错误</abilityName>
      <candidateList>
        <item>项目</item>
      </candidateList>
      <explain/>
      <paraID>279E4EA6</paraID>
      <start>7</start>
      <end>8</end>
      <status>unmodified</status>
      <modifiedWord/>
      <trackRevisions>false</trackRevisions>
    </reviewItem>
    <reviewItem>
      <errorID>4fe94c9d-fb08-43bd-bbb1-498917982118</errorID>
      <errorWord>[2020]33号</errorWord>
      <group>L1_Knowledge</group>
      <groupName>知识性问题</groupName>
      <ability>L2_Knowledge</ability>
      <abilityName>其他知识</abilityName>
      <candidateList>
        <item>〔2020〕33号</item>
      </candidateList>
      <explain>发文字号格式错误。</explain>
      <paraID>2C2B0729</paraID>
      <start>29</start>
      <end>68</end>
      <status>unmodified</status>
      <modifiedWord/>
      <trackRevisions>false</trackRevisions>
    </reviewItem>
    <reviewItem>
      <errorID>d8d8719a-fa6b-4a09-8443-7b44203b4332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2C2B0729</paraID>
      <start>74</start>
      <end>75</end>
      <status>unmodified</status>
      <modifiedWord/>
      <trackRevisions>false</trackRevisions>
    </reviewItem>
    <reviewItem>
      <errorID>4180e766-e6d5-4d38-8ace-5dbc7e4b4540</errorID>
      <errorWord>[2020]33号</errorWord>
      <group>L1_Knowledge</group>
      <groupName>知识性问题</groupName>
      <ability>L2_Knowledge</ability>
      <abilityName>其他知识</abilityName>
      <candidateList>
        <item>〔2020〕33号</item>
      </candidateList>
      <explain>发文字号格式错误。</explain>
      <paraID>42D93801</paraID>
      <start>27</start>
      <end>66</end>
      <status>unmodified</status>
      <modifiedWord/>
      <trackRevisions>false</trackRevisions>
    </reviewItem>
    <reviewItem>
      <errorID>960c14b2-bc1a-4316-b736-4bff64f80b56</errorID>
      <errorWord>[2020]33号</errorWord>
      <group>L1_Knowledge</group>
      <groupName>知识性问题</groupName>
      <ability>L2_Knowledge</ability>
      <abilityName>其他知识</abilityName>
      <candidateList>
        <item>〔2020〕33号</item>
      </candidateList>
      <explain>发文字号格式错误。</explain>
      <paraID>6B941AFB</paraID>
      <start>3</start>
      <end>42</end>
      <status>unmodified</status>
      <modifiedWord/>
      <trackRevisions>false</trackRevisions>
    </reviewItem>
    <reviewItem>
      <errorID>099df39f-2dd8-44e3-a906-9845685b7b8b</errorID>
      <errorWord>量</errorWord>
      <group>L1_Word</group>
      <groupName>字词问题</groupName>
      <ability>L2_Typo</ability>
      <abilityName>字词错误</abilityName>
      <candidateList>
        <item>量和</item>
      </candidateList>
      <explain/>
      <paraID>794D58B8</paraID>
      <start>55</start>
      <end>56</end>
      <status>unmodified</status>
      <modifiedWord/>
      <trackRevisions>false</trackRevisions>
    </reviewItem>
    <reviewItem>
      <errorID>880451e7-1488-4ad7-820f-5b64fe48ea3e</errorID>
      <errorWord>设</errorWord>
      <group>L1_Word</group>
      <groupName>字词问题</groupName>
      <ability>L2_Typo</ability>
      <abilityName>字词错误</abilityName>
      <candidateList>
        <item>设立</item>
      </candidateList>
      <explain/>
      <paraID>794D58B8</paraID>
      <start>62</start>
      <end>63</end>
      <status>unmodified</status>
      <modifiedWord/>
      <trackRevisions>false</trackRevisions>
    </reviewItem>
    <reviewItem>
      <errorID>dc564376-d31d-4ad1-ae55-ae49862e0657</errorID>
      <errorWord>胶粘剂</errorWord>
      <group>L1_Word</group>
      <groupName>字词问题</groupName>
      <ability>L2_Typo</ability>
      <abilityName>字词错误</abilityName>
      <candidateList>
        <item>胶黏剂</item>
      </candidateList>
      <explain/>
      <paraID>5AC35318</paraID>
      <start>36</start>
      <end>39</end>
      <status>unmodified</status>
      <modifiedWord/>
      <trackRevisions>false</trackRevisions>
    </reviewItem>
    <reviewItem>
      <errorID>71dce6ab-5d1d-4166-96d8-f4d6fdc0485c</errorID>
      <errorWord>胶粘剂</errorWord>
      <group>L1_Word</group>
      <groupName>字词问题</groupName>
      <ability>L2_Typo</ability>
      <abilityName>字词错误</abilityName>
      <candidateList>
        <item>胶黏剂</item>
      </candidateList>
      <explain/>
      <paraID>5AC35318</paraID>
      <start>254</start>
      <end>257</end>
      <status>unmodified</status>
      <modifiedWord/>
      <trackRevisions>false</trackRevisions>
    </reviewItem>
    <reviewItem>
      <errorID>69be7132-c123-4cf2-844a-dd0a1855ee1d</errorID>
      <errorWord>目</errorWord>
      <group>L1_Word</group>
      <groupName>字词问题</groupName>
      <ability>L2_Typo</ability>
      <abilityName>字词错误</abilityName>
      <candidateList>
        <item>目前</item>
      </candidateList>
      <explain/>
      <paraID> CE85DC8</paraID>
      <start>0</start>
      <end>1</end>
      <status>unmodified</status>
      <modifiedWord/>
      <trackRevisions>false</trackRevisions>
    </reviewItem>
    <reviewItem>
      <errorID>a64d733d-63b3-4ee2-9610-074925d8113a</errorID>
      <errorWord>目</errorWord>
      <group>L1_Word</group>
      <groupName>字词问题</groupName>
      <ability>L2_Typo</ability>
      <abilityName>字词错误</abilityName>
      <candidateList>
        <item>目前</item>
      </candidateList>
      <explain/>
      <paraID>3D27B9CB</paraID>
      <start>0</start>
      <end>1</end>
      <status>unmodified</status>
      <modifiedWord/>
      <trackRevisions>false</trackRevisions>
    </reviewItem>
    <reviewItem>
      <errorID>e6411a0d-f4ef-4448-8f80-30329ea1dc17</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3E960F49</paraID>
      <start>9</start>
      <end>12</end>
      <status>unmodified</status>
      <modifiedWord/>
      <trackRevisions>false</trackRevisions>
    </reviewItem>
    <reviewItem>
      <errorID>e5dde12e-bd25-464d-a6a7-742273a5fe8e</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7D1DE85E</paraID>
      <start>10</start>
      <end>13</end>
      <status>unmodified</status>
      <modifiedWord/>
      <trackRevisions>false</trackRevisions>
    </reviewItem>
    <reviewItem>
      <errorID>59841f48-084c-44d8-ba58-c351c0c463cf</errorID>
      <errorWord>于</errorWord>
      <group>L1_Word</group>
      <groupName>字词问题</groupName>
      <ability>L2_Typo</ability>
      <abilityName>字词错误</abilityName>
      <candidateList>
        <item>与</item>
      </candidateList>
      <explain>存在发音相同字词的误用。</explain>
      <paraID>7D1DE85E</paraID>
      <start>290</start>
      <end>291</end>
      <status>unmodified</status>
      <modifiedWord/>
      <trackRevisions>false</trackRevisions>
    </reviewItem>
    <reviewItem>
      <errorID>069b6668-a084-4c56-a733-3b466c7ef3f0</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3660D65B</paraID>
      <start>26</start>
      <end>29</end>
      <status>unmodified</status>
      <modifiedWord/>
      <trackRevisions>false</trackRevisions>
    </reviewItem>
    <reviewItem>
      <errorID>beefa6c2-f5fc-4957-a453-deb35fbf1856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3660D65B</paraID>
      <start>144</start>
      <end>145</end>
      <status>unmodified</status>
      <modifiedWord/>
      <trackRevisions>false</trackRevisions>
    </reviewItem>
    <reviewItem>
      <errorID>21ded9ea-67c2-418d-a5b3-94802f65bcf4</errorID>
      <errorWord>&lt;</errorWord>
      <group>L1_Format</group>
      <groupName>格式问题</groupName>
      <ability>L2_HalfPunc_CN</ability>
      <abilityName>全半角问题</abilityName>
      <candidateList>
        <item>〈</item>
      </candidateList>
      <explain>文本全半角错误。</explain>
      <paraID>3660D65B</paraID>
      <start>183</start>
      <end>184</end>
      <status>unmodified</status>
      <modifiedWord/>
      <trackRevisions>false</trackRevisions>
    </reviewItem>
    <reviewItem>
      <errorID>ddb52178-ef2b-463b-bdc6-4a6bd0531c3d</errorID>
      <errorWord>&gt;</errorWord>
      <group>L1_Format</group>
      <groupName>格式问题</groupName>
      <ability>L2_HalfPunc_CN</ability>
      <abilityName>全半角问题</abilityName>
      <candidateList>
        <item>〉</item>
      </candidateList>
      <explain>文本全半角错误。</explain>
      <paraID>3660D65B</paraID>
      <start>227</start>
      <end>228</end>
      <status>unmodified</status>
      <modifiedWord/>
      <trackRevisions>false</trackRevisions>
    </reviewItem>
    <reviewItem>
      <errorID>167a33e4-f354-464b-befe-e29d3d8b8a3f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4B1CCD64</paraID>
      <start>15</start>
      <end>18</end>
      <status>unmodified</status>
      <modifiedWord/>
      <trackRevisions>false</trackRevisions>
    </reviewItem>
    <reviewItem>
      <errorID>6fbbd4d5-02dc-4c62-906e-10d0a83f9cef</errorID>
      <errorWord>-</errorWord>
      <group>L1_Format</group>
      <groupName>格式问题</groupName>
      <ability>L2_HalfPunc_CN</ability>
      <abilityName>全半角问题</abilityName>
      <candidateList>
        <item>－</item>
      </candidateList>
      <explain>文本全半角错误。</explain>
      <paraID>4B1CCD64</paraID>
      <start>134</start>
      <end>135</end>
      <status>unmodified</status>
      <modifiedWord/>
      <trackRevisions>false</trackRevisions>
    </reviewItem>
    <reviewItem>
      <errorID>066e3879-64a1-4cb9-b1b1-f614980744e8</errorID>
      <errorWord>（</errorWord>
      <group>L1_Format</group>
      <groupName>格式问题</groupName>
      <ability>L2_HalfPunc_CN</ability>
      <abilityName>全半角问题</abilityName>
      <candidateList>
        <item>(</item>
      </candidateList>
      <explain>文本全半角错误。</explain>
      <paraID>29E9C367</paraID>
      <start>0</start>
      <end>1</end>
      <status>unmodified</status>
      <modifiedWord/>
      <trackRevisions>false</trackRevisions>
    </reviewItem>
    <reviewItem>
      <errorID>b028e196-643a-4d88-b44d-ea4708b66bc0</errorID>
      <errorWord>）</errorWord>
      <group>L1_Format</group>
      <groupName>格式问题</groupName>
      <ability>L2_HalfPunc_CN</ability>
      <abilityName>全半角问题</abilityName>
      <candidateList>
        <item>)</item>
      </candidateList>
      <explain>文本全半角错误。</explain>
      <paraID>29E9C367</paraID>
      <start>16</start>
      <end>17</end>
      <status>unmodified</status>
      <modifiedWord/>
      <trackRevisions>false</trackRevisions>
    </reviewItem>
    <reviewItem>
      <errorID>3c0b2753-2fc5-4d5e-a8ac-3c207eb3e3a9</errorID>
      <errorWord>(</errorWord>
      <group>L1_Format</group>
      <groupName>格式问题</groupName>
      <ability>L2_HalfPunc_CN</ability>
      <abilityName>全半角问题</abilityName>
      <candidateList>
        <item>（</item>
      </candidateList>
      <explain>文本全半角错误。</explain>
      <paraID>3F30185B</paraID>
      <start>2</start>
      <end>3</end>
      <status>unmodified</status>
      <modifiedWord/>
      <trackRevisions>false</trackRevisions>
    </reviewItem>
    <reviewItem>
      <errorID>c25c2147-53c5-4a50-b3fa-b1f976d73d7b</errorID>
      <errorWord>)</errorWord>
      <group>L1_Format</group>
      <groupName>格式问题</groupName>
      <ability>L2_HalfPunc_CN</ability>
      <abilityName>全半角问题</abilityName>
      <candidateList>
        <item>）</item>
      </candidateList>
      <explain>文本全半角错误。</explain>
      <paraID>3F30185B</paraID>
      <start>8</start>
      <end>9</end>
      <status>unmodified</status>
      <modifiedWord/>
      <trackRevisions>false</trackRevisions>
    </reviewItem>
    <reviewItem>
      <errorID>546107ae-4ff5-4027-9f25-351c00a0229c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43F3A202</paraID>
      <start>12</start>
      <end>13</end>
      <status>unmodified</status>
      <modifiedWord/>
      <trackRevisions>false</trackRevisions>
    </reviewItem>
    <reviewItem>
      <errorID>84cd67c9-188b-451a-a0f5-12c848a6e7cd</errorID>
      <errorWord>（</errorWord>
      <group>L1_Format</group>
      <groupName>格式问题</groupName>
      <ability>L2_HalfPunc_CN</ability>
      <abilityName>全半角问题</abilityName>
      <candidateList>
        <item>(</item>
      </candidateList>
      <explain>文本全半角错误。</explain>
      <paraID>1E8898D8</paraID>
      <start>0</start>
      <end>1</end>
      <status>unmodified</status>
      <modifiedWord/>
      <trackRevisions>false</trackRevisions>
    </reviewItem>
    <reviewItem>
      <errorID>f255c08c-1e97-48e8-a368-6609762fa249</errorID>
      <errorWord>）。</errorWord>
      <group>L1_Format</group>
      <groupName>格式问题</groupName>
      <ability>L2_HalfPunc_CN</ability>
      <abilityName>全半角问题</abilityName>
      <candidateList>
        <item>).</item>
      </candidateList>
      <explain>文本全半角错误。</explain>
      <paraID>1E8898D8</paraID>
      <start>6</start>
      <end>8</end>
      <status>unmodified</status>
      <modifiedWord/>
      <trackRevisions>false</trackRevisions>
    </reviewItem>
    <reviewItem>
      <errorID>9140360b-d17e-4b04-9da6-0732d7720c0e</errorID>
      <errorWord>。</errorWord>
      <group>L1_Format</group>
      <groupName>格式问题</groupName>
      <ability>L2_HalfPunc_CN</ability>
      <abilityName>全半角问题</abilityName>
      <candidateList>
        <item>.</item>
      </candidateList>
      <explain>文本全半角错误。</explain>
      <paraID>7808D27E</paraID>
      <start>1</start>
      <end>2</end>
      <status>unmodified</status>
      <modifiedWord/>
      <trackRevisions>false</trackRevisions>
    </reviewItem>
    <reviewItem>
      <errorID>75746d8a-6e42-4018-bead-2511e3e06135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6BBBD40</paraID>
      <start>56</start>
      <end>57</end>
      <status>unmodified</status>
      <modifiedWord/>
      <trackRevisions>false</trackRevisions>
    </reviewItem>
    <reviewItem>
      <errorID>d74b786c-2c7c-4d7a-9f92-7717019cdcf6</errorID>
      <errorWord>公</errorWord>
      <group>L1_Word</group>
      <groupName>字词问题</groupName>
      <ability>L2_Typo</ability>
      <abilityName>字词错误</abilityName>
      <candidateList>
        <item>公司</item>
      </candidateList>
      <explain/>
      <paraID>465C40EB</paraID>
      <start>9</start>
      <end>10</end>
      <status>unmodified</status>
      <modifiedWord/>
      <trackRevisions>false</trackRevisions>
    </reviewItem>
    <reviewItem>
      <errorID>7aaf9a85-a370-42f4-a576-581fb65dc3d7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61A94B26</paraID>
      <start>4</start>
      <end>5</end>
      <status>unmodified</status>
      <modifiedWord/>
      <trackRevisions>false</trackRevisions>
    </reviewItem>
    <reviewItem>
      <errorID>eaad809c-9c81-4499-a1bd-c9795e57ec6d</errorID>
      <errorWord>万千万</errorWord>
      <group>L1_Word</group>
      <groupName>字词问题</groupName>
      <ability>L2_Typo</ability>
      <abilityName>字词错误</abilityName>
      <candidateList>
        <item>万千瓦</item>
      </candidateList>
      <explain/>
      <paraID>5B8632C0</paraID>
      <start>5</start>
      <end>8</end>
      <status>unmodified</status>
      <modifiedWord/>
      <trackRevisions>false</trackRevisions>
    </reviewItem>
    <reviewItem>
      <errorID>7da45664-40b8-415a-bc49-8623f1e0b08a</errorID>
      <errorWord>万千万</errorWord>
      <group>L1_Word</group>
      <groupName>字词问题</groupName>
      <ability>L2_Typo</ability>
      <abilityName>字词错误</abilityName>
      <candidateList>
        <item>万千瓦</item>
      </candidateList>
      <explain/>
      <paraID> 81447BD</paraID>
      <start>3</start>
      <end>6</end>
      <status>unmodified</status>
      <modifiedWord/>
      <trackRevisions>false</trackRevisions>
    </reviewItem>
    <reviewItem>
      <errorID>e7753d52-9866-470b-a474-b5e09c9163f2</errorID>
      <errorWord>万千万</errorWord>
      <group>L1_Word</group>
      <groupName>字词问题</groupName>
      <ability>L2_Typo</ability>
      <abilityName>字词错误</abilityName>
      <candidateList>
        <item>万千瓦</item>
      </candidateList>
      <explain/>
      <paraID>158061BD</paraID>
      <start>5</start>
      <end>8</end>
      <status>unmodified</status>
      <modifiedWord/>
      <trackRevisions>false</trackRevisions>
    </reviewItem>
    <reviewItem>
      <errorID>44b02ebb-6b1e-4f65-b17e-3d2601f78b24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37FB2A94</paraID>
      <start>105</start>
      <end>106</end>
      <status>unmodified</status>
      <modifiedWord/>
      <trackRevisions>false</trackRevisions>
    </reviewItem>
    <reviewItem>
      <errorID>95e1e889-6c7b-45cb-8957-ff7ed09c3c4d</errorID>
      <errorWord>1-2.5%</errorWord>
      <group>L1_Knowledge</group>
      <groupName>知识性问题</groupName>
      <ability>L2_Knowledge</ability>
      <abilityName>其他知识</abilityName>
      <candidateList>
        <item>1%—2.5%</item>
      </candidateList>
      <explain>1. “1-2.5%”中的单位“%”仅出现在后一个数字上，容易引起歧义；根据《现代汉语标点符号数字用法规范手册》，数字表示范围两边需要使用统一的格式。2. 根据标点国标 4.13 中的规则，数字、时间或地域连接符应使用（视觉上更长的）“—”或“～”。</explain>
      <paraID>37FB2A94</paraID>
      <start>191</start>
      <end>197</end>
      <status>unmodified</status>
      <modifiedWord/>
      <trackRevisions>false</trackRevisions>
    </reviewItem>
    <reviewItem>
      <errorID>b172115f-c67d-41ca-b966-0f92ff754021</errorID>
      <errorWord>)</errorWord>
      <group>L1_Format</group>
      <groupName>格式问题</groupName>
      <ability>L2_HalfPunc_CN</ability>
      <abilityName>全半角问题</abilityName>
      <candidateList>
        <item>）</item>
      </candidateList>
      <explain>文本全半角错误。</explain>
      <paraID> D24AE81</paraID>
      <start>27</start>
      <end>28</end>
      <status>unmodified</status>
      <modifiedWord/>
      <trackRevisions>false</trackRevisions>
    </reviewItem>
    <reviewItem>
      <errorID>b2b1c017-183d-4e12-9b23-caef92c7e552</errorID>
      <errorWord>)</errorWord>
      <group>L1_Format</group>
      <groupName>格式问题</groupName>
      <ability>L2_HalfPunc_CN</ability>
      <abilityName>全半角问题</abilityName>
      <candidateList>
        <item>）</item>
      </candidateList>
      <explain>文本全半角错误。</explain>
      <paraID> D24AE81</paraID>
      <start>41</start>
      <end>42</end>
      <status>unmodified</status>
      <modifiedWord/>
      <trackRevisions>false</trackRevisions>
    </reviewItem>
    <reviewItem>
      <errorID>7481b06b-fbac-4741-9247-dba1cbedbc35</errorID>
      <errorWord>项目项目</errorWord>
      <group>L1_Word</group>
      <groupName>字词问题</groupName>
      <ability>L2_Typo</ability>
      <abilityName>字词错误</abilityName>
      <candidateList>
        <item>项目</item>
      </candidateList>
      <explain/>
      <paraID>1D8AEB9E</paraID>
      <start>4</start>
      <end>8</end>
      <status>unmodified</status>
      <modifiedWord/>
      <trackRevisions>false</trackRevisions>
    </reviewItem>
    <reviewItem>
      <errorID>343ea17a-ca7f-4da1-8b7f-53a6177bae69</errorID>
      <errorWord>机机</errorWord>
      <group>L1_Word</group>
      <groupName>字词问题</groupName>
      <ability>L2_Typo</ability>
      <abilityName>字词错误</abilityName>
      <candidateList>
        <item>机</item>
      </candidateList>
      <explain/>
      <paraID> 9B96678</paraID>
      <start>51</start>
      <end>53</end>
      <status>unmodified</status>
      <modifiedWord/>
      <trackRevisions>false</trackRevisions>
    </reviewItem>
    <reviewItem>
      <errorID>a1f83e23-1a3c-41f5-98b4-af9637cb9c0f</errorID>
      <errorWord>)</errorWord>
      <group>L1_Format</group>
      <groupName>格式问题</groupName>
      <ability>L2_HalfPunc_CN</ability>
      <abilityName>全半角问题</abilityName>
      <candidateList>
        <item>）</item>
      </candidateList>
      <explain>文本全半角错误。</explain>
      <paraID>1A393B0E</paraID>
      <start>34</start>
      <end>35</end>
      <status>unmodified</status>
      <modifiedWord/>
      <trackRevisions>false</trackRevisions>
    </reviewItem>
    <reviewItem>
      <errorID>ab66a758-1e0f-4535-a2d9-f462e508049c</errorID>
      <errorWord>)</errorWord>
      <group>L1_Format</group>
      <groupName>格式问题</groupName>
      <ability>L2_HalfPunc_CN</ability>
      <abilityName>全半角问题</abilityName>
      <candidateList>
        <item>）</item>
      </candidateList>
      <explain>文本全半角错误。</explain>
      <paraID>1A393B0E</paraID>
      <start>80</start>
      <end>81</end>
      <status>unmodified</status>
      <modifiedWord/>
      <trackRevisions>false</trackRevisions>
    </reviewItem>
    <reviewItem>
      <errorID>c8f36583-c4b7-44b7-9ee5-7fdb0fb80b35</errorID>
      <errorWord>)</errorWord>
      <group>L1_Format</group>
      <groupName>格式问题</groupName>
      <ability>L2_HalfPunc_CN</ability>
      <abilityName>全半角问题</abilityName>
      <candidateList>
        <item>）</item>
      </candidateList>
      <explain>文本全半角错误。</explain>
      <paraID>7A7D4203</paraID>
      <start>38</start>
      <end>39</end>
      <status>unmodified</status>
      <modifiedWord/>
      <trackRevisions>false</trackRevisions>
    </reviewItem>
    <reviewItem>
      <errorID>ea271faa-52cf-4852-9223-6899c0e3f75a</errorID>
      <errorWord>、</errorWord>
      <group>L1_Punc</group>
      <groupName>标点问题</groupName>
      <ability>L2_Punc_CN</ability>
      <abilityName>标点符号问题</abilityName>
      <candidateList/>
      <explain/>
      <paraID>2E36979E</paraID>
      <start>0</start>
      <end>1</end>
      <status>unmodified</status>
      <modifiedWord/>
      <trackRevisions>false</trackRevisions>
    </reviewItem>
    <reviewItem>
      <errorID>c151263f-f7c5-4a09-86a9-5fe3668b3e87</errorID>
      <errorWord>噪噪</errorWord>
      <group>L1_Word</group>
      <groupName>字词问题</groupName>
      <ability>L2_Typo</ability>
      <abilityName>字词错误</abilityName>
      <candidateList>
        <item>噪</item>
      </candidateList>
      <explain/>
      <paraID>6E7D3CB4</paraID>
      <start>0</start>
      <end>2</end>
      <status>unmodified</status>
      <modifiedWord/>
      <trackRevisions>false</trackRevisions>
    </reviewItem>
    <reviewItem>
      <errorID>d04aec7d-5de0-40cf-95a9-5594c1efeb05</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 E0CC38F</paraID>
      <start>26</start>
      <end>29</end>
      <status>unmodified</status>
      <modifiedWord/>
      <trackRevisions>false</trackRevisions>
    </reviewItem>
    <reviewItem>
      <errorID>88471985-2a91-413c-96d0-64494e20bc42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22466BF8</paraID>
      <start>13</start>
      <end>14</end>
      <status>unmodified</status>
      <modifiedWord/>
      <trackRevisions>false</trackRevisions>
    </reviewItem>
    <reviewItem>
      <errorID>b7d8c39c-0521-4b1d-9ccd-27c8408858ce</errorID>
      <errorWord>&lt;</errorWord>
      <group>L1_Format</group>
      <groupName>格式问题</groupName>
      <ability>L2_HalfPunc_CN</ability>
      <abilityName>全半角问题</abilityName>
      <candidateList>
        <item>〈</item>
      </candidateList>
      <explain>文本全半角错误。</explain>
      <paraID>7D10F6ED</paraID>
      <start>19</start>
      <end>20</end>
      <status>unmodified</status>
      <modifiedWord/>
      <trackRevisions>false</trackRevisions>
    </reviewItem>
    <reviewItem>
      <errorID>d57a6b01-447e-4817-a77c-648a303155ec</errorID>
      <errorWord>&gt;</errorWord>
      <group>L1_Format</group>
      <groupName>格式问题</groupName>
      <ability>L2_HalfPunc_CN</ability>
      <abilityName>全半角问题</abilityName>
      <candidateList>
        <item>〉</item>
      </candidateList>
      <explain>文本全半角错误。</explain>
      <paraID>46CD30CC</paraID>
      <start>7</start>
      <end>8</end>
      <status>unmodified</status>
      <modifiedWord/>
      <trackRevisions>false</trackRevisions>
    </reviewItem>
    <reviewItem>
      <errorID>12a917e4-daeb-4123-ac2a-00b0e54ff37a</errorID>
      <errorWord>。</errorWord>
      <group>L1_Format</group>
      <groupName>格式问题</groupName>
      <ability>L2_HalfPunc_CN</ability>
      <abilityName>全半角问题</abilityName>
      <candidateList>
        <item>.</item>
      </candidateList>
      <explain>文本全半角错误。</explain>
      <paraID>4B6DF49D</paraID>
      <start>19</start>
      <end>20</end>
      <status>unmodified</status>
      <modifiedWord/>
      <trackRevisions>false</trackRevisions>
    </reviewItem>
    <reviewItem>
      <errorID>05791fec-1957-4bcd-bd0a-29679175b555</errorID>
      <errorWord>。</errorWord>
      <group>L1_Format</group>
      <groupName>格式问题</groupName>
      <ability>L2_HalfPunc_CN</ability>
      <abilityName>全半角问题</abilityName>
      <candidateList>
        <item>.</item>
      </candidateList>
      <explain>文本全半角错误。</explain>
      <paraID>4B2157BC</paraID>
      <start>4</start>
      <end>5</end>
      <status>unmodified</status>
      <modifiedWord/>
      <trackRevisions>false</trackRevisions>
    </reviewItem>
    <reviewItem>
      <errorID>b566a5b2-8659-40d5-aa61-4ca4a15d5938</errorID>
      <errorWord>。</errorWord>
      <group>L1_Format</group>
      <groupName>格式问题</groupName>
      <ability>L2_HalfPunc_CN</ability>
      <abilityName>全半角问题</abilityName>
      <candidateList>
        <item>.</item>
      </candidateList>
      <explain>文本全半角错误。</explain>
      <paraID>5308C0BC</paraID>
      <start>7</start>
      <end>8</end>
      <status>unmodified</status>
      <modifiedWord/>
      <trackRevisions>false</trackRevisions>
    </reviewItem>
    <reviewItem>
      <errorID>1497bc54-6f7e-43ac-9f4d-bfbc873df113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4CB578BF</paraID>
      <start>7</start>
      <end>8</end>
      <status>unmodified</status>
      <modifiedWord/>
      <trackRevisions>false</trackRevisions>
    </reviewItem>
    <reviewItem>
      <errorID>7240f535-65fb-4492-9162-f66f383d537a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6B597736</paraID>
      <start>5</start>
      <end>6</end>
      <status>unmodified</status>
      <modifiedWord/>
      <trackRevisions>false</trackRevisions>
    </reviewItem>
    <reviewItem>
      <errorID>65adb31a-f2a7-4e92-bf93-f34394a9d941</errorID>
      <errorWord>粘合</errorWord>
      <group>L1_Word</group>
      <groupName>字词问题</groupName>
      <ability>L2_Alias</ability>
      <abilityName>也作/曾用词</abilityName>
      <candidateList>
        <item>黏合</item>
      </candidateList>
      <explain>词汇[粘合]为不规范表述或旧称，其规范书面表述为[黏合]。</explain>
      <paraID>5F9F9901</paraID>
      <start>1</start>
      <end>3</end>
      <status>unmodified</status>
      <modifiedWord/>
      <trackRevisions>false</trackRevisions>
    </reviewItem>
    <reviewItem>
      <errorID>bcf36060-6d13-4b83-921b-960123a7ff6d</errorID>
      <errorWord>粘合</errorWord>
      <group>L1_Word</group>
      <groupName>字词问题</groupName>
      <ability>L2_Alias</ability>
      <abilityName>也作/曾用词</abilityName>
      <candidateList>
        <item>黏合</item>
      </candidateList>
      <explain>词汇[粘合]为不规范表述或旧称，其规范书面表述为[黏合]。</explain>
      <paraID>5F9F9901</paraID>
      <start>26</start>
      <end>28</end>
      <status>unmodified</status>
      <modifiedWord/>
      <trackRevisions>false</trackRevisions>
    </reviewItem>
    <reviewItem>
      <errorID>9fd773aa-2d8e-4610-9843-928da70bad53</errorID>
      <errorWord>(</errorWord>
      <group>L1_Format</group>
      <groupName>格式问题</groupName>
      <ability>L2_HalfPunc_CN</ability>
      <abilityName>全半角问题</abilityName>
      <candidateList>
        <item>（</item>
      </candidateList>
      <explain>文本全半角错误。</explain>
      <paraID>65C127B4</paraID>
      <start>87</start>
      <end>88</end>
      <status>unmodified</status>
      <modifiedWord/>
      <trackRevisions>false</trackRevisions>
    </reviewItem>
    <reviewItem>
      <errorID>24b81edd-872b-4c2b-86cc-fc45262ad188</errorID>
      <errorWord>)</errorWord>
      <group>L1_Format</group>
      <groupName>格式问题</groupName>
      <ability>L2_HalfPunc_CN</ability>
      <abilityName>全半角问题</abilityName>
      <candidateList>
        <item>）</item>
      </candidateList>
      <explain>文本全半角错误。</explain>
      <paraID>65C127B4</paraID>
      <start>93</start>
      <end>94</end>
      <status>unmodified</status>
      <modifiedWord/>
      <trackRevisions>false</trackRevisions>
    </reviewItem>
    <reviewItem>
      <errorID>f8b638a5-7ea1-48ad-a5ee-74b6bd119404</errorID>
      <errorWord>(</errorWord>
      <group>L1_Format</group>
      <groupName>格式问题</groupName>
      <ability>L2_HalfPunc_CN</ability>
      <abilityName>全半角问题</abilityName>
      <candidateList>
        <item>（</item>
      </candidateList>
      <explain>文本全半角错误。</explain>
      <paraID>7C673D10</paraID>
      <start>84</start>
      <end>85</end>
      <status>unmodified</status>
      <modifiedWord/>
      <trackRevisions>false</trackRevisions>
    </reviewItem>
    <reviewItem>
      <errorID>f9ef3cdd-0526-4e99-95cc-45325fbd614e</errorID>
      <errorWord>)</errorWord>
      <group>L1_Format</group>
      <groupName>格式问题</groupName>
      <ability>L2_HalfPunc_CN</ability>
      <abilityName>全半角问题</abilityName>
      <candidateList>
        <item>）</item>
      </candidateList>
      <explain>文本全半角错误。</explain>
      <paraID>7C673D10</paraID>
      <start>90</start>
      <end>91</end>
      <status>unmodified</status>
      <modifiedWord/>
      <trackRevisions>false</trackRevisions>
    </reviewItem>
    <reviewItem>
      <errorID>10743086-1c9b-433d-b7a7-73acacd09a4f</errorID>
      <errorWord>到</errorWord>
      <group>L1_Word</group>
      <groupName>字词问题</groupName>
      <ability>L2_Typo</ability>
      <abilityName>字词错误</abilityName>
      <candidateList>
        <item>至</item>
      </candidateList>
      <explain>存在字形相近字词的误用。</explain>
      <paraID>73235A28</paraID>
      <start>18</start>
      <end>19</end>
      <status>unmodified</status>
      <modifiedWord/>
      <trackRevisions>false</trackRevisions>
    </reviewItem>
    <reviewItem>
      <errorID>9f42299e-fa5e-4ac7-8a38-d77ece12217d</errorID>
      <errorWord>完</errorWord>
      <group>L1_Word</group>
      <groupName>字词问题</groupName>
      <ability>L2_Typo</ability>
      <abilityName>字词错误</abilityName>
      <candidateList>
        <item>完成</item>
      </candidateList>
      <explain/>
      <paraID>73235A28</paraID>
      <start>28</start>
      <end>29</end>
      <status>unmodified</status>
      <modifiedWord/>
      <trackRevisions>false</trackRevisions>
    </reviewItem>
    <reviewItem>
      <errorID>fb85f656-0c8a-4d01-8baa-2739ef645c4f</errorID>
      <errorWord>即是</errorWord>
      <group>L1_Word</group>
      <groupName>字词问题</groupName>
      <ability>L2_Typo</ability>
      <abilityName>字词错误</abilityName>
      <candidateList>
        <item>即</item>
      </candidateList>
      <explain/>
      <paraID>7F52F146</paraID>
      <start>4</start>
      <end>6</end>
      <status>unmodified</status>
      <modifiedWord/>
      <trackRevisions>false</trackRevisions>
    </reviewItem>
    <reviewItem>
      <errorID>9386aa42-2fea-4d25-bf83-1220767af383</errorID>
      <errorWord>粘合</errorWord>
      <group>L1_Word</group>
      <groupName>字词问题</groupName>
      <ability>L2_Alias</ability>
      <abilityName>也作/曾用词</abilityName>
      <candidateList>
        <item>黏合</item>
      </candidateList>
      <explain>词汇[粘合]为不规范表述或旧称，其规范书面表述为[黏合]。</explain>
      <paraID>52B84CD9</paraID>
      <start>1</start>
      <end>3</end>
      <status>unmodified</status>
      <modifiedWord/>
      <trackRevisions>false</trackRevisions>
    </reviewItem>
    <reviewItem>
      <errorID>cd3f5da2-1ca7-4f71-80e1-75b58e524e86</errorID>
      <errorWord>（</errorWord>
      <group>L1_Format</group>
      <groupName>格式问题</groupName>
      <ability>L2_HalfPunc_CN</ability>
      <abilityName>全半角问题</abilityName>
      <candidateList>
        <item>(</item>
      </candidateList>
      <explain>文本全半角错误。</explain>
      <paraID>36AC2FB3</paraID>
      <start>0</start>
      <end>1</end>
      <status>unmodified</status>
      <modifiedWord/>
      <trackRevisions>false</trackRevisions>
    </reviewItem>
    <reviewItem>
      <errorID>905e8693-c9dd-4996-83bf-6d5f9ea15033</errorID>
      <errorWord>（</errorWord>
      <group>L1_Format</group>
      <groupName>格式问题</groupName>
      <ability>L2_HalfPunc_CN</ability>
      <abilityName>全半角问题</abilityName>
      <candidateList>
        <item>(</item>
      </candidateList>
      <explain>文本全半角错误。</explain>
      <paraID>5814D730</paraID>
      <start>0</start>
      <end>1</end>
      <status>unmodified</status>
      <modifiedWord/>
      <trackRevisions>false</trackRevisions>
    </reviewItem>
    <reviewItem>
      <errorID>8ac36830-ba2c-47da-884d-883719644df8</errorID>
      <errorWord>)</errorWord>
      <group>L1_Punc</group>
      <groupName>标点问题</groupName>
      <ability>L2_Punc_CN</ability>
      <abilityName>标点符号问题</abilityName>
      <candidateList/>
      <explain/>
      <paraID>47244E72</paraID>
      <start>0</start>
      <end>1</end>
      <status>unmodified</status>
      <modifiedWord/>
      <trackRevisions>false</trackRevisions>
    </reviewItem>
    <reviewItem>
      <errorID>26fff206-c76d-4eb2-b0b5-de1485123d03</errorID>
      <errorWord>（</errorWord>
      <group>L1_Format</group>
      <groupName>格式问题</groupName>
      <ability>L2_HalfPunc_CN</ability>
      <abilityName>全半角问题</abilityName>
      <candidateList>
        <item>(</item>
      </candidateList>
      <explain>文本全半角错误。</explain>
      <paraID>72AA49FF</paraID>
      <start>0</start>
      <end>1</end>
      <status>unmodified</status>
      <modifiedWord/>
      <trackRevisions>false</trackRevisions>
    </reviewItem>
    <reviewItem>
      <errorID>469c54dd-bf3d-4669-904c-ac8a1e624e91</errorID>
      <errorWord>（</errorWord>
      <group>L1_Format</group>
      <groupName>格式问题</groupName>
      <ability>L2_HalfPunc_CN</ability>
      <abilityName>全半角问题</abilityName>
      <candidateList>
        <item>(</item>
      </candidateList>
      <explain>文本全半角错误。</explain>
      <paraID>368038FB</paraID>
      <start>0</start>
      <end>1</end>
      <status>unmodified</status>
      <modifiedWord/>
      <trackRevisions>false</trackRevisions>
    </reviewItem>
    <reviewItem>
      <errorID>2bbe578f-8bec-4cdb-b3b6-2849b5c2dbb7</errorID>
      <errorWord>（</errorWord>
      <group>L1_Format</group>
      <groupName>格式问题</groupName>
      <ability>L2_HalfPunc_CN</ability>
      <abilityName>全半角问题</abilityName>
      <candidateList>
        <item>(</item>
      </candidateList>
      <explain>文本全半角错误。</explain>
      <paraID>5120B19B</paraID>
      <start>0</start>
      <end>1</end>
      <status>unmodified</status>
      <modifiedWord/>
      <trackRevisions>false</trackRevisions>
    </reviewItem>
    <reviewItem>
      <errorID>8fe71ea9-54a1-4c69-892a-6ddd81a9e018</errorID>
      <errorWord>）</errorWord>
      <group>L1_Format</group>
      <groupName>格式问题</groupName>
      <ability>L2_HalfPunc_CN</ability>
      <abilityName>全半角问题</abilityName>
      <candidateList>
        <item>)</item>
      </candidateList>
      <explain>文本全半角错误。</explain>
      <paraID>4BADE374</paraID>
      <start>2</start>
      <end>3</end>
      <status>unmodified</status>
      <modifiedWord/>
      <trackRevisions>false</trackRevisions>
    </reviewItem>
    <reviewItem>
      <errorID>1f4d1a7e-d555-4f1d-b21c-020a8ce4bc9c</errorID>
      <errorWord>)</errorWord>
      <group>L1_Format</group>
      <groupName>格式问题</groupName>
      <ability>L2_HalfPunc_CN</ability>
      <abilityName>全半角问题</abilityName>
      <candidateList>
        <item>）</item>
      </candidateList>
      <explain>文本全半角错误。</explain>
      <paraID>732877DA</paraID>
      <start>13</start>
      <end>14</end>
      <status>unmodified</status>
      <modifiedWord/>
      <trackRevisions>false</trackRevisions>
    </reviewItem>
    <reviewItem>
      <errorID>b01e5831-0713-4516-af77-91db04c950e6</errorID>
      <errorWord>)</errorWord>
      <group>L1_Format</group>
      <groupName>格式问题</groupName>
      <ability>L2_HalfPunc_CN</ability>
      <abilityName>全半角问题</abilityName>
      <candidateList>
        <item>）</item>
      </candidateList>
      <explain>文本全半角错误。</explain>
      <paraID>  CEF419</paraID>
      <start>15</start>
      <end>16</end>
      <status>unmodified</status>
      <modifiedWord/>
      <trackRevisions>false</trackRevisions>
    </reviewItem>
    <reviewItem>
      <errorID>6ed9bc25-e775-41ed-806c-bedd34dcdfd2</errorID>
      <errorWord>（</errorWord>
      <group>L1_Format</group>
      <groupName>格式问题</groupName>
      <ability>L2_HalfPunc_CN</ability>
      <abilityName>全半角问题</abilityName>
      <candidateList>
        <item>(</item>
      </candidateList>
      <explain>文本全半角错误。</explain>
      <paraID>3A8DD860</paraID>
      <start>0</start>
      <end>1</end>
      <status>unmodified</status>
      <modifiedWord/>
      <trackRevisions>false</trackRevisions>
    </reviewItem>
    <reviewItem>
      <errorID>d63cb7db-d2e6-4c11-857b-a3491d83adaa</errorID>
      <errorWord>）</errorWord>
      <group>L1_Format</group>
      <groupName>格式问题</groupName>
      <ability>L2_HalfPunc_CN</ability>
      <abilityName>全半角问题</abilityName>
      <candidateList>
        <item>)</item>
      </candidateList>
      <explain>文本全半角错误。</explain>
      <paraID>6CE65E90</paraID>
      <start>2</start>
      <end>3</end>
      <status>unmodified</status>
      <modifiedWord/>
      <trackRevisions>false</trackRevisions>
    </reviewItem>
    <reviewItem>
      <errorID>14de3bde-ae5c-43a8-bc31-52d2d17775c2</errorID>
      <errorWord>（</errorWord>
      <group>L1_Format</group>
      <groupName>格式问题</groupName>
      <ability>L2_HalfPunc_CN</ability>
      <abilityName>全半角问题</abilityName>
      <candidateList>
        <item>(</item>
      </candidateList>
      <explain>文本全半角错误。</explain>
      <paraID>6943B5C7</paraID>
      <start>0</start>
      <end>1</end>
      <status>unmodified</status>
      <modifiedWord/>
      <trackRevisions>false</trackRevisions>
    </reviewItem>
    <reviewItem>
      <errorID>a7cc915a-bfb6-4791-af1b-8e680f2fabb6</errorID>
      <errorWord>）</errorWord>
      <group>L1_Format</group>
      <groupName>格式问题</groupName>
      <ability>L2_HalfPunc_CN</ability>
      <abilityName>全半角问题</abilityName>
      <candidateList>
        <item>)</item>
      </candidateList>
      <explain>文本全半角错误。</explain>
      <paraID> 1F6D3B8</paraID>
      <start>2</start>
      <end>3</end>
      <status>unmodified</status>
      <modifiedWord/>
      <trackRevisions>false</trackRevisions>
    </reviewItem>
    <reviewItem>
      <errorID>082ad2ec-39fd-485c-8aa8-3eeb98d3fff8</errorID>
      <errorWord>(</errorWord>
      <group>L1_Format</group>
      <groupName>格式问题</groupName>
      <ability>L2_HalfPunc_CN</ability>
      <abilityName>全半角问题</abilityName>
      <candidateList>
        <item>（</item>
      </candidateList>
      <explain>文本全半角错误。</explain>
      <paraID>72442848</paraID>
      <start>102</start>
      <end>103</end>
      <status>unmodified</status>
      <modifiedWord/>
      <trackRevisions>false</trackRevisions>
    </reviewItem>
    <reviewItem>
      <errorID>5d6fd4d4-c722-4f66-9e8e-ee8558028ba1</errorID>
      <errorWord>)</errorWord>
      <group>L1_Format</group>
      <groupName>格式问题</groupName>
      <ability>L2_HalfPunc_CN</ability>
      <abilityName>全半角问题</abilityName>
      <candidateList>
        <item>）</item>
      </candidateList>
      <explain>文本全半角错误。</explain>
      <paraID>72442848</paraID>
      <start>115</start>
      <end>116</end>
      <status>unmodified</status>
      <modifiedWord/>
      <trackRevisions>false</trackRevisions>
    </reviewItem>
    <reviewItem>
      <errorID>d779d0d3-448b-4f0d-a639-e08a861b1f09</errorID>
      <errorWord>)</errorWord>
      <group>L1_Format</group>
      <groupName>格式问题</groupName>
      <ability>L2_HalfPunc_CN</ability>
      <abilityName>全半角问题</abilityName>
      <candidateList>
        <item>）</item>
      </candidateList>
      <explain>文本全半角错误。</explain>
      <paraID>72442848</paraID>
      <start>145</start>
      <end>146</end>
      <status>unmodified</status>
      <modifiedWord/>
      <trackRevisions>false</trackRevisions>
    </reviewItem>
    <reviewItem>
      <errorID>e18f57a9-eca4-4929-b741-873e7af4e7bd</errorID>
      <errorWord>。，</errorWord>
      <group>L1_Punc</group>
      <groupName>标点问题</groupName>
      <ability>L2_Punc_CN</ability>
      <abilityName>标点符号问题</abilityName>
      <candidateList>
        <item>。</item>
      </candidateList>
      <explain/>
      <paraID>72442848</paraID>
      <start>339</start>
      <end>341</end>
      <status>unmodified</status>
      <modifiedWord/>
      <trackRevisions>false</trackRevisions>
    </reviewItem>
    <reviewItem>
      <errorID>5c4eec01-1a88-49fd-8145-e4efa31ac382</errorID>
      <errorWord>（</errorWord>
      <group>L1_Format</group>
      <groupName>格式问题</groupName>
      <ability>L2_HalfPunc_CN</ability>
      <abilityName>全半角问题</abilityName>
      <candidateList>
        <item>(</item>
      </candidateList>
      <explain>文本全半角错误。</explain>
      <paraID>5EF51646</paraID>
      <start>0</start>
      <end>1</end>
      <status>unmodified</status>
      <modifiedWord/>
      <trackRevisions>false</trackRevisions>
    </reviewItem>
    <reviewItem>
      <errorID>8716e506-dea5-4aa8-b5bb-5c613ee7b1d8</errorID>
      <errorWord>）</errorWord>
      <group>L1_Format</group>
      <groupName>格式问题</groupName>
      <ability>L2_HalfPunc_CN</ability>
      <abilityName>全半角问题</abilityName>
      <candidateList>
        <item>)</item>
      </candidateList>
      <explain>文本全半角错误。</explain>
      <paraID>5EF51646</paraID>
      <start>6</start>
      <end>7</end>
      <status>unmodified</status>
      <modifiedWord/>
      <trackRevisions>false</trackRevisions>
    </reviewItem>
    <reviewItem>
      <errorID>7eb4f44b-3636-4f90-b5e2-4100573bb804</errorID>
      <errorWord>（</errorWord>
      <group>L1_Format</group>
      <groupName>格式问题</groupName>
      <ability>L2_HalfPunc_CN</ability>
      <abilityName>全半角问题</abilityName>
      <candidateList>
        <item>(</item>
      </candidateList>
      <explain>文本全半角错误。</explain>
      <paraID>30C878F1</paraID>
      <start>0</start>
      <end>1</end>
      <status>unmodified</status>
      <modifiedWord/>
      <trackRevisions>false</trackRevisions>
    </reviewItem>
    <reviewItem>
      <errorID>8011f29d-a06a-46e1-a08b-caf44c8a3b18</errorID>
      <errorWord>）</errorWord>
      <group>L1_Format</group>
      <groupName>格式问题</groupName>
      <ability>L2_HalfPunc_CN</ability>
      <abilityName>全半角问题</abilityName>
      <candidateList>
        <item>)</item>
      </candidateList>
      <explain>文本全半角错误。</explain>
      <paraID>30C878F1</paraID>
      <start>6</start>
      <end>7</end>
      <status>unmodified</status>
      <modifiedWord/>
      <trackRevisions>false</trackRevisions>
    </reviewItem>
    <reviewItem>
      <errorID>56482ea6-8e4c-4561-9f2f-791db194cfe2</errorID>
      <errorWord>（</errorWord>
      <group>L1_Format</group>
      <groupName>格式问题</groupName>
      <ability>L2_HalfPunc_CN</ability>
      <abilityName>全半角问题</abilityName>
      <candidateList>
        <item>(</item>
      </candidateList>
      <explain>文本全半角错误。</explain>
      <paraID>1C3EF8E7</paraID>
      <start>0</start>
      <end>1</end>
      <status>unmodified</status>
      <modifiedWord/>
      <trackRevisions>false</trackRevisions>
    </reviewItem>
    <reviewItem>
      <errorID>87772740-706b-4677-a067-8c859337e9dc</errorID>
      <errorWord>）</errorWord>
      <group>L1_Format</group>
      <groupName>格式问题</groupName>
      <ability>L2_HalfPunc_CN</ability>
      <abilityName>全半角问题</abilityName>
      <candidateList>
        <item>)</item>
      </candidateList>
      <explain>文本全半角错误。</explain>
      <paraID>1C3EF8E7</paraID>
      <start>5</start>
      <end>6</end>
      <status>unmodified</status>
      <modifiedWord/>
      <trackRevisions>false</trackRevisions>
    </reviewItem>
    <reviewItem>
      <errorID>d8d71a20-3392-4d62-9a08-dfbe7773a5df</errorID>
      <errorWord>（</errorWord>
      <group>L1_Format</group>
      <groupName>格式问题</groupName>
      <ability>L2_HalfPunc_CN</ability>
      <abilityName>全半角问题</abilityName>
      <candidateList>
        <item>(</item>
      </candidateList>
      <explain>文本全半角错误。</explain>
      <paraID>230024CB</paraID>
      <start>0</start>
      <end>1</end>
      <status>unmodified</status>
      <modifiedWord/>
      <trackRevisions>false</trackRevisions>
    </reviewItem>
    <reviewItem>
      <errorID>7bb17467-d1a5-41e2-b3d3-2f81cd71544f</errorID>
      <errorWord>）</errorWord>
      <group>L1_Format</group>
      <groupName>格式问题</groupName>
      <ability>L2_HalfPunc_CN</ability>
      <abilityName>全半角问题</abilityName>
      <candidateList>
        <item>)</item>
      </candidateList>
      <explain>文本全半角错误。</explain>
      <paraID>230024CB</paraID>
      <start>4</start>
      <end>5</end>
      <status>unmodified</status>
      <modifiedWord/>
      <trackRevisions>false</trackRevisions>
    </reviewItem>
    <reviewItem>
      <errorID>0d1de8b7-377d-4dec-a2f7-666e3c1f8e64</errorID>
      <errorWord>（</errorWord>
      <group>L1_Format</group>
      <groupName>格式问题</groupName>
      <ability>L2_HalfPunc_CN</ability>
      <abilityName>全半角问题</abilityName>
      <candidateList>
        <item>(</item>
      </candidateList>
      <explain>文本全半角错误。</explain>
      <paraID>6A70A9CF</paraID>
      <start>0</start>
      <end>1</end>
      <status>unmodified</status>
      <modifiedWord/>
      <trackRevisions>false</trackRevisions>
    </reviewItem>
    <reviewItem>
      <errorID>440f3b71-0156-4200-9be6-ebfc9f174891</errorID>
      <errorWord>）</errorWord>
      <group>L1_Format</group>
      <groupName>格式问题</groupName>
      <ability>L2_HalfPunc_CN</ability>
      <abilityName>全半角问题</abilityName>
      <candidateList>
        <item>)</item>
      </candidateList>
      <explain>文本全半角错误。</explain>
      <paraID>6A70A9CF</paraID>
      <start>4</start>
      <end>5</end>
      <status>unmodified</status>
      <modifiedWord/>
      <trackRevisions>false</trackRevisions>
    </reviewItem>
    <reviewItem>
      <errorID>d87dee0c-96e4-4a94-ba38-ef5042df5e70</errorID>
      <errorWord>（</errorWord>
      <group>L1_Format</group>
      <groupName>格式问题</groupName>
      <ability>L2_HalfPunc_CN</ability>
      <abilityName>全半角问题</abilityName>
      <candidateList>
        <item>(</item>
      </candidateList>
      <explain>文本全半角错误。</explain>
      <paraID>73FAAF43</paraID>
      <start>0</start>
      <end>1</end>
      <status>unmodified</status>
      <modifiedWord/>
      <trackRevisions>false</trackRevisions>
    </reviewItem>
    <reviewItem>
      <errorID>317cf810-4618-411f-80c4-34f23c42b108</errorID>
      <errorWord>）</errorWord>
      <group>L1_Format</group>
      <groupName>格式问题</groupName>
      <ability>L2_HalfPunc_CN</ability>
      <abilityName>全半角问题</abilityName>
      <candidateList>
        <item>)</item>
      </candidateList>
      <explain>文本全半角错误。</explain>
      <paraID>73FAAF43</paraID>
      <start>6</start>
      <end>7</end>
      <status>unmodified</status>
      <modifiedWord/>
      <trackRevisions>false</trackRevisions>
    </reviewItem>
    <reviewItem>
      <errorID>6e42c5ba-a7c1-4999-8799-44d2ff38cc89</errorID>
      <errorWord>（</errorWord>
      <group>L1_Format</group>
      <groupName>格式问题</groupName>
      <ability>L2_HalfPunc_CN</ability>
      <abilityName>全半角问题</abilityName>
      <candidateList>
        <item>(</item>
      </candidateList>
      <explain>文本全半角错误。</explain>
      <paraID>6468CFA1</paraID>
      <start>0</start>
      <end>1</end>
      <status>unmodified</status>
      <modifiedWord/>
      <trackRevisions>false</trackRevisions>
    </reviewItem>
    <reviewItem>
      <errorID>5f738c0f-8860-412a-9dc7-e46408a1e549</errorID>
      <errorWord>）</errorWord>
      <group>L1_Format</group>
      <groupName>格式问题</groupName>
      <ability>L2_HalfPunc_CN</ability>
      <abilityName>全半角问题</abilityName>
      <candidateList>
        <item>)</item>
      </candidateList>
      <explain>文本全半角错误。</explain>
      <paraID>6468CFA1</paraID>
      <start>6</start>
      <end>7</end>
      <status>unmodified</status>
      <modifiedWord/>
      <trackRevisions>false</trackRevisions>
    </reviewItem>
    <reviewItem>
      <errorID>474469a6-547e-4969-8dea-47c115af2e61</errorID>
      <errorWord>（</errorWord>
      <group>L1_Format</group>
      <groupName>格式问题</groupName>
      <ability>L2_HalfPunc_CN</ability>
      <abilityName>全半角问题</abilityName>
      <candidateList>
        <item>(</item>
      </candidateList>
      <explain>文本全半角错误。</explain>
      <paraID>21BBBDCF</paraID>
      <start>0</start>
      <end>1</end>
      <status>unmodified</status>
      <modifiedWord/>
      <trackRevisions>false</trackRevisions>
    </reviewItem>
    <reviewItem>
      <errorID>c6bae39f-b422-4a1e-9bbc-c0a1557975d5</errorID>
      <errorWord>）</errorWord>
      <group>L1_Format</group>
      <groupName>格式问题</groupName>
      <ability>L2_HalfPunc_CN</ability>
      <abilityName>全半角问题</abilityName>
      <candidateList>
        <item>)</item>
      </candidateList>
      <explain>文本全半角错误。</explain>
      <paraID>21BBBDCF</paraID>
      <start>6</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ceda8-1c50-46ca-8b0d-9d62d8833644}">
  <ds:schemaRefs/>
</ds:datastoreItem>
</file>

<file path=docProps/app.xml><?xml version="1.0" encoding="utf-8"?>
<Properties xmlns="http://schemas.openxmlformats.org/officeDocument/2006/extended-properties" xmlns:vt="http://schemas.openxmlformats.org/officeDocument/2006/docPropsVTypes">
  <Pages>118</Pages>
  <Words>2698</Words>
  <Characters>2976</Characters>
  <TotalTime>11</TotalTime>
  <ScaleCrop>false</ScaleCrop>
  <LinksUpToDate>false</LinksUpToDate>
  <CharactersWithSpaces>3232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2026-08-25T09:49:00Z</dcterms:created>
  <dc:creator>Administrator</dc:creator>
  <cp:lastModifiedBy>方</cp:lastModifiedBy>
  <dcterms:modified xsi:type="dcterms:W3CDTF">2026-08-28T08:28:53Z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2026-08-25T09:50:22Z</vt:filetime>
  </property>
  <property fmtid="{D5CDD505-2E9C-101B-9397-08002B2CF9AE}" pid="4" name="KSOTemplateDocerSaveRecord">
    <vt:lpwstr>eyJoZGlkIjoiYWM4OTdjYmM5OTc1ZTExMjliOThhNWZiOGFiODE3Y2QiLCJ1c2VySWQiOiIxMTIxMzIwNzkyIn0=</vt:lpwstr>
  </property>
  <property fmtid="{D5CDD505-2E9C-101B-9397-08002B2CF9AE}" pid="5" name="KSOProductBuildVer">
    <vt:lpwstr>2052-12.1.0.28043</vt:lpwstr>
  </property>
  <property fmtid="{D5CDD505-2E9C-101B-9397-08002B2CF9AE}" pid="6" name="ICV">
    <vt:lpwstr>F30E1D464ACA4F3C8D68FC241C620F31_13</vt:lpwstr>
  </property>
</Properties>
</file>